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14:paraId="750B9486" w14:textId="77777777" w:rsidTr="004B6B8C">
        <w:trPr>
          <w:cantSplit/>
          <w:trHeight w:val="20"/>
        </w:trPr>
        <w:tc>
          <w:tcPr>
            <w:tcW w:w="6620" w:type="dxa"/>
          </w:tcPr>
          <w:p w14:paraId="5D866FB7" w14:textId="77777777" w:rsidR="00950A5B" w:rsidRPr="00950A5B" w:rsidRDefault="00950A5B" w:rsidP="0044367C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</w:tcPr>
          <w:p w14:paraId="0978A982" w14:textId="6AD3AFD8" w:rsidR="00950A5B" w:rsidRPr="00950A5B" w:rsidRDefault="00FC625C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60DD473" wp14:editId="6B9C17AA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14:paraId="7C721037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84DD0A4" w14:textId="59ACF944" w:rsidR="00950A5B" w:rsidRPr="00950A5B" w:rsidRDefault="00950A5B" w:rsidP="0044367C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FC625C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C49F613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F02ADC2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EE4FB9A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19512E4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20E654BE" w14:textId="77777777" w:rsidTr="004B6B8C">
        <w:trPr>
          <w:cantSplit/>
        </w:trPr>
        <w:tc>
          <w:tcPr>
            <w:tcW w:w="6620" w:type="dxa"/>
            <w:vMerge w:val="restart"/>
          </w:tcPr>
          <w:p w14:paraId="24D0F246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7EEB3893" w14:textId="5BC3C776" w:rsidR="00950A5B" w:rsidRPr="00950A5B" w:rsidRDefault="00FC625C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ا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لوثيقة 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3F786C">
              <w:rPr>
                <w:rFonts w:eastAsiaTheme="minorEastAsia"/>
                <w:b/>
                <w:bCs/>
                <w:lang w:eastAsia="zh-CN" w:bidi="ar-SY"/>
              </w:rPr>
              <w:t>5</w:t>
            </w:r>
            <w:r w:rsidR="00950A5B"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04729803" w14:textId="77777777" w:rsidTr="004B6B8C">
        <w:trPr>
          <w:cantSplit/>
        </w:trPr>
        <w:tc>
          <w:tcPr>
            <w:tcW w:w="6620" w:type="dxa"/>
            <w:vMerge/>
          </w:tcPr>
          <w:p w14:paraId="3F4DC1E2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13D22C" w14:textId="2E081281" w:rsidR="00950A5B" w:rsidRPr="00950A5B" w:rsidRDefault="005F292A" w:rsidP="0084735D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3531D1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FC625C"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50A5B" w:rsidRPr="0084735D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FC625C">
              <w:rPr>
                <w:rFonts w:eastAsiaTheme="minorEastAsia"/>
                <w:b/>
                <w:bCs/>
                <w:lang w:eastAsia="zh-CN" w:bidi="ar-SY"/>
              </w:rPr>
              <w:t>9</w:t>
            </w:r>
          </w:p>
        </w:tc>
      </w:tr>
      <w:tr w:rsidR="00950A5B" w:rsidRPr="00950A5B" w14:paraId="1992FDCD" w14:textId="77777777" w:rsidTr="004B6B8C">
        <w:trPr>
          <w:cantSplit/>
        </w:trPr>
        <w:tc>
          <w:tcPr>
            <w:tcW w:w="6620" w:type="dxa"/>
            <w:vMerge/>
          </w:tcPr>
          <w:p w14:paraId="3B3E5D24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628814CE" w14:textId="751A3A1B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3F786C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4AFBDE11" w14:textId="77777777" w:rsidTr="004B6B8C">
        <w:trPr>
          <w:cantSplit/>
        </w:trPr>
        <w:tc>
          <w:tcPr>
            <w:tcW w:w="9672" w:type="dxa"/>
            <w:gridSpan w:val="2"/>
          </w:tcPr>
          <w:p w14:paraId="371F6895" w14:textId="6B72E097" w:rsidR="00950A5B" w:rsidRPr="00950A5B" w:rsidRDefault="003F786C" w:rsidP="005F292A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كندا والولايات المتحدة الأمريكية</w:t>
            </w:r>
          </w:p>
        </w:tc>
      </w:tr>
      <w:tr w:rsidR="00950A5B" w:rsidRPr="00950A5B" w14:paraId="6492D8C2" w14:textId="77777777" w:rsidTr="004B6B8C">
        <w:trPr>
          <w:cantSplit/>
        </w:trPr>
        <w:tc>
          <w:tcPr>
            <w:tcW w:w="9672" w:type="dxa"/>
            <w:gridSpan w:val="2"/>
          </w:tcPr>
          <w:p w14:paraId="2C8AD179" w14:textId="6A778750" w:rsidR="003531D1" w:rsidRPr="003F786C" w:rsidRDefault="003F786C" w:rsidP="003F786C">
            <w:pPr>
              <w:pStyle w:val="Title1"/>
              <w:spacing w:before="120"/>
              <w:rPr>
                <w:rFonts w:eastAsiaTheme="minorEastAsia"/>
                <w:highlight w:val="cyan"/>
                <w:rtl/>
                <w:lang w:eastAsia="zh-CN"/>
              </w:rPr>
            </w:pPr>
            <w:r w:rsidRPr="0067296A">
              <w:rPr>
                <w:rFonts w:eastAsiaTheme="minorEastAsia" w:hint="cs"/>
                <w:rtl/>
                <w:lang w:eastAsia="zh-CN" w:bidi="ar-SA"/>
              </w:rPr>
              <w:t xml:space="preserve">وجهات نظر بشأن </w:t>
            </w:r>
            <w:r w:rsidR="0067296A" w:rsidRPr="0067296A">
              <w:rPr>
                <w:rFonts w:eastAsiaTheme="minorEastAsia" w:hint="cs"/>
                <w:rtl/>
                <w:lang w:eastAsia="zh-CN" w:bidi="ar-SA"/>
              </w:rPr>
              <w:t>ال</w:t>
            </w:r>
            <w:r w:rsidRPr="0067296A">
              <w:rPr>
                <w:rFonts w:eastAsiaTheme="minorEastAsia" w:hint="cs"/>
                <w:rtl/>
                <w:lang w:eastAsia="zh-CN" w:bidi="ar-SA"/>
              </w:rPr>
              <w:t xml:space="preserve">استعراض </w:t>
            </w:r>
            <w:r w:rsidR="0067296A" w:rsidRPr="0067296A">
              <w:rPr>
                <w:rFonts w:eastAsiaTheme="minorEastAsia" w:hint="cs"/>
                <w:rtl/>
                <w:lang w:eastAsia="zh-CN" w:bidi="ar-SA"/>
              </w:rPr>
              <w:t>الشامل ل</w:t>
            </w:r>
            <w:r w:rsidRPr="0067296A">
              <w:rPr>
                <w:rFonts w:eastAsiaTheme="minorEastAsia" w:hint="cs"/>
                <w:rtl/>
                <w:lang w:eastAsia="zh-CN" w:bidi="ar-SA"/>
              </w:rPr>
              <w:t>لوائح الاتصالات الدولية</w:t>
            </w:r>
          </w:p>
        </w:tc>
      </w:tr>
      <w:tr w:rsidR="007A1D4D" w:rsidRPr="00950A5B" w14:paraId="4283FC7F" w14:textId="77777777" w:rsidTr="004B6B8C">
        <w:trPr>
          <w:cantSplit/>
        </w:trPr>
        <w:tc>
          <w:tcPr>
            <w:tcW w:w="9672" w:type="dxa"/>
            <w:gridSpan w:val="2"/>
          </w:tcPr>
          <w:p w14:paraId="128CE6EE" w14:textId="77777777" w:rsidR="007A1D4D" w:rsidRPr="0067296A" w:rsidRDefault="007A1D4D" w:rsidP="007A1D4D">
            <w:pPr>
              <w:rPr>
                <w:rFonts w:eastAsiaTheme="minorEastAsia" w:hint="cs"/>
                <w:rtl/>
                <w:lang w:eastAsia="zh-CN"/>
              </w:rPr>
            </w:pPr>
          </w:p>
        </w:tc>
      </w:tr>
    </w:tbl>
    <w:p w14:paraId="71F71400" w14:textId="754CAA75" w:rsidR="003F786C" w:rsidRPr="000E4FF0" w:rsidRDefault="003F786C" w:rsidP="003F786C">
      <w:pPr>
        <w:pStyle w:val="Headingb"/>
        <w:spacing w:before="24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مقدمة</w:t>
      </w:r>
    </w:p>
    <w:p w14:paraId="2EC7304F" w14:textId="2C92D9AD" w:rsidR="003F786C" w:rsidRPr="006A322A" w:rsidRDefault="003F786C" w:rsidP="000076EA">
      <w:pPr>
        <w:rPr>
          <w:rFonts w:eastAsiaTheme="minorEastAsia"/>
          <w:rtl/>
          <w:lang w:eastAsia="zh-CN" w:bidi="ar-EG"/>
        </w:rPr>
      </w:pPr>
      <w:r w:rsidRPr="004604E9">
        <w:rPr>
          <w:rFonts w:eastAsiaTheme="minorEastAsia" w:hint="cs"/>
          <w:rtl/>
          <w:lang w:eastAsia="zh-CN"/>
        </w:rPr>
        <w:t xml:space="preserve">يسر </w:t>
      </w:r>
      <w:r w:rsidR="00AA4B93" w:rsidRPr="004604E9">
        <w:rPr>
          <w:rFonts w:eastAsiaTheme="minorEastAsia" w:hint="cs"/>
          <w:rtl/>
          <w:lang w:eastAsia="zh-CN"/>
        </w:rPr>
        <w:t>كندا</w:t>
      </w:r>
      <w:r w:rsidR="002320A8">
        <w:rPr>
          <w:rFonts w:eastAsiaTheme="minorEastAsia" w:hint="cs"/>
          <w:rtl/>
          <w:lang w:eastAsia="zh-CN"/>
        </w:rPr>
        <w:t xml:space="preserve"> </w:t>
      </w:r>
      <w:r w:rsidR="00AA4B93" w:rsidRPr="004604E9">
        <w:rPr>
          <w:rFonts w:eastAsiaTheme="minorEastAsia" w:hint="cs"/>
          <w:rtl/>
          <w:lang w:eastAsia="zh-CN"/>
        </w:rPr>
        <w:t>و</w:t>
      </w:r>
      <w:r w:rsidRPr="004604E9">
        <w:rPr>
          <w:rFonts w:eastAsiaTheme="minorEastAsia" w:hint="cs"/>
          <w:rtl/>
          <w:lang w:eastAsia="zh-CN"/>
        </w:rPr>
        <w:t>الولايات المتحدة الأمريكية أن تشارك</w:t>
      </w:r>
      <w:r w:rsidR="00C773B2" w:rsidRPr="004604E9">
        <w:rPr>
          <w:rFonts w:eastAsiaTheme="minorEastAsia" w:hint="cs"/>
          <w:rtl/>
          <w:lang w:eastAsia="zh-CN"/>
        </w:rPr>
        <w:t>ا</w:t>
      </w:r>
      <w:r w:rsidRPr="004604E9">
        <w:rPr>
          <w:rFonts w:eastAsiaTheme="minorEastAsia" w:hint="cs"/>
          <w:rtl/>
          <w:lang w:eastAsia="zh-CN"/>
        </w:rPr>
        <w:t xml:space="preserve"> في استعراض لوائح الاتصالات الدولية </w:t>
      </w:r>
      <w:r w:rsidRPr="004604E9">
        <w:rPr>
          <w:rFonts w:eastAsiaTheme="minorEastAsia"/>
          <w:lang w:eastAsia="zh-CN" w:bidi="ar-SY"/>
        </w:rPr>
        <w:t>(ITR)</w:t>
      </w:r>
      <w:r w:rsidRPr="004604E9">
        <w:rPr>
          <w:rFonts w:eastAsiaTheme="minorEastAsia" w:hint="cs"/>
          <w:rtl/>
          <w:lang w:eastAsia="zh-CN" w:bidi="ar-EG"/>
        </w:rPr>
        <w:t xml:space="preserve"> الذي يضطلع به فريق الخبراء المعني بلوائح الاتصالات الدولية </w:t>
      </w:r>
      <w:r w:rsidRPr="004604E9">
        <w:rPr>
          <w:rFonts w:eastAsiaTheme="minorEastAsia"/>
          <w:lang w:eastAsia="zh-CN" w:bidi="ar-SY"/>
        </w:rPr>
        <w:t>(EG-ITR)</w:t>
      </w:r>
      <w:r w:rsidRPr="004604E9">
        <w:rPr>
          <w:rFonts w:eastAsiaTheme="minorEastAsia" w:hint="cs"/>
          <w:rtl/>
          <w:lang w:eastAsia="zh-CN" w:bidi="ar-EG"/>
        </w:rPr>
        <w:t>. ووفقاً لاختصاصات هذا الفريق</w:t>
      </w:r>
      <w:r w:rsidRPr="004604E9">
        <w:rPr>
          <w:rStyle w:val="FootnoteReference"/>
          <w:rtl/>
          <w:lang w:eastAsia="zh-CN" w:bidi="ar-EG"/>
        </w:rPr>
        <w:footnoteReference w:id="1"/>
      </w:r>
      <w:r w:rsidRPr="004604E9">
        <w:rPr>
          <w:rFonts w:eastAsiaTheme="minorEastAsia" w:hint="cs"/>
          <w:rtl/>
          <w:lang w:eastAsia="zh-CN" w:bidi="ar-EG"/>
        </w:rPr>
        <w:t xml:space="preserve">، نقدم وجهات نظرنا بشأن القضايا الأساسية </w:t>
      </w:r>
      <w:proofErr w:type="spellStart"/>
      <w:r w:rsidR="00383319">
        <w:rPr>
          <w:rFonts w:eastAsiaTheme="minorEastAsia" w:hint="cs"/>
          <w:rtl/>
          <w:lang w:eastAsia="zh-CN" w:bidi="ar-EG"/>
        </w:rPr>
        <w:t>لإ</w:t>
      </w:r>
      <w:proofErr w:type="spellEnd"/>
      <w:r w:rsidR="00AA4B93" w:rsidRPr="004604E9">
        <w:rPr>
          <w:rFonts w:eastAsiaTheme="minorEastAsia"/>
          <w:rtl/>
          <w:lang w:eastAsia="zh-CN"/>
        </w:rPr>
        <w:t xml:space="preserve">جراء استعراض </w:t>
      </w:r>
      <w:r w:rsidR="00AA4B93" w:rsidRPr="004604E9">
        <w:rPr>
          <w:rFonts w:eastAsiaTheme="minorEastAsia" w:hint="cs"/>
          <w:rtl/>
          <w:lang w:eastAsia="zh-CN"/>
        </w:rPr>
        <w:t xml:space="preserve">شامل </w:t>
      </w:r>
      <w:r w:rsidR="00AA4B93" w:rsidRPr="004604E9">
        <w:rPr>
          <w:rFonts w:eastAsiaTheme="minorEastAsia"/>
          <w:rtl/>
          <w:lang w:eastAsia="zh-CN"/>
        </w:rPr>
        <w:t xml:space="preserve">لكل </w:t>
      </w:r>
      <w:r w:rsidR="00AA4B93" w:rsidRPr="005505DB">
        <w:rPr>
          <w:rFonts w:eastAsiaTheme="minorEastAsia"/>
          <w:rtl/>
          <w:lang w:eastAsia="zh-CN"/>
        </w:rPr>
        <w:t>حكم من أحكام لوائح الاتصالات الدولية</w:t>
      </w:r>
      <w:r w:rsidRPr="005505DB">
        <w:rPr>
          <w:rFonts w:eastAsiaTheme="minorEastAsia" w:hint="cs"/>
          <w:rtl/>
          <w:lang w:eastAsia="zh-CN" w:bidi="ar-EG"/>
        </w:rPr>
        <w:t xml:space="preserve">: </w:t>
      </w:r>
      <w:r w:rsidRPr="005505DB">
        <w:rPr>
          <w:rFonts w:eastAsiaTheme="minorEastAsia"/>
          <w:lang w:eastAsia="zh-CN" w:bidi="ar-SY"/>
        </w:rPr>
        <w:t>(1)</w:t>
      </w:r>
      <w:r w:rsidRPr="005505DB">
        <w:rPr>
          <w:rFonts w:eastAsiaTheme="minorEastAsia" w:hint="eastAsia"/>
          <w:rtl/>
          <w:lang w:eastAsia="zh-CN" w:bidi="ar-EG"/>
        </w:rPr>
        <w:t> </w:t>
      </w:r>
      <w:r w:rsidR="005505DB" w:rsidRPr="005505DB">
        <w:rPr>
          <w:rFonts w:eastAsiaTheme="minorEastAsia"/>
          <w:rtl/>
          <w:lang w:eastAsia="zh-CN"/>
        </w:rPr>
        <w:t xml:space="preserve">مدى انطباق أحكام لوائح الاتصالات الدولية </w:t>
      </w:r>
      <w:r w:rsidR="005505DB" w:rsidRPr="005505DB">
        <w:rPr>
          <w:rFonts w:eastAsiaTheme="minorEastAsia" w:hint="cs"/>
          <w:rtl/>
          <w:lang w:eastAsia="zh-CN"/>
        </w:rPr>
        <w:t>لعام</w:t>
      </w:r>
      <w:r w:rsidR="000076EA">
        <w:rPr>
          <w:rFonts w:eastAsiaTheme="minorEastAsia" w:hint="eastAsia"/>
          <w:rtl/>
          <w:lang w:eastAsia="zh-CN"/>
        </w:rPr>
        <w:t> </w:t>
      </w:r>
      <w:r w:rsidR="005505DB" w:rsidRPr="005505DB">
        <w:rPr>
          <w:rFonts w:asciiTheme="minorHAnsi" w:eastAsiaTheme="minorEastAsia" w:hAnsiTheme="minorHAnsi" w:cstheme="minorHAnsi"/>
          <w:sz w:val="16"/>
          <w:szCs w:val="22"/>
          <w:rtl/>
          <w:lang w:eastAsia="zh-CN"/>
        </w:rPr>
        <w:t>2012</w:t>
      </w:r>
      <w:r w:rsidR="005505DB" w:rsidRPr="005505DB">
        <w:rPr>
          <w:rFonts w:eastAsiaTheme="minorEastAsia" w:hint="cs"/>
          <w:sz w:val="16"/>
          <w:szCs w:val="22"/>
          <w:rtl/>
          <w:lang w:eastAsia="zh-CN"/>
        </w:rPr>
        <w:t xml:space="preserve"> </w:t>
      </w:r>
      <w:r w:rsidR="005505DB" w:rsidRPr="005505DB">
        <w:rPr>
          <w:rFonts w:eastAsiaTheme="minorEastAsia"/>
          <w:rtl/>
          <w:lang w:eastAsia="zh-CN"/>
        </w:rPr>
        <w:t>فيما يتعلق بتعزيز إتاحة خدمات وشبكات الاتصالات/تكنولوجيا المعلومات والاتصالات وتطويرها</w:t>
      </w:r>
      <w:r w:rsidRPr="005505DB">
        <w:rPr>
          <w:rFonts w:eastAsiaTheme="minorEastAsia" w:hint="cs"/>
          <w:rtl/>
          <w:lang w:eastAsia="zh-CN" w:bidi="ar-EG"/>
        </w:rPr>
        <w:t xml:space="preserve">؛ </w:t>
      </w:r>
      <w:r w:rsidRPr="005505DB">
        <w:rPr>
          <w:rFonts w:eastAsiaTheme="minorEastAsia"/>
          <w:lang w:eastAsia="zh-CN" w:bidi="ar-SY"/>
        </w:rPr>
        <w:t>(2)</w:t>
      </w:r>
      <w:r w:rsidRPr="005505DB">
        <w:rPr>
          <w:rFonts w:eastAsiaTheme="minorEastAsia" w:hint="eastAsia"/>
          <w:rtl/>
          <w:lang w:eastAsia="zh-CN" w:bidi="ar-EG"/>
        </w:rPr>
        <w:t> </w:t>
      </w:r>
      <w:r w:rsidR="00C3022E" w:rsidRPr="005505DB">
        <w:rPr>
          <w:rFonts w:eastAsiaTheme="minorEastAsia" w:hint="cs"/>
          <w:rtl/>
          <w:lang w:eastAsia="zh-CN" w:bidi="ar-EG"/>
        </w:rPr>
        <w:t>و</w:t>
      </w:r>
      <w:r w:rsidRPr="005505DB">
        <w:rPr>
          <w:rFonts w:eastAsiaTheme="minorEastAsia"/>
          <w:rtl/>
          <w:lang w:eastAsia="zh-CN"/>
        </w:rPr>
        <w:t xml:space="preserve">مرونة، أو عدم مرونة، أحكام لوائح الاتصالات الدولية لاستيعاب الاتجاهات الجديدة في </w:t>
      </w:r>
      <w:r w:rsidR="00C3022E">
        <w:rPr>
          <w:rFonts w:eastAsiaTheme="minorEastAsia" w:hint="cs"/>
          <w:rtl/>
          <w:lang w:eastAsia="zh-CN"/>
        </w:rPr>
        <w:t xml:space="preserve">قطاع </w:t>
      </w:r>
      <w:r w:rsidR="004604E9" w:rsidRPr="005505DB">
        <w:rPr>
          <w:rFonts w:eastAsiaTheme="minorEastAsia"/>
          <w:rtl/>
          <w:lang w:eastAsia="zh-CN"/>
        </w:rPr>
        <w:t xml:space="preserve">الاتصالات/تكنولوجيا المعلومات والاتصالات </w:t>
      </w:r>
      <w:r w:rsidRPr="005505DB">
        <w:rPr>
          <w:rFonts w:eastAsiaTheme="minorEastAsia"/>
          <w:rtl/>
          <w:lang w:eastAsia="zh-CN"/>
        </w:rPr>
        <w:t>والقضايا الناشئة في بيئة الاتصالات</w:t>
      </w:r>
      <w:r w:rsidR="00C3022E">
        <w:rPr>
          <w:rFonts w:eastAsiaTheme="minorEastAsia" w:hint="cs"/>
          <w:rtl/>
          <w:lang w:eastAsia="zh-CN"/>
        </w:rPr>
        <w:t xml:space="preserve"> الدولية</w:t>
      </w:r>
      <w:r w:rsidRPr="005505DB">
        <w:rPr>
          <w:rFonts w:eastAsiaTheme="minorEastAsia"/>
          <w:rtl/>
          <w:lang w:eastAsia="zh-CN"/>
        </w:rPr>
        <w:t>/تكنولوجيا المعلومات والاتصالات؛</w:t>
      </w:r>
    </w:p>
    <w:p w14:paraId="48CE0B94" w14:textId="2DA4B73A" w:rsidR="003F786C" w:rsidRDefault="005505DB" w:rsidP="003F786C">
      <w:pPr>
        <w:pStyle w:val="Headingb"/>
        <w:rPr>
          <w:rtl/>
        </w:rPr>
      </w:pPr>
      <w:r>
        <w:rPr>
          <w:rFonts w:hint="cs"/>
          <w:rtl/>
        </w:rPr>
        <w:t>مناقشات</w:t>
      </w:r>
    </w:p>
    <w:p w14:paraId="5884291F" w14:textId="5C7A6B47" w:rsidR="003F786C" w:rsidRDefault="003F786C" w:rsidP="00E428EB">
      <w:pPr>
        <w:rPr>
          <w:rtl/>
        </w:rPr>
      </w:pPr>
      <w:r w:rsidRPr="00BC3106">
        <w:rPr>
          <w:rFonts w:hint="cs"/>
          <w:b/>
          <w:bCs/>
          <w:rtl/>
        </w:rPr>
        <w:t>"</w:t>
      </w:r>
      <w:bookmarkStart w:id="1" w:name="_Hlk18053866"/>
      <w:r w:rsidRPr="00BC3106">
        <w:rPr>
          <w:b/>
          <w:bCs/>
          <w:rtl/>
        </w:rPr>
        <w:t xml:space="preserve">مدى انطباق أحكام لوائح الاتصالات الدولية </w:t>
      </w:r>
      <w:r w:rsidR="005505DB" w:rsidRPr="00BC3106">
        <w:rPr>
          <w:rFonts w:hint="cs"/>
          <w:b/>
          <w:bCs/>
          <w:rtl/>
        </w:rPr>
        <w:t xml:space="preserve">لعام </w:t>
      </w:r>
      <w:r w:rsidR="005505DB" w:rsidRPr="00BC3106">
        <w:rPr>
          <w:rFonts w:asciiTheme="minorHAnsi" w:eastAsiaTheme="minorEastAsia" w:hAnsiTheme="minorHAnsi" w:cstheme="minorHAnsi" w:hint="cs"/>
          <w:b/>
          <w:bCs/>
          <w:sz w:val="16"/>
          <w:szCs w:val="22"/>
          <w:rtl/>
          <w:lang w:eastAsia="zh-CN"/>
        </w:rPr>
        <w:t>2012</w:t>
      </w:r>
      <w:r w:rsidR="005505DB" w:rsidRPr="00BC3106">
        <w:rPr>
          <w:rFonts w:hint="cs"/>
          <w:b/>
          <w:bCs/>
          <w:rtl/>
        </w:rPr>
        <w:t xml:space="preserve"> </w:t>
      </w:r>
      <w:r w:rsidRPr="00BC3106">
        <w:rPr>
          <w:b/>
          <w:bCs/>
          <w:rtl/>
        </w:rPr>
        <w:t>فيما يتعلق بتعزيز إتاحة خدمات وشبكات الاتصالات/تكنولوجيا المعلومات والاتصالات وتطويرها</w:t>
      </w:r>
      <w:bookmarkEnd w:id="1"/>
      <w:r w:rsidRPr="00BC3106">
        <w:rPr>
          <w:rFonts w:hint="cs"/>
          <w:b/>
          <w:bCs/>
          <w:rtl/>
        </w:rPr>
        <w:t>":</w:t>
      </w:r>
      <w:r w:rsidRPr="00BC3106">
        <w:rPr>
          <w:rFonts w:hint="cs"/>
          <w:rtl/>
        </w:rPr>
        <w:t xml:space="preserve"> </w:t>
      </w:r>
      <w:r w:rsidR="00CA69EE">
        <w:rPr>
          <w:rFonts w:hint="cs"/>
          <w:rtl/>
          <w:lang w:bidi="ar-EG"/>
        </w:rPr>
        <w:t>ما</w:t>
      </w:r>
      <w:r w:rsidR="007A1D4D">
        <w:rPr>
          <w:rFonts w:hint="cs"/>
          <w:rtl/>
          <w:lang w:bidi="ar-EG"/>
        </w:rPr>
        <w:t xml:space="preserve"> </w:t>
      </w:r>
      <w:r w:rsidR="00CA69EE">
        <w:rPr>
          <w:rFonts w:hint="cs"/>
          <w:rtl/>
          <w:lang w:bidi="ar-EG"/>
        </w:rPr>
        <w:t>زالت</w:t>
      </w:r>
      <w:r w:rsidRPr="00BC3106">
        <w:rPr>
          <w:rFonts w:hint="cs"/>
          <w:rtl/>
          <w:lang w:bidi="ar-EG"/>
        </w:rPr>
        <w:t xml:space="preserve"> </w:t>
      </w:r>
      <w:r w:rsidR="00AE43C4" w:rsidRPr="00BC3106">
        <w:rPr>
          <w:rFonts w:hint="cs"/>
          <w:rtl/>
          <w:lang w:bidi="ar-EG"/>
        </w:rPr>
        <w:t>كندا و</w:t>
      </w:r>
      <w:r w:rsidRPr="00BC3106">
        <w:rPr>
          <w:rFonts w:hint="cs"/>
          <w:rtl/>
          <w:lang w:bidi="ar-EG"/>
        </w:rPr>
        <w:t>الولايات المتحدة</w:t>
      </w:r>
      <w:r w:rsidR="00CA69EE">
        <w:rPr>
          <w:rFonts w:hint="cs"/>
          <w:rtl/>
          <w:lang w:bidi="ar-EG"/>
        </w:rPr>
        <w:t xml:space="preserve"> تريان</w:t>
      </w:r>
      <w:r w:rsidRPr="00BC3106">
        <w:rPr>
          <w:rFonts w:hint="cs"/>
          <w:rtl/>
          <w:lang w:bidi="ar-EG"/>
        </w:rPr>
        <w:t xml:space="preserve"> أن لوائح الاتصالات الدولية لم تعد قابلة للتطبيق على الغالبية العظمى لحركة الاتصالات الدولية أو مناسبة لها. وكانت هذه اللوائح في عصر الاحتكار أساسية لتوفير خدمات الاتصالات الدولية وتشغيلها. </w:t>
      </w:r>
      <w:r w:rsidR="00E428EB" w:rsidRPr="00BC3106">
        <w:rPr>
          <w:rtl/>
        </w:rPr>
        <w:t>بيد أن هذه البيئة الاحتكارية لم تعد موجودة في معظم البلدان، كما أنه لا يوجد أساس منطقي لمعاهدة تعالج الآثار المحتملة لهذه البيئة الاحتكارية على خدمات الاتصالات الدولية.</w:t>
      </w:r>
    </w:p>
    <w:p w14:paraId="5FE0D7A0" w14:textId="38B051CE" w:rsidR="00BC3106" w:rsidRPr="00BC3106" w:rsidRDefault="00CA69EE" w:rsidP="000076EA">
      <w:pPr>
        <w:keepNext/>
        <w:keepLines/>
        <w:rPr>
          <w:lang w:val="en-GB"/>
        </w:rPr>
      </w:pPr>
      <w:r>
        <w:rPr>
          <w:rFonts w:hint="cs"/>
          <w:rtl/>
        </w:rPr>
        <w:lastRenderedPageBreak/>
        <w:t>و</w:t>
      </w:r>
      <w:r w:rsidR="00BC3106" w:rsidRPr="00BC3106">
        <w:rPr>
          <w:rFonts w:hint="cs"/>
          <w:rtl/>
          <w:lang w:bidi="ar"/>
        </w:rPr>
        <w:t xml:space="preserve">في العقود الثلاثة الماضية، </w:t>
      </w:r>
      <w:r w:rsidR="00006DC0">
        <w:rPr>
          <w:rFonts w:hint="cs"/>
          <w:rtl/>
          <w:lang w:bidi="ar"/>
        </w:rPr>
        <w:t>تغير</w:t>
      </w:r>
      <w:r w:rsidR="00BC3106" w:rsidRPr="00BC3106">
        <w:rPr>
          <w:rFonts w:hint="cs"/>
          <w:rtl/>
          <w:lang w:bidi="ar"/>
        </w:rPr>
        <w:t xml:space="preserve"> </w:t>
      </w:r>
      <w:r w:rsidR="00006DC0">
        <w:rPr>
          <w:rFonts w:hint="cs"/>
          <w:rtl/>
          <w:lang w:bidi="ar"/>
        </w:rPr>
        <w:t>مشهد</w:t>
      </w:r>
      <w:r w:rsidR="00BC3106" w:rsidRPr="00BC3106">
        <w:rPr>
          <w:rFonts w:hint="cs"/>
          <w:rtl/>
          <w:lang w:bidi="ar"/>
        </w:rPr>
        <w:t xml:space="preserve"> الاتصالات/تكنولوجيا المعلومات والاتصالات </w:t>
      </w:r>
      <w:r w:rsidR="00006DC0">
        <w:rPr>
          <w:rFonts w:hint="cs"/>
          <w:rtl/>
          <w:lang w:bidi="ar"/>
        </w:rPr>
        <w:t>بشكل</w:t>
      </w:r>
      <w:r w:rsidR="002320A8">
        <w:rPr>
          <w:rFonts w:hint="cs"/>
          <w:rtl/>
          <w:lang w:bidi="ar"/>
        </w:rPr>
        <w:t>ٍ</w:t>
      </w:r>
      <w:r w:rsidR="00BC3106" w:rsidRPr="00BC3106">
        <w:rPr>
          <w:rFonts w:hint="cs"/>
          <w:rtl/>
          <w:lang w:bidi="ar"/>
        </w:rPr>
        <w:t xml:space="preserve"> </w:t>
      </w:r>
      <w:r w:rsidR="00BC3106">
        <w:rPr>
          <w:rFonts w:hint="cs"/>
          <w:rtl/>
          <w:lang w:bidi="ar"/>
        </w:rPr>
        <w:t>جذري</w:t>
      </w:r>
      <w:r w:rsidR="00BC3106" w:rsidRPr="00BC3106">
        <w:rPr>
          <w:rFonts w:hint="cs"/>
          <w:rtl/>
          <w:lang w:bidi="ar"/>
        </w:rPr>
        <w:t xml:space="preserve">. </w:t>
      </w:r>
      <w:r>
        <w:rPr>
          <w:rFonts w:hint="cs"/>
          <w:rtl/>
          <w:lang w:bidi="ar"/>
        </w:rPr>
        <w:t>وبعد أن كان</w:t>
      </w:r>
      <w:r w:rsidR="00BC3106">
        <w:rPr>
          <w:rFonts w:hint="cs"/>
          <w:rtl/>
          <w:lang w:bidi="ar"/>
        </w:rPr>
        <w:t xml:space="preserve"> </w:t>
      </w:r>
      <w:r w:rsidR="00BC3106" w:rsidRPr="00BC3106">
        <w:rPr>
          <w:rFonts w:hint="cs"/>
          <w:rtl/>
          <w:lang w:bidi="ar"/>
        </w:rPr>
        <w:t>التركيز الأساسي ل</w:t>
      </w:r>
      <w:r w:rsidR="00BC3106">
        <w:rPr>
          <w:rFonts w:hint="cs"/>
          <w:rtl/>
          <w:lang w:bidi="ar"/>
        </w:rPr>
        <w:t>لوائح</w:t>
      </w:r>
      <w:r w:rsidR="00BC3106" w:rsidRPr="00BC3106">
        <w:rPr>
          <w:rFonts w:hint="cs"/>
          <w:rtl/>
          <w:lang w:bidi="ar"/>
        </w:rPr>
        <w:t xml:space="preserve"> الاتصالات الدولية</w:t>
      </w:r>
      <w:r w:rsidR="00006DC0">
        <w:rPr>
          <w:rFonts w:hint="cs"/>
          <w:rtl/>
          <w:lang w:bidi="ar"/>
        </w:rPr>
        <w:t xml:space="preserve"> مُوجها</w:t>
      </w:r>
      <w:r>
        <w:rPr>
          <w:rFonts w:hint="cs"/>
          <w:rtl/>
          <w:lang w:bidi="ar"/>
        </w:rPr>
        <w:t>ً</w:t>
      </w:r>
      <w:r w:rsidR="00006DC0">
        <w:rPr>
          <w:rFonts w:hint="cs"/>
          <w:rtl/>
          <w:lang w:bidi="ar"/>
        </w:rPr>
        <w:t xml:space="preserve"> نحو </w:t>
      </w:r>
      <w:r>
        <w:rPr>
          <w:rFonts w:hint="cs"/>
          <w:rtl/>
          <w:lang w:bidi="ar"/>
        </w:rPr>
        <w:t>ال</w:t>
      </w:r>
      <w:r w:rsidR="00BC3106" w:rsidRPr="00BC3106">
        <w:rPr>
          <w:rtl/>
        </w:rPr>
        <w:t xml:space="preserve">خدمة </w:t>
      </w:r>
      <w:r w:rsidR="00BC3106">
        <w:rPr>
          <w:rFonts w:hint="cs"/>
          <w:rtl/>
        </w:rPr>
        <w:t>ال</w:t>
      </w:r>
      <w:r w:rsidR="00BC3106" w:rsidRPr="00BC3106">
        <w:rPr>
          <w:rtl/>
        </w:rPr>
        <w:t>هاتف</w:t>
      </w:r>
      <w:r>
        <w:rPr>
          <w:rFonts w:hint="cs"/>
          <w:rtl/>
        </w:rPr>
        <w:t>ية</w:t>
      </w:r>
      <w:r w:rsidR="00BC3106" w:rsidRPr="00BC3106">
        <w:rPr>
          <w:rtl/>
        </w:rPr>
        <w:t xml:space="preserve"> </w:t>
      </w:r>
      <w:r>
        <w:rPr>
          <w:rFonts w:hint="cs"/>
          <w:rtl/>
        </w:rPr>
        <w:t>الثابتة</w:t>
      </w:r>
      <w:r w:rsidR="00BC3106" w:rsidRPr="00BC3106">
        <w:rPr>
          <w:rFonts w:hint="cs"/>
          <w:rtl/>
          <w:lang w:bidi="ar"/>
        </w:rPr>
        <w:t xml:space="preserve"> والحركة الصوتية الدولية، </w:t>
      </w:r>
      <w:r>
        <w:rPr>
          <w:rFonts w:hint="cs"/>
          <w:rtl/>
          <w:lang w:bidi="ar"/>
        </w:rPr>
        <w:t>أصبح موجهاً نحو</w:t>
      </w:r>
      <w:r w:rsidR="00006DC0">
        <w:rPr>
          <w:rFonts w:hint="cs"/>
          <w:rtl/>
          <w:lang w:bidi="ar"/>
        </w:rPr>
        <w:t xml:space="preserve"> الا</w:t>
      </w:r>
      <w:r w:rsidR="00BC3106" w:rsidRPr="00BC3106">
        <w:rPr>
          <w:rFonts w:hint="cs"/>
          <w:rtl/>
          <w:lang w:bidi="ar"/>
        </w:rPr>
        <w:t xml:space="preserve">شتراك في </w:t>
      </w:r>
      <w:r>
        <w:rPr>
          <w:rFonts w:hint="cs"/>
          <w:rtl/>
          <w:lang w:bidi="ar"/>
        </w:rPr>
        <w:t>ال</w:t>
      </w:r>
      <w:r w:rsidR="00006DC0">
        <w:rPr>
          <w:rFonts w:hint="cs"/>
          <w:rtl/>
          <w:lang w:bidi="ar"/>
        </w:rPr>
        <w:t>خ</w:t>
      </w:r>
      <w:r w:rsidR="00BC3106" w:rsidRPr="00BC3106">
        <w:rPr>
          <w:rFonts w:hint="cs"/>
          <w:rtl/>
          <w:lang w:bidi="ar"/>
        </w:rPr>
        <w:t xml:space="preserve">دمة </w:t>
      </w:r>
      <w:r w:rsidR="00006DC0">
        <w:rPr>
          <w:rFonts w:hint="cs"/>
          <w:rtl/>
          <w:lang w:bidi="ar"/>
        </w:rPr>
        <w:t>الهاتف</w:t>
      </w:r>
      <w:r>
        <w:rPr>
          <w:rFonts w:hint="cs"/>
          <w:rtl/>
          <w:lang w:bidi="ar"/>
        </w:rPr>
        <w:t>ية</w:t>
      </w:r>
      <w:r w:rsidR="00006DC0">
        <w:rPr>
          <w:rFonts w:hint="cs"/>
          <w:rtl/>
          <w:lang w:bidi="ar"/>
        </w:rPr>
        <w:t xml:space="preserve"> </w:t>
      </w:r>
      <w:r w:rsidR="00BC3106" w:rsidRPr="00BC3106">
        <w:rPr>
          <w:rFonts w:hint="cs"/>
          <w:rtl/>
          <w:lang w:bidi="ar"/>
        </w:rPr>
        <w:t>المتنق</w:t>
      </w:r>
      <w:r w:rsidR="00006DC0">
        <w:rPr>
          <w:rFonts w:hint="cs"/>
          <w:rtl/>
          <w:lang w:bidi="ar"/>
        </w:rPr>
        <w:t>ل</w:t>
      </w:r>
      <w:r>
        <w:rPr>
          <w:rFonts w:hint="cs"/>
          <w:rtl/>
          <w:lang w:bidi="ar"/>
        </w:rPr>
        <w:t>ة</w:t>
      </w:r>
      <w:r w:rsidR="00BC3106" w:rsidRPr="00BC3106">
        <w:rPr>
          <w:rFonts w:hint="cs"/>
          <w:rtl/>
          <w:lang w:bidi="ar"/>
        </w:rPr>
        <w:t xml:space="preserve"> وا</w:t>
      </w:r>
      <w:r w:rsidR="00BC3106">
        <w:rPr>
          <w:rFonts w:hint="cs"/>
          <w:rtl/>
          <w:lang w:bidi="ar"/>
        </w:rPr>
        <w:t>ستخدام</w:t>
      </w:r>
      <w:r w:rsidR="00006DC0">
        <w:rPr>
          <w:rFonts w:hint="cs"/>
          <w:rtl/>
          <w:lang w:bidi="ar"/>
        </w:rPr>
        <w:t>اته</w:t>
      </w:r>
      <w:r>
        <w:rPr>
          <w:rFonts w:hint="cs"/>
          <w:rtl/>
          <w:lang w:bidi="ar"/>
        </w:rPr>
        <w:t>ا</w:t>
      </w:r>
      <w:r w:rsidR="00BC3106" w:rsidRPr="00BC3106">
        <w:rPr>
          <w:rFonts w:hint="cs"/>
          <w:rtl/>
          <w:lang w:bidi="ar"/>
        </w:rPr>
        <w:t xml:space="preserve">. </w:t>
      </w:r>
      <w:r w:rsidR="00E51E77">
        <w:rPr>
          <w:rFonts w:hint="cs"/>
          <w:rtl/>
          <w:lang w:bidi="ar"/>
        </w:rPr>
        <w:t>و</w:t>
      </w:r>
      <w:r w:rsidR="00BC3106" w:rsidRPr="00BC3106">
        <w:rPr>
          <w:rFonts w:hint="cs"/>
          <w:rtl/>
          <w:lang w:bidi="ar"/>
        </w:rPr>
        <w:t xml:space="preserve">على سبيل المثال، انخفض عدد المشتركين في </w:t>
      </w:r>
      <w:r>
        <w:rPr>
          <w:rFonts w:hint="cs"/>
          <w:rtl/>
          <w:lang w:bidi="ar"/>
        </w:rPr>
        <w:t>ال</w:t>
      </w:r>
      <w:r w:rsidR="00BC3106" w:rsidRPr="00BC3106">
        <w:rPr>
          <w:rFonts w:hint="cs"/>
          <w:rtl/>
          <w:lang w:bidi="ar"/>
        </w:rPr>
        <w:t>خدمة الهاتف</w:t>
      </w:r>
      <w:r>
        <w:rPr>
          <w:rFonts w:hint="cs"/>
          <w:rtl/>
          <w:lang w:bidi="ar"/>
        </w:rPr>
        <w:t>ية الثابتة</w:t>
      </w:r>
      <w:r w:rsidR="00225BDE">
        <w:rPr>
          <w:rFonts w:hint="cs"/>
          <w:rtl/>
        </w:rPr>
        <w:t xml:space="preserve"> </w:t>
      </w:r>
      <w:r w:rsidR="00225BDE" w:rsidRPr="00BC3106">
        <w:rPr>
          <w:rFonts w:hint="cs"/>
          <w:rtl/>
          <w:lang w:bidi="ar"/>
        </w:rPr>
        <w:t>والحركة الصوتية الدولية</w:t>
      </w:r>
      <w:r w:rsidR="00E51E77" w:rsidRPr="00BC3106">
        <w:rPr>
          <w:rFonts w:hint="cs"/>
          <w:rtl/>
          <w:lang w:bidi="ar"/>
        </w:rPr>
        <w:t xml:space="preserve"> </w:t>
      </w:r>
      <w:r w:rsidR="00BC3106" w:rsidRPr="00BC3106">
        <w:rPr>
          <w:rFonts w:hint="cs"/>
          <w:rtl/>
          <w:lang w:bidi="ar"/>
        </w:rPr>
        <w:t>بين عام</w:t>
      </w:r>
      <w:r w:rsidR="007A1D4D">
        <w:rPr>
          <w:rFonts w:hint="cs"/>
          <w:rtl/>
          <w:lang w:bidi="ar"/>
        </w:rPr>
        <w:t>َ</w:t>
      </w:r>
      <w:r w:rsidR="00BC3106" w:rsidRPr="00BC3106">
        <w:rPr>
          <w:rFonts w:hint="cs"/>
          <w:rtl/>
          <w:lang w:bidi="ar"/>
        </w:rPr>
        <w:t>ي</w:t>
      </w:r>
      <w:r w:rsidR="000076EA">
        <w:rPr>
          <w:rFonts w:hint="eastAsia"/>
          <w:rtl/>
          <w:lang w:bidi="ar"/>
        </w:rPr>
        <w:t> 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2010</w:t>
      </w:r>
      <w:r w:rsidR="00BC3106" w:rsidRPr="00BC3106">
        <w:rPr>
          <w:rFonts w:hint="cs"/>
          <w:rtl/>
          <w:lang w:bidi="ar"/>
        </w:rPr>
        <w:t xml:space="preserve"> و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2016</w:t>
      </w:r>
      <w:r w:rsidR="00BC3106" w:rsidRPr="00BC3106">
        <w:rPr>
          <w:rFonts w:hint="cs"/>
          <w:rtl/>
          <w:lang w:bidi="ar"/>
        </w:rPr>
        <w:t xml:space="preserve"> بنسبة 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4</w:t>
      </w:r>
      <w:r>
        <w:rPr>
          <w:rFonts w:asciiTheme="minorHAnsi" w:eastAsiaTheme="minorEastAsia" w:hAnsiTheme="minorHAnsi" w:cstheme="minorHAnsi"/>
          <w:sz w:val="16"/>
          <w:szCs w:val="22"/>
          <w:lang w:eastAsia="zh-CN"/>
        </w:rPr>
        <w:t>,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4</w:t>
      </w:r>
      <w:r w:rsidR="00BC3106" w:rsidRPr="00BC3106">
        <w:rPr>
          <w:rFonts w:hint="cs"/>
          <w:rtl/>
          <w:lang w:bidi="ar"/>
        </w:rPr>
        <w:t xml:space="preserve"> و</w:t>
      </w:r>
      <w:r>
        <w:rPr>
          <w:rFonts w:asciiTheme="minorHAnsi" w:eastAsiaTheme="minorEastAsia" w:hAnsiTheme="minorHAnsi" w:cstheme="minorHAnsi"/>
          <w:szCs w:val="22"/>
          <w:lang w:eastAsia="zh-CN"/>
        </w:rPr>
        <w:t>3</w:t>
      </w:r>
      <w:r w:rsidRPr="00CA69EE">
        <w:rPr>
          <w:rFonts w:asciiTheme="minorHAnsi" w:eastAsiaTheme="minorEastAsia" w:hAnsiTheme="minorHAnsi" w:cstheme="minorHAnsi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Cs w:val="22"/>
          <w:lang w:eastAsia="zh-CN"/>
        </w:rPr>
        <w:t>6</w:t>
      </w:r>
      <w:r w:rsidR="00BC3106" w:rsidRPr="00BC3106">
        <w:rPr>
          <w:rFonts w:hint="cs"/>
          <w:rtl/>
          <w:lang w:bidi="ar"/>
        </w:rPr>
        <w:t xml:space="preserve"> بالمائة على التوالي.</w:t>
      </w:r>
      <w:r w:rsidR="007226B1" w:rsidRPr="007226B1">
        <w:rPr>
          <w:sz w:val="18"/>
          <w:szCs w:val="18"/>
          <w:vertAlign w:val="superscript"/>
        </w:rPr>
        <w:t xml:space="preserve"> </w:t>
      </w:r>
      <w:r w:rsidR="00E51E77">
        <w:rPr>
          <w:rFonts w:hint="cs"/>
          <w:rtl/>
          <w:lang w:bidi="ar"/>
        </w:rPr>
        <w:t>و</w:t>
      </w:r>
      <w:r w:rsidR="00BC3106" w:rsidRPr="00BC3106">
        <w:rPr>
          <w:rFonts w:hint="cs"/>
          <w:rtl/>
          <w:lang w:bidi="ar"/>
        </w:rPr>
        <w:t xml:space="preserve">في الوقت نفسه، </w:t>
      </w:r>
      <w:r w:rsidR="00E51E77">
        <w:rPr>
          <w:rFonts w:hint="cs"/>
          <w:rtl/>
          <w:lang w:bidi="ar"/>
        </w:rPr>
        <w:t>ارتفع عدد</w:t>
      </w:r>
      <w:r w:rsidR="00BC3106" w:rsidRPr="00BC3106">
        <w:rPr>
          <w:rFonts w:hint="cs"/>
          <w:rtl/>
          <w:lang w:bidi="ar"/>
        </w:rPr>
        <w:t xml:space="preserve"> </w:t>
      </w:r>
      <w:r w:rsidR="00E51E77">
        <w:rPr>
          <w:rFonts w:hint="cs"/>
          <w:rtl/>
          <w:lang w:bidi="ar"/>
        </w:rPr>
        <w:t xml:space="preserve">الاشتراكات في </w:t>
      </w:r>
      <w:r>
        <w:rPr>
          <w:rFonts w:hint="cs"/>
          <w:rtl/>
          <w:lang w:bidi="ar-EG"/>
        </w:rPr>
        <w:t>ال</w:t>
      </w:r>
      <w:r w:rsidR="00E51E77">
        <w:rPr>
          <w:rFonts w:hint="cs"/>
          <w:rtl/>
          <w:lang w:bidi="ar"/>
        </w:rPr>
        <w:t xml:space="preserve">خدمة </w:t>
      </w:r>
      <w:r w:rsidR="00BC3106" w:rsidRPr="00BC3106">
        <w:rPr>
          <w:rFonts w:hint="cs"/>
          <w:rtl/>
          <w:lang w:bidi="ar"/>
        </w:rPr>
        <w:t>الهاتف</w:t>
      </w:r>
      <w:r>
        <w:rPr>
          <w:rFonts w:hint="cs"/>
          <w:rtl/>
          <w:lang w:bidi="ar"/>
        </w:rPr>
        <w:t>ية المتنقلة</w:t>
      </w:r>
      <w:r w:rsidR="00BC3106" w:rsidRPr="00BC3106">
        <w:rPr>
          <w:rFonts w:hint="cs"/>
          <w:rtl/>
          <w:lang w:bidi="ar"/>
        </w:rPr>
        <w:t xml:space="preserve"> وحركة </w:t>
      </w:r>
      <w:r w:rsidR="00225BDE">
        <w:rPr>
          <w:rFonts w:hint="cs"/>
          <w:rtl/>
          <w:lang w:bidi="ar"/>
        </w:rPr>
        <w:t>المهاتفة</w:t>
      </w:r>
      <w:r w:rsidR="000076EA">
        <w:rPr>
          <w:rFonts w:hint="eastAsia"/>
          <w:rtl/>
          <w:lang w:bidi="ar"/>
        </w:rPr>
        <w:t> </w:t>
      </w:r>
      <w:r w:rsidR="00225BDE">
        <w:rPr>
          <w:rFonts w:hint="cs"/>
          <w:rtl/>
          <w:lang w:bidi="ar"/>
        </w:rPr>
        <w:t>المتنقلة الوطنية</w:t>
      </w:r>
      <w:r w:rsidR="00BC3106" w:rsidRPr="00BC3106">
        <w:rPr>
          <w:rFonts w:hint="cs"/>
          <w:rtl/>
          <w:lang w:bidi="ar"/>
        </w:rPr>
        <w:t xml:space="preserve"> بنسبة </w:t>
      </w:r>
      <w:r w:rsidRPr="00CA69EE">
        <w:rPr>
          <w:rFonts w:asciiTheme="minorHAnsi" w:eastAsiaTheme="minorEastAsia" w:hAnsiTheme="minorHAnsi" w:cstheme="minorHAnsi"/>
          <w:szCs w:val="22"/>
          <w:lang w:eastAsia="zh-CN"/>
        </w:rPr>
        <w:t>4,8</w:t>
      </w:r>
      <w:r w:rsidR="00BC3106" w:rsidRPr="00BC3106">
        <w:rPr>
          <w:rFonts w:hint="cs"/>
          <w:rtl/>
          <w:lang w:bidi="ar"/>
        </w:rPr>
        <w:t xml:space="preserve"> و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3</w:t>
      </w:r>
      <w:r w:rsidR="00BC3106" w:rsidRPr="00BC3106">
        <w:rPr>
          <w:rFonts w:hint="cs"/>
          <w:rtl/>
          <w:lang w:bidi="ar"/>
        </w:rPr>
        <w:t xml:space="preserve"> بالمائة على التوالي</w:t>
      </w:r>
      <w:r w:rsidR="00225BDE">
        <w:rPr>
          <w:rFonts w:hint="cs"/>
          <w:rtl/>
          <w:lang w:bidi="ar"/>
        </w:rPr>
        <w:t>.</w:t>
      </w:r>
      <w:r w:rsidR="007226B1" w:rsidRPr="000076EA">
        <w:rPr>
          <w:rStyle w:val="FootnoteReference"/>
          <w:szCs w:val="24"/>
        </w:rPr>
        <w:footnoteReference w:id="2"/>
      </w:r>
      <w:r w:rsidR="00BC3106" w:rsidRPr="00BC3106">
        <w:rPr>
          <w:rFonts w:hint="cs"/>
          <w:rtl/>
          <w:lang w:bidi="ar"/>
        </w:rPr>
        <w:t xml:space="preserve"> </w:t>
      </w:r>
      <w:r w:rsidR="007226B1">
        <w:rPr>
          <w:rFonts w:hint="cs"/>
          <w:rtl/>
          <w:lang w:bidi="ar"/>
        </w:rPr>
        <w:t xml:space="preserve">وبلغ عدد الاشتراكات في </w:t>
      </w:r>
      <w:r>
        <w:rPr>
          <w:rFonts w:hint="cs"/>
          <w:rtl/>
          <w:lang w:bidi="ar-EG"/>
        </w:rPr>
        <w:t>ال</w:t>
      </w:r>
      <w:r w:rsidR="007226B1">
        <w:rPr>
          <w:rFonts w:hint="cs"/>
          <w:rtl/>
          <w:lang w:bidi="ar"/>
        </w:rPr>
        <w:t>خدمة الهاتف</w:t>
      </w:r>
      <w:r>
        <w:rPr>
          <w:rFonts w:hint="cs"/>
          <w:rtl/>
          <w:lang w:bidi="ar"/>
        </w:rPr>
        <w:t>ية</w:t>
      </w:r>
      <w:r w:rsidR="007226B1">
        <w:rPr>
          <w:rFonts w:hint="cs"/>
          <w:rtl/>
          <w:lang w:bidi="ar"/>
        </w:rPr>
        <w:t xml:space="preserve"> المتنقل</w:t>
      </w:r>
      <w:r>
        <w:rPr>
          <w:rFonts w:hint="cs"/>
          <w:rtl/>
          <w:lang w:bidi="ar"/>
        </w:rPr>
        <w:t>ة</w:t>
      </w:r>
      <w:r w:rsidR="007226B1" w:rsidRPr="00BC3106">
        <w:rPr>
          <w:rFonts w:hint="cs"/>
          <w:rtl/>
          <w:lang w:bidi="ar"/>
        </w:rPr>
        <w:t xml:space="preserve"> </w:t>
      </w:r>
      <w:r>
        <w:rPr>
          <w:rFonts w:asciiTheme="minorHAnsi" w:eastAsiaTheme="minorEastAsia" w:hAnsiTheme="minorHAnsi" w:cstheme="minorHAnsi"/>
          <w:szCs w:val="22"/>
          <w:lang w:eastAsia="zh-CN"/>
        </w:rPr>
        <w:t>7</w:t>
      </w:r>
      <w:r w:rsidRPr="00CA69EE">
        <w:rPr>
          <w:rFonts w:asciiTheme="minorHAnsi" w:eastAsiaTheme="minorEastAsia" w:hAnsiTheme="minorHAnsi" w:cstheme="minorHAnsi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Cs w:val="22"/>
          <w:lang w:eastAsia="zh-CN"/>
        </w:rPr>
        <w:t>4</w:t>
      </w:r>
      <w:r w:rsidR="007226B1" w:rsidRPr="00BC3106">
        <w:rPr>
          <w:rFonts w:hint="cs"/>
          <w:rtl/>
          <w:lang w:bidi="ar"/>
        </w:rPr>
        <w:t xml:space="preserve"> مليار اشتراك في جميع أنحاء العالم </w:t>
      </w:r>
      <w:r w:rsidR="007226B1">
        <w:rPr>
          <w:rFonts w:hint="cs"/>
          <w:rtl/>
          <w:lang w:bidi="ar"/>
        </w:rPr>
        <w:t>ليتجاوز بذلك</w:t>
      </w:r>
      <w:r w:rsidR="00BC3106" w:rsidRPr="00BC3106">
        <w:rPr>
          <w:rFonts w:hint="cs"/>
          <w:rtl/>
          <w:lang w:bidi="ar"/>
        </w:rPr>
        <w:t xml:space="preserve"> عدد سكان العالم </w:t>
      </w:r>
      <w:r w:rsidR="007226B1">
        <w:rPr>
          <w:rFonts w:hint="cs"/>
          <w:rtl/>
          <w:lang w:bidi="ar"/>
        </w:rPr>
        <w:t xml:space="preserve">وعدد الاشتراكات في </w:t>
      </w:r>
      <w:r w:rsidR="00383319">
        <w:rPr>
          <w:rFonts w:hint="cs"/>
          <w:rtl/>
          <w:lang w:bidi="ar"/>
        </w:rPr>
        <w:t>ال</w:t>
      </w:r>
      <w:r w:rsidR="007226B1" w:rsidRPr="00BC3106">
        <w:rPr>
          <w:rtl/>
        </w:rPr>
        <w:t xml:space="preserve">خدمة </w:t>
      </w:r>
      <w:r w:rsidR="007226B1">
        <w:rPr>
          <w:rFonts w:hint="cs"/>
          <w:rtl/>
        </w:rPr>
        <w:t>ال</w:t>
      </w:r>
      <w:r w:rsidR="007226B1" w:rsidRPr="00BC3106">
        <w:rPr>
          <w:rtl/>
        </w:rPr>
        <w:t>هاتف</w:t>
      </w:r>
      <w:r w:rsidR="00383319">
        <w:rPr>
          <w:rFonts w:hint="cs"/>
          <w:rtl/>
        </w:rPr>
        <w:t>ية</w:t>
      </w:r>
      <w:r w:rsidR="007226B1" w:rsidRPr="00BC3106">
        <w:rPr>
          <w:rtl/>
        </w:rPr>
        <w:t xml:space="preserve"> </w:t>
      </w:r>
      <w:r w:rsidR="00383319">
        <w:rPr>
          <w:rFonts w:hint="cs"/>
          <w:rtl/>
        </w:rPr>
        <w:t>ال</w:t>
      </w:r>
      <w:r w:rsidR="007226B1" w:rsidRPr="00BC3106">
        <w:rPr>
          <w:rtl/>
        </w:rPr>
        <w:t>ثابت</w:t>
      </w:r>
      <w:r w:rsidR="00383319">
        <w:rPr>
          <w:rFonts w:hint="cs"/>
          <w:rtl/>
        </w:rPr>
        <w:t>ة</w:t>
      </w:r>
      <w:r w:rsidR="00BC3106" w:rsidRPr="00BC3106">
        <w:rPr>
          <w:rFonts w:hint="cs"/>
          <w:rtl/>
          <w:lang w:bidi="ar"/>
        </w:rPr>
        <w:t xml:space="preserve">. </w:t>
      </w:r>
      <w:r w:rsidR="007226B1">
        <w:rPr>
          <w:rFonts w:hint="cs"/>
          <w:rtl/>
          <w:lang w:bidi="ar"/>
        </w:rPr>
        <w:t>و</w:t>
      </w:r>
      <w:r w:rsidR="00BC3106" w:rsidRPr="00BC3106">
        <w:rPr>
          <w:rFonts w:hint="cs"/>
          <w:rtl/>
          <w:lang w:bidi="ar"/>
        </w:rPr>
        <w:t xml:space="preserve">شجع النمو القوي </w:t>
      </w:r>
      <w:r w:rsidR="00006DC0">
        <w:rPr>
          <w:rFonts w:hint="cs"/>
          <w:rtl/>
          <w:lang w:bidi="ar"/>
        </w:rPr>
        <w:t>لل</w:t>
      </w:r>
      <w:r w:rsidR="00BC3106" w:rsidRPr="00BC3106">
        <w:rPr>
          <w:rFonts w:hint="cs"/>
          <w:rtl/>
          <w:lang w:bidi="ar"/>
        </w:rPr>
        <w:t>اتصالات المتنقلة، إلى</w:t>
      </w:r>
      <w:r w:rsidR="000076EA">
        <w:rPr>
          <w:rFonts w:hint="eastAsia"/>
          <w:rtl/>
          <w:lang w:bidi="ar"/>
        </w:rPr>
        <w:t> </w:t>
      </w:r>
      <w:r w:rsidR="00BC3106" w:rsidRPr="00BC3106">
        <w:rPr>
          <w:rFonts w:hint="cs"/>
          <w:rtl/>
          <w:lang w:bidi="ar"/>
        </w:rPr>
        <w:t xml:space="preserve">جانب </w:t>
      </w:r>
      <w:r w:rsidR="00C3022E">
        <w:rPr>
          <w:rFonts w:hint="cs"/>
          <w:rtl/>
          <w:lang w:bidi="ar"/>
        </w:rPr>
        <w:t xml:space="preserve">وجود </w:t>
      </w:r>
      <w:r w:rsidR="00BC3106" w:rsidRPr="00BC3106">
        <w:rPr>
          <w:rFonts w:hint="cs"/>
          <w:rtl/>
          <w:lang w:bidi="ar"/>
        </w:rPr>
        <w:t xml:space="preserve">بيئة </w:t>
      </w:r>
      <w:r w:rsidR="007226B1">
        <w:rPr>
          <w:rFonts w:hint="cs"/>
          <w:rtl/>
          <w:lang w:bidi="ar"/>
        </w:rPr>
        <w:t>سوقية</w:t>
      </w:r>
      <w:r w:rsidR="00BC3106" w:rsidRPr="00BC3106">
        <w:rPr>
          <w:rFonts w:hint="cs"/>
          <w:rtl/>
          <w:lang w:bidi="ar"/>
        </w:rPr>
        <w:t xml:space="preserve"> تنافسية، على </w:t>
      </w:r>
      <w:r w:rsidR="00C3022E">
        <w:rPr>
          <w:rFonts w:hint="cs"/>
          <w:rtl/>
          <w:lang w:bidi="ar"/>
        </w:rPr>
        <w:t xml:space="preserve">ظهور </w:t>
      </w:r>
      <w:r w:rsidR="00BC3106" w:rsidRPr="00BC3106">
        <w:rPr>
          <w:rFonts w:hint="cs"/>
          <w:rtl/>
          <w:lang w:bidi="ar"/>
        </w:rPr>
        <w:t xml:space="preserve">استخدامات وتطبيقات وابتكارات جديدة </w:t>
      </w:r>
      <w:r w:rsidR="00C3022E">
        <w:rPr>
          <w:rFonts w:hint="cs"/>
          <w:rtl/>
          <w:lang w:bidi="ar"/>
        </w:rPr>
        <w:t xml:space="preserve">ما </w:t>
      </w:r>
      <w:r w:rsidR="00006DC0">
        <w:rPr>
          <w:rFonts w:hint="cs"/>
          <w:rtl/>
          <w:lang w:bidi="ar"/>
        </w:rPr>
        <w:t>أدى إلى تيسير</w:t>
      </w:r>
      <w:r w:rsidR="00BC3106" w:rsidRPr="00BC3106">
        <w:rPr>
          <w:rFonts w:hint="cs"/>
          <w:rtl/>
          <w:lang w:bidi="ar"/>
        </w:rPr>
        <w:t xml:space="preserve"> </w:t>
      </w:r>
      <w:r w:rsidR="00C3022E">
        <w:rPr>
          <w:rFonts w:hint="cs"/>
          <w:rtl/>
          <w:lang w:bidi="ar"/>
        </w:rPr>
        <w:t>عمليات نشأة</w:t>
      </w:r>
      <w:r>
        <w:rPr>
          <w:rFonts w:hint="cs"/>
          <w:rtl/>
          <w:lang w:bidi="ar"/>
        </w:rPr>
        <w:t xml:space="preserve"> اقتصاد التطبيقات والاقتصاد</w:t>
      </w:r>
      <w:r w:rsidR="00BC3106" w:rsidRPr="00BC3106">
        <w:rPr>
          <w:rFonts w:hint="cs"/>
          <w:rtl/>
          <w:lang w:bidi="ar"/>
        </w:rPr>
        <w:t xml:space="preserve"> الرقمي. </w:t>
      </w:r>
      <w:r w:rsidR="007226B1">
        <w:rPr>
          <w:rFonts w:hint="cs"/>
          <w:rtl/>
          <w:lang w:bidi="ar"/>
        </w:rPr>
        <w:t>و</w:t>
      </w:r>
      <w:r w:rsidR="00BC3106" w:rsidRPr="00BC3106">
        <w:rPr>
          <w:rFonts w:hint="cs"/>
          <w:rtl/>
          <w:lang w:bidi="ar"/>
        </w:rPr>
        <w:t>وفقا</w:t>
      </w:r>
      <w:r w:rsidR="00383319">
        <w:rPr>
          <w:rFonts w:hint="cs"/>
          <w:rtl/>
          <w:lang w:bidi="ar"/>
        </w:rPr>
        <w:t>ً</w:t>
      </w:r>
      <w:r w:rsidR="00BC3106" w:rsidRPr="00BC3106">
        <w:rPr>
          <w:rFonts w:hint="cs"/>
          <w:rtl/>
          <w:lang w:bidi="ar"/>
        </w:rPr>
        <w:t xml:space="preserve"> لتقرير حديث، من المتوقع أن تضيف </w:t>
      </w:r>
      <w:r w:rsidR="000076EA">
        <w:rPr>
          <w:rFonts w:hint="cs"/>
          <w:rtl/>
          <w:lang w:bidi="ar"/>
        </w:rPr>
        <w:t>تكنولوجيا</w:t>
      </w:r>
      <w:r w:rsidR="00BC3106" w:rsidRPr="00BC3106">
        <w:rPr>
          <w:rFonts w:hint="cs"/>
          <w:rtl/>
          <w:lang w:bidi="ar"/>
        </w:rPr>
        <w:t xml:space="preserve"> الجيل الخامس </w:t>
      </w:r>
      <w:r w:rsidR="007226B1">
        <w:rPr>
          <w:rFonts w:hint="cs"/>
          <w:rtl/>
          <w:lang w:bidi="ar"/>
        </w:rPr>
        <w:t>المتنقلة</w:t>
      </w:r>
      <w:r w:rsidR="00BC3106" w:rsidRPr="00BC3106">
        <w:rPr>
          <w:rFonts w:hint="cs"/>
          <w:rtl/>
          <w:lang w:bidi="ar"/>
        </w:rPr>
        <w:t xml:space="preserve"> 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2</w:t>
      </w:r>
      <w:r w:rsidR="000076EA">
        <w:rPr>
          <w:rFonts w:asciiTheme="minorHAnsi" w:eastAsiaTheme="minorEastAsia" w:hAnsiTheme="minorHAnsi" w:cstheme="minorHAnsi"/>
          <w:sz w:val="16"/>
          <w:szCs w:val="22"/>
          <w:lang w:eastAsia="zh-CN"/>
        </w:rPr>
        <w:t>,</w:t>
      </w:r>
      <w:r w:rsidR="00BC3106" w:rsidRPr="00BC3106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2</w:t>
      </w:r>
      <w:r w:rsidR="00BC3106" w:rsidRPr="00BC3106">
        <w:rPr>
          <w:rFonts w:hint="cs"/>
          <w:rtl/>
          <w:lang w:bidi="ar"/>
        </w:rPr>
        <w:t xml:space="preserve"> تريليون دولار إلى الاقتصاد العالمي على مدار الخمسة عشر عام</w:t>
      </w:r>
      <w:r w:rsidR="00383319">
        <w:rPr>
          <w:rFonts w:hint="cs"/>
          <w:rtl/>
          <w:lang w:bidi="ar"/>
        </w:rPr>
        <w:t xml:space="preserve">اً </w:t>
      </w:r>
      <w:r w:rsidR="00BC3106" w:rsidRPr="00BC3106">
        <w:rPr>
          <w:rFonts w:hint="cs"/>
          <w:rtl/>
          <w:lang w:bidi="ar"/>
        </w:rPr>
        <w:t>القادمة.</w:t>
      </w:r>
      <w:r w:rsidR="007226B1">
        <w:rPr>
          <w:rStyle w:val="FootnoteReference"/>
          <w:szCs w:val="24"/>
        </w:rPr>
        <w:footnoteReference w:id="3"/>
      </w:r>
    </w:p>
    <w:p w14:paraId="2981CBFA" w14:textId="78B16DCC" w:rsidR="000D696D" w:rsidRDefault="003B1089" w:rsidP="000076EA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3B1089">
        <w:rPr>
          <w:rFonts w:hint="cs"/>
          <w:rtl/>
          <w:lang w:bidi="ar"/>
        </w:rPr>
        <w:t>وفق</w:t>
      </w:r>
      <w:r w:rsidR="00383319">
        <w:rPr>
          <w:rFonts w:hint="cs"/>
          <w:rtl/>
          <w:lang w:bidi="ar"/>
        </w:rPr>
        <w:t xml:space="preserve">اً </w:t>
      </w:r>
      <w:r w:rsidRPr="003B1089">
        <w:rPr>
          <w:rFonts w:hint="cs"/>
          <w:rtl/>
          <w:lang w:bidi="ar"/>
        </w:rPr>
        <w:t>للاتحاد، فإن التحول المستمر في قطاع الاتصالات/تكنولوجيا المعلومات والاتصالات سيؤدي إلى الاندماج الكامل لقطاع تكنولوجيا المعلومات والاتصالات في الاقتصاد الرقمي، ما يضعف هوية الاتصالات/تكنولوجيا المعلومات والاتصالات كقطاع</w:t>
      </w:r>
      <w:r w:rsidR="000076EA">
        <w:rPr>
          <w:rFonts w:hint="eastAsia"/>
          <w:rtl/>
          <w:lang w:bidi="ar"/>
        </w:rPr>
        <w:t> </w:t>
      </w:r>
      <w:r w:rsidRPr="003B1089">
        <w:rPr>
          <w:rFonts w:hint="cs"/>
          <w:rtl/>
          <w:lang w:bidi="ar"/>
        </w:rPr>
        <w:t>متميز في الاقتصاد.</w:t>
      </w:r>
      <w:r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</w:t>
      </w:r>
      <w:r w:rsidR="000D696D" w:rsidRPr="002320A8">
        <w:rPr>
          <w:rFonts w:hint="cs"/>
          <w:rtl/>
          <w:lang w:bidi="ar"/>
        </w:rPr>
        <w:t>ومن غير الجلي</w:t>
      </w:r>
      <w:r w:rsidR="001930B6">
        <w:rPr>
          <w:rFonts w:hint="cs"/>
          <w:rtl/>
          <w:lang w:bidi="ar"/>
        </w:rPr>
        <w:t>ّ</w:t>
      </w:r>
      <w:r w:rsidR="000D696D" w:rsidRPr="002320A8">
        <w:rPr>
          <w:rFonts w:hint="cs"/>
          <w:rtl/>
          <w:lang w:bidi="ar"/>
        </w:rPr>
        <w:t xml:space="preserve"> الدور، إن وجد، </w:t>
      </w:r>
      <w:r w:rsidR="00AD1597" w:rsidRPr="002320A8">
        <w:rPr>
          <w:rFonts w:hint="cs"/>
          <w:rtl/>
          <w:lang w:bidi="ar"/>
        </w:rPr>
        <w:t xml:space="preserve">الذي </w:t>
      </w:r>
      <w:r w:rsidR="000D696D" w:rsidRPr="002320A8">
        <w:rPr>
          <w:rFonts w:hint="cs"/>
          <w:rtl/>
          <w:lang w:bidi="ar"/>
        </w:rPr>
        <w:t xml:space="preserve">يمكن </w:t>
      </w:r>
      <w:r w:rsidR="000076EA" w:rsidRPr="002320A8">
        <w:rPr>
          <w:rFonts w:hint="cs"/>
          <w:rtl/>
          <w:lang w:bidi="ar"/>
        </w:rPr>
        <w:t xml:space="preserve">وينبغي </w:t>
      </w:r>
      <w:r w:rsidR="000D696D" w:rsidRPr="002320A8">
        <w:rPr>
          <w:rFonts w:hint="cs"/>
          <w:rtl/>
          <w:lang w:bidi="ar"/>
        </w:rPr>
        <w:t>أن يضطلع به</w:t>
      </w:r>
      <w:r w:rsidR="000D696D" w:rsidRPr="008A23B2">
        <w:rPr>
          <w:rFonts w:hint="cs"/>
          <w:rtl/>
          <w:lang w:bidi="ar"/>
        </w:rPr>
        <w:t xml:space="preserve"> </w:t>
      </w:r>
      <w:r w:rsidR="000D696D" w:rsidRPr="000D696D">
        <w:rPr>
          <w:rFonts w:hint="cs"/>
          <w:rtl/>
          <w:lang w:bidi="ar"/>
        </w:rPr>
        <w:t>صك قانوني خاص بقطاع معين، مثل لوائح الاتصالات الدولية</w:t>
      </w:r>
      <w:r w:rsidR="000076EA">
        <w:rPr>
          <w:rFonts w:hint="cs"/>
          <w:rtl/>
          <w:lang w:bidi="ar-EG"/>
        </w:rPr>
        <w:t>،</w:t>
      </w:r>
      <w:r w:rsidR="000D696D" w:rsidRPr="000D696D">
        <w:rPr>
          <w:rFonts w:hint="cs"/>
          <w:rtl/>
          <w:lang w:bidi="ar"/>
        </w:rPr>
        <w:t xml:space="preserve"> لمعالجة المشاكل الحالية والمستقبلية.</w:t>
      </w:r>
    </w:p>
    <w:p w14:paraId="78916149" w14:textId="19431CEE" w:rsidR="003B1089" w:rsidRPr="003B1089" w:rsidRDefault="002320A8" w:rsidP="000076EA">
      <w:pPr>
        <w:rPr>
          <w:rtl/>
          <w:lang w:bidi="ar"/>
        </w:rPr>
      </w:pPr>
      <w:r>
        <w:rPr>
          <w:rFonts w:hint="cs"/>
          <w:rtl/>
          <w:lang w:bidi="ar"/>
        </w:rPr>
        <w:t>"</w:t>
      </w:r>
      <w:r w:rsidR="00DF0E11" w:rsidRPr="00DF0E11">
        <w:rPr>
          <w:rFonts w:eastAsiaTheme="minorEastAsia"/>
          <w:b/>
          <w:bCs/>
          <w:rtl/>
          <w:lang w:eastAsia="zh-CN"/>
        </w:rPr>
        <w:t>مرونة، أو عدم مرونة، أحكام لوائح الاتصالات الدولية</w:t>
      </w:r>
      <w:r w:rsidR="003B1089" w:rsidRPr="002320A8">
        <w:rPr>
          <w:rFonts w:hint="cs"/>
          <w:b/>
          <w:bCs/>
          <w:rtl/>
          <w:lang w:bidi="ar"/>
        </w:rPr>
        <w:t>"</w:t>
      </w:r>
      <w:r w:rsidR="003B1089" w:rsidRPr="003B1089">
        <w:rPr>
          <w:rFonts w:hint="cs"/>
          <w:rtl/>
          <w:lang w:bidi="ar"/>
        </w:rPr>
        <w:t>: يسلط هذا</w:t>
      </w:r>
      <w:r w:rsidR="00DF0E11">
        <w:rPr>
          <w:rFonts w:hint="cs"/>
          <w:rtl/>
          <w:lang w:bidi="ar"/>
        </w:rPr>
        <w:t xml:space="preserve"> </w:t>
      </w:r>
      <w:r w:rsidR="000D696D">
        <w:rPr>
          <w:rFonts w:hint="cs"/>
          <w:rtl/>
          <w:lang w:bidi="ar"/>
        </w:rPr>
        <w:t>التساؤل</w:t>
      </w:r>
      <w:r w:rsidR="003B1089" w:rsidRPr="003B1089">
        <w:rPr>
          <w:rFonts w:hint="cs"/>
          <w:rtl/>
          <w:lang w:bidi="ar"/>
        </w:rPr>
        <w:t xml:space="preserve"> الضوء على واحدة من المشاكل الأساسية </w:t>
      </w:r>
      <w:r w:rsidR="00DF0E11">
        <w:rPr>
          <w:rFonts w:hint="cs"/>
          <w:rtl/>
          <w:lang w:bidi="ar"/>
        </w:rPr>
        <w:t>عند</w:t>
      </w:r>
      <w:r w:rsidR="003B1089" w:rsidRPr="003B1089">
        <w:rPr>
          <w:rFonts w:hint="cs"/>
          <w:rtl/>
          <w:lang w:bidi="ar"/>
        </w:rPr>
        <w:t xml:space="preserve"> استخدام صك </w:t>
      </w:r>
      <w:r w:rsidR="00DF0E11">
        <w:rPr>
          <w:rFonts w:hint="cs"/>
          <w:rtl/>
          <w:lang w:bidi="ar"/>
        </w:rPr>
        <w:t>م</w:t>
      </w:r>
      <w:r w:rsidR="003B1089" w:rsidRPr="003B1089">
        <w:rPr>
          <w:rFonts w:hint="cs"/>
          <w:rtl/>
          <w:lang w:bidi="ar"/>
        </w:rPr>
        <w:t xml:space="preserve">عاهدة في محاولة لتنظيم سوق تنافسية </w:t>
      </w:r>
      <w:r w:rsidR="000076EA">
        <w:rPr>
          <w:rFonts w:hint="cs"/>
          <w:rtl/>
          <w:lang w:bidi="ar"/>
        </w:rPr>
        <w:t>ودينامية</w:t>
      </w:r>
      <w:r w:rsidR="003B1089" w:rsidRPr="003B1089">
        <w:rPr>
          <w:rFonts w:hint="cs"/>
          <w:rtl/>
          <w:lang w:bidi="ar"/>
        </w:rPr>
        <w:t xml:space="preserve">. </w:t>
      </w:r>
      <w:r w:rsidR="00DF0E11">
        <w:rPr>
          <w:rFonts w:hint="cs"/>
          <w:rtl/>
          <w:lang w:bidi="ar"/>
        </w:rPr>
        <w:t>و</w:t>
      </w:r>
      <w:r w:rsidR="003B1089" w:rsidRPr="003B1089">
        <w:rPr>
          <w:rFonts w:hint="cs"/>
          <w:rtl/>
          <w:lang w:bidi="ar"/>
        </w:rPr>
        <w:t>يجب أن تكون أحكام المعاهد</w:t>
      </w:r>
      <w:r w:rsidR="00DF0E11">
        <w:rPr>
          <w:rFonts w:hint="cs"/>
          <w:rtl/>
          <w:lang w:bidi="ar"/>
        </w:rPr>
        <w:t>ة</w:t>
      </w:r>
      <w:r w:rsidR="003B1089" w:rsidRPr="003B1089">
        <w:rPr>
          <w:rFonts w:hint="cs"/>
          <w:rtl/>
          <w:lang w:bidi="ar"/>
        </w:rPr>
        <w:t xml:space="preserve"> المتعلقة بالاتصالات مرنة بما</w:t>
      </w:r>
      <w:r w:rsidR="000076EA">
        <w:rPr>
          <w:rFonts w:hint="eastAsia"/>
          <w:rtl/>
          <w:lang w:bidi="ar"/>
        </w:rPr>
        <w:t> </w:t>
      </w:r>
      <w:r w:rsidR="003B1089" w:rsidRPr="003B1089">
        <w:rPr>
          <w:rFonts w:hint="cs"/>
          <w:rtl/>
          <w:lang w:bidi="ar"/>
        </w:rPr>
        <w:t>يكفي لت</w:t>
      </w:r>
      <w:r w:rsidR="00DF0E11">
        <w:rPr>
          <w:rFonts w:hint="cs"/>
          <w:rtl/>
          <w:lang w:bidi="ar"/>
        </w:rPr>
        <w:t>واكب</w:t>
      </w:r>
      <w:r w:rsidR="003B1089" w:rsidRPr="003B1089">
        <w:rPr>
          <w:rFonts w:hint="cs"/>
          <w:rtl/>
          <w:lang w:bidi="ar"/>
        </w:rPr>
        <w:t xml:space="preserve"> التغييرات المستمرة في السوق. </w:t>
      </w:r>
      <w:r w:rsidR="00DF0E11">
        <w:rPr>
          <w:rFonts w:hint="cs"/>
          <w:rtl/>
          <w:lang w:bidi="ar"/>
        </w:rPr>
        <w:t>و</w:t>
      </w:r>
      <w:r w:rsidR="003B1089" w:rsidRPr="003B1089">
        <w:rPr>
          <w:rFonts w:hint="cs"/>
          <w:rtl/>
          <w:lang w:bidi="ar"/>
        </w:rPr>
        <w:t>ستواجه أحكام المعاهد</w:t>
      </w:r>
      <w:r w:rsidR="00DF0E11">
        <w:rPr>
          <w:rFonts w:hint="cs"/>
          <w:rtl/>
          <w:lang w:bidi="ar"/>
        </w:rPr>
        <w:t>ة</w:t>
      </w:r>
      <w:r w:rsidR="003B1089" w:rsidRPr="003B1089">
        <w:rPr>
          <w:rFonts w:hint="cs"/>
          <w:rtl/>
          <w:lang w:bidi="ar"/>
        </w:rPr>
        <w:t xml:space="preserve"> المصممة لمعالجة جوانب محددة من السوق تقادم</w:t>
      </w:r>
      <w:r w:rsidR="00383319">
        <w:rPr>
          <w:rFonts w:hint="cs"/>
          <w:rtl/>
          <w:lang w:bidi="ar"/>
        </w:rPr>
        <w:t xml:space="preserve">اً </w:t>
      </w:r>
      <w:r w:rsidR="003B1089" w:rsidRPr="003B1089">
        <w:rPr>
          <w:rFonts w:hint="cs"/>
          <w:rtl/>
          <w:lang w:bidi="ar"/>
        </w:rPr>
        <w:t>مستمرا</w:t>
      </w:r>
      <w:r>
        <w:rPr>
          <w:rFonts w:hint="cs"/>
          <w:rtl/>
          <w:lang w:bidi="ar"/>
        </w:rPr>
        <w:t>ً</w:t>
      </w:r>
      <w:r w:rsidR="003B1089" w:rsidRPr="003B1089">
        <w:rPr>
          <w:rFonts w:hint="cs"/>
          <w:rtl/>
          <w:lang w:bidi="ar"/>
        </w:rPr>
        <w:t>.</w:t>
      </w:r>
    </w:p>
    <w:p w14:paraId="7C4E12D2" w14:textId="3EB9A7AF" w:rsidR="003B1089" w:rsidRDefault="00DF0E11" w:rsidP="000076EA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3B1089" w:rsidRPr="003B1089">
        <w:rPr>
          <w:rFonts w:hint="cs"/>
          <w:rtl/>
          <w:lang w:bidi="ar"/>
        </w:rPr>
        <w:t xml:space="preserve">يمكن ملاحظة هذا التوتر </w:t>
      </w:r>
      <w:r>
        <w:rPr>
          <w:rFonts w:hint="cs"/>
          <w:rtl/>
          <w:lang w:bidi="ar"/>
        </w:rPr>
        <w:t>الجذري</w:t>
      </w:r>
      <w:r w:rsidR="003B1089" w:rsidRPr="003B1089">
        <w:rPr>
          <w:rFonts w:hint="cs"/>
          <w:rtl/>
          <w:lang w:bidi="ar"/>
        </w:rPr>
        <w:t xml:space="preserve"> في العديد من أحكام لوائح الاتصالات الدولية لعام </w:t>
      </w:r>
      <w:r w:rsidR="003B1089" w:rsidRPr="003B1089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2012</w:t>
      </w:r>
      <w:r w:rsidR="003B1089" w:rsidRPr="003B1089">
        <w:rPr>
          <w:rFonts w:hint="cs"/>
          <w:rtl/>
          <w:lang w:bidi="ar"/>
        </w:rPr>
        <w:t xml:space="preserve">. </w:t>
      </w:r>
      <w:r>
        <w:rPr>
          <w:rFonts w:hint="cs"/>
          <w:rtl/>
          <w:lang w:bidi="ar"/>
        </w:rPr>
        <w:t>و</w:t>
      </w:r>
      <w:r w:rsidR="003B1089" w:rsidRPr="003B1089">
        <w:rPr>
          <w:rFonts w:hint="cs"/>
          <w:rtl/>
          <w:lang w:bidi="ar"/>
        </w:rPr>
        <w:t>على سبيل المثال، تتضمن المادة</w:t>
      </w:r>
      <w:r w:rsidR="000076EA">
        <w:rPr>
          <w:rFonts w:hint="eastAsia"/>
          <w:rtl/>
          <w:lang w:bidi="ar"/>
        </w:rPr>
        <w:t> </w:t>
      </w:r>
      <w:r w:rsidR="003B1089" w:rsidRPr="003B1089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8</w:t>
      </w:r>
      <w:r w:rsidR="003B1089" w:rsidRPr="003B108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</w:t>
      </w:r>
      <w:r w:rsidR="003B1089" w:rsidRPr="003B1089">
        <w:rPr>
          <w:rFonts w:hint="cs"/>
          <w:rtl/>
          <w:lang w:bidi="ar"/>
        </w:rPr>
        <w:t xml:space="preserve">التذييل </w:t>
      </w:r>
      <w:r w:rsidR="003B1089" w:rsidRPr="003B1089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1</w:t>
      </w:r>
      <w:r w:rsidR="003B1089" w:rsidRPr="003B1089">
        <w:rPr>
          <w:rFonts w:hint="cs"/>
          <w:rtl/>
          <w:lang w:bidi="ar"/>
        </w:rPr>
        <w:t xml:space="preserve"> </w:t>
      </w:r>
      <w:r w:rsidR="00E23D9E">
        <w:rPr>
          <w:rFonts w:hint="cs"/>
          <w:rtl/>
          <w:lang w:bidi="ar"/>
        </w:rPr>
        <w:t>المعنيان</w:t>
      </w:r>
      <w:r w:rsidR="003B1089" w:rsidRPr="003B1089">
        <w:rPr>
          <w:rFonts w:hint="cs"/>
          <w:rtl/>
          <w:lang w:bidi="ar"/>
        </w:rPr>
        <w:t xml:space="preserve"> </w:t>
      </w:r>
      <w:r w:rsidR="000D696D">
        <w:rPr>
          <w:rFonts w:hint="cs"/>
          <w:rtl/>
          <w:lang w:bidi="ar"/>
        </w:rPr>
        <w:t>ب</w:t>
      </w:r>
      <w:r w:rsidR="00E23D9E" w:rsidRPr="00E23D9E">
        <w:rPr>
          <w:rtl/>
        </w:rPr>
        <w:t>الترسيم والمحاسبة</w:t>
      </w:r>
      <w:r w:rsidR="00E23D9E" w:rsidRPr="00E23D9E">
        <w:rPr>
          <w:rFonts w:hint="cs"/>
          <w:rtl/>
          <w:lang w:bidi="ar"/>
        </w:rPr>
        <w:t xml:space="preserve"> </w:t>
      </w:r>
      <w:r w:rsidR="003B1089" w:rsidRPr="003B1089">
        <w:rPr>
          <w:rFonts w:hint="cs"/>
          <w:rtl/>
          <w:lang w:bidi="ar"/>
        </w:rPr>
        <w:t xml:space="preserve">العديد من الأحكام التفصيلية التي تحكم تحديد </w:t>
      </w:r>
      <w:r w:rsidR="00667C88">
        <w:rPr>
          <w:rFonts w:hint="cs"/>
          <w:rtl/>
          <w:lang w:bidi="ar"/>
        </w:rPr>
        <w:t>رسوم</w:t>
      </w:r>
      <w:r w:rsidR="003B1089" w:rsidRPr="003B1089">
        <w:rPr>
          <w:rFonts w:hint="cs"/>
          <w:rtl/>
          <w:lang w:bidi="ar"/>
        </w:rPr>
        <w:t xml:space="preserve"> المحاسبة بين الدول الأعضاء، ولكن</w:t>
      </w:r>
      <w:r w:rsidR="000076EA">
        <w:rPr>
          <w:rFonts w:hint="eastAsia"/>
          <w:rtl/>
          <w:lang w:bidi="ar"/>
        </w:rPr>
        <w:t> </w:t>
      </w:r>
      <w:r w:rsidR="003B1089" w:rsidRPr="003B1089">
        <w:rPr>
          <w:rFonts w:hint="cs"/>
          <w:rtl/>
          <w:lang w:bidi="ar"/>
        </w:rPr>
        <w:t xml:space="preserve">الغالبية العظمى من الحركة لم تعد </w:t>
      </w:r>
      <w:r w:rsidR="00E23D9E">
        <w:rPr>
          <w:rFonts w:hint="cs"/>
          <w:rtl/>
          <w:lang w:bidi="ar"/>
        </w:rPr>
        <w:t>تُتبادل</w:t>
      </w:r>
      <w:r w:rsidR="003B1089" w:rsidRPr="003B1089">
        <w:rPr>
          <w:rFonts w:hint="cs"/>
          <w:rtl/>
          <w:lang w:bidi="ar"/>
        </w:rPr>
        <w:t xml:space="preserve"> بموجب </w:t>
      </w:r>
      <w:r w:rsidR="00667C88">
        <w:rPr>
          <w:rFonts w:hint="cs"/>
          <w:rtl/>
          <w:lang w:bidi="ar"/>
        </w:rPr>
        <w:t>نظام رسوم</w:t>
      </w:r>
      <w:r w:rsidR="00667C88" w:rsidRPr="003B1089">
        <w:rPr>
          <w:rFonts w:hint="cs"/>
          <w:rtl/>
          <w:lang w:bidi="ar"/>
        </w:rPr>
        <w:t xml:space="preserve"> </w:t>
      </w:r>
      <w:r w:rsidR="003B1089" w:rsidRPr="003B1089">
        <w:rPr>
          <w:rFonts w:hint="cs"/>
          <w:rtl/>
          <w:lang w:bidi="ar"/>
        </w:rPr>
        <w:t>المحاسبة هذا. ونتيجة</w:t>
      </w:r>
      <w:r w:rsidR="002320A8">
        <w:rPr>
          <w:rFonts w:hint="cs"/>
          <w:rtl/>
          <w:lang w:bidi="ar"/>
        </w:rPr>
        <w:t>ً</w:t>
      </w:r>
      <w:r w:rsidR="003B1089" w:rsidRPr="003B1089">
        <w:rPr>
          <w:rFonts w:hint="cs"/>
          <w:rtl/>
          <w:lang w:bidi="ar"/>
        </w:rPr>
        <w:t xml:space="preserve"> لذلك، فإن المادة </w:t>
      </w:r>
      <w:r w:rsidRPr="003B1089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8</w:t>
      </w:r>
      <w:r w:rsidRPr="003B1089">
        <w:rPr>
          <w:rFonts w:hint="cs"/>
          <w:rtl/>
          <w:lang w:bidi="ar"/>
        </w:rPr>
        <w:t xml:space="preserve"> </w:t>
      </w:r>
      <w:r w:rsidR="003B1089" w:rsidRPr="003B1089">
        <w:rPr>
          <w:rFonts w:hint="cs"/>
          <w:rtl/>
          <w:lang w:bidi="ar"/>
        </w:rPr>
        <w:t xml:space="preserve">والتذييل </w:t>
      </w:r>
      <w:r w:rsidR="00E23D9E" w:rsidRPr="003B1089">
        <w:rPr>
          <w:rFonts w:asciiTheme="minorHAnsi" w:eastAsiaTheme="minorEastAsia" w:hAnsiTheme="minorHAnsi" w:cstheme="minorHAnsi" w:hint="cs"/>
          <w:sz w:val="16"/>
          <w:szCs w:val="22"/>
          <w:rtl/>
          <w:lang w:eastAsia="zh-CN"/>
        </w:rPr>
        <w:t>1</w:t>
      </w:r>
      <w:r w:rsidR="003B1089" w:rsidRPr="003B1089">
        <w:rPr>
          <w:rFonts w:hint="cs"/>
          <w:rtl/>
          <w:lang w:bidi="ar"/>
        </w:rPr>
        <w:t xml:space="preserve"> لا صلة</w:t>
      </w:r>
      <w:r w:rsidR="000076EA">
        <w:rPr>
          <w:rFonts w:hint="eastAsia"/>
          <w:rtl/>
          <w:lang w:bidi="ar"/>
        </w:rPr>
        <w:t> </w:t>
      </w:r>
      <w:r w:rsidR="003B1089" w:rsidRPr="003B1089">
        <w:rPr>
          <w:rFonts w:hint="cs"/>
          <w:rtl/>
          <w:lang w:bidi="ar"/>
        </w:rPr>
        <w:t xml:space="preserve">لهما بالبيئة </w:t>
      </w:r>
      <w:r w:rsidR="000D696D" w:rsidRPr="003B1089">
        <w:rPr>
          <w:rFonts w:hint="cs"/>
          <w:rtl/>
          <w:lang w:bidi="ar"/>
        </w:rPr>
        <w:t xml:space="preserve">الحالية للاتصالات </w:t>
      </w:r>
      <w:r w:rsidR="003B1089" w:rsidRPr="003B1089">
        <w:rPr>
          <w:rFonts w:hint="cs"/>
          <w:rtl/>
          <w:lang w:bidi="ar"/>
        </w:rPr>
        <w:t xml:space="preserve">الدولية. </w:t>
      </w:r>
      <w:r w:rsidR="00E23D9E">
        <w:rPr>
          <w:rFonts w:hint="cs"/>
          <w:rtl/>
          <w:lang w:bidi="ar"/>
        </w:rPr>
        <w:t xml:space="preserve">وقد تعيق </w:t>
      </w:r>
      <w:r w:rsidR="003B1089" w:rsidRPr="003B1089">
        <w:rPr>
          <w:rFonts w:hint="cs"/>
          <w:rtl/>
          <w:lang w:bidi="ar"/>
        </w:rPr>
        <w:t xml:space="preserve">محاولة تطبيق أحكام </w:t>
      </w:r>
      <w:r w:rsidR="00667C88">
        <w:rPr>
          <w:rFonts w:hint="cs"/>
          <w:rtl/>
          <w:lang w:bidi="ar"/>
        </w:rPr>
        <w:t>رسوم</w:t>
      </w:r>
      <w:r w:rsidR="003B1089" w:rsidRPr="003B1089">
        <w:rPr>
          <w:rFonts w:hint="cs"/>
          <w:rtl/>
          <w:lang w:bidi="ar"/>
        </w:rPr>
        <w:t xml:space="preserve"> المحاسبة أو حتى مراجعتها </w:t>
      </w:r>
      <w:r w:rsidR="00577AB4">
        <w:rPr>
          <w:rFonts w:hint="cs"/>
          <w:rtl/>
          <w:lang w:bidi="ar"/>
        </w:rPr>
        <w:t xml:space="preserve">من أجل </w:t>
      </w:r>
      <w:r w:rsidR="003B1089" w:rsidRPr="003B1089">
        <w:rPr>
          <w:rFonts w:hint="cs"/>
          <w:rtl/>
          <w:lang w:bidi="ar"/>
        </w:rPr>
        <w:t xml:space="preserve">تطبيقها على الترتيبات الحالية </w:t>
      </w:r>
      <w:r w:rsidR="00E23D9E">
        <w:rPr>
          <w:rFonts w:hint="cs"/>
          <w:rtl/>
          <w:lang w:bidi="ar"/>
        </w:rPr>
        <w:t>المستندة إلى</w:t>
      </w:r>
      <w:r w:rsidR="003B1089" w:rsidRPr="003B1089">
        <w:rPr>
          <w:rFonts w:hint="cs"/>
          <w:rtl/>
          <w:lang w:bidi="ar"/>
        </w:rPr>
        <w:t xml:space="preserve"> السوق</w:t>
      </w:r>
      <w:r w:rsidR="00E23D9E">
        <w:rPr>
          <w:rFonts w:hint="cs"/>
          <w:rtl/>
          <w:lang w:bidi="ar"/>
        </w:rPr>
        <w:t>،</w:t>
      </w:r>
      <w:r w:rsidR="003B1089" w:rsidRPr="003B1089">
        <w:rPr>
          <w:rFonts w:hint="cs"/>
          <w:rtl/>
          <w:lang w:bidi="ar"/>
        </w:rPr>
        <w:t xml:space="preserve"> تدفق حركة الاتصالات الدولية و</w:t>
      </w:r>
      <w:r w:rsidR="00577AB4">
        <w:rPr>
          <w:rFonts w:hint="cs"/>
          <w:rtl/>
          <w:lang w:bidi="ar"/>
        </w:rPr>
        <w:t>قد ت</w:t>
      </w:r>
      <w:r w:rsidR="003B1089" w:rsidRPr="003B1089">
        <w:rPr>
          <w:rFonts w:hint="cs"/>
          <w:rtl/>
          <w:lang w:bidi="ar"/>
        </w:rPr>
        <w:t>ردع ابتكارات</w:t>
      </w:r>
      <w:r w:rsidR="000076EA">
        <w:rPr>
          <w:rFonts w:hint="cs"/>
          <w:rtl/>
          <w:lang w:bidi="ar"/>
        </w:rPr>
        <w:t xml:space="preserve"> السوق والابتكارات</w:t>
      </w:r>
      <w:r w:rsidR="00E23D9E">
        <w:rPr>
          <w:rFonts w:hint="cs"/>
          <w:rtl/>
          <w:lang w:bidi="ar"/>
        </w:rPr>
        <w:t xml:space="preserve"> </w:t>
      </w:r>
      <w:r w:rsidR="003B1089" w:rsidRPr="003B1089">
        <w:rPr>
          <w:rFonts w:hint="cs"/>
          <w:rtl/>
          <w:lang w:bidi="ar"/>
        </w:rPr>
        <w:t xml:space="preserve">التكنولوجية التي </w:t>
      </w:r>
      <w:r w:rsidR="00E23D9E">
        <w:rPr>
          <w:rFonts w:hint="cs"/>
          <w:rtl/>
          <w:lang w:bidi="ar"/>
        </w:rPr>
        <w:t>تساهم في</w:t>
      </w:r>
      <w:r w:rsidR="000076EA">
        <w:rPr>
          <w:rFonts w:hint="eastAsia"/>
          <w:rtl/>
          <w:lang w:bidi="ar"/>
        </w:rPr>
        <w:t> </w:t>
      </w:r>
      <w:r w:rsidR="003B1089" w:rsidRPr="003B1089">
        <w:rPr>
          <w:rFonts w:hint="cs"/>
          <w:rtl/>
          <w:lang w:bidi="ar"/>
        </w:rPr>
        <w:t>تحسين الخدمات وتخفيض الأسعار للمستهلكين.</w:t>
      </w:r>
    </w:p>
    <w:p w14:paraId="0B3C3428" w14:textId="45359B6D" w:rsidR="00E428EB" w:rsidRDefault="00577AB4" w:rsidP="00E428EB">
      <w:pPr>
        <w:pStyle w:val="Headingb"/>
        <w:rPr>
          <w:rtl/>
        </w:rPr>
      </w:pPr>
      <w:r>
        <w:rPr>
          <w:rFonts w:hint="cs"/>
          <w:rtl/>
        </w:rPr>
        <w:t>الملخص</w:t>
      </w:r>
    </w:p>
    <w:p w14:paraId="4D02A147" w14:textId="5CD0D2DB" w:rsidR="00E23D9E" w:rsidRPr="00E23D9E" w:rsidRDefault="00E23D9E" w:rsidP="00E23D9E">
      <w:pPr>
        <w:rPr>
          <w:lang w:val="en-GB"/>
        </w:rPr>
      </w:pPr>
      <w:r w:rsidRPr="00E23D9E">
        <w:rPr>
          <w:rFonts w:hint="cs"/>
          <w:rtl/>
          <w:lang w:bidi="ar"/>
        </w:rPr>
        <w:t>بالنظر إلى الطبيعة الدينامية والتنافسية لسوق ال</w:t>
      </w:r>
      <w:bookmarkStart w:id="2" w:name="_GoBack"/>
      <w:bookmarkEnd w:id="2"/>
      <w:r w:rsidRPr="00E23D9E">
        <w:rPr>
          <w:rFonts w:hint="cs"/>
          <w:rtl/>
          <w:lang w:bidi="ar"/>
        </w:rPr>
        <w:t>اتصالات، و</w:t>
      </w:r>
      <w:r>
        <w:rPr>
          <w:rFonts w:hint="cs"/>
          <w:rtl/>
          <w:lang w:bidi="ar"/>
        </w:rPr>
        <w:t>الاندماج المتزايد ل</w:t>
      </w:r>
      <w:r w:rsidRPr="00E23D9E">
        <w:rPr>
          <w:rFonts w:hint="cs"/>
          <w:rtl/>
          <w:lang w:bidi="ar"/>
        </w:rPr>
        <w:t xml:space="preserve">قطاع الاتصالات/تكنولوجيا المعلومات والاتصالات في الاقتصاد الرقمي الأوسع </w:t>
      </w:r>
      <w:r>
        <w:rPr>
          <w:rFonts w:hint="cs"/>
          <w:rtl/>
          <w:lang w:bidi="ar"/>
        </w:rPr>
        <w:t>نطاقاً</w:t>
      </w:r>
      <w:r w:rsidRPr="00E23D9E">
        <w:rPr>
          <w:rFonts w:hint="cs"/>
          <w:rtl/>
          <w:lang w:bidi="ar"/>
        </w:rPr>
        <w:t>، فمن غير الواضح كيف يمكن ل</w:t>
      </w:r>
      <w:r>
        <w:rPr>
          <w:rFonts w:hint="cs"/>
          <w:rtl/>
          <w:lang w:bidi="ar"/>
        </w:rPr>
        <w:t>صك</w:t>
      </w:r>
      <w:r w:rsidRPr="00E23D9E">
        <w:rPr>
          <w:rFonts w:hint="cs"/>
          <w:rtl/>
          <w:lang w:bidi="ar"/>
        </w:rPr>
        <w:t xml:space="preserve"> معاهدة غير مرن مثل لوائح الاتصالات الدولية أن </w:t>
      </w:r>
      <w:r w:rsidR="00577AB4">
        <w:rPr>
          <w:rFonts w:hint="cs"/>
          <w:rtl/>
          <w:lang w:bidi="ar"/>
        </w:rPr>
        <w:t>ي</w:t>
      </w:r>
      <w:r>
        <w:rPr>
          <w:rFonts w:hint="cs"/>
          <w:rtl/>
          <w:lang w:bidi="ar"/>
        </w:rPr>
        <w:t>ضطلع بدور إيجابي</w:t>
      </w:r>
      <w:r w:rsidRPr="00E23D9E">
        <w:rPr>
          <w:rFonts w:hint="cs"/>
          <w:rtl/>
          <w:lang w:bidi="ar"/>
        </w:rPr>
        <w:t xml:space="preserve"> في تعزيز النمو والازدهار في سوق الاتصالات الدولية</w:t>
      </w:r>
      <w:r w:rsidR="000A7956">
        <w:rPr>
          <w:rFonts w:hint="cs"/>
          <w:rtl/>
          <w:lang w:bidi="ar"/>
        </w:rPr>
        <w:t xml:space="preserve"> </w:t>
      </w:r>
      <w:r w:rsidR="00577AB4">
        <w:rPr>
          <w:rFonts w:hint="cs"/>
          <w:rtl/>
          <w:lang w:bidi="ar"/>
        </w:rPr>
        <w:t>مستقبلاً</w:t>
      </w:r>
      <w:r w:rsidRPr="00E23D9E">
        <w:rPr>
          <w:rFonts w:hint="cs"/>
          <w:rtl/>
          <w:lang w:bidi="ar"/>
        </w:rPr>
        <w:t>.</w:t>
      </w:r>
    </w:p>
    <w:p w14:paraId="4B97E0F5" w14:textId="1E5C355D" w:rsidR="00FC625C" w:rsidRPr="005F292A" w:rsidRDefault="00DA3645" w:rsidP="00DA3645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FC625C" w:rsidRPr="005F292A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DB803" w14:textId="77777777" w:rsidR="00237597" w:rsidRDefault="00237597" w:rsidP="00E07379">
      <w:pPr>
        <w:spacing w:before="0" w:line="240" w:lineRule="auto"/>
      </w:pPr>
      <w:r>
        <w:separator/>
      </w:r>
    </w:p>
  </w:endnote>
  <w:endnote w:type="continuationSeparator" w:id="0">
    <w:p w14:paraId="68BD86B5" w14:textId="77777777" w:rsidR="00237597" w:rsidRDefault="0023759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A2D3" w14:textId="0F836C03" w:rsidR="00DA5921" w:rsidRPr="00476123" w:rsidRDefault="00DA5921" w:rsidP="00DA5921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C035EC">
      <w:rPr>
        <w:rFonts w:cs="Calibri"/>
        <w:noProof/>
        <w:lang w:val="fr-FR"/>
      </w:rPr>
      <w:t>P:\ARA\SG\CONSEIL\EG-ITR\EG-ITR-1\000\005A.docx</w:t>
    </w:r>
    <w:r w:rsidRPr="00476123">
      <w:rPr>
        <w:rFonts w:cs="Calibri"/>
      </w:rPr>
      <w:fldChar w:fldCharType="end"/>
    </w:r>
    <w:proofErr w:type="gramStart"/>
    <w:r w:rsidRPr="00DA5921">
      <w:rPr>
        <w:rFonts w:cs="Calibri"/>
        <w:lang w:val="fr-FR"/>
      </w:rPr>
      <w:t xml:space="preserve">  </w:t>
    </w:r>
    <w:r w:rsidRPr="00476123">
      <w:rPr>
        <w:rFonts w:cs="Calibri"/>
        <w:lang w:val="fr-FR"/>
      </w:rPr>
      <w:t xml:space="preserve"> (</w:t>
    </w:r>
    <w:proofErr w:type="gramEnd"/>
    <w:r w:rsidR="00244BC2">
      <w:rPr>
        <w:rFonts w:cs="Calibri"/>
        <w:lang w:val="fr-FR"/>
      </w:rPr>
      <w:t>460078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2320A8">
      <w:rPr>
        <w:rFonts w:cs="Calibri"/>
        <w:noProof/>
        <w:lang w:val="fr-FR"/>
      </w:rPr>
      <w:t>02.09.19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C035EC">
      <w:rPr>
        <w:rFonts w:cs="Calibri"/>
        <w:noProof/>
        <w:lang w:val="fr-FR"/>
      </w:rPr>
      <w:t>02.09.19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9961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6F3B" w14:textId="77777777" w:rsidR="00237597" w:rsidRDefault="00237597" w:rsidP="00E07379">
      <w:pPr>
        <w:spacing w:before="0" w:line="240" w:lineRule="auto"/>
      </w:pPr>
      <w:r>
        <w:separator/>
      </w:r>
    </w:p>
  </w:footnote>
  <w:footnote w:type="continuationSeparator" w:id="0">
    <w:p w14:paraId="3C131D3A" w14:textId="77777777" w:rsidR="00237597" w:rsidRDefault="00237597" w:rsidP="00E07379">
      <w:pPr>
        <w:spacing w:before="0" w:line="240" w:lineRule="auto"/>
      </w:pPr>
      <w:r>
        <w:continuationSeparator/>
      </w:r>
    </w:p>
  </w:footnote>
  <w:footnote w:id="1">
    <w:p w14:paraId="2A9522F0" w14:textId="16D11094" w:rsidR="003F786C" w:rsidRPr="004F69A7" w:rsidRDefault="003F786C" w:rsidP="003F786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ab/>
      </w:r>
      <w:r w:rsidRPr="00E428EB">
        <w:rPr>
          <w:rFonts w:hint="cs"/>
          <w:i/>
          <w:iCs/>
          <w:rtl/>
        </w:rPr>
        <w:t>انظر</w:t>
      </w:r>
      <w:r>
        <w:rPr>
          <w:rFonts w:hint="cs"/>
          <w:rtl/>
        </w:rPr>
        <w:t xml:space="preserve"> </w:t>
      </w:r>
      <w:r w:rsidRPr="00745372">
        <w:rPr>
          <w:rFonts w:hint="cs"/>
          <w:rtl/>
        </w:rPr>
        <w:t xml:space="preserve">القرار </w:t>
      </w:r>
      <w:r w:rsidRPr="00745372">
        <w:t>1379</w:t>
      </w:r>
      <w:r w:rsidRPr="00745372">
        <w:rPr>
          <w:rFonts w:hint="cs"/>
          <w:rtl/>
        </w:rPr>
        <w:t xml:space="preserve"> </w:t>
      </w:r>
      <w:r w:rsidR="00E428EB" w:rsidRPr="00745372">
        <w:rPr>
          <w:rFonts w:hint="cs"/>
          <w:rtl/>
        </w:rPr>
        <w:t xml:space="preserve">(المراجع في </w:t>
      </w:r>
      <w:r w:rsidR="00E428EB" w:rsidRPr="00745372">
        <w:t>2019</w:t>
      </w:r>
      <w:r w:rsidR="00E428EB" w:rsidRPr="00745372">
        <w:rPr>
          <w:rFonts w:hint="cs"/>
          <w:rtl/>
        </w:rPr>
        <w:t xml:space="preserve">) </w:t>
      </w:r>
      <w:r w:rsidRPr="00745372">
        <w:rPr>
          <w:rFonts w:hint="cs"/>
          <w:rtl/>
        </w:rPr>
        <w:t>الصادر</w:t>
      </w:r>
      <w:r>
        <w:rPr>
          <w:rFonts w:hint="cs"/>
          <w:rtl/>
        </w:rPr>
        <w:t xml:space="preserve"> عن المجلس، الوثيقة </w:t>
      </w:r>
      <w:r w:rsidRPr="00B4739E">
        <w:rPr>
          <w:rFonts w:asciiTheme="minorHAnsi" w:hAnsiTheme="minorHAnsi"/>
          <w:lang w:val="fr-CH"/>
        </w:rPr>
        <w:t>C</w:t>
      </w:r>
      <w:r w:rsidR="00E428EB">
        <w:rPr>
          <w:rFonts w:asciiTheme="minorHAnsi" w:hAnsiTheme="minorHAnsi"/>
          <w:lang w:val="fr-CH"/>
        </w:rPr>
        <w:t>19</w:t>
      </w:r>
      <w:r w:rsidRPr="00B4739E">
        <w:rPr>
          <w:rFonts w:asciiTheme="minorHAnsi" w:hAnsiTheme="minorHAnsi"/>
          <w:lang w:val="fr-CH"/>
        </w:rPr>
        <w:t>/</w:t>
      </w:r>
      <w:r w:rsidR="00E428EB">
        <w:rPr>
          <w:rFonts w:asciiTheme="minorHAnsi" w:hAnsiTheme="minorHAnsi"/>
          <w:lang w:val="fr-CH"/>
        </w:rPr>
        <w:t>139</w:t>
      </w:r>
      <w:r>
        <w:rPr>
          <w:rFonts w:hint="cs"/>
          <w:rtl/>
          <w:lang w:val="fr-CH"/>
        </w:rPr>
        <w:t xml:space="preserve"> (</w:t>
      </w:r>
      <w:r w:rsidR="00E428EB">
        <w:t>20</w:t>
      </w:r>
      <w:r>
        <w:rPr>
          <w:rFonts w:hint="cs"/>
          <w:rtl/>
        </w:rPr>
        <w:t xml:space="preserve"> يونيو </w:t>
      </w:r>
      <w:r>
        <w:t>201</w:t>
      </w:r>
      <w:r w:rsidR="00E428EB">
        <w:t>9</w:t>
      </w:r>
      <w:r>
        <w:rPr>
          <w:rFonts w:hint="cs"/>
          <w:rtl/>
        </w:rPr>
        <w:t xml:space="preserve">)، الملحق </w:t>
      </w:r>
      <w:r>
        <w:t>1</w:t>
      </w:r>
      <w:r>
        <w:rPr>
          <w:rFonts w:hint="cs"/>
          <w:rtl/>
        </w:rPr>
        <w:t>.</w:t>
      </w:r>
    </w:p>
  </w:footnote>
  <w:footnote w:id="2">
    <w:p w14:paraId="02CA2282" w14:textId="2D9A40E8" w:rsidR="007226B1" w:rsidRDefault="007226B1" w:rsidP="00383319">
      <w:pPr>
        <w:pStyle w:val="FootnoteText"/>
      </w:pPr>
      <w:r w:rsidRPr="000076EA">
        <w:rPr>
          <w:rStyle w:val="FootnoteReference"/>
          <w:rFonts w:cs="Traditional Arabic"/>
          <w:position w:val="0"/>
          <w:sz w:val="20"/>
          <w:szCs w:val="26"/>
        </w:rPr>
        <w:footnoteRef/>
      </w:r>
      <w:r w:rsidRPr="000076EA">
        <w:tab/>
      </w:r>
      <w:r w:rsidR="000076EA" w:rsidRPr="000076EA">
        <w:rPr>
          <w:rFonts w:eastAsia="Calibri"/>
        </w:rPr>
        <w:t>The Little Data Book on Information and Communication Technology, World Bank and ITU, 2018</w:t>
      </w:r>
      <w:r w:rsidR="002320A8">
        <w:rPr>
          <w:rFonts w:eastAsia="Calibri" w:hint="cs"/>
          <w:rtl/>
        </w:rPr>
        <w:t> </w:t>
      </w:r>
      <w:r w:rsidR="00383319">
        <w:rPr>
          <w:rFonts w:eastAsia="Calibri"/>
          <w:rtl/>
        </w:rPr>
        <w:tab/>
      </w:r>
      <w:r w:rsidR="000076EA">
        <w:rPr>
          <w:rFonts w:eastAsia="Calibri"/>
          <w:rtl/>
        </w:rPr>
        <w:br/>
      </w:r>
      <w:r w:rsidR="000076EA" w:rsidRPr="00C80EBA">
        <w:rPr>
          <w:rFonts w:hint="cs"/>
          <w:rtl/>
        </w:rPr>
        <w:t>وفقاً لشركة</w:t>
      </w:r>
      <w:r w:rsidR="000076EA" w:rsidRPr="00827989">
        <w:rPr>
          <w:rFonts w:eastAsia="Calibri" w:cs="Arial" w:hint="cs"/>
          <w:szCs w:val="22"/>
          <w:rtl/>
          <w:lang w:val="en-GB" w:bidi="ar"/>
        </w:rPr>
        <w:t xml:space="preserve"> </w:t>
      </w:r>
      <w:proofErr w:type="spellStart"/>
      <w:r w:rsidR="000076EA" w:rsidRPr="00827989">
        <w:rPr>
          <w:rFonts w:eastAsia="Calibri" w:cs="Arial" w:hint="cs"/>
          <w:szCs w:val="22"/>
          <w:lang w:val="en-GB" w:bidi="ar-SA"/>
        </w:rPr>
        <w:t>Telegeography</w:t>
      </w:r>
      <w:proofErr w:type="spellEnd"/>
      <w:r w:rsidR="000076EA" w:rsidRPr="00827989">
        <w:rPr>
          <w:rFonts w:eastAsia="Calibri" w:cs="Arial" w:hint="cs"/>
          <w:szCs w:val="22"/>
          <w:rtl/>
          <w:lang w:val="en-GB" w:bidi="ar"/>
        </w:rPr>
        <w:t xml:space="preserve">، </w:t>
      </w:r>
      <w:r w:rsidR="000076EA" w:rsidRPr="00827989">
        <w:rPr>
          <w:rFonts w:hint="cs"/>
          <w:rtl/>
        </w:rPr>
        <w:t xml:space="preserve">انخفض حجم </w:t>
      </w:r>
      <w:r w:rsidR="000076EA" w:rsidRPr="00C80EBA">
        <w:rPr>
          <w:rFonts w:hint="cs"/>
          <w:rtl/>
        </w:rPr>
        <w:t xml:space="preserve">الحركة الصوتية الدولية </w:t>
      </w:r>
      <w:r w:rsidR="000076EA" w:rsidRPr="00827989">
        <w:rPr>
          <w:rFonts w:hint="cs"/>
          <w:rtl/>
        </w:rPr>
        <w:t>لأول مرة</w:t>
      </w:r>
      <w:r w:rsidR="000076EA" w:rsidRPr="00C80EBA">
        <w:rPr>
          <w:rFonts w:hint="cs"/>
          <w:rtl/>
        </w:rPr>
        <w:t xml:space="preserve"> </w:t>
      </w:r>
      <w:r w:rsidR="000076EA" w:rsidRPr="00827989">
        <w:rPr>
          <w:rFonts w:hint="cs"/>
          <w:rtl/>
        </w:rPr>
        <w:t xml:space="preserve">في عام </w:t>
      </w:r>
      <w:r w:rsidR="000076EA" w:rsidRPr="00827989">
        <w:rPr>
          <w:rFonts w:asciiTheme="minorHAnsi" w:hAnsiTheme="minorHAnsi" w:cstheme="minorHAnsi"/>
          <w:sz w:val="14"/>
          <w:szCs w:val="20"/>
          <w:rtl/>
          <w:lang w:val="fr-CH"/>
        </w:rPr>
        <w:t>2015</w:t>
      </w:r>
      <w:r w:rsidR="000076EA" w:rsidRPr="00827989">
        <w:rPr>
          <w:rFonts w:hint="cs"/>
          <w:rtl/>
        </w:rPr>
        <w:t xml:space="preserve"> منذ الكساد العظيم.</w:t>
      </w:r>
      <w:r w:rsidR="000076EA">
        <w:rPr>
          <w:rFonts w:hint="cs"/>
          <w:rtl/>
        </w:rPr>
        <w:t xml:space="preserve"> </w:t>
      </w:r>
      <w:r w:rsidR="00383319">
        <w:rPr>
          <w:rtl/>
        </w:rPr>
        <w:tab/>
      </w:r>
      <w:r w:rsidR="00383319">
        <w:rPr>
          <w:rtl/>
        </w:rPr>
        <w:br/>
      </w:r>
      <w:r w:rsidR="00383319">
        <w:rPr>
          <w:rFonts w:hint="cs"/>
          <w:rtl/>
        </w:rPr>
        <w:t xml:space="preserve">انظر </w:t>
      </w:r>
      <w:hyperlink r:id="rId1" w:history="1">
        <w:r w:rsidR="00383319" w:rsidRPr="00E428EB">
          <w:rPr>
            <w:rStyle w:val="Hyperlink"/>
            <w:sz w:val="20"/>
            <w:szCs w:val="26"/>
          </w:rPr>
          <w:t>https://blog.telegeography.com/voice-traffics-slump-continued-in-a-big-way-last-year</w:t>
        </w:r>
      </w:hyperlink>
      <w:r w:rsidR="00383319">
        <w:rPr>
          <w:rFonts w:hint="cs"/>
          <w:rtl/>
        </w:rPr>
        <w:t>.</w:t>
      </w:r>
    </w:p>
  </w:footnote>
  <w:footnote w:id="3">
    <w:p w14:paraId="47AC04A5" w14:textId="30CF6A2F" w:rsidR="007226B1" w:rsidRDefault="007226B1" w:rsidP="00383319">
      <w:pPr>
        <w:pStyle w:val="FootnoteText"/>
        <w:tabs>
          <w:tab w:val="clear" w:pos="372"/>
          <w:tab w:val="clear" w:pos="567"/>
        </w:tabs>
        <w:jc w:val="left"/>
      </w:pPr>
      <w:r>
        <w:rPr>
          <w:rStyle w:val="FootnoteReference"/>
        </w:rPr>
        <w:footnoteRef/>
      </w:r>
      <w:r w:rsidR="00C80EBA">
        <w:rPr>
          <w:rtl/>
        </w:rPr>
        <w:tab/>
      </w:r>
      <w:r w:rsidR="00C80EBA">
        <w:rPr>
          <w:rFonts w:hint="cs"/>
          <w:rtl/>
          <w:lang w:bidi="ar-SA"/>
        </w:rPr>
        <w:t>ر</w:t>
      </w:r>
      <w:r w:rsidR="00C80EBA" w:rsidRPr="00C80EBA">
        <w:rPr>
          <w:rtl/>
          <w:lang w:bidi="ar-SA"/>
        </w:rPr>
        <w:t>ابطة النظام العالمي للاتصالات المتنقلة</w:t>
      </w:r>
      <w:r w:rsidR="00C80EBA">
        <w:rPr>
          <w:rFonts w:hint="cs"/>
          <w:rtl/>
          <w:lang w:bidi="ar-SA"/>
        </w:rPr>
        <w:t xml:space="preserve">، </w:t>
      </w:r>
      <w:r w:rsidR="00C80EBA" w:rsidRPr="00DF0E11">
        <w:rPr>
          <w:szCs w:val="20"/>
        </w:rPr>
        <w:t>The Mobile Economy 2019</w:t>
      </w:r>
      <w:r w:rsidR="00C80EBA">
        <w:rPr>
          <w:rFonts w:hint="cs"/>
          <w:szCs w:val="20"/>
          <w:rtl/>
        </w:rPr>
        <w:t xml:space="preserve"> </w:t>
      </w:r>
      <w:r w:rsidR="00C80EBA" w:rsidRPr="00C80EBA">
        <w:rPr>
          <w:rFonts w:hint="cs"/>
          <w:rtl/>
          <w:lang w:bidi="ar-SA"/>
        </w:rPr>
        <w:t xml:space="preserve">متاح </w:t>
      </w:r>
      <w:r w:rsidR="007A1D4D">
        <w:rPr>
          <w:rFonts w:hint="cs"/>
          <w:rtl/>
          <w:lang w:bidi="ar-SA"/>
        </w:rPr>
        <w:t>في</w:t>
      </w:r>
      <w:r w:rsidR="00C80EBA" w:rsidRPr="00C80EBA">
        <w:rPr>
          <w:rFonts w:hint="cs"/>
          <w:rtl/>
          <w:lang w:bidi="ar-SA"/>
        </w:rPr>
        <w:t>:</w:t>
      </w:r>
      <w:r w:rsidR="00383319">
        <w:rPr>
          <w:rtl/>
        </w:rPr>
        <w:br/>
      </w:r>
      <w:hyperlink r:id="rId2" w:history="1">
        <w:r w:rsidRPr="00DF0E11">
          <w:rPr>
            <w:rStyle w:val="Hyperlink"/>
            <w:sz w:val="20"/>
            <w:szCs w:val="20"/>
          </w:rPr>
          <w:t>https://www.gsmaintelligence.com/research/?file=b9a6e6202ee1d5f787cfebb95d3639c5&amp;download</w:t>
        </w:r>
      </w:hyperlink>
      <w:r w:rsidR="002320A8" w:rsidRPr="002320A8">
        <w:rPr>
          <w:rStyle w:val="Hyperlink"/>
          <w:rFonts w:hint="cs"/>
          <w:sz w:val="20"/>
          <w:szCs w:val="20"/>
          <w:u w:val="none"/>
          <w:rtl/>
        </w:rPr>
        <w:t> </w:t>
      </w:r>
    </w:p>
  </w:footnote>
  <w:footnote w:id="4">
    <w:p w14:paraId="49AD2DC1" w14:textId="39C8FF55" w:rsidR="003B1089" w:rsidRDefault="003B1089" w:rsidP="0038331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 w:rsidR="00C80EBA">
        <w:rPr>
          <w:rFonts w:hint="cs"/>
          <w:rtl/>
        </w:rPr>
        <w:t xml:space="preserve">الاتحاد الدولي للاتصالات، </w:t>
      </w:r>
      <w:r w:rsidR="00C80EBA" w:rsidRPr="00C80EBA">
        <w:rPr>
          <w:rtl/>
          <w:lang w:bidi="ar-SA"/>
        </w:rPr>
        <w:t xml:space="preserve">تقرير قياس مجتمع المعلومات لعام </w:t>
      </w:r>
      <w:r w:rsidR="00C80EBA" w:rsidRPr="00C80EBA">
        <w:rPr>
          <w:rFonts w:asciiTheme="minorHAnsi" w:hAnsiTheme="minorHAnsi" w:cstheme="minorHAnsi"/>
          <w:sz w:val="14"/>
          <w:szCs w:val="20"/>
          <w:rtl/>
          <w:lang w:val="fr-CH"/>
        </w:rPr>
        <w:t>2018</w:t>
      </w:r>
      <w:r w:rsidR="00C80EBA">
        <w:rPr>
          <w:rFonts w:asciiTheme="minorHAnsi" w:hAnsiTheme="minorHAnsi" w:cstheme="minorHAnsi" w:hint="cs"/>
          <w:sz w:val="14"/>
          <w:szCs w:val="20"/>
          <w:rtl/>
          <w:lang w:val="fr-CH"/>
        </w:rPr>
        <w:t>،</w:t>
      </w:r>
      <w:r w:rsidR="00C80EBA" w:rsidRPr="00C80EBA">
        <w:rPr>
          <w:rtl/>
          <w:lang w:bidi="ar-SA"/>
        </w:rPr>
        <w:t xml:space="preserve"> المجلد </w:t>
      </w:r>
      <w:r w:rsidR="00C80EBA" w:rsidRPr="00C80EBA">
        <w:rPr>
          <w:rFonts w:asciiTheme="minorHAnsi" w:hAnsiTheme="minorHAnsi" w:cstheme="minorHAnsi"/>
          <w:sz w:val="14"/>
          <w:szCs w:val="20"/>
          <w:rtl/>
          <w:lang w:val="fr-CH"/>
        </w:rPr>
        <w:t>1</w:t>
      </w:r>
      <w:r w:rsidR="00C80EBA">
        <w:rPr>
          <w:rFonts w:hint="cs"/>
          <w:rtl/>
          <w:lang w:bidi="ar-SA"/>
        </w:rPr>
        <w:t xml:space="preserve"> الصفحة </w:t>
      </w:r>
      <w:r w:rsidR="00C80EBA" w:rsidRPr="00C80EBA">
        <w:rPr>
          <w:rFonts w:asciiTheme="minorHAnsi" w:hAnsiTheme="minorHAnsi" w:cstheme="minorHAnsi" w:hint="cs"/>
          <w:sz w:val="14"/>
          <w:szCs w:val="20"/>
          <w:rtl/>
          <w:lang w:val="fr-CH"/>
        </w:rPr>
        <w:t>91</w:t>
      </w:r>
      <w:r w:rsidR="00C80EBA">
        <w:rPr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AEAF" w14:textId="6EF63696" w:rsidR="000E4FF0" w:rsidRPr="000E4FF0" w:rsidRDefault="001930B6" w:rsidP="007B2D08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FC5644" w:rsidRPr="00FC5644">
          <w:rPr>
            <w:rFonts w:eastAsiaTheme="minorEastAsia" w:cs="Calibri"/>
            <w:noProof/>
            <w:sz w:val="20"/>
            <w:szCs w:val="20"/>
            <w:rtl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7B2D08">
          <w:rPr>
            <w:rFonts w:eastAsiaTheme="minorEastAsia" w:cs="Calibri"/>
            <w:noProof/>
            <w:sz w:val="20"/>
            <w:szCs w:val="20"/>
            <w:lang w:eastAsia="zh-CN"/>
          </w:rPr>
          <w:br/>
        </w:r>
        <w:r w:rsidR="007B2D08" w:rsidRP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EG-ITR-1\</w:t>
        </w:r>
        <w:r w:rsidR="00244BC2">
          <w:rPr>
            <w:rFonts w:eastAsiaTheme="minorEastAsia" w:cs="Calibri"/>
            <w:noProof/>
            <w:sz w:val="20"/>
            <w:szCs w:val="20"/>
            <w:lang w:val="fr-CH" w:eastAsia="zh-CN"/>
          </w:rPr>
          <w:t>5</w:t>
        </w:r>
        <w:r w:rsidR="007B2D08" w:rsidRP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-</w:t>
        </w:r>
        <w:r w:rsidR="007B2D08">
          <w:rPr>
            <w:rFonts w:eastAsiaTheme="minorEastAsia" w:cs="Calibri"/>
            <w:noProof/>
            <w:sz w:val="20"/>
            <w:szCs w:val="20"/>
            <w:lang w:val="fr-CH" w:eastAsia="zh-CN"/>
          </w:rPr>
          <w:t>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97"/>
    <w:rsid w:val="00006DC0"/>
    <w:rsid w:val="000076EA"/>
    <w:rsid w:val="000124CC"/>
    <w:rsid w:val="00041F8B"/>
    <w:rsid w:val="00046444"/>
    <w:rsid w:val="0006023B"/>
    <w:rsid w:val="0008638B"/>
    <w:rsid w:val="00090574"/>
    <w:rsid w:val="00092FC2"/>
    <w:rsid w:val="000A1677"/>
    <w:rsid w:val="000A7956"/>
    <w:rsid w:val="000B407F"/>
    <w:rsid w:val="000C13C2"/>
    <w:rsid w:val="000D4C64"/>
    <w:rsid w:val="000D696D"/>
    <w:rsid w:val="000E0916"/>
    <w:rsid w:val="000E4FF0"/>
    <w:rsid w:val="000F0B1C"/>
    <w:rsid w:val="000F1D42"/>
    <w:rsid w:val="000F4D07"/>
    <w:rsid w:val="00102A03"/>
    <w:rsid w:val="001040A3"/>
    <w:rsid w:val="00104B80"/>
    <w:rsid w:val="00121073"/>
    <w:rsid w:val="00173915"/>
    <w:rsid w:val="001930B6"/>
    <w:rsid w:val="001E4B50"/>
    <w:rsid w:val="001F20D8"/>
    <w:rsid w:val="0022345D"/>
    <w:rsid w:val="00225854"/>
    <w:rsid w:val="00225BDE"/>
    <w:rsid w:val="002320A8"/>
    <w:rsid w:val="00232275"/>
    <w:rsid w:val="0023283D"/>
    <w:rsid w:val="00237597"/>
    <w:rsid w:val="00237A49"/>
    <w:rsid w:val="00244BC2"/>
    <w:rsid w:val="00252E0C"/>
    <w:rsid w:val="00276881"/>
    <w:rsid w:val="002916BE"/>
    <w:rsid w:val="002978F4"/>
    <w:rsid w:val="002B028D"/>
    <w:rsid w:val="002B435E"/>
    <w:rsid w:val="002C4DAE"/>
    <w:rsid w:val="002D6669"/>
    <w:rsid w:val="002E2522"/>
    <w:rsid w:val="002E6541"/>
    <w:rsid w:val="002F5560"/>
    <w:rsid w:val="0030486B"/>
    <w:rsid w:val="003231B9"/>
    <w:rsid w:val="003275AC"/>
    <w:rsid w:val="00333D29"/>
    <w:rsid w:val="003409F4"/>
    <w:rsid w:val="003531D1"/>
    <w:rsid w:val="00357185"/>
    <w:rsid w:val="00383319"/>
    <w:rsid w:val="003B1089"/>
    <w:rsid w:val="003C106D"/>
    <w:rsid w:val="003C1A5F"/>
    <w:rsid w:val="003C475F"/>
    <w:rsid w:val="003C7F71"/>
    <w:rsid w:val="003E4132"/>
    <w:rsid w:val="003F661D"/>
    <w:rsid w:val="003F678F"/>
    <w:rsid w:val="003F786C"/>
    <w:rsid w:val="00413A80"/>
    <w:rsid w:val="0042686F"/>
    <w:rsid w:val="004367CE"/>
    <w:rsid w:val="0044367C"/>
    <w:rsid w:val="00443869"/>
    <w:rsid w:val="004579B3"/>
    <w:rsid w:val="004604E9"/>
    <w:rsid w:val="004712C6"/>
    <w:rsid w:val="00476123"/>
    <w:rsid w:val="00497703"/>
    <w:rsid w:val="004C16BC"/>
    <w:rsid w:val="004F0F06"/>
    <w:rsid w:val="00501E0E"/>
    <w:rsid w:val="005204D7"/>
    <w:rsid w:val="00530420"/>
    <w:rsid w:val="005505DB"/>
    <w:rsid w:val="00552BC5"/>
    <w:rsid w:val="0055516A"/>
    <w:rsid w:val="005602D0"/>
    <w:rsid w:val="0056374C"/>
    <w:rsid w:val="0056614F"/>
    <w:rsid w:val="0057656F"/>
    <w:rsid w:val="00576731"/>
    <w:rsid w:val="00577AB4"/>
    <w:rsid w:val="0059285F"/>
    <w:rsid w:val="005A24B1"/>
    <w:rsid w:val="005B7B8A"/>
    <w:rsid w:val="005D6476"/>
    <w:rsid w:val="005D6C0D"/>
    <w:rsid w:val="005E1E01"/>
    <w:rsid w:val="005E5283"/>
    <w:rsid w:val="005E58F5"/>
    <w:rsid w:val="005F292A"/>
    <w:rsid w:val="00606660"/>
    <w:rsid w:val="006157A3"/>
    <w:rsid w:val="00620E60"/>
    <w:rsid w:val="0063315A"/>
    <w:rsid w:val="0065591D"/>
    <w:rsid w:val="00662C5A"/>
    <w:rsid w:val="00667C88"/>
    <w:rsid w:val="00670AF5"/>
    <w:rsid w:val="0067296A"/>
    <w:rsid w:val="00695057"/>
    <w:rsid w:val="006A530B"/>
    <w:rsid w:val="006C1556"/>
    <w:rsid w:val="006C1D67"/>
    <w:rsid w:val="006F267F"/>
    <w:rsid w:val="006F6166"/>
    <w:rsid w:val="006F63F7"/>
    <w:rsid w:val="006F6F03"/>
    <w:rsid w:val="00706D7A"/>
    <w:rsid w:val="0072056D"/>
    <w:rsid w:val="007226B1"/>
    <w:rsid w:val="00726AEC"/>
    <w:rsid w:val="00745372"/>
    <w:rsid w:val="007530CA"/>
    <w:rsid w:val="00760E68"/>
    <w:rsid w:val="0079553D"/>
    <w:rsid w:val="007A1D4D"/>
    <w:rsid w:val="007B01CC"/>
    <w:rsid w:val="007B2D08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27989"/>
    <w:rsid w:val="00835FEC"/>
    <w:rsid w:val="0084735D"/>
    <w:rsid w:val="008513CB"/>
    <w:rsid w:val="0085448C"/>
    <w:rsid w:val="00857265"/>
    <w:rsid w:val="00874D9C"/>
    <w:rsid w:val="008A1810"/>
    <w:rsid w:val="008A23B2"/>
    <w:rsid w:val="008B5B5D"/>
    <w:rsid w:val="008C24DE"/>
    <w:rsid w:val="009014C2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C4B98"/>
    <w:rsid w:val="009F1C12"/>
    <w:rsid w:val="00A124CB"/>
    <w:rsid w:val="00A2167A"/>
    <w:rsid w:val="00A25A43"/>
    <w:rsid w:val="00A3295B"/>
    <w:rsid w:val="00A42AE5"/>
    <w:rsid w:val="00A52B61"/>
    <w:rsid w:val="00A64820"/>
    <w:rsid w:val="00A6781E"/>
    <w:rsid w:val="00A71DD6"/>
    <w:rsid w:val="00A723C7"/>
    <w:rsid w:val="00A80E11"/>
    <w:rsid w:val="00A97F94"/>
    <w:rsid w:val="00AA4B93"/>
    <w:rsid w:val="00AB1309"/>
    <w:rsid w:val="00AC2C52"/>
    <w:rsid w:val="00AD1503"/>
    <w:rsid w:val="00AD1597"/>
    <w:rsid w:val="00AE43C4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C3106"/>
    <w:rsid w:val="00BD0C50"/>
    <w:rsid w:val="00BD6E44"/>
    <w:rsid w:val="00BE49D0"/>
    <w:rsid w:val="00BF2C38"/>
    <w:rsid w:val="00C035EC"/>
    <w:rsid w:val="00C13BAE"/>
    <w:rsid w:val="00C23331"/>
    <w:rsid w:val="00C265DA"/>
    <w:rsid w:val="00C3022E"/>
    <w:rsid w:val="00C442F2"/>
    <w:rsid w:val="00C674FE"/>
    <w:rsid w:val="00C7297D"/>
    <w:rsid w:val="00C75633"/>
    <w:rsid w:val="00C773B2"/>
    <w:rsid w:val="00C77F09"/>
    <w:rsid w:val="00C80EBA"/>
    <w:rsid w:val="00C8242E"/>
    <w:rsid w:val="00C82615"/>
    <w:rsid w:val="00C867DB"/>
    <w:rsid w:val="00CA2A38"/>
    <w:rsid w:val="00CA50FF"/>
    <w:rsid w:val="00CA69EE"/>
    <w:rsid w:val="00CB6417"/>
    <w:rsid w:val="00CC3CD2"/>
    <w:rsid w:val="00CC43BE"/>
    <w:rsid w:val="00CD123C"/>
    <w:rsid w:val="00CD2085"/>
    <w:rsid w:val="00CE2EE1"/>
    <w:rsid w:val="00CE49CC"/>
    <w:rsid w:val="00CF3FFD"/>
    <w:rsid w:val="00CF5ED3"/>
    <w:rsid w:val="00D0494C"/>
    <w:rsid w:val="00D14BEB"/>
    <w:rsid w:val="00D21C89"/>
    <w:rsid w:val="00D45542"/>
    <w:rsid w:val="00D77D0F"/>
    <w:rsid w:val="00D8451E"/>
    <w:rsid w:val="00DA1CF0"/>
    <w:rsid w:val="00DA3645"/>
    <w:rsid w:val="00DA5921"/>
    <w:rsid w:val="00DB2271"/>
    <w:rsid w:val="00DB5659"/>
    <w:rsid w:val="00DC1447"/>
    <w:rsid w:val="00DC24B4"/>
    <w:rsid w:val="00DD7A05"/>
    <w:rsid w:val="00DF0E11"/>
    <w:rsid w:val="00DF16DC"/>
    <w:rsid w:val="00DF5361"/>
    <w:rsid w:val="00E009A1"/>
    <w:rsid w:val="00E00D15"/>
    <w:rsid w:val="00E071BE"/>
    <w:rsid w:val="00E07379"/>
    <w:rsid w:val="00E14494"/>
    <w:rsid w:val="00E17033"/>
    <w:rsid w:val="00E21340"/>
    <w:rsid w:val="00E22744"/>
    <w:rsid w:val="00E23D9E"/>
    <w:rsid w:val="00E32189"/>
    <w:rsid w:val="00E428EB"/>
    <w:rsid w:val="00E45211"/>
    <w:rsid w:val="00E51E77"/>
    <w:rsid w:val="00E7380C"/>
    <w:rsid w:val="00E74BE7"/>
    <w:rsid w:val="00E86CC9"/>
    <w:rsid w:val="00E96624"/>
    <w:rsid w:val="00EE56EB"/>
    <w:rsid w:val="00EF0DAF"/>
    <w:rsid w:val="00F126F1"/>
    <w:rsid w:val="00F2106A"/>
    <w:rsid w:val="00F36D8B"/>
    <w:rsid w:val="00F401D0"/>
    <w:rsid w:val="00F45F2B"/>
    <w:rsid w:val="00F50087"/>
    <w:rsid w:val="00F57AE4"/>
    <w:rsid w:val="00F65A82"/>
    <w:rsid w:val="00F67150"/>
    <w:rsid w:val="00F84366"/>
    <w:rsid w:val="00F85089"/>
    <w:rsid w:val="00F85564"/>
    <w:rsid w:val="00F86CFA"/>
    <w:rsid w:val="00FC5644"/>
    <w:rsid w:val="00FC625C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B94484"/>
  <w15:chartTrackingRefBased/>
  <w15:docId w15:val="{C4E8E2C0-2940-48E8-85E1-045B673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340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E56EB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EE56EB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28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smaintelligence.com/research/?file=b9a6e6202ee1d5f787cfebb95d3639c5&amp;download" TargetMode="External"/><Relationship Id="rId1" Type="http://schemas.openxmlformats.org/officeDocument/2006/relationships/hyperlink" Target="https://blog.telegeography.com/voice-traffics-slump-continued-in-a-big-way-last-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e10a323-94a9-4e93-88b4-ea964576960d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A63F1D-D61C-4ECF-B9DD-531520CA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Riz, Imad </cp:lastModifiedBy>
  <cp:revision>7</cp:revision>
  <cp:lastPrinted>2019-09-02T15:23:00Z</cp:lastPrinted>
  <dcterms:created xsi:type="dcterms:W3CDTF">2019-09-02T14:51:00Z</dcterms:created>
  <dcterms:modified xsi:type="dcterms:W3CDTF">2019-09-03T07:02:00Z</dcterms:modified>
  <cp:category>Conference document</cp:category>
</cp:coreProperties>
</file>