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Layout w:type="fixed"/>
        <w:tblLook w:val="0000" w:firstRow="0" w:lastRow="0" w:firstColumn="0" w:lastColumn="0" w:noHBand="0" w:noVBand="0"/>
      </w:tblPr>
      <w:tblGrid>
        <w:gridCol w:w="6345"/>
        <w:gridCol w:w="3492"/>
      </w:tblGrid>
      <w:tr w:rsidR="00923A1B" w14:paraId="6E1681AE" w14:textId="77777777" w:rsidTr="002238C4">
        <w:trPr>
          <w:cantSplit/>
          <w:trHeight w:val="851"/>
        </w:trPr>
        <w:tc>
          <w:tcPr>
            <w:tcW w:w="6345" w:type="dxa"/>
            <w:vAlign w:val="center"/>
          </w:tcPr>
          <w:p w14:paraId="29D32417" w14:textId="02DA68C8" w:rsidR="00923A1B" w:rsidRPr="003737DE" w:rsidRDefault="000854C6" w:rsidP="00E97F02">
            <w:pPr>
              <w:shd w:val="solid" w:color="FFFFFF" w:fill="FFFFFF"/>
              <w:spacing w:before="120" w:after="0"/>
              <w:rPr>
                <w:rFonts w:cs="Times"/>
                <w:b/>
              </w:rPr>
            </w:pPr>
            <w:r>
              <w:rPr>
                <w:rFonts w:cs="Times"/>
                <w:b/>
                <w:sz w:val="32"/>
                <w:szCs w:val="32"/>
              </w:rPr>
              <w:t>Expert Group on the International</w:t>
            </w:r>
            <w:r>
              <w:rPr>
                <w:rFonts w:cs="Times"/>
                <w:b/>
                <w:sz w:val="32"/>
                <w:szCs w:val="32"/>
              </w:rPr>
              <w:br/>
              <w:t>Telecommunication Regulations (EG-ITRs)</w:t>
            </w:r>
          </w:p>
        </w:tc>
        <w:tc>
          <w:tcPr>
            <w:tcW w:w="3492" w:type="dxa"/>
          </w:tcPr>
          <w:p w14:paraId="241C55DB" w14:textId="785EB79F" w:rsidR="00923A1B" w:rsidRDefault="00B36E39" w:rsidP="00E97F02">
            <w:pPr>
              <w:pStyle w:val="dnum"/>
              <w:framePr w:hSpace="0" w:wrap="auto" w:vAnchor="margin" w:hAnchor="text" w:yAlign="inline"/>
              <w:spacing w:before="120" w:after="0"/>
            </w:pPr>
            <w:r>
              <w:rPr>
                <w:noProof/>
              </w:rPr>
              <w:drawing>
                <wp:inline distT="0" distB="0" distL="0" distR="0" wp14:anchorId="64B7344A" wp14:editId="212D8945">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23A1B" w14:paraId="42C1BC8B" w14:textId="77777777" w:rsidTr="00923A1B">
        <w:trPr>
          <w:cantSplit/>
          <w:trHeight w:val="20"/>
        </w:trPr>
        <w:tc>
          <w:tcPr>
            <w:tcW w:w="6345" w:type="dxa"/>
            <w:tcBorders>
              <w:bottom w:val="single" w:sz="12" w:space="0" w:color="auto"/>
            </w:tcBorders>
          </w:tcPr>
          <w:p w14:paraId="7079E938" w14:textId="39A32A31" w:rsidR="00923A1B" w:rsidRPr="003737DE" w:rsidRDefault="000854C6" w:rsidP="000854C6">
            <w:pPr>
              <w:shd w:val="solid" w:color="FFFFFF" w:fill="FFFFFF"/>
              <w:spacing w:after="0"/>
              <w:rPr>
                <w:rFonts w:cs="Times"/>
                <w:b/>
              </w:rPr>
            </w:pPr>
            <w:r>
              <w:rPr>
                <w:b/>
                <w:bCs/>
                <w:sz w:val="24"/>
                <w:szCs w:val="40"/>
              </w:rPr>
              <w:t xml:space="preserve">First meeting - </w:t>
            </w:r>
            <w:r w:rsidRPr="002238C4">
              <w:rPr>
                <w:b/>
                <w:bCs/>
                <w:sz w:val="24"/>
                <w:szCs w:val="40"/>
              </w:rPr>
              <w:t xml:space="preserve">Geneva, </w:t>
            </w:r>
            <w:r>
              <w:rPr>
                <w:b/>
                <w:bCs/>
                <w:sz w:val="24"/>
                <w:szCs w:val="40"/>
              </w:rPr>
              <w:t>16-17 September</w:t>
            </w:r>
            <w:r w:rsidRPr="002238C4">
              <w:rPr>
                <w:b/>
                <w:bCs/>
                <w:sz w:val="24"/>
                <w:szCs w:val="40"/>
              </w:rPr>
              <w:t xml:space="preserve"> 2019</w:t>
            </w:r>
          </w:p>
        </w:tc>
        <w:tc>
          <w:tcPr>
            <w:tcW w:w="3492" w:type="dxa"/>
            <w:tcBorders>
              <w:bottom w:val="single" w:sz="12" w:space="0" w:color="auto"/>
            </w:tcBorders>
          </w:tcPr>
          <w:p w14:paraId="0FF4F0AC" w14:textId="77777777" w:rsidR="00923A1B" w:rsidRDefault="00923A1B" w:rsidP="0025471D">
            <w:pPr>
              <w:pStyle w:val="dnum"/>
              <w:framePr w:hSpace="0" w:wrap="auto" w:vAnchor="margin" w:hAnchor="text" w:yAlign="inline"/>
              <w:spacing w:after="0"/>
              <w:rPr>
                <w:rFonts w:ascii="Verdana" w:hAnsi="Verdana"/>
              </w:rPr>
            </w:pPr>
          </w:p>
        </w:tc>
      </w:tr>
      <w:tr w:rsidR="00923A1B" w:rsidRPr="00F5094D" w14:paraId="406D6FB1" w14:textId="77777777" w:rsidTr="00923A1B">
        <w:trPr>
          <w:cantSplit/>
          <w:trHeight w:val="138"/>
        </w:trPr>
        <w:tc>
          <w:tcPr>
            <w:tcW w:w="6345" w:type="dxa"/>
            <w:tcBorders>
              <w:top w:val="single" w:sz="12" w:space="0" w:color="auto"/>
            </w:tcBorders>
          </w:tcPr>
          <w:p w14:paraId="1D6AF3F8" w14:textId="77777777" w:rsidR="00923A1B" w:rsidRDefault="00923A1B" w:rsidP="0025471D">
            <w:pPr>
              <w:shd w:val="solid" w:color="FFFFFF" w:fill="FFFFFF"/>
              <w:spacing w:after="0"/>
              <w:ind w:right="284"/>
            </w:pPr>
          </w:p>
        </w:tc>
        <w:tc>
          <w:tcPr>
            <w:tcW w:w="3492" w:type="dxa"/>
            <w:tcBorders>
              <w:top w:val="single" w:sz="12" w:space="0" w:color="auto"/>
            </w:tcBorders>
          </w:tcPr>
          <w:p w14:paraId="2B1E31E9"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A42823" w14:paraId="1BBCA794" w14:textId="77777777" w:rsidTr="00923A1B">
        <w:trPr>
          <w:cantSplit/>
          <w:trHeight w:val="138"/>
        </w:trPr>
        <w:tc>
          <w:tcPr>
            <w:tcW w:w="6345" w:type="dxa"/>
          </w:tcPr>
          <w:p w14:paraId="4162AE0B" w14:textId="31302F2B" w:rsidR="00923A1B" w:rsidRPr="002238C4" w:rsidRDefault="00923A1B" w:rsidP="0025471D">
            <w:pPr>
              <w:spacing w:after="0"/>
              <w:rPr>
                <w:b/>
                <w:bCs/>
                <w:sz w:val="24"/>
                <w:szCs w:val="24"/>
              </w:rPr>
            </w:pPr>
          </w:p>
        </w:tc>
        <w:tc>
          <w:tcPr>
            <w:tcW w:w="3492" w:type="dxa"/>
          </w:tcPr>
          <w:p w14:paraId="01BBC68C" w14:textId="3DD1C02C" w:rsidR="00923A1B" w:rsidRPr="002238C4" w:rsidRDefault="00923A1B" w:rsidP="00687530">
            <w:pPr>
              <w:spacing w:after="0"/>
              <w:rPr>
                <w:b/>
                <w:bCs/>
                <w:sz w:val="24"/>
                <w:szCs w:val="24"/>
                <w:lang w:val="es-ES"/>
              </w:rPr>
            </w:pPr>
            <w:proofErr w:type="spellStart"/>
            <w:r w:rsidRPr="002238C4">
              <w:rPr>
                <w:b/>
                <w:bCs/>
                <w:sz w:val="24"/>
                <w:szCs w:val="24"/>
                <w:lang w:val="es-ES"/>
              </w:rPr>
              <w:t>Document</w:t>
            </w:r>
            <w:proofErr w:type="spellEnd"/>
            <w:r w:rsidRPr="002238C4">
              <w:rPr>
                <w:b/>
                <w:bCs/>
                <w:sz w:val="24"/>
                <w:szCs w:val="24"/>
                <w:lang w:val="es-ES"/>
              </w:rPr>
              <w:t xml:space="preserve"> </w:t>
            </w:r>
            <w:r w:rsidR="000854C6">
              <w:rPr>
                <w:b/>
                <w:bCs/>
                <w:sz w:val="24"/>
                <w:szCs w:val="24"/>
                <w:lang w:val="es-ES"/>
              </w:rPr>
              <w:t>EG-ITRs</w:t>
            </w:r>
            <w:r w:rsidR="00687530">
              <w:rPr>
                <w:b/>
                <w:bCs/>
                <w:sz w:val="24"/>
                <w:szCs w:val="24"/>
                <w:lang w:val="es-ES"/>
              </w:rPr>
              <w:t>-1/</w:t>
            </w:r>
            <w:r w:rsidR="00E41B72">
              <w:rPr>
                <w:b/>
                <w:bCs/>
                <w:sz w:val="24"/>
                <w:szCs w:val="24"/>
                <w:lang w:val="es-ES"/>
              </w:rPr>
              <w:t>5</w:t>
            </w:r>
            <w:r w:rsidR="000854C6">
              <w:rPr>
                <w:b/>
                <w:bCs/>
                <w:sz w:val="24"/>
                <w:szCs w:val="24"/>
                <w:lang w:val="es-ES"/>
              </w:rPr>
              <w:t>-E</w:t>
            </w:r>
          </w:p>
        </w:tc>
      </w:tr>
      <w:tr w:rsidR="00923A1B" w:rsidRPr="003737DE" w14:paraId="100AEFFF" w14:textId="77777777" w:rsidTr="00923A1B">
        <w:trPr>
          <w:cantSplit/>
          <w:trHeight w:val="138"/>
        </w:trPr>
        <w:tc>
          <w:tcPr>
            <w:tcW w:w="6345" w:type="dxa"/>
          </w:tcPr>
          <w:p w14:paraId="2F758D85" w14:textId="77777777" w:rsidR="00923A1B" w:rsidRDefault="00923A1B" w:rsidP="0025471D">
            <w:pPr>
              <w:shd w:val="solid" w:color="FFFFFF" w:fill="FFFFFF"/>
              <w:spacing w:after="0"/>
              <w:ind w:right="284"/>
              <w:rPr>
                <w:lang w:val="es-ES"/>
              </w:rPr>
            </w:pPr>
          </w:p>
        </w:tc>
        <w:tc>
          <w:tcPr>
            <w:tcW w:w="3492" w:type="dxa"/>
          </w:tcPr>
          <w:p w14:paraId="4BC2ED00" w14:textId="17AD566C" w:rsidR="00923A1B" w:rsidRPr="002238C4" w:rsidRDefault="00E97F02" w:rsidP="00E97F02">
            <w:pPr>
              <w:tabs>
                <w:tab w:val="left" w:pos="851"/>
              </w:tabs>
              <w:spacing w:after="0"/>
              <w:ind w:right="284"/>
              <w:rPr>
                <w:b/>
                <w:sz w:val="24"/>
                <w:szCs w:val="24"/>
              </w:rPr>
            </w:pPr>
            <w:r>
              <w:rPr>
                <w:b/>
                <w:sz w:val="24"/>
                <w:szCs w:val="24"/>
              </w:rPr>
              <w:t>28 August</w:t>
            </w:r>
            <w:r w:rsidR="000854C6">
              <w:rPr>
                <w:b/>
                <w:sz w:val="24"/>
                <w:szCs w:val="24"/>
              </w:rPr>
              <w:t xml:space="preserve"> </w:t>
            </w:r>
            <w:r w:rsidR="00923A1B" w:rsidRPr="002238C4">
              <w:rPr>
                <w:b/>
                <w:sz w:val="24"/>
                <w:szCs w:val="24"/>
              </w:rPr>
              <w:t>2019</w:t>
            </w:r>
          </w:p>
        </w:tc>
      </w:tr>
      <w:tr w:rsidR="00923A1B" w:rsidRPr="003737DE" w14:paraId="71FD0A17" w14:textId="77777777" w:rsidTr="00923A1B">
        <w:trPr>
          <w:cantSplit/>
          <w:trHeight w:val="138"/>
        </w:trPr>
        <w:tc>
          <w:tcPr>
            <w:tcW w:w="6345" w:type="dxa"/>
          </w:tcPr>
          <w:p w14:paraId="0EA5B8B2" w14:textId="77777777" w:rsidR="00923A1B" w:rsidRDefault="00923A1B" w:rsidP="0025471D">
            <w:pPr>
              <w:shd w:val="solid" w:color="FFFFFF" w:fill="FFFFFF"/>
              <w:spacing w:after="0"/>
              <w:ind w:right="284"/>
            </w:pPr>
          </w:p>
        </w:tc>
        <w:tc>
          <w:tcPr>
            <w:tcW w:w="3492" w:type="dxa"/>
          </w:tcPr>
          <w:p w14:paraId="06AB3AD7" w14:textId="73CD2E3B" w:rsidR="00923A1B" w:rsidRPr="002238C4" w:rsidRDefault="00687530" w:rsidP="0025471D">
            <w:pPr>
              <w:tabs>
                <w:tab w:val="left" w:pos="851"/>
              </w:tabs>
              <w:spacing w:after="0"/>
              <w:ind w:right="284"/>
              <w:rPr>
                <w:b/>
                <w:sz w:val="24"/>
                <w:szCs w:val="24"/>
              </w:rPr>
            </w:pPr>
            <w:r>
              <w:rPr>
                <w:b/>
                <w:sz w:val="24"/>
                <w:szCs w:val="24"/>
              </w:rPr>
              <w:t xml:space="preserve">Original: </w:t>
            </w:r>
            <w:r w:rsidR="002238C4">
              <w:rPr>
                <w:b/>
                <w:sz w:val="24"/>
                <w:szCs w:val="24"/>
              </w:rPr>
              <w:t>Englis</w:t>
            </w:r>
            <w:r>
              <w:rPr>
                <w:b/>
                <w:sz w:val="24"/>
                <w:szCs w:val="24"/>
              </w:rPr>
              <w:t>h</w:t>
            </w:r>
            <w:bookmarkStart w:id="0" w:name="_GoBack"/>
            <w:bookmarkEnd w:id="0"/>
          </w:p>
        </w:tc>
      </w:tr>
      <w:tr w:rsidR="000854C6" w:rsidRPr="003737DE" w14:paraId="2CF60B2A" w14:textId="77777777" w:rsidTr="00372CD6">
        <w:trPr>
          <w:cantSplit/>
          <w:trHeight w:val="138"/>
        </w:trPr>
        <w:tc>
          <w:tcPr>
            <w:tcW w:w="9837" w:type="dxa"/>
            <w:gridSpan w:val="2"/>
          </w:tcPr>
          <w:p w14:paraId="2B7E725C" w14:textId="6FD934CA" w:rsidR="000854C6" w:rsidRDefault="000F1F57" w:rsidP="000854C6">
            <w:pPr>
              <w:pStyle w:val="Source"/>
            </w:pPr>
            <w:r>
              <w:t xml:space="preserve">Canada and the </w:t>
            </w:r>
            <w:r w:rsidR="00CB5F63">
              <w:t>United States of America</w:t>
            </w:r>
          </w:p>
        </w:tc>
      </w:tr>
      <w:tr w:rsidR="000854C6" w:rsidRPr="003737DE" w14:paraId="27824CBA" w14:textId="77777777" w:rsidTr="00372CD6">
        <w:trPr>
          <w:cantSplit/>
          <w:trHeight w:val="138"/>
        </w:trPr>
        <w:tc>
          <w:tcPr>
            <w:tcW w:w="9837" w:type="dxa"/>
            <w:gridSpan w:val="2"/>
          </w:tcPr>
          <w:p w14:paraId="11774442" w14:textId="483266D3" w:rsidR="00CB5F63" w:rsidRPr="00CB5F63" w:rsidRDefault="00CB5F63" w:rsidP="00E41B72">
            <w:pPr>
              <w:pStyle w:val="Title2"/>
              <w:spacing w:after="360"/>
            </w:pPr>
            <w:r w:rsidRPr="00CB5F63">
              <w:t xml:space="preserve">Views on the </w:t>
            </w:r>
            <w:r w:rsidR="00764917" w:rsidRPr="00CB5F63">
              <w:t>COMPREH</w:t>
            </w:r>
            <w:r w:rsidR="00764917">
              <w:t>E</w:t>
            </w:r>
            <w:r w:rsidR="00764917" w:rsidRPr="00CB5F63">
              <w:t xml:space="preserve">NSIVE </w:t>
            </w:r>
            <w:r w:rsidRPr="00CB5F63">
              <w:t>Review of the International Telecommunication Regulations</w:t>
            </w:r>
          </w:p>
        </w:tc>
      </w:tr>
    </w:tbl>
    <w:p w14:paraId="4FEAFE15" w14:textId="4C781439" w:rsidR="00CB5F63" w:rsidRDefault="00CB5F63" w:rsidP="00271044">
      <w:pPr>
        <w:rPr>
          <w:b/>
          <w:sz w:val="28"/>
          <w:szCs w:val="28"/>
        </w:rPr>
      </w:pPr>
      <w:r w:rsidRPr="00CB5F63">
        <w:rPr>
          <w:b/>
          <w:sz w:val="28"/>
          <w:szCs w:val="28"/>
        </w:rPr>
        <w:t>Introduction</w:t>
      </w:r>
    </w:p>
    <w:p w14:paraId="305354BA" w14:textId="31C229D6" w:rsidR="00172EE6" w:rsidRDefault="000F1F57" w:rsidP="00271044">
      <w:pPr>
        <w:rPr>
          <w:sz w:val="24"/>
          <w:szCs w:val="24"/>
        </w:rPr>
      </w:pPr>
      <w:r>
        <w:rPr>
          <w:sz w:val="24"/>
          <w:szCs w:val="24"/>
        </w:rPr>
        <w:t>Canada and t</w:t>
      </w:r>
      <w:r w:rsidR="00172EE6" w:rsidRPr="00172EE6">
        <w:rPr>
          <w:sz w:val="24"/>
          <w:szCs w:val="24"/>
        </w:rPr>
        <w:t xml:space="preserve">he United States </w:t>
      </w:r>
      <w:r>
        <w:rPr>
          <w:sz w:val="24"/>
          <w:szCs w:val="24"/>
        </w:rPr>
        <w:t>are</w:t>
      </w:r>
      <w:r w:rsidR="00172EE6" w:rsidRPr="00172EE6">
        <w:rPr>
          <w:sz w:val="24"/>
          <w:szCs w:val="24"/>
        </w:rPr>
        <w:t xml:space="preserve"> pleased to participate in the review of the International Telecommunication Regulations (ITRs) by the Expert Group on the International Telecommunication Regulations (EG-ITRs). Pursuant to the Terms of Reference of the EG-ITRs,</w:t>
      </w:r>
      <w:r w:rsidR="00172EE6" w:rsidRPr="00D65EC8">
        <w:rPr>
          <w:sz w:val="18"/>
          <w:szCs w:val="18"/>
          <w:vertAlign w:val="superscript"/>
        </w:rPr>
        <w:footnoteReference w:id="1"/>
      </w:r>
      <w:r w:rsidR="00172EE6" w:rsidRPr="00172EE6">
        <w:rPr>
          <w:sz w:val="24"/>
          <w:szCs w:val="24"/>
        </w:rPr>
        <w:t xml:space="preserve"> we present our views on the issues that are essential to the comprehensive provision</w:t>
      </w:r>
      <w:r w:rsidR="00764917">
        <w:rPr>
          <w:sz w:val="24"/>
          <w:szCs w:val="24"/>
        </w:rPr>
        <w:t>-</w:t>
      </w:r>
      <w:r w:rsidR="00172EE6" w:rsidRPr="00172EE6">
        <w:rPr>
          <w:sz w:val="24"/>
          <w:szCs w:val="24"/>
        </w:rPr>
        <w:t>by</w:t>
      </w:r>
      <w:r w:rsidR="00764917">
        <w:rPr>
          <w:sz w:val="24"/>
          <w:szCs w:val="24"/>
        </w:rPr>
        <w:t>-</w:t>
      </w:r>
      <w:r w:rsidR="00172EE6" w:rsidRPr="00172EE6">
        <w:rPr>
          <w:sz w:val="24"/>
          <w:szCs w:val="24"/>
        </w:rPr>
        <w:t>provision review of the ITRs: (1</w:t>
      </w:r>
      <w:bookmarkStart w:id="1" w:name="_Hlk16591148"/>
      <w:r w:rsidR="00172EE6" w:rsidRPr="00172EE6">
        <w:rPr>
          <w:sz w:val="24"/>
          <w:szCs w:val="24"/>
        </w:rPr>
        <w:t xml:space="preserve">) applicability of the 2012 ITRs in fostering development and the provision of international telecommunication/ICT services and networks </w:t>
      </w:r>
      <w:bookmarkEnd w:id="1"/>
      <w:r w:rsidR="00172EE6" w:rsidRPr="00172EE6">
        <w:rPr>
          <w:sz w:val="24"/>
          <w:szCs w:val="24"/>
        </w:rPr>
        <w:t>and, (2) flexibility of, or lack thereof, the provisions of the ITRs to accommodate new trends in telecommunications/ICT and emerging issues</w:t>
      </w:r>
      <w:r w:rsidR="00764917">
        <w:rPr>
          <w:sz w:val="24"/>
          <w:szCs w:val="24"/>
        </w:rPr>
        <w:t xml:space="preserve"> in international telecommunications/ICT environment</w:t>
      </w:r>
      <w:r w:rsidR="00172EE6" w:rsidRPr="00172EE6">
        <w:rPr>
          <w:sz w:val="24"/>
          <w:szCs w:val="24"/>
        </w:rPr>
        <w:t xml:space="preserve">. </w:t>
      </w:r>
    </w:p>
    <w:p w14:paraId="12FC2ACD" w14:textId="4FF211C0" w:rsidR="00172EE6" w:rsidRPr="00172EE6" w:rsidRDefault="00172EE6" w:rsidP="00271044">
      <w:pPr>
        <w:rPr>
          <w:b/>
          <w:sz w:val="28"/>
          <w:szCs w:val="28"/>
        </w:rPr>
      </w:pPr>
      <w:r w:rsidRPr="00172EE6">
        <w:rPr>
          <w:b/>
          <w:sz w:val="28"/>
          <w:szCs w:val="28"/>
        </w:rPr>
        <w:t>Discussions</w:t>
      </w:r>
    </w:p>
    <w:p w14:paraId="4BEB7028" w14:textId="77777777" w:rsidR="00E41B72" w:rsidRDefault="009B659B" w:rsidP="00271044">
      <w:pPr>
        <w:spacing w:before="240" w:after="0"/>
        <w:rPr>
          <w:sz w:val="24"/>
          <w:szCs w:val="24"/>
        </w:rPr>
      </w:pPr>
      <w:r w:rsidRPr="009B659B">
        <w:rPr>
          <w:b/>
          <w:sz w:val="24"/>
          <w:szCs w:val="24"/>
        </w:rPr>
        <w:t>“Applicability of the 2012 ITRs in fostering development and the provision of international telecommunication/ICT services and networks”</w:t>
      </w:r>
      <w:r w:rsidR="00172EE6" w:rsidRPr="00172EE6">
        <w:rPr>
          <w:b/>
          <w:sz w:val="24"/>
          <w:szCs w:val="24"/>
        </w:rPr>
        <w:t>:</w:t>
      </w:r>
      <w:r w:rsidR="00172EE6" w:rsidRPr="00172EE6">
        <w:rPr>
          <w:sz w:val="24"/>
          <w:szCs w:val="24"/>
        </w:rPr>
        <w:t xml:space="preserve"> </w:t>
      </w:r>
      <w:r w:rsidR="000F1F57">
        <w:rPr>
          <w:sz w:val="24"/>
          <w:szCs w:val="24"/>
        </w:rPr>
        <w:t>Canada and t</w:t>
      </w:r>
      <w:r w:rsidR="00172EE6" w:rsidRPr="00172EE6">
        <w:rPr>
          <w:sz w:val="24"/>
          <w:szCs w:val="24"/>
        </w:rPr>
        <w:t xml:space="preserve">he United States continue to believe that the ITRs are no longer applicable or relevant to </w:t>
      </w:r>
      <w:r w:rsidR="00B1480D">
        <w:rPr>
          <w:sz w:val="24"/>
          <w:szCs w:val="24"/>
        </w:rPr>
        <w:t>most</w:t>
      </w:r>
      <w:r w:rsidR="006F33B8">
        <w:rPr>
          <w:sz w:val="24"/>
          <w:szCs w:val="24"/>
        </w:rPr>
        <w:t xml:space="preserve"> </w:t>
      </w:r>
      <w:r w:rsidR="00172EE6" w:rsidRPr="00172EE6">
        <w:rPr>
          <w:sz w:val="24"/>
          <w:szCs w:val="24"/>
        </w:rPr>
        <w:t xml:space="preserve">international </w:t>
      </w:r>
      <w:r w:rsidR="00172EE6" w:rsidRPr="00172EE6">
        <w:rPr>
          <w:sz w:val="24"/>
          <w:szCs w:val="24"/>
        </w:rPr>
        <w:lastRenderedPageBreak/>
        <w:t>communications traffic. The ITRs were essential to the provision and operation of international telecommunication services in the monopoly era. However, this monopolistic environment has disappeared in most countries, along with the rationale for a treaty addressing its potential effects on international telecommunications services</w:t>
      </w:r>
      <w:r w:rsidR="00172EE6">
        <w:rPr>
          <w:sz w:val="24"/>
          <w:szCs w:val="24"/>
        </w:rPr>
        <w:t>.</w:t>
      </w:r>
    </w:p>
    <w:p w14:paraId="55734DF7" w14:textId="7C73C9C4" w:rsidR="00172EE6" w:rsidRDefault="00172EE6" w:rsidP="00E41B72">
      <w:pPr>
        <w:spacing w:before="240" w:after="0"/>
        <w:rPr>
          <w:sz w:val="24"/>
          <w:szCs w:val="24"/>
        </w:rPr>
      </w:pPr>
      <w:r w:rsidRPr="00172EE6">
        <w:rPr>
          <w:sz w:val="24"/>
          <w:szCs w:val="24"/>
        </w:rPr>
        <w:t xml:space="preserve">In </w:t>
      </w:r>
      <w:r w:rsidR="00B1480D">
        <w:rPr>
          <w:sz w:val="24"/>
          <w:szCs w:val="24"/>
        </w:rPr>
        <w:t xml:space="preserve">the </w:t>
      </w:r>
      <w:r w:rsidRPr="00172EE6">
        <w:rPr>
          <w:sz w:val="24"/>
          <w:szCs w:val="24"/>
        </w:rPr>
        <w:t>last three decades</w:t>
      </w:r>
      <w:r w:rsidR="00B1480D">
        <w:rPr>
          <w:sz w:val="24"/>
          <w:szCs w:val="24"/>
        </w:rPr>
        <w:t>, the</w:t>
      </w:r>
      <w:r w:rsidRPr="00172EE6">
        <w:rPr>
          <w:sz w:val="24"/>
          <w:szCs w:val="24"/>
        </w:rPr>
        <w:t xml:space="preserve"> telecommunication/ICT landscape </w:t>
      </w:r>
      <w:r w:rsidR="00B1480D">
        <w:rPr>
          <w:sz w:val="24"/>
          <w:szCs w:val="24"/>
        </w:rPr>
        <w:t xml:space="preserve">has </w:t>
      </w:r>
      <w:r w:rsidRPr="00172EE6">
        <w:rPr>
          <w:sz w:val="24"/>
          <w:szCs w:val="24"/>
        </w:rPr>
        <w:t xml:space="preserve">experienced fundamental changes. The primary focus of the ITRs, </w:t>
      </w:r>
      <w:bookmarkStart w:id="2" w:name="_Hlk16526908"/>
      <w:r w:rsidRPr="00172EE6">
        <w:rPr>
          <w:sz w:val="24"/>
          <w:szCs w:val="24"/>
        </w:rPr>
        <w:t xml:space="preserve">fixed line telephone service and international voice </w:t>
      </w:r>
      <w:r w:rsidR="006F33B8" w:rsidRPr="00172EE6">
        <w:rPr>
          <w:sz w:val="24"/>
          <w:szCs w:val="24"/>
        </w:rPr>
        <w:t>traffic</w:t>
      </w:r>
      <w:bookmarkEnd w:id="2"/>
      <w:r w:rsidR="006F33B8">
        <w:rPr>
          <w:sz w:val="24"/>
          <w:szCs w:val="24"/>
        </w:rPr>
        <w:t xml:space="preserve">, </w:t>
      </w:r>
      <w:r w:rsidR="006F33B8" w:rsidRPr="00172EE6">
        <w:rPr>
          <w:sz w:val="24"/>
          <w:szCs w:val="24"/>
        </w:rPr>
        <w:t>has</w:t>
      </w:r>
      <w:r w:rsidRPr="00172EE6">
        <w:rPr>
          <w:sz w:val="24"/>
          <w:szCs w:val="24"/>
        </w:rPr>
        <w:t xml:space="preserve"> given way to mobile cellular subscription and usages.</w:t>
      </w:r>
      <w:r w:rsidR="00271044">
        <w:rPr>
          <w:sz w:val="24"/>
          <w:szCs w:val="24"/>
        </w:rPr>
        <w:t xml:space="preserve"> </w:t>
      </w:r>
      <w:r w:rsidRPr="00172EE6">
        <w:rPr>
          <w:sz w:val="24"/>
          <w:szCs w:val="24"/>
        </w:rPr>
        <w:t>For instance, between 2010 and 2016 fixed line telephone subscribers and international voice traffic declined by 4.4 and 3.6 percent</w:t>
      </w:r>
      <w:r w:rsidR="00121A83">
        <w:rPr>
          <w:sz w:val="24"/>
          <w:szCs w:val="24"/>
        </w:rPr>
        <w:t>,</w:t>
      </w:r>
      <w:r w:rsidRPr="00172EE6">
        <w:rPr>
          <w:sz w:val="24"/>
          <w:szCs w:val="24"/>
        </w:rPr>
        <w:t xml:space="preserve"> respectively. At </w:t>
      </w:r>
      <w:r w:rsidR="00B1480D">
        <w:rPr>
          <w:sz w:val="24"/>
          <w:szCs w:val="24"/>
        </w:rPr>
        <w:t xml:space="preserve">the </w:t>
      </w:r>
      <w:r w:rsidRPr="00172EE6">
        <w:rPr>
          <w:sz w:val="24"/>
          <w:szCs w:val="24"/>
        </w:rPr>
        <w:t>same time</w:t>
      </w:r>
      <w:r w:rsidR="00B1480D">
        <w:rPr>
          <w:sz w:val="24"/>
          <w:szCs w:val="24"/>
        </w:rPr>
        <w:t>,</w:t>
      </w:r>
      <w:r w:rsidRPr="00172EE6">
        <w:rPr>
          <w:sz w:val="24"/>
          <w:szCs w:val="24"/>
        </w:rPr>
        <w:t xml:space="preserve"> mobile telephone subscription and domestic mobile traffic increased by 4.8 and 3 percent</w:t>
      </w:r>
      <w:r w:rsidR="00121A83">
        <w:rPr>
          <w:sz w:val="24"/>
          <w:szCs w:val="24"/>
        </w:rPr>
        <w:t>,</w:t>
      </w:r>
      <w:r w:rsidRPr="00172EE6">
        <w:rPr>
          <w:sz w:val="24"/>
          <w:szCs w:val="24"/>
        </w:rPr>
        <w:t xml:space="preserve"> respectively</w:t>
      </w:r>
      <w:r w:rsidR="00CE5FC1">
        <w:rPr>
          <w:sz w:val="24"/>
          <w:szCs w:val="24"/>
        </w:rPr>
        <w:t>.</w:t>
      </w:r>
      <w:r w:rsidRPr="00D65EC8">
        <w:rPr>
          <w:sz w:val="18"/>
          <w:szCs w:val="18"/>
          <w:vertAlign w:val="superscript"/>
        </w:rPr>
        <w:footnoteReference w:id="2"/>
      </w:r>
      <w:r w:rsidRPr="00D65EC8">
        <w:rPr>
          <w:sz w:val="18"/>
          <w:szCs w:val="18"/>
          <w:vertAlign w:val="superscript"/>
        </w:rPr>
        <w:t>.</w:t>
      </w:r>
      <w:r w:rsidRPr="00172EE6">
        <w:rPr>
          <w:sz w:val="24"/>
          <w:szCs w:val="24"/>
        </w:rPr>
        <w:t xml:space="preserve"> With 7.4 billion worldwide subscriptions, mobile has far surpassed the world population and fixed line subscriptions. The robust growth in mobile communications</w:t>
      </w:r>
      <w:r w:rsidR="00F0294C">
        <w:rPr>
          <w:sz w:val="24"/>
          <w:szCs w:val="24"/>
        </w:rPr>
        <w:t>,</w:t>
      </w:r>
      <w:r w:rsidRPr="00172EE6">
        <w:rPr>
          <w:sz w:val="24"/>
          <w:szCs w:val="24"/>
        </w:rPr>
        <w:t xml:space="preserve"> together with a competitive market environment</w:t>
      </w:r>
      <w:r w:rsidR="00E51741">
        <w:rPr>
          <w:sz w:val="24"/>
          <w:szCs w:val="24"/>
        </w:rPr>
        <w:t>,</w:t>
      </w:r>
      <w:r w:rsidRPr="00172EE6">
        <w:rPr>
          <w:sz w:val="24"/>
          <w:szCs w:val="24"/>
        </w:rPr>
        <w:t xml:space="preserve"> ha</w:t>
      </w:r>
      <w:r w:rsidR="00E51741">
        <w:rPr>
          <w:sz w:val="24"/>
          <w:szCs w:val="24"/>
        </w:rPr>
        <w:t>s</w:t>
      </w:r>
      <w:r w:rsidRPr="00172EE6">
        <w:rPr>
          <w:sz w:val="24"/>
          <w:szCs w:val="24"/>
        </w:rPr>
        <w:t xml:space="preserve"> encouraged new usage</w:t>
      </w:r>
      <w:r w:rsidR="00CE5FC1">
        <w:rPr>
          <w:sz w:val="24"/>
          <w:szCs w:val="24"/>
        </w:rPr>
        <w:t>s</w:t>
      </w:r>
      <w:r w:rsidRPr="00172EE6">
        <w:rPr>
          <w:sz w:val="24"/>
          <w:szCs w:val="24"/>
        </w:rPr>
        <w:t>, applications and innovation</w:t>
      </w:r>
      <w:r w:rsidR="00CE5FC1">
        <w:rPr>
          <w:sz w:val="24"/>
          <w:szCs w:val="24"/>
        </w:rPr>
        <w:t>s</w:t>
      </w:r>
      <w:r w:rsidRPr="00172EE6">
        <w:rPr>
          <w:sz w:val="24"/>
          <w:szCs w:val="24"/>
        </w:rPr>
        <w:t xml:space="preserve"> facilitating the emergence of application and digital economies.</w:t>
      </w:r>
      <w:r w:rsidR="00CE5FC1">
        <w:rPr>
          <w:sz w:val="24"/>
          <w:szCs w:val="24"/>
        </w:rPr>
        <w:t xml:space="preserve">  </w:t>
      </w:r>
      <w:r w:rsidR="00484F0A">
        <w:rPr>
          <w:sz w:val="24"/>
          <w:szCs w:val="24"/>
        </w:rPr>
        <w:t>According to a recent report</w:t>
      </w:r>
      <w:r w:rsidR="00D65EC8">
        <w:rPr>
          <w:sz w:val="24"/>
          <w:szCs w:val="24"/>
        </w:rPr>
        <w:t xml:space="preserve">, </w:t>
      </w:r>
      <w:r w:rsidR="00484F0A">
        <w:rPr>
          <w:sz w:val="24"/>
          <w:szCs w:val="24"/>
        </w:rPr>
        <w:t xml:space="preserve">5G mobile technology </w:t>
      </w:r>
      <w:proofErr w:type="gramStart"/>
      <w:r w:rsidR="00484F0A">
        <w:rPr>
          <w:sz w:val="24"/>
          <w:szCs w:val="24"/>
        </w:rPr>
        <w:t>is expected</w:t>
      </w:r>
      <w:proofErr w:type="gramEnd"/>
      <w:r w:rsidR="00484F0A">
        <w:rPr>
          <w:sz w:val="24"/>
          <w:szCs w:val="24"/>
        </w:rPr>
        <w:t xml:space="preserve"> to add $2.2 trillion </w:t>
      </w:r>
      <w:r w:rsidR="006F33B8">
        <w:rPr>
          <w:sz w:val="24"/>
          <w:szCs w:val="24"/>
        </w:rPr>
        <w:t xml:space="preserve">to global economy </w:t>
      </w:r>
      <w:r w:rsidR="00484F0A">
        <w:rPr>
          <w:sz w:val="24"/>
          <w:szCs w:val="24"/>
        </w:rPr>
        <w:t>over next fifteen years.</w:t>
      </w:r>
      <w:r w:rsidR="00121A83">
        <w:rPr>
          <w:rStyle w:val="FootnoteReference"/>
          <w:szCs w:val="24"/>
        </w:rPr>
        <w:footnoteReference w:id="3"/>
      </w:r>
    </w:p>
    <w:p w14:paraId="1E4601FE" w14:textId="77777777" w:rsidR="00D856CB" w:rsidRPr="00172EE6" w:rsidRDefault="00D856CB" w:rsidP="00271044">
      <w:pPr>
        <w:spacing w:after="0"/>
        <w:rPr>
          <w:sz w:val="24"/>
          <w:szCs w:val="24"/>
        </w:rPr>
      </w:pPr>
    </w:p>
    <w:p w14:paraId="08C250C6" w14:textId="05B52CE8" w:rsidR="007640E3" w:rsidRDefault="00172EE6" w:rsidP="00E41B72">
      <w:pPr>
        <w:rPr>
          <w:sz w:val="24"/>
          <w:szCs w:val="24"/>
        </w:rPr>
      </w:pPr>
      <w:r w:rsidRPr="00172EE6">
        <w:rPr>
          <w:sz w:val="24"/>
          <w:szCs w:val="24"/>
        </w:rPr>
        <w:t>According to ITU</w:t>
      </w:r>
      <w:r w:rsidR="004473BA">
        <w:rPr>
          <w:sz w:val="24"/>
          <w:szCs w:val="24"/>
        </w:rPr>
        <w:t>,</w:t>
      </w:r>
      <w:r w:rsidRPr="00172EE6">
        <w:rPr>
          <w:sz w:val="24"/>
          <w:szCs w:val="24"/>
        </w:rPr>
        <w:t xml:space="preserve"> the continuing transformation of the telecommunication/ICT sector will lead to </w:t>
      </w:r>
      <w:r w:rsidR="004473BA">
        <w:rPr>
          <w:sz w:val="24"/>
          <w:szCs w:val="24"/>
        </w:rPr>
        <w:t xml:space="preserve">the </w:t>
      </w:r>
      <w:r w:rsidRPr="00172EE6">
        <w:rPr>
          <w:sz w:val="24"/>
          <w:szCs w:val="24"/>
        </w:rPr>
        <w:t xml:space="preserve">full integration of the ICT sector in </w:t>
      </w:r>
      <w:r w:rsidRPr="00172EE6">
        <w:rPr>
          <w:sz w:val="24"/>
          <w:szCs w:val="24"/>
        </w:rPr>
        <w:lastRenderedPageBreak/>
        <w:t>the digital economy</w:t>
      </w:r>
      <w:r w:rsidR="004473BA">
        <w:rPr>
          <w:sz w:val="24"/>
          <w:szCs w:val="24"/>
        </w:rPr>
        <w:t>,</w:t>
      </w:r>
      <w:r w:rsidRPr="00172EE6">
        <w:rPr>
          <w:sz w:val="24"/>
          <w:szCs w:val="24"/>
        </w:rPr>
        <w:t xml:space="preserve"> diluting the identity </w:t>
      </w:r>
      <w:r w:rsidR="004473BA">
        <w:rPr>
          <w:sz w:val="24"/>
          <w:szCs w:val="24"/>
        </w:rPr>
        <w:t xml:space="preserve">of </w:t>
      </w:r>
      <w:r w:rsidRPr="00172EE6">
        <w:rPr>
          <w:sz w:val="24"/>
          <w:szCs w:val="24"/>
        </w:rPr>
        <w:t>telecommunication/ICT as a</w:t>
      </w:r>
      <w:r w:rsidR="004473BA">
        <w:rPr>
          <w:sz w:val="24"/>
          <w:szCs w:val="24"/>
        </w:rPr>
        <w:t xml:space="preserve"> distinct</w:t>
      </w:r>
      <w:r w:rsidRPr="00172EE6">
        <w:rPr>
          <w:sz w:val="24"/>
          <w:szCs w:val="24"/>
        </w:rPr>
        <w:t xml:space="preserve"> sector</w:t>
      </w:r>
      <w:r w:rsidR="004473BA">
        <w:rPr>
          <w:sz w:val="24"/>
          <w:szCs w:val="24"/>
        </w:rPr>
        <w:t xml:space="preserve"> of the economy</w:t>
      </w:r>
      <w:r w:rsidRPr="00172EE6">
        <w:rPr>
          <w:sz w:val="24"/>
          <w:szCs w:val="24"/>
        </w:rPr>
        <w:t>.</w:t>
      </w:r>
      <w:r w:rsidRPr="00D65EC8">
        <w:rPr>
          <w:sz w:val="24"/>
          <w:szCs w:val="24"/>
          <w:vertAlign w:val="superscript"/>
        </w:rPr>
        <w:footnoteReference w:id="4"/>
      </w:r>
      <w:r w:rsidRPr="00172EE6">
        <w:rPr>
          <w:sz w:val="24"/>
          <w:szCs w:val="24"/>
        </w:rPr>
        <w:t xml:space="preserve"> </w:t>
      </w:r>
      <w:r w:rsidR="00D9644E">
        <w:rPr>
          <w:sz w:val="24"/>
          <w:szCs w:val="24"/>
        </w:rPr>
        <w:t>I</w:t>
      </w:r>
      <w:r w:rsidRPr="00172EE6">
        <w:rPr>
          <w:sz w:val="24"/>
          <w:szCs w:val="24"/>
        </w:rPr>
        <w:t>t is not clear what role, if any, a sector</w:t>
      </w:r>
      <w:r w:rsidR="004473BA">
        <w:rPr>
          <w:sz w:val="24"/>
          <w:szCs w:val="24"/>
        </w:rPr>
        <w:t>-</w:t>
      </w:r>
      <w:r w:rsidRPr="00172EE6">
        <w:rPr>
          <w:sz w:val="24"/>
          <w:szCs w:val="24"/>
        </w:rPr>
        <w:t>specific legal instrument like the ITRs can</w:t>
      </w:r>
      <w:r w:rsidR="004473BA">
        <w:rPr>
          <w:sz w:val="24"/>
          <w:szCs w:val="24"/>
        </w:rPr>
        <w:t xml:space="preserve"> and should</w:t>
      </w:r>
      <w:r w:rsidRPr="00172EE6">
        <w:rPr>
          <w:sz w:val="24"/>
          <w:szCs w:val="24"/>
        </w:rPr>
        <w:t xml:space="preserve"> play to address present and future problems.</w:t>
      </w:r>
    </w:p>
    <w:p w14:paraId="41A38885" w14:textId="2DAEB249" w:rsidR="00093186" w:rsidRDefault="000F1F57" w:rsidP="00271044">
      <w:pPr>
        <w:rPr>
          <w:sz w:val="24"/>
          <w:szCs w:val="24"/>
        </w:rPr>
      </w:pPr>
      <w:r>
        <w:rPr>
          <w:b/>
          <w:sz w:val="24"/>
          <w:szCs w:val="24"/>
        </w:rPr>
        <w:t>”</w:t>
      </w:r>
      <w:r w:rsidRPr="007640E3">
        <w:rPr>
          <w:b/>
          <w:sz w:val="24"/>
          <w:szCs w:val="24"/>
        </w:rPr>
        <w:t xml:space="preserve"> Flexibility</w:t>
      </w:r>
      <w:r w:rsidR="00CE5FC1">
        <w:rPr>
          <w:b/>
          <w:sz w:val="24"/>
          <w:szCs w:val="24"/>
        </w:rPr>
        <w:t xml:space="preserve">, </w:t>
      </w:r>
      <w:r w:rsidR="007640E3" w:rsidRPr="007640E3">
        <w:rPr>
          <w:b/>
          <w:sz w:val="24"/>
          <w:szCs w:val="24"/>
        </w:rPr>
        <w:t>or lack thereof</w:t>
      </w:r>
      <w:r w:rsidR="00CE5FC1">
        <w:rPr>
          <w:b/>
          <w:sz w:val="24"/>
          <w:szCs w:val="24"/>
        </w:rPr>
        <w:t>,</w:t>
      </w:r>
      <w:r w:rsidR="007640E3" w:rsidRPr="007640E3">
        <w:rPr>
          <w:b/>
          <w:sz w:val="24"/>
          <w:szCs w:val="24"/>
        </w:rPr>
        <w:t xml:space="preserve"> </w:t>
      </w:r>
      <w:r w:rsidR="00121A83">
        <w:rPr>
          <w:b/>
          <w:sz w:val="24"/>
          <w:szCs w:val="24"/>
        </w:rPr>
        <w:t xml:space="preserve">of </w:t>
      </w:r>
      <w:r w:rsidR="007640E3" w:rsidRPr="007640E3">
        <w:rPr>
          <w:b/>
          <w:sz w:val="24"/>
          <w:szCs w:val="24"/>
        </w:rPr>
        <w:t>the ITRs provisions</w:t>
      </w:r>
      <w:proofErr w:type="gramStart"/>
      <w:r w:rsidR="009B659B">
        <w:rPr>
          <w:b/>
          <w:sz w:val="24"/>
          <w:szCs w:val="24"/>
        </w:rPr>
        <w:t>”</w:t>
      </w:r>
      <w:r w:rsidR="007640E3" w:rsidRPr="007640E3">
        <w:rPr>
          <w:b/>
          <w:sz w:val="24"/>
          <w:szCs w:val="24"/>
        </w:rPr>
        <w:t>:</w:t>
      </w:r>
      <w:proofErr w:type="gramEnd"/>
      <w:r w:rsidR="008479D9">
        <w:rPr>
          <w:b/>
          <w:sz w:val="24"/>
          <w:szCs w:val="24"/>
        </w:rPr>
        <w:t xml:space="preserve"> </w:t>
      </w:r>
      <w:r w:rsidR="00093186" w:rsidRPr="00067C7C">
        <w:rPr>
          <w:sz w:val="24"/>
          <w:szCs w:val="24"/>
        </w:rPr>
        <w:t xml:space="preserve">This line of inquiry highlights one of the fundamental problems with </w:t>
      </w:r>
      <w:r w:rsidR="00D9644E">
        <w:rPr>
          <w:sz w:val="24"/>
          <w:szCs w:val="24"/>
        </w:rPr>
        <w:t>the use of a</w:t>
      </w:r>
      <w:r w:rsidR="00D9644E" w:rsidRPr="00067C7C">
        <w:rPr>
          <w:sz w:val="24"/>
          <w:szCs w:val="24"/>
        </w:rPr>
        <w:t xml:space="preserve"> </w:t>
      </w:r>
      <w:r w:rsidR="00093186" w:rsidRPr="00067C7C">
        <w:rPr>
          <w:sz w:val="24"/>
          <w:szCs w:val="24"/>
        </w:rPr>
        <w:t>treaty</w:t>
      </w:r>
      <w:r w:rsidR="00D9644E">
        <w:rPr>
          <w:sz w:val="24"/>
          <w:szCs w:val="24"/>
        </w:rPr>
        <w:t xml:space="preserve"> instrument to </w:t>
      </w:r>
      <w:r w:rsidR="00AD7B63">
        <w:rPr>
          <w:sz w:val="24"/>
          <w:szCs w:val="24"/>
        </w:rPr>
        <w:t>attempt to regulate</w:t>
      </w:r>
      <w:r w:rsidR="00093186" w:rsidRPr="00067C7C">
        <w:rPr>
          <w:sz w:val="24"/>
          <w:szCs w:val="24"/>
        </w:rPr>
        <w:t xml:space="preserve"> a competitive and dynamic marketplace. </w:t>
      </w:r>
      <w:r w:rsidR="00121A83">
        <w:rPr>
          <w:sz w:val="24"/>
          <w:szCs w:val="24"/>
        </w:rPr>
        <w:t>T</w:t>
      </w:r>
      <w:r w:rsidR="00093186" w:rsidRPr="00067C7C">
        <w:rPr>
          <w:sz w:val="24"/>
          <w:szCs w:val="24"/>
        </w:rPr>
        <w:t xml:space="preserve">reaty provisions </w:t>
      </w:r>
      <w:r w:rsidR="00121A83">
        <w:rPr>
          <w:sz w:val="24"/>
          <w:szCs w:val="24"/>
        </w:rPr>
        <w:t xml:space="preserve">relating to telecommunications must be </w:t>
      </w:r>
      <w:r w:rsidR="00093186" w:rsidRPr="00067C7C">
        <w:rPr>
          <w:sz w:val="24"/>
          <w:szCs w:val="24"/>
        </w:rPr>
        <w:t>flexible enough to withstand constant changes in the market.</w:t>
      </w:r>
      <w:r w:rsidR="00271044">
        <w:rPr>
          <w:sz w:val="24"/>
          <w:szCs w:val="24"/>
        </w:rPr>
        <w:t xml:space="preserve"> </w:t>
      </w:r>
      <w:r w:rsidR="00121A83">
        <w:rPr>
          <w:sz w:val="24"/>
          <w:szCs w:val="24"/>
        </w:rPr>
        <w:t>T</w:t>
      </w:r>
      <w:r w:rsidR="00093186" w:rsidRPr="00067C7C">
        <w:rPr>
          <w:sz w:val="24"/>
          <w:szCs w:val="24"/>
        </w:rPr>
        <w:t xml:space="preserve">reaty provisions </w:t>
      </w:r>
      <w:r w:rsidR="00121A83">
        <w:rPr>
          <w:sz w:val="24"/>
          <w:szCs w:val="24"/>
        </w:rPr>
        <w:t>designed</w:t>
      </w:r>
      <w:r w:rsidR="00093186" w:rsidRPr="00067C7C">
        <w:rPr>
          <w:sz w:val="24"/>
          <w:szCs w:val="24"/>
        </w:rPr>
        <w:t xml:space="preserve"> to address specific aspects of the market</w:t>
      </w:r>
      <w:r w:rsidR="001E4DC5">
        <w:rPr>
          <w:sz w:val="24"/>
          <w:szCs w:val="24"/>
        </w:rPr>
        <w:t xml:space="preserve"> </w:t>
      </w:r>
      <w:r w:rsidR="00093186" w:rsidRPr="00067C7C">
        <w:rPr>
          <w:sz w:val="24"/>
          <w:szCs w:val="24"/>
        </w:rPr>
        <w:t>will continually</w:t>
      </w:r>
      <w:r w:rsidR="001E4DC5">
        <w:rPr>
          <w:sz w:val="24"/>
          <w:szCs w:val="24"/>
        </w:rPr>
        <w:t xml:space="preserve"> face</w:t>
      </w:r>
      <w:r w:rsidR="00093186" w:rsidRPr="00067C7C">
        <w:rPr>
          <w:sz w:val="24"/>
          <w:szCs w:val="24"/>
        </w:rPr>
        <w:t xml:space="preserve"> </w:t>
      </w:r>
      <w:r w:rsidR="001E4DC5">
        <w:rPr>
          <w:sz w:val="24"/>
          <w:szCs w:val="24"/>
        </w:rPr>
        <w:t>obsolescence</w:t>
      </w:r>
      <w:r w:rsidR="00093186" w:rsidRPr="00067C7C">
        <w:rPr>
          <w:sz w:val="24"/>
          <w:szCs w:val="24"/>
        </w:rPr>
        <w:t xml:space="preserve">.  </w:t>
      </w:r>
    </w:p>
    <w:p w14:paraId="058C253D" w14:textId="77777777" w:rsidR="007B08E5" w:rsidRDefault="002606D7" w:rsidP="007B08E5">
      <w:r>
        <w:rPr>
          <w:sz w:val="24"/>
          <w:szCs w:val="24"/>
        </w:rPr>
        <w:t xml:space="preserve">This fundamental tension can be seen in many provisions of the </w:t>
      </w:r>
      <w:r w:rsidR="00466C07">
        <w:rPr>
          <w:sz w:val="24"/>
          <w:szCs w:val="24"/>
        </w:rPr>
        <w:t xml:space="preserve">2012 </w:t>
      </w:r>
      <w:r>
        <w:rPr>
          <w:sz w:val="24"/>
          <w:szCs w:val="24"/>
        </w:rPr>
        <w:t xml:space="preserve">ITRs. For example, </w:t>
      </w:r>
      <w:r w:rsidR="00B2035F">
        <w:rPr>
          <w:sz w:val="24"/>
          <w:szCs w:val="24"/>
        </w:rPr>
        <w:t xml:space="preserve">Article </w:t>
      </w:r>
      <w:r w:rsidR="0020687F">
        <w:rPr>
          <w:sz w:val="24"/>
          <w:szCs w:val="24"/>
        </w:rPr>
        <w:t>8</w:t>
      </w:r>
      <w:r w:rsidR="00466C07">
        <w:rPr>
          <w:sz w:val="24"/>
          <w:szCs w:val="24"/>
        </w:rPr>
        <w:t xml:space="preserve"> and Appendix 1 </w:t>
      </w:r>
      <w:r w:rsidR="00B2035F">
        <w:rPr>
          <w:sz w:val="24"/>
          <w:szCs w:val="24"/>
        </w:rPr>
        <w:t>on</w:t>
      </w:r>
      <w:r w:rsidR="00466C07">
        <w:rPr>
          <w:sz w:val="24"/>
          <w:szCs w:val="24"/>
        </w:rPr>
        <w:t xml:space="preserve"> charging and accounting include several detailed provisions that govern the e</w:t>
      </w:r>
      <w:r w:rsidR="002A701B">
        <w:rPr>
          <w:sz w:val="24"/>
          <w:szCs w:val="24"/>
        </w:rPr>
        <w:t xml:space="preserve">stablishment of accounting rates between Member States, but the vast majority of traffic </w:t>
      </w:r>
      <w:proofErr w:type="gramStart"/>
      <w:r w:rsidR="002A701B">
        <w:rPr>
          <w:sz w:val="24"/>
          <w:szCs w:val="24"/>
        </w:rPr>
        <w:t xml:space="preserve">is no longer </w:t>
      </w:r>
      <w:r w:rsidR="003F3E65">
        <w:rPr>
          <w:sz w:val="24"/>
          <w:szCs w:val="24"/>
        </w:rPr>
        <w:t>exchanged</w:t>
      </w:r>
      <w:proofErr w:type="gramEnd"/>
      <w:r w:rsidR="003F3E65">
        <w:rPr>
          <w:sz w:val="24"/>
          <w:szCs w:val="24"/>
        </w:rPr>
        <w:t xml:space="preserve"> under </w:t>
      </w:r>
      <w:r w:rsidR="001E4DC5">
        <w:rPr>
          <w:sz w:val="24"/>
          <w:szCs w:val="24"/>
        </w:rPr>
        <w:t>such an</w:t>
      </w:r>
      <w:r w:rsidR="002A701B">
        <w:rPr>
          <w:sz w:val="24"/>
          <w:szCs w:val="24"/>
        </w:rPr>
        <w:t xml:space="preserve"> accounting rate</w:t>
      </w:r>
      <w:r w:rsidR="003F3E65">
        <w:rPr>
          <w:sz w:val="24"/>
          <w:szCs w:val="24"/>
        </w:rPr>
        <w:t xml:space="preserve"> regime</w:t>
      </w:r>
      <w:r w:rsidR="002A701B">
        <w:rPr>
          <w:sz w:val="24"/>
          <w:szCs w:val="24"/>
        </w:rPr>
        <w:t>.</w:t>
      </w:r>
      <w:r w:rsidR="00271044">
        <w:rPr>
          <w:sz w:val="24"/>
          <w:szCs w:val="24"/>
        </w:rPr>
        <w:t xml:space="preserve"> </w:t>
      </w:r>
      <w:r w:rsidR="00690A26">
        <w:rPr>
          <w:sz w:val="24"/>
          <w:szCs w:val="24"/>
        </w:rPr>
        <w:t xml:space="preserve">As a result, Article </w:t>
      </w:r>
      <w:r w:rsidR="00893975">
        <w:rPr>
          <w:sz w:val="24"/>
          <w:szCs w:val="24"/>
        </w:rPr>
        <w:t>8</w:t>
      </w:r>
      <w:r w:rsidR="00690A26">
        <w:rPr>
          <w:sz w:val="24"/>
          <w:szCs w:val="24"/>
        </w:rPr>
        <w:t xml:space="preserve"> and Appendix 1 are largely irrelevant </w:t>
      </w:r>
      <w:r w:rsidR="001E4DC5">
        <w:rPr>
          <w:sz w:val="24"/>
          <w:szCs w:val="24"/>
        </w:rPr>
        <w:t>to</w:t>
      </w:r>
      <w:r w:rsidR="00690A26">
        <w:rPr>
          <w:sz w:val="24"/>
          <w:szCs w:val="24"/>
        </w:rPr>
        <w:t xml:space="preserve"> the current </w:t>
      </w:r>
      <w:r w:rsidR="001E4DC5">
        <w:rPr>
          <w:sz w:val="24"/>
          <w:szCs w:val="24"/>
        </w:rPr>
        <w:t xml:space="preserve">international telecommunications </w:t>
      </w:r>
      <w:r w:rsidR="00690A26">
        <w:rPr>
          <w:sz w:val="24"/>
          <w:szCs w:val="24"/>
        </w:rPr>
        <w:t>environment</w:t>
      </w:r>
      <w:r w:rsidR="003F3E65">
        <w:rPr>
          <w:sz w:val="24"/>
          <w:szCs w:val="24"/>
        </w:rPr>
        <w:t>.</w:t>
      </w:r>
      <w:r w:rsidR="00690A26">
        <w:rPr>
          <w:sz w:val="24"/>
          <w:szCs w:val="24"/>
        </w:rPr>
        <w:t xml:space="preserve"> </w:t>
      </w:r>
      <w:r w:rsidR="003F3E65">
        <w:rPr>
          <w:sz w:val="24"/>
          <w:szCs w:val="24"/>
        </w:rPr>
        <w:t>T</w:t>
      </w:r>
      <w:r w:rsidR="00690A26">
        <w:rPr>
          <w:sz w:val="24"/>
          <w:szCs w:val="24"/>
        </w:rPr>
        <w:t>rying to apply th</w:t>
      </w:r>
      <w:r w:rsidR="003F3E65">
        <w:rPr>
          <w:sz w:val="24"/>
          <w:szCs w:val="24"/>
        </w:rPr>
        <w:t>e accounting rate</w:t>
      </w:r>
      <w:r w:rsidR="00690A26">
        <w:rPr>
          <w:sz w:val="24"/>
          <w:szCs w:val="24"/>
        </w:rPr>
        <w:t xml:space="preserve"> provisions or even to revise them to apply to </w:t>
      </w:r>
      <w:r w:rsidR="00F87130">
        <w:rPr>
          <w:sz w:val="24"/>
          <w:szCs w:val="24"/>
        </w:rPr>
        <w:t xml:space="preserve">current market-based arrangements would </w:t>
      </w:r>
      <w:r w:rsidR="00B2035F">
        <w:rPr>
          <w:sz w:val="24"/>
          <w:szCs w:val="24"/>
        </w:rPr>
        <w:t>impede the flow of international telecommunication traffic</w:t>
      </w:r>
      <w:r w:rsidR="00F87130">
        <w:rPr>
          <w:sz w:val="24"/>
          <w:szCs w:val="24"/>
        </w:rPr>
        <w:t xml:space="preserve"> and deter market and technological innovations that </w:t>
      </w:r>
      <w:r w:rsidR="00F307F4">
        <w:rPr>
          <w:sz w:val="24"/>
          <w:szCs w:val="24"/>
        </w:rPr>
        <w:t>i</w:t>
      </w:r>
      <w:r w:rsidR="00F87130">
        <w:rPr>
          <w:sz w:val="24"/>
          <w:szCs w:val="24"/>
        </w:rPr>
        <w:t>mprove services and lower prices for consumer</w:t>
      </w:r>
      <w:r w:rsidR="00F307F4">
        <w:rPr>
          <w:sz w:val="24"/>
          <w:szCs w:val="24"/>
        </w:rPr>
        <w:t>s.</w:t>
      </w:r>
      <w:r w:rsidR="00670AD1" w:rsidRPr="00670AD1">
        <w:t xml:space="preserve"> </w:t>
      </w:r>
    </w:p>
    <w:p w14:paraId="6C481DCD" w14:textId="77777777" w:rsidR="007B08E5" w:rsidRDefault="002606D7" w:rsidP="007B08E5">
      <w:pPr>
        <w:rPr>
          <w:b/>
          <w:sz w:val="28"/>
          <w:szCs w:val="28"/>
        </w:rPr>
      </w:pPr>
      <w:r w:rsidRPr="007B08E5">
        <w:rPr>
          <w:b/>
          <w:sz w:val="28"/>
          <w:szCs w:val="28"/>
        </w:rPr>
        <w:t>Summary</w:t>
      </w:r>
    </w:p>
    <w:p w14:paraId="27006E8D" w14:textId="77777777" w:rsidR="00E41B72" w:rsidRDefault="002606D7" w:rsidP="00E41B72">
      <w:pPr>
        <w:rPr>
          <w:sz w:val="24"/>
          <w:szCs w:val="24"/>
        </w:rPr>
      </w:pPr>
      <w:r>
        <w:rPr>
          <w:sz w:val="24"/>
          <w:szCs w:val="24"/>
        </w:rPr>
        <w:t>Given the dynamic, competitive nature of the communications market, and the fact that the telecomm</w:t>
      </w:r>
      <w:r w:rsidR="00AA65F3">
        <w:rPr>
          <w:sz w:val="24"/>
          <w:szCs w:val="24"/>
        </w:rPr>
        <w:t>unications</w:t>
      </w:r>
      <w:r>
        <w:rPr>
          <w:sz w:val="24"/>
          <w:szCs w:val="24"/>
        </w:rPr>
        <w:t xml:space="preserve">/ICT sector </w:t>
      </w:r>
      <w:proofErr w:type="gramStart"/>
      <w:r>
        <w:rPr>
          <w:sz w:val="24"/>
          <w:szCs w:val="24"/>
        </w:rPr>
        <w:t>is increasingly being integrated</w:t>
      </w:r>
      <w:proofErr w:type="gramEnd"/>
      <w:r>
        <w:rPr>
          <w:sz w:val="24"/>
          <w:szCs w:val="24"/>
        </w:rPr>
        <w:t xml:space="preserve"> into the broader digital economy,</w:t>
      </w:r>
      <w:r w:rsidR="00670AD1">
        <w:rPr>
          <w:sz w:val="24"/>
          <w:szCs w:val="24"/>
        </w:rPr>
        <w:t xml:space="preserve"> </w:t>
      </w:r>
      <w:r w:rsidR="001E4DC5">
        <w:rPr>
          <w:sz w:val="24"/>
          <w:szCs w:val="24"/>
        </w:rPr>
        <w:t xml:space="preserve">it is unclear </w:t>
      </w:r>
      <w:r w:rsidR="001E4DC5">
        <w:rPr>
          <w:sz w:val="24"/>
          <w:szCs w:val="24"/>
        </w:rPr>
        <w:lastRenderedPageBreak/>
        <w:t>how an inflexible treaty instrument such as the ITRs can play a positive role in promoting</w:t>
      </w:r>
      <w:r w:rsidR="00670AD1">
        <w:rPr>
          <w:sz w:val="24"/>
          <w:szCs w:val="24"/>
        </w:rPr>
        <w:t xml:space="preserve"> future growth and prosperity</w:t>
      </w:r>
      <w:r w:rsidR="001E4DC5">
        <w:rPr>
          <w:sz w:val="24"/>
          <w:szCs w:val="24"/>
        </w:rPr>
        <w:t xml:space="preserve"> in the international telecommunication marketplace</w:t>
      </w:r>
      <w:r w:rsidR="00670AD1">
        <w:rPr>
          <w:sz w:val="24"/>
          <w:szCs w:val="24"/>
        </w:rPr>
        <w:t>.</w:t>
      </w:r>
    </w:p>
    <w:p w14:paraId="67EB18E0" w14:textId="1624122F" w:rsidR="00AB2815" w:rsidRPr="00E41B72" w:rsidRDefault="00E41B72" w:rsidP="00E41B72">
      <w:pPr>
        <w:jc w:val="center"/>
        <w:rPr>
          <w:sz w:val="24"/>
          <w:szCs w:val="24"/>
          <w:u w:val="single"/>
        </w:rPr>
      </w:pPr>
      <w:r>
        <w:rPr>
          <w:sz w:val="24"/>
          <w:szCs w:val="24"/>
          <w:u w:val="single"/>
        </w:rPr>
        <w:t>                                                  </w:t>
      </w:r>
    </w:p>
    <w:sectPr w:rsidR="00AB2815" w:rsidRPr="00E41B72"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02ED1" w14:textId="77777777" w:rsidR="00E07CDB" w:rsidRDefault="00E07CDB">
      <w:r>
        <w:separator/>
      </w:r>
    </w:p>
  </w:endnote>
  <w:endnote w:type="continuationSeparator" w:id="0">
    <w:p w14:paraId="53240CCD" w14:textId="77777777" w:rsidR="00E07CDB" w:rsidRDefault="00E0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C3082"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3552F" w14:textId="77777777" w:rsidR="00E07CDB" w:rsidRDefault="00E07CDB">
      <w:r>
        <w:t>____________________</w:t>
      </w:r>
    </w:p>
  </w:footnote>
  <w:footnote w:type="continuationSeparator" w:id="0">
    <w:p w14:paraId="17EAC47F" w14:textId="77777777" w:rsidR="00E07CDB" w:rsidRDefault="00E07CDB">
      <w:r>
        <w:continuationSeparator/>
      </w:r>
    </w:p>
  </w:footnote>
  <w:footnote w:id="1">
    <w:p w14:paraId="3B25BB45" w14:textId="128865AC" w:rsidR="00172EE6" w:rsidRPr="001C0870" w:rsidRDefault="00172EE6" w:rsidP="00E41B72">
      <w:pPr>
        <w:pStyle w:val="FootnoteText"/>
        <w:rPr>
          <w:rFonts w:cs="Times New Roman"/>
        </w:rPr>
      </w:pPr>
      <w:r w:rsidRPr="001C0870">
        <w:rPr>
          <w:rStyle w:val="FootnoteReference"/>
          <w:rFonts w:cs="Times New Roman"/>
        </w:rPr>
        <w:footnoteRef/>
      </w:r>
      <w:r w:rsidRPr="001C0870">
        <w:rPr>
          <w:rFonts w:cs="Times New Roman"/>
        </w:rPr>
        <w:t xml:space="preserve"> </w:t>
      </w:r>
      <w:r w:rsidRPr="001C0870">
        <w:rPr>
          <w:rFonts w:cs="Times New Roman"/>
        </w:rPr>
        <w:tab/>
      </w:r>
      <w:r w:rsidRPr="001C0870">
        <w:rPr>
          <w:rFonts w:cs="Times New Roman"/>
          <w:i/>
        </w:rPr>
        <w:t>See</w:t>
      </w:r>
      <w:r w:rsidRPr="001C0870">
        <w:rPr>
          <w:rFonts w:cs="Times New Roman"/>
        </w:rPr>
        <w:t xml:space="preserve"> Council Resolution 1379</w:t>
      </w:r>
      <w:r>
        <w:rPr>
          <w:rFonts w:cs="Times New Roman"/>
        </w:rPr>
        <w:t xml:space="preserve"> (Revised 2019)</w:t>
      </w:r>
      <w:r w:rsidRPr="001C0870">
        <w:rPr>
          <w:rFonts w:cs="Times New Roman"/>
        </w:rPr>
        <w:t>, Doc. C1</w:t>
      </w:r>
      <w:r>
        <w:rPr>
          <w:rFonts w:cs="Times New Roman"/>
        </w:rPr>
        <w:t>9</w:t>
      </w:r>
      <w:r w:rsidRPr="001C0870">
        <w:rPr>
          <w:rFonts w:cs="Times New Roman"/>
        </w:rPr>
        <w:t>/1</w:t>
      </w:r>
      <w:r>
        <w:rPr>
          <w:rFonts w:cs="Times New Roman"/>
        </w:rPr>
        <w:t>39</w:t>
      </w:r>
      <w:r w:rsidRPr="001C0870">
        <w:rPr>
          <w:rFonts w:cs="Times New Roman"/>
        </w:rPr>
        <w:t xml:space="preserve"> (</w:t>
      </w:r>
      <w:r>
        <w:rPr>
          <w:rFonts w:cs="Times New Roman"/>
        </w:rPr>
        <w:t>20</w:t>
      </w:r>
      <w:r w:rsidRPr="001C0870">
        <w:rPr>
          <w:rFonts w:cs="Times New Roman"/>
        </w:rPr>
        <w:t xml:space="preserve"> June 201</w:t>
      </w:r>
      <w:r>
        <w:rPr>
          <w:rFonts w:cs="Times New Roman"/>
        </w:rPr>
        <w:t>9</w:t>
      </w:r>
      <w:r w:rsidRPr="001C0870">
        <w:rPr>
          <w:rFonts w:cs="Times New Roman"/>
        </w:rPr>
        <w:t>), ANNEX 1.</w:t>
      </w:r>
    </w:p>
  </w:footnote>
  <w:footnote w:id="2">
    <w:p w14:paraId="0E82644D" w14:textId="2174303E" w:rsidR="00172EE6" w:rsidRDefault="00172EE6" w:rsidP="00172EE6">
      <w:pPr>
        <w:pStyle w:val="FootnoteText"/>
      </w:pPr>
      <w:r>
        <w:rPr>
          <w:rStyle w:val="FootnoteReference"/>
        </w:rPr>
        <w:footnoteRef/>
      </w:r>
      <w:r>
        <w:t xml:space="preserve"> The Little Data Book on Information and Communication Technology, World Bank and ITU, 2018</w:t>
      </w:r>
      <w:r w:rsidR="00181554">
        <w:t xml:space="preserve">.  </w:t>
      </w:r>
      <w:r w:rsidR="00BD6C39">
        <w:t xml:space="preserve">According to </w:t>
      </w:r>
      <w:proofErr w:type="spellStart"/>
      <w:r w:rsidR="00BD6C39">
        <w:t>Telegeography</w:t>
      </w:r>
      <w:proofErr w:type="spellEnd"/>
      <w:r w:rsidR="00BD6C39">
        <w:t>, in 2015 international voice traffic volume decline</w:t>
      </w:r>
      <w:r w:rsidR="00F8235B">
        <w:t>d</w:t>
      </w:r>
      <w:r w:rsidR="00BD6C39">
        <w:t xml:space="preserve"> for the first time since the Great Depression. </w:t>
      </w:r>
      <w:r w:rsidR="00B319D9">
        <w:t xml:space="preserve">See, </w:t>
      </w:r>
      <w:hyperlink r:id="rId1" w:history="1">
        <w:r w:rsidR="00B319D9" w:rsidRPr="006A6F16">
          <w:rPr>
            <w:rStyle w:val="Hyperlink"/>
          </w:rPr>
          <w:t>https://blog.telegeography.com/voice-traffics-slump-continued-in-a-big-way-last-year</w:t>
        </w:r>
      </w:hyperlink>
      <w:r w:rsidR="00BD6C39">
        <w:t xml:space="preserve">.   </w:t>
      </w:r>
    </w:p>
  </w:footnote>
  <w:footnote w:id="3">
    <w:p w14:paraId="1EC5A9BB" w14:textId="6F1188C1" w:rsidR="00121A83" w:rsidRDefault="00121A83" w:rsidP="00121A83">
      <w:pPr>
        <w:pStyle w:val="FootnoteText"/>
      </w:pPr>
      <w:r>
        <w:rPr>
          <w:rStyle w:val="FootnoteReference"/>
        </w:rPr>
        <w:footnoteRef/>
      </w:r>
      <w:r>
        <w:t xml:space="preserve"> GSMA, The Mobile Economy 2019</w:t>
      </w:r>
      <w:r w:rsidR="007B08E5">
        <w:t xml:space="preserve"> available at </w:t>
      </w:r>
      <w:hyperlink r:id="rId2" w:history="1">
        <w:r w:rsidR="007B08E5" w:rsidRPr="007B08E5">
          <w:rPr>
            <w:rStyle w:val="Hyperlink"/>
          </w:rPr>
          <w:t>https://www.gsmaintelligence.com/research/?file=b9a6e6202ee1d5f787cfebb95d3639c5&amp;download</w:t>
        </w:r>
      </w:hyperlink>
    </w:p>
  </w:footnote>
  <w:footnote w:id="4">
    <w:p w14:paraId="4E518FEB" w14:textId="31A047EE" w:rsidR="00172EE6" w:rsidRDefault="00172EE6" w:rsidP="00172EE6">
      <w:pPr>
        <w:pStyle w:val="FootnoteText"/>
      </w:pPr>
      <w:r>
        <w:rPr>
          <w:rStyle w:val="FootnoteReference"/>
        </w:rPr>
        <w:footnoteRef/>
      </w:r>
      <w:r>
        <w:t xml:space="preserve"> </w:t>
      </w:r>
      <w:r w:rsidR="00A94349">
        <w:t xml:space="preserve">ITU, </w:t>
      </w:r>
      <w:r>
        <w:t>M</w:t>
      </w:r>
      <w:r w:rsidR="0036751D">
        <w:t>easuring the Information Society Report 2018,</w:t>
      </w:r>
      <w:r>
        <w:t xml:space="preserve"> Vol 1 page 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0970D" w14:textId="4385BB6B" w:rsidR="00542BAB" w:rsidRDefault="00542BAB" w:rsidP="00E41B72">
    <w:pPr>
      <w:pStyle w:val="Header"/>
      <w:spacing w:after="120"/>
    </w:pPr>
    <w:r>
      <w:fldChar w:fldCharType="begin"/>
    </w:r>
    <w:r>
      <w:instrText xml:space="preserve"> PAGE   \* MERGEFORMAT </w:instrText>
    </w:r>
    <w:r>
      <w:fldChar w:fldCharType="separate"/>
    </w:r>
    <w:r w:rsidR="00687530">
      <w:rPr>
        <w:noProof/>
      </w:rPr>
      <w:t>2</w:t>
    </w:r>
    <w:r>
      <w:rPr>
        <w:noProof/>
      </w:rPr>
      <w:fldChar w:fldCharType="end"/>
    </w:r>
    <w:r>
      <w:rPr>
        <w:noProof/>
      </w:rPr>
      <w:br/>
    </w:r>
    <w:r w:rsidR="000854C6">
      <w:rPr>
        <w:noProof/>
      </w:rPr>
      <w:t>EG-ITRs\</w:t>
    </w:r>
    <w:r w:rsidR="00E41B72">
      <w:rPr>
        <w:noProof/>
      </w:rPr>
      <w:t>5</w:t>
    </w:r>
    <w:r>
      <w:rPr>
        <w:noProof/>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11"/>
  </w:num>
  <w:num w:numId="4">
    <w:abstractNumId w:val="14"/>
  </w:num>
  <w:num w:numId="5">
    <w:abstractNumId w:val="19"/>
  </w:num>
  <w:num w:numId="6">
    <w:abstractNumId w:val="12"/>
  </w:num>
  <w:num w:numId="7">
    <w:abstractNumId w:val="18"/>
  </w:num>
  <w:num w:numId="8">
    <w:abstractNumId w:val="16"/>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yMze3MDExNbcwsjBV0lEKTi0uzszPAykwrAUAKR+uYSwAAAA="/>
  </w:docVars>
  <w:rsids>
    <w:rsidRoot w:val="00E378C5"/>
    <w:rsid w:val="0000609D"/>
    <w:rsid w:val="00030247"/>
    <w:rsid w:val="00032637"/>
    <w:rsid w:val="0003420F"/>
    <w:rsid w:val="0005540C"/>
    <w:rsid w:val="00063016"/>
    <w:rsid w:val="000660A3"/>
    <w:rsid w:val="00066DF5"/>
    <w:rsid w:val="00067C7C"/>
    <w:rsid w:val="00076AF6"/>
    <w:rsid w:val="00083635"/>
    <w:rsid w:val="000854C6"/>
    <w:rsid w:val="00085CF2"/>
    <w:rsid w:val="000915E5"/>
    <w:rsid w:val="00093186"/>
    <w:rsid w:val="000A69A5"/>
    <w:rsid w:val="000B1705"/>
    <w:rsid w:val="000C0529"/>
    <w:rsid w:val="000C2903"/>
    <w:rsid w:val="000C2F74"/>
    <w:rsid w:val="000C37C9"/>
    <w:rsid w:val="000D7112"/>
    <w:rsid w:val="000D75B2"/>
    <w:rsid w:val="000E59AD"/>
    <w:rsid w:val="000F1F57"/>
    <w:rsid w:val="001121F5"/>
    <w:rsid w:val="00121A83"/>
    <w:rsid w:val="00140CE1"/>
    <w:rsid w:val="00143690"/>
    <w:rsid w:val="00144165"/>
    <w:rsid w:val="0016020C"/>
    <w:rsid w:val="00171F42"/>
    <w:rsid w:val="00172EE6"/>
    <w:rsid w:val="0017539C"/>
    <w:rsid w:val="00175AC2"/>
    <w:rsid w:val="0017609F"/>
    <w:rsid w:val="00181554"/>
    <w:rsid w:val="00195328"/>
    <w:rsid w:val="001A5E88"/>
    <w:rsid w:val="001C628E"/>
    <w:rsid w:val="001E0F7B"/>
    <w:rsid w:val="001E3DD3"/>
    <w:rsid w:val="001E4DC5"/>
    <w:rsid w:val="001E716D"/>
    <w:rsid w:val="001F4FF7"/>
    <w:rsid w:val="0020687F"/>
    <w:rsid w:val="002119FD"/>
    <w:rsid w:val="002130E0"/>
    <w:rsid w:val="00213431"/>
    <w:rsid w:val="00221C8F"/>
    <w:rsid w:val="002238C4"/>
    <w:rsid w:val="002509B2"/>
    <w:rsid w:val="0025471D"/>
    <w:rsid w:val="00256D0F"/>
    <w:rsid w:val="00257BDE"/>
    <w:rsid w:val="002606D7"/>
    <w:rsid w:val="00265875"/>
    <w:rsid w:val="002667C5"/>
    <w:rsid w:val="00271044"/>
    <w:rsid w:val="0027303B"/>
    <w:rsid w:val="0028109B"/>
    <w:rsid w:val="00293DE5"/>
    <w:rsid w:val="00295397"/>
    <w:rsid w:val="002A701B"/>
    <w:rsid w:val="002B1870"/>
    <w:rsid w:val="002B1F58"/>
    <w:rsid w:val="002C1C7A"/>
    <w:rsid w:val="002C5285"/>
    <w:rsid w:val="002D1E7F"/>
    <w:rsid w:val="002D494F"/>
    <w:rsid w:val="002E0C78"/>
    <w:rsid w:val="0030160F"/>
    <w:rsid w:val="0032195E"/>
    <w:rsid w:val="00322D0D"/>
    <w:rsid w:val="00326D48"/>
    <w:rsid w:val="0033276E"/>
    <w:rsid w:val="00337854"/>
    <w:rsid w:val="00337CE2"/>
    <w:rsid w:val="003439CB"/>
    <w:rsid w:val="00364D79"/>
    <w:rsid w:val="003662CE"/>
    <w:rsid w:val="0036751D"/>
    <w:rsid w:val="003735DF"/>
    <w:rsid w:val="0037461E"/>
    <w:rsid w:val="003757EC"/>
    <w:rsid w:val="00375F3C"/>
    <w:rsid w:val="0038108D"/>
    <w:rsid w:val="00384DD6"/>
    <w:rsid w:val="0039110F"/>
    <w:rsid w:val="003914A7"/>
    <w:rsid w:val="003942D4"/>
    <w:rsid w:val="003958A8"/>
    <w:rsid w:val="003A71C2"/>
    <w:rsid w:val="003C0228"/>
    <w:rsid w:val="003C2533"/>
    <w:rsid w:val="003D15D8"/>
    <w:rsid w:val="003D6F32"/>
    <w:rsid w:val="003E10DE"/>
    <w:rsid w:val="003F225D"/>
    <w:rsid w:val="003F3E65"/>
    <w:rsid w:val="0040435A"/>
    <w:rsid w:val="00407B9C"/>
    <w:rsid w:val="00415736"/>
    <w:rsid w:val="00416A24"/>
    <w:rsid w:val="00431D9E"/>
    <w:rsid w:val="00433805"/>
    <w:rsid w:val="00433CE8"/>
    <w:rsid w:val="0043412A"/>
    <w:rsid w:val="00434145"/>
    <w:rsid w:val="00434A5C"/>
    <w:rsid w:val="00437504"/>
    <w:rsid w:val="004449F3"/>
    <w:rsid w:val="004473BA"/>
    <w:rsid w:val="00451A5A"/>
    <w:rsid w:val="0045337A"/>
    <w:rsid w:val="004535DE"/>
    <w:rsid w:val="004544D9"/>
    <w:rsid w:val="004617B3"/>
    <w:rsid w:val="0046438A"/>
    <w:rsid w:val="004648CF"/>
    <w:rsid w:val="00466C07"/>
    <w:rsid w:val="00480571"/>
    <w:rsid w:val="004841B7"/>
    <w:rsid w:val="00484F0A"/>
    <w:rsid w:val="00490E72"/>
    <w:rsid w:val="00491C4E"/>
    <w:rsid w:val="004921C8"/>
    <w:rsid w:val="004931B4"/>
    <w:rsid w:val="0049335F"/>
    <w:rsid w:val="004977C7"/>
    <w:rsid w:val="004A29FF"/>
    <w:rsid w:val="004A45DD"/>
    <w:rsid w:val="004B5D1C"/>
    <w:rsid w:val="004D0B58"/>
    <w:rsid w:val="004D0C40"/>
    <w:rsid w:val="004D1851"/>
    <w:rsid w:val="004D599D"/>
    <w:rsid w:val="004E2EA5"/>
    <w:rsid w:val="004E3AEB"/>
    <w:rsid w:val="00500C7D"/>
    <w:rsid w:val="00501014"/>
    <w:rsid w:val="0050223C"/>
    <w:rsid w:val="005119E7"/>
    <w:rsid w:val="005243FF"/>
    <w:rsid w:val="00534240"/>
    <w:rsid w:val="00542AE7"/>
    <w:rsid w:val="00542BAB"/>
    <w:rsid w:val="00544CA6"/>
    <w:rsid w:val="005467AE"/>
    <w:rsid w:val="005471D2"/>
    <w:rsid w:val="00564FBC"/>
    <w:rsid w:val="0057569B"/>
    <w:rsid w:val="00581820"/>
    <w:rsid w:val="00582442"/>
    <w:rsid w:val="0058499C"/>
    <w:rsid w:val="00593888"/>
    <w:rsid w:val="005A3B8A"/>
    <w:rsid w:val="005B4351"/>
    <w:rsid w:val="005C37A0"/>
    <w:rsid w:val="005D32DC"/>
    <w:rsid w:val="005D6131"/>
    <w:rsid w:val="005F2D25"/>
    <w:rsid w:val="005F40A4"/>
    <w:rsid w:val="00605347"/>
    <w:rsid w:val="006535F1"/>
    <w:rsid w:val="0065557D"/>
    <w:rsid w:val="006605B1"/>
    <w:rsid w:val="00662984"/>
    <w:rsid w:val="00670AD1"/>
    <w:rsid w:val="006716BB"/>
    <w:rsid w:val="006771E7"/>
    <w:rsid w:val="00687530"/>
    <w:rsid w:val="00690A26"/>
    <w:rsid w:val="006B26EF"/>
    <w:rsid w:val="006B6DCC"/>
    <w:rsid w:val="006B7318"/>
    <w:rsid w:val="006D3B24"/>
    <w:rsid w:val="006D3B29"/>
    <w:rsid w:val="006F33B8"/>
    <w:rsid w:val="00711EA7"/>
    <w:rsid w:val="00733B71"/>
    <w:rsid w:val="00741793"/>
    <w:rsid w:val="0075051B"/>
    <w:rsid w:val="00763E73"/>
    <w:rsid w:val="007640E3"/>
    <w:rsid w:val="00764917"/>
    <w:rsid w:val="00777C2D"/>
    <w:rsid w:val="00782C0B"/>
    <w:rsid w:val="00790142"/>
    <w:rsid w:val="007901DA"/>
    <w:rsid w:val="00794D34"/>
    <w:rsid w:val="007A34B1"/>
    <w:rsid w:val="007B08E5"/>
    <w:rsid w:val="007C116C"/>
    <w:rsid w:val="007C2E8B"/>
    <w:rsid w:val="007D134F"/>
    <w:rsid w:val="007D7FD5"/>
    <w:rsid w:val="007F025C"/>
    <w:rsid w:val="0080458D"/>
    <w:rsid w:val="00813E5E"/>
    <w:rsid w:val="0081547A"/>
    <w:rsid w:val="00820BAF"/>
    <w:rsid w:val="00820EF5"/>
    <w:rsid w:val="008251CA"/>
    <w:rsid w:val="008349FC"/>
    <w:rsid w:val="0083581B"/>
    <w:rsid w:val="008479D9"/>
    <w:rsid w:val="00855BA7"/>
    <w:rsid w:val="00864AFF"/>
    <w:rsid w:val="008662BD"/>
    <w:rsid w:val="008911FB"/>
    <w:rsid w:val="00893975"/>
    <w:rsid w:val="0089474C"/>
    <w:rsid w:val="008A16A8"/>
    <w:rsid w:val="008B4A6A"/>
    <w:rsid w:val="008C7E27"/>
    <w:rsid w:val="008E3733"/>
    <w:rsid w:val="008E63CD"/>
    <w:rsid w:val="008F1108"/>
    <w:rsid w:val="008F3912"/>
    <w:rsid w:val="00915A48"/>
    <w:rsid w:val="00917052"/>
    <w:rsid w:val="009173EF"/>
    <w:rsid w:val="00923A1B"/>
    <w:rsid w:val="00926B92"/>
    <w:rsid w:val="00932906"/>
    <w:rsid w:val="00933CC0"/>
    <w:rsid w:val="00935825"/>
    <w:rsid w:val="00944BC2"/>
    <w:rsid w:val="00961B0B"/>
    <w:rsid w:val="00987D95"/>
    <w:rsid w:val="00996E42"/>
    <w:rsid w:val="009A4E24"/>
    <w:rsid w:val="009A56C8"/>
    <w:rsid w:val="009B38C3"/>
    <w:rsid w:val="009B659B"/>
    <w:rsid w:val="009C6A0F"/>
    <w:rsid w:val="009D629C"/>
    <w:rsid w:val="009E17BD"/>
    <w:rsid w:val="00A04CEC"/>
    <w:rsid w:val="00A160C2"/>
    <w:rsid w:val="00A27F92"/>
    <w:rsid w:val="00A30574"/>
    <w:rsid w:val="00A32257"/>
    <w:rsid w:val="00A36066"/>
    <w:rsid w:val="00A36D20"/>
    <w:rsid w:val="00A42823"/>
    <w:rsid w:val="00A462B5"/>
    <w:rsid w:val="00A54FD8"/>
    <w:rsid w:val="00A550D1"/>
    <w:rsid w:val="00A55622"/>
    <w:rsid w:val="00A56000"/>
    <w:rsid w:val="00A620DA"/>
    <w:rsid w:val="00A83502"/>
    <w:rsid w:val="00A94349"/>
    <w:rsid w:val="00AA4C49"/>
    <w:rsid w:val="00AA65F3"/>
    <w:rsid w:val="00AB2815"/>
    <w:rsid w:val="00AB393C"/>
    <w:rsid w:val="00AC393D"/>
    <w:rsid w:val="00AD7B63"/>
    <w:rsid w:val="00AF6E49"/>
    <w:rsid w:val="00B04A67"/>
    <w:rsid w:val="00B0583C"/>
    <w:rsid w:val="00B1480D"/>
    <w:rsid w:val="00B2035F"/>
    <w:rsid w:val="00B2180F"/>
    <w:rsid w:val="00B319D9"/>
    <w:rsid w:val="00B36E39"/>
    <w:rsid w:val="00B40A81"/>
    <w:rsid w:val="00B447F3"/>
    <w:rsid w:val="00B44910"/>
    <w:rsid w:val="00B47B8F"/>
    <w:rsid w:val="00B61544"/>
    <w:rsid w:val="00B71F52"/>
    <w:rsid w:val="00B72267"/>
    <w:rsid w:val="00B769F8"/>
    <w:rsid w:val="00B76EB6"/>
    <w:rsid w:val="00B824C8"/>
    <w:rsid w:val="00B83681"/>
    <w:rsid w:val="00B85905"/>
    <w:rsid w:val="00B96E41"/>
    <w:rsid w:val="00B97DAB"/>
    <w:rsid w:val="00BA74C0"/>
    <w:rsid w:val="00BB1653"/>
    <w:rsid w:val="00BC0583"/>
    <w:rsid w:val="00BC251A"/>
    <w:rsid w:val="00BD032B"/>
    <w:rsid w:val="00BD5F0B"/>
    <w:rsid w:val="00BD6810"/>
    <w:rsid w:val="00BD6C39"/>
    <w:rsid w:val="00BE2640"/>
    <w:rsid w:val="00BE30A1"/>
    <w:rsid w:val="00BF06EC"/>
    <w:rsid w:val="00BF27F0"/>
    <w:rsid w:val="00C01189"/>
    <w:rsid w:val="00C03DBE"/>
    <w:rsid w:val="00C10E06"/>
    <w:rsid w:val="00C11946"/>
    <w:rsid w:val="00C374DE"/>
    <w:rsid w:val="00C37D85"/>
    <w:rsid w:val="00C413A2"/>
    <w:rsid w:val="00C47AD4"/>
    <w:rsid w:val="00C52D81"/>
    <w:rsid w:val="00C55198"/>
    <w:rsid w:val="00C664FA"/>
    <w:rsid w:val="00C8040F"/>
    <w:rsid w:val="00C822C7"/>
    <w:rsid w:val="00C975ED"/>
    <w:rsid w:val="00CA6393"/>
    <w:rsid w:val="00CB18FF"/>
    <w:rsid w:val="00CB5F63"/>
    <w:rsid w:val="00CC5EF0"/>
    <w:rsid w:val="00CD0C08"/>
    <w:rsid w:val="00CE03A4"/>
    <w:rsid w:val="00CE03FB"/>
    <w:rsid w:val="00CE433C"/>
    <w:rsid w:val="00CE5FC1"/>
    <w:rsid w:val="00CF33F3"/>
    <w:rsid w:val="00D00FA2"/>
    <w:rsid w:val="00D0338D"/>
    <w:rsid w:val="00D06183"/>
    <w:rsid w:val="00D22C42"/>
    <w:rsid w:val="00D3608E"/>
    <w:rsid w:val="00D65041"/>
    <w:rsid w:val="00D65EC8"/>
    <w:rsid w:val="00D856CB"/>
    <w:rsid w:val="00D9148E"/>
    <w:rsid w:val="00D945E6"/>
    <w:rsid w:val="00D9644E"/>
    <w:rsid w:val="00DA51F3"/>
    <w:rsid w:val="00DE2B20"/>
    <w:rsid w:val="00DF0F5D"/>
    <w:rsid w:val="00E00F7D"/>
    <w:rsid w:val="00E05E37"/>
    <w:rsid w:val="00E07CDB"/>
    <w:rsid w:val="00E10E80"/>
    <w:rsid w:val="00E124F0"/>
    <w:rsid w:val="00E378C5"/>
    <w:rsid w:val="00E41B72"/>
    <w:rsid w:val="00E51741"/>
    <w:rsid w:val="00E60F04"/>
    <w:rsid w:val="00E8113B"/>
    <w:rsid w:val="00E9013A"/>
    <w:rsid w:val="00E97F02"/>
    <w:rsid w:val="00EA48F9"/>
    <w:rsid w:val="00EB0D6F"/>
    <w:rsid w:val="00EB2232"/>
    <w:rsid w:val="00EB52A2"/>
    <w:rsid w:val="00EC1A42"/>
    <w:rsid w:val="00EC5337"/>
    <w:rsid w:val="00EC7027"/>
    <w:rsid w:val="00EE2A3B"/>
    <w:rsid w:val="00F0294C"/>
    <w:rsid w:val="00F105B0"/>
    <w:rsid w:val="00F2150A"/>
    <w:rsid w:val="00F231D8"/>
    <w:rsid w:val="00F307F4"/>
    <w:rsid w:val="00F44ED7"/>
    <w:rsid w:val="00F46C5F"/>
    <w:rsid w:val="00F54A63"/>
    <w:rsid w:val="00F56D59"/>
    <w:rsid w:val="00F70098"/>
    <w:rsid w:val="00F8235B"/>
    <w:rsid w:val="00F856EC"/>
    <w:rsid w:val="00F86970"/>
    <w:rsid w:val="00F87130"/>
    <w:rsid w:val="00F94A63"/>
    <w:rsid w:val="00F96CA1"/>
    <w:rsid w:val="00FB7596"/>
    <w:rsid w:val="00FC08D9"/>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F02"/>
    <w:pPr>
      <w:spacing w:after="160" w:line="259" w:lineRule="auto"/>
    </w:pPr>
    <w:rPr>
      <w:rFonts w:asciiTheme="minorHAnsi" w:eastAsiaTheme="minorEastAsia" w:hAnsiTheme="minorHAnsi" w:cstheme="minorBidi"/>
      <w:sz w:val="22"/>
      <w:szCs w:val="22"/>
      <w:lang w:val="en-GB"/>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E97F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7F02"/>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25471D"/>
    <w:pPr>
      <w:spacing w:before="48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character" w:customStyle="1" w:styleId="UnresolvedMention1">
    <w:name w:val="Unresolved Mention1"/>
    <w:basedOn w:val="DefaultParagraphFont"/>
    <w:uiPriority w:val="99"/>
    <w:semiHidden/>
    <w:unhideWhenUsed/>
    <w:rsid w:val="00BD6C39"/>
    <w:rPr>
      <w:color w:val="605E5C"/>
      <w:shd w:val="clear" w:color="auto" w:fill="E1DFDD"/>
    </w:rPr>
  </w:style>
  <w:style w:type="paragraph" w:styleId="EndnoteText">
    <w:name w:val="endnote text"/>
    <w:basedOn w:val="Normal"/>
    <w:link w:val="EndnoteTextChar"/>
    <w:semiHidden/>
    <w:unhideWhenUsed/>
    <w:rsid w:val="00484F0A"/>
    <w:pPr>
      <w:spacing w:after="0" w:line="240" w:lineRule="auto"/>
    </w:pPr>
    <w:rPr>
      <w:sz w:val="20"/>
      <w:szCs w:val="20"/>
    </w:rPr>
  </w:style>
  <w:style w:type="character" w:customStyle="1" w:styleId="EndnoteTextChar">
    <w:name w:val="Endnote Text Char"/>
    <w:basedOn w:val="DefaultParagraphFont"/>
    <w:link w:val="EndnoteText"/>
    <w:semiHidden/>
    <w:rsid w:val="00484F0A"/>
    <w:rPr>
      <w:rFonts w:asciiTheme="minorHAnsi"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7B0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5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smaintelligence.com/research/?file=b9a6e6202ee1d5f787cfebb95d3639c5&amp;download" TargetMode="External"/><Relationship Id="rId1" Type="http://schemas.openxmlformats.org/officeDocument/2006/relationships/hyperlink" Target="https://blog.telegeography.com/voice-traffics-slump-continued-in-a-big-way-last-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B01F029692041A7486645BF369C0F" ma:contentTypeVersion="12" ma:contentTypeDescription="Create a new document." ma:contentTypeScope="" ma:versionID="ef224b1eef41ffd2827e66b59d0a5f97">
  <xsd:schema xmlns:xsd="http://www.w3.org/2001/XMLSchema" xmlns:xs="http://www.w3.org/2001/XMLSchema" xmlns:p="http://schemas.microsoft.com/office/2006/metadata/properties" xmlns:ns1="http://schemas.microsoft.com/sharepoint/v3" xmlns:ns3="63cd4b08-1e1e-4154-b8f6-beaff3d9baa2" xmlns:ns4="f9ed9578-d32b-44f4-833c-23a98eae8c72" targetNamespace="http://schemas.microsoft.com/office/2006/metadata/properties" ma:root="true" ma:fieldsID="d91159da510c86f07f6cdaf08119c8a6" ns1:_="" ns3:_="" ns4:_="">
    <xsd:import namespace="http://schemas.microsoft.com/sharepoint/v3"/>
    <xsd:import namespace="63cd4b08-1e1e-4154-b8f6-beaff3d9baa2"/>
    <xsd:import namespace="f9ed9578-d32b-44f4-833c-23a98eae8c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d4b08-1e1e-4154-b8f6-beaff3d9ba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d9578-d32b-44f4-833c-23a98eae8c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B736-356C-4BED-8811-AD6E31395FD9}">
  <ds:schemaRefs>
    <ds:schemaRef ds:uri="http://schemas.microsoft.com/sharepoint/v3/contenttype/forms"/>
  </ds:schemaRefs>
</ds:datastoreItem>
</file>

<file path=customXml/itemProps2.xml><?xml version="1.0" encoding="utf-8"?>
<ds:datastoreItem xmlns:ds="http://schemas.openxmlformats.org/officeDocument/2006/customXml" ds:itemID="{734FD361-57E9-4D14-9E91-2CAEBE4DDBFE}">
  <ds:schemaRefs>
    <ds:schemaRef ds:uri="http://purl.org/dc/terms/"/>
    <ds:schemaRef ds:uri="http://schemas.openxmlformats.org/package/2006/metadata/core-properties"/>
    <ds:schemaRef ds:uri="http://purl.org/dc/dcmitype/"/>
    <ds:schemaRef ds:uri="63cd4b08-1e1e-4154-b8f6-beaff3d9baa2"/>
    <ds:schemaRef ds:uri="http://purl.org/dc/elements/1.1/"/>
    <ds:schemaRef ds:uri="http://schemas.microsoft.com/office/2006/documentManagement/types"/>
    <ds:schemaRef ds:uri="http://schemas.microsoft.com/office/infopath/2007/PartnerControls"/>
    <ds:schemaRef ds:uri="http://schemas.microsoft.com/sharepoint/v3"/>
    <ds:schemaRef ds:uri="f9ed9578-d32b-44f4-833c-23a98eae8c7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E59DE8A-F4CD-417B-8E9A-C09238605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cd4b08-1e1e-4154-b8f6-beaff3d9baa2"/>
    <ds:schemaRef ds:uri="f9ed9578-d32b-44f4-833c-23a98eae8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8C6A1C-20AF-46F3-8531-ED1AE58B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 1379 - ITRs</vt:lpstr>
    </vt:vector>
  </TitlesOfParts>
  <Manager>General Secretariat - Pool</Manager>
  <Company>International Telecommunication Union (ITU)</Company>
  <LinksUpToDate>false</LinksUpToDate>
  <CharactersWithSpaces>4637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1379 - ITRs</dc:title>
  <dc:subject>Council 2016</dc:subject>
  <dc:creator>Brouard, Ricarda</dc:creator>
  <cp:keywords>C2019, C19</cp:keywords>
  <dc:description/>
  <cp:lastModifiedBy>Janin, Patricia</cp:lastModifiedBy>
  <cp:revision>4</cp:revision>
  <cp:lastPrinted>2019-08-13T14:03:00Z</cp:lastPrinted>
  <dcterms:created xsi:type="dcterms:W3CDTF">2019-08-28T12:24:00Z</dcterms:created>
  <dcterms:modified xsi:type="dcterms:W3CDTF">2019-08-28T12:35:00Z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0x010100AF4B01F029692041A7486645BF369C0F</vt:lpwstr>
  </property>
</Properties>
</file>