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32710B49" w14:textId="77777777">
        <w:trPr>
          <w:cantSplit/>
        </w:trPr>
        <w:tc>
          <w:tcPr>
            <w:tcW w:w="6912" w:type="dxa"/>
          </w:tcPr>
          <w:p w14:paraId="3B397A3E" w14:textId="465F1A29" w:rsidR="00520F36" w:rsidRPr="0092392D" w:rsidRDefault="00D837AA" w:rsidP="00861F48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3A1C3E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14:paraId="2713820E" w14:textId="77777777" w:rsidR="00520F36" w:rsidRPr="0092392D" w:rsidRDefault="00B84194" w:rsidP="00861F48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61557C5" wp14:editId="4BD4DF5B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17FA9931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5CAABD6" w14:textId="77777777" w:rsidR="00520F36" w:rsidRPr="0099613D" w:rsidRDefault="00B84194" w:rsidP="00861F48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Première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6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7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septembre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B2F130C" w14:textId="77777777" w:rsidR="00520F36" w:rsidRPr="0092392D" w:rsidRDefault="00520F36" w:rsidP="00861F48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11CF60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3D39A83" w14:textId="77777777" w:rsidR="00520F36" w:rsidRPr="0092392D" w:rsidRDefault="00520F36" w:rsidP="00861F48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7DB3F6C" w14:textId="77777777" w:rsidR="00520F36" w:rsidRPr="0092392D" w:rsidRDefault="00520F36" w:rsidP="00861F48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27B5AF1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17B560" w14:textId="77777777" w:rsidR="00520F36" w:rsidRPr="00520F36" w:rsidRDefault="00520F36" w:rsidP="00861F48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3B95F240" w14:textId="5849C8D5" w:rsidR="00520F36" w:rsidRPr="00520F36" w:rsidRDefault="00520F36" w:rsidP="00861F4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B84194">
              <w:rPr>
                <w:b/>
              </w:rPr>
              <w:t>1</w:t>
            </w:r>
            <w:r w:rsidR="00D837AA" w:rsidRPr="009B70A4">
              <w:rPr>
                <w:b/>
              </w:rPr>
              <w:t>/</w:t>
            </w:r>
            <w:r w:rsidR="00B817B8">
              <w:rPr>
                <w:b/>
              </w:rPr>
              <w:t>6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631C71A5" w14:textId="77777777">
        <w:trPr>
          <w:cantSplit/>
          <w:trHeight w:val="20"/>
        </w:trPr>
        <w:tc>
          <w:tcPr>
            <w:tcW w:w="6912" w:type="dxa"/>
            <w:vMerge/>
          </w:tcPr>
          <w:p w14:paraId="515C9349" w14:textId="77777777" w:rsidR="00520F36" w:rsidRPr="0092392D" w:rsidRDefault="00520F36" w:rsidP="00861F4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678B3927" w14:textId="1DC01DFD" w:rsidR="00520F36" w:rsidRPr="00520F36" w:rsidRDefault="00B817B8" w:rsidP="00861F4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 août</w:t>
            </w:r>
            <w:r w:rsidR="00520F36">
              <w:rPr>
                <w:b/>
                <w:bCs/>
              </w:rPr>
              <w:t xml:space="preserve"> 201</w:t>
            </w:r>
            <w:r w:rsidR="00B84194">
              <w:rPr>
                <w:b/>
                <w:bCs/>
              </w:rPr>
              <w:t>9</w:t>
            </w:r>
          </w:p>
        </w:tc>
      </w:tr>
      <w:tr w:rsidR="00520F36" w:rsidRPr="0092392D" w14:paraId="492F4B6F" w14:textId="77777777">
        <w:trPr>
          <w:cantSplit/>
          <w:trHeight w:val="20"/>
        </w:trPr>
        <w:tc>
          <w:tcPr>
            <w:tcW w:w="6912" w:type="dxa"/>
            <w:vMerge/>
          </w:tcPr>
          <w:p w14:paraId="5540B708" w14:textId="77777777" w:rsidR="00520F36" w:rsidRPr="0092392D" w:rsidRDefault="00520F36" w:rsidP="00861F4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2EBAA3EB" w14:textId="77777777" w:rsidR="00520F36" w:rsidRPr="00520F36" w:rsidRDefault="00520F36" w:rsidP="00861F4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2861E693" w14:textId="77777777">
        <w:trPr>
          <w:cantSplit/>
        </w:trPr>
        <w:tc>
          <w:tcPr>
            <w:tcW w:w="10173" w:type="dxa"/>
            <w:gridSpan w:val="2"/>
          </w:tcPr>
          <w:p w14:paraId="366DABBB" w14:textId="1EA29AEC" w:rsidR="00520F36" w:rsidRPr="0092392D" w:rsidRDefault="00B817B8" w:rsidP="00861F48">
            <w:pPr>
              <w:pStyle w:val="Source"/>
            </w:pPr>
            <w:bookmarkStart w:id="5" w:name="dsource" w:colFirst="0" w:colLast="0"/>
            <w:bookmarkEnd w:id="4"/>
            <w:r>
              <w:t>République sudafricaine</w:t>
            </w:r>
          </w:p>
        </w:tc>
      </w:tr>
      <w:tr w:rsidR="00520F36" w:rsidRPr="00B817B8" w14:paraId="34C029A7" w14:textId="77777777">
        <w:trPr>
          <w:cantSplit/>
        </w:trPr>
        <w:tc>
          <w:tcPr>
            <w:tcW w:w="10173" w:type="dxa"/>
            <w:gridSpan w:val="2"/>
          </w:tcPr>
          <w:p w14:paraId="4ED74D60" w14:textId="62110646" w:rsidR="00520F36" w:rsidRPr="00F7197B" w:rsidRDefault="00F7197B" w:rsidP="00861F48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F7197B">
              <w:t>EXAMEN DÉTAILLÉ DU RÈGLEMENT DES TÉLÉCOMMUNICATIONS INTERNATIONALES</w:t>
            </w:r>
          </w:p>
        </w:tc>
      </w:tr>
    </w:tbl>
    <w:p w14:paraId="59C9D771" w14:textId="77777777" w:rsidR="00B817B8" w:rsidRPr="003A1C3E" w:rsidRDefault="00B817B8" w:rsidP="00861F48">
      <w:pPr>
        <w:pStyle w:val="Headingb"/>
        <w:spacing w:before="360"/>
        <w:rPr>
          <w:lang w:val="fr-CH"/>
        </w:rPr>
      </w:pPr>
      <w:bookmarkStart w:id="7" w:name="lt_pId012"/>
      <w:bookmarkEnd w:id="6"/>
      <w:r w:rsidRPr="003A1C3E">
        <w:rPr>
          <w:lang w:val="fr-CH"/>
        </w:rPr>
        <w:t>Introduction</w:t>
      </w:r>
      <w:bookmarkEnd w:id="7"/>
    </w:p>
    <w:p w14:paraId="2F5AE6D0" w14:textId="3D6750BB" w:rsidR="00B817B8" w:rsidRPr="00F7197B" w:rsidRDefault="00B817B8" w:rsidP="00861F48">
      <w:pPr>
        <w:rPr>
          <w:lang w:val="fr-CH"/>
        </w:rPr>
      </w:pPr>
      <w:bookmarkStart w:id="8" w:name="lt_pId013"/>
      <w:r w:rsidRPr="00F7197B">
        <w:rPr>
          <w:lang w:val="fr-CH"/>
        </w:rPr>
        <w:t>1</w:t>
      </w:r>
      <w:r w:rsidRPr="00F7197B">
        <w:rPr>
          <w:lang w:val="fr-CH"/>
        </w:rPr>
        <w:tab/>
      </w:r>
      <w:bookmarkEnd w:id="8"/>
      <w:r w:rsidR="00F7197B" w:rsidRPr="00F7197B">
        <w:t xml:space="preserve">La République sudafricaine </w:t>
      </w:r>
      <w:r w:rsidR="00764DFE">
        <w:t>se réjouit</w:t>
      </w:r>
      <w:r w:rsidR="00F7197B" w:rsidRPr="00F7197B">
        <w:t xml:space="preserve"> de participer aux travaux du Groupe d</w:t>
      </w:r>
      <w:r w:rsidR="003A1C3E">
        <w:t>'</w:t>
      </w:r>
      <w:r w:rsidR="00F7197B" w:rsidRPr="00F7197B">
        <w:t>experts sur le Règlement des télécommunications internationales (EG-RTI) et de présenter des contributions à ce titre.</w:t>
      </w:r>
    </w:p>
    <w:p w14:paraId="4D558E75" w14:textId="0D80B087" w:rsidR="00B817B8" w:rsidRPr="00F7197B" w:rsidRDefault="00B817B8" w:rsidP="00861F48">
      <w:pPr>
        <w:rPr>
          <w:lang w:val="fr-CH"/>
        </w:rPr>
      </w:pPr>
      <w:bookmarkStart w:id="9" w:name="lt_pId014"/>
      <w:r w:rsidRPr="00F7197B">
        <w:rPr>
          <w:lang w:val="fr-CH"/>
        </w:rPr>
        <w:t>2</w:t>
      </w:r>
      <w:r w:rsidRPr="00F7197B">
        <w:rPr>
          <w:lang w:val="fr-CH"/>
        </w:rPr>
        <w:tab/>
      </w:r>
      <w:bookmarkEnd w:id="9"/>
      <w:r w:rsidR="00F7197B" w:rsidRPr="00D63EE9">
        <w:rPr>
          <w:rFonts w:cstheme="minorHAnsi"/>
          <w:szCs w:val="24"/>
        </w:rPr>
        <w:t xml:space="preserve">Il semble </w:t>
      </w:r>
      <w:r w:rsidR="00F7197B">
        <w:rPr>
          <w:rFonts w:cstheme="minorHAnsi"/>
          <w:szCs w:val="24"/>
        </w:rPr>
        <w:t>que les</w:t>
      </w:r>
      <w:r w:rsidR="00F7197B" w:rsidRPr="003A3890">
        <w:rPr>
          <w:rFonts w:cstheme="minorHAnsi"/>
          <w:szCs w:val="24"/>
        </w:rPr>
        <w:t xml:space="preserve"> </w:t>
      </w:r>
      <w:r w:rsidR="00F7197B" w:rsidRPr="00D63EE9">
        <w:rPr>
          <w:rFonts w:cstheme="minorHAnsi"/>
          <w:szCs w:val="24"/>
        </w:rPr>
        <w:t xml:space="preserve">États Membres </w:t>
      </w:r>
      <w:r w:rsidR="00F7197B">
        <w:rPr>
          <w:rFonts w:cstheme="minorHAnsi"/>
          <w:szCs w:val="24"/>
        </w:rPr>
        <w:t>s</w:t>
      </w:r>
      <w:r w:rsidR="003A1C3E">
        <w:rPr>
          <w:rFonts w:cstheme="minorHAnsi"/>
          <w:szCs w:val="24"/>
        </w:rPr>
        <w:t>'</w:t>
      </w:r>
      <w:r w:rsidR="00F7197B">
        <w:rPr>
          <w:rFonts w:cstheme="minorHAnsi"/>
          <w:szCs w:val="24"/>
        </w:rPr>
        <w:t xml:space="preserve">accordent à dire que </w:t>
      </w:r>
      <w:r w:rsidR="00F7197B" w:rsidRPr="00D63EE9">
        <w:rPr>
          <w:rFonts w:cstheme="minorHAnsi"/>
          <w:szCs w:val="24"/>
        </w:rPr>
        <w:t>le Règlement des télécommunications internationales (RTI) doit au minimum</w:t>
      </w:r>
      <w:r w:rsidR="00F7197B" w:rsidRPr="003A1C3E">
        <w:rPr>
          <w:rStyle w:val="FootnoteReference"/>
        </w:rPr>
        <w:footnoteReference w:id="1"/>
      </w:r>
      <w:r w:rsidR="00F7197B" w:rsidRPr="00D63EE9">
        <w:rPr>
          <w:rFonts w:cstheme="minorHAnsi"/>
          <w:szCs w:val="24"/>
        </w:rPr>
        <w:t>:</w:t>
      </w:r>
    </w:p>
    <w:p w14:paraId="52AB30AA" w14:textId="08E53838" w:rsidR="00B817B8" w:rsidRPr="006A79F3" w:rsidRDefault="00B817B8" w:rsidP="00861F48">
      <w:pPr>
        <w:pStyle w:val="enumlev1"/>
        <w:rPr>
          <w:lang w:val="fr-CH"/>
        </w:rPr>
      </w:pPr>
      <w:r w:rsidRPr="006A79F3">
        <w:rPr>
          <w:lang w:val="fr-CH"/>
        </w:rPr>
        <w:t>a)</w:t>
      </w:r>
      <w:r w:rsidRPr="006A79F3">
        <w:rPr>
          <w:lang w:val="fr-CH"/>
        </w:rPr>
        <w:tab/>
      </w:r>
      <w:r w:rsidR="00F7197B" w:rsidRPr="00F7197B">
        <w:t>établir les principes généraux qui se rapportent à la fourniture et à l</w:t>
      </w:r>
      <w:r w:rsidR="003A1C3E">
        <w:t>'</w:t>
      </w:r>
      <w:r w:rsidR="00F7197B" w:rsidRPr="00F7197B">
        <w:t>exploitation des services internationaux de télécommunication offerts au public ainsi qu</w:t>
      </w:r>
      <w:r w:rsidR="003A1C3E">
        <w:t>'</w:t>
      </w:r>
      <w:r w:rsidR="00F7197B" w:rsidRPr="00F7197B">
        <w:t>aux moyens sous-jacents de transport internationaux pour les télécommunications utilisés pour fournir ces services;</w:t>
      </w:r>
    </w:p>
    <w:p w14:paraId="73067CFB" w14:textId="1BE21E6A" w:rsidR="00B817B8" w:rsidRPr="006A79F3" w:rsidRDefault="00B817B8" w:rsidP="00861F48">
      <w:pPr>
        <w:pStyle w:val="enumlev1"/>
        <w:rPr>
          <w:lang w:val="fr-CH"/>
        </w:rPr>
      </w:pPr>
      <w:r w:rsidRPr="006A79F3">
        <w:rPr>
          <w:lang w:val="fr-CH"/>
        </w:rPr>
        <w:t>b)</w:t>
      </w:r>
      <w:r w:rsidRPr="006A79F3">
        <w:rPr>
          <w:lang w:val="fr-CH"/>
        </w:rPr>
        <w:tab/>
      </w:r>
      <w:r w:rsidR="00F7197B" w:rsidRPr="00F7197B">
        <w:t>faciliter l</w:t>
      </w:r>
      <w:r w:rsidR="003A1C3E">
        <w:t>'</w:t>
      </w:r>
      <w:r w:rsidR="00F7197B" w:rsidRPr="00F7197B">
        <w:t>interconnexion et les possibilités d</w:t>
      </w:r>
      <w:r w:rsidR="003A1C3E">
        <w:t>'</w:t>
      </w:r>
      <w:r w:rsidR="00F7197B" w:rsidRPr="00F7197B">
        <w:t>interfonctionnement à l</w:t>
      </w:r>
      <w:r w:rsidR="003A1C3E">
        <w:t>'</w:t>
      </w:r>
      <w:r w:rsidR="00F7197B" w:rsidRPr="00F7197B">
        <w:t>échelle mondiale des moyens de télécommunication et favoriser le développement harmonieux des moyens techniques et leur exploitation efficace ainsi que l</w:t>
      </w:r>
      <w:r w:rsidR="003A1C3E">
        <w:t>'</w:t>
      </w:r>
      <w:r w:rsidR="00F7197B" w:rsidRPr="00F7197B">
        <w:t>efficacité, l</w:t>
      </w:r>
      <w:r w:rsidR="003A1C3E">
        <w:t>'</w:t>
      </w:r>
      <w:r w:rsidR="00F7197B" w:rsidRPr="00F7197B">
        <w:t>utilité et la disponibilité pour le public de services internationaux de télécommunication; et</w:t>
      </w:r>
    </w:p>
    <w:p w14:paraId="47D1C972" w14:textId="5D491BD9" w:rsidR="00B817B8" w:rsidRPr="006A79F3" w:rsidRDefault="00B817B8" w:rsidP="00861F48">
      <w:pPr>
        <w:pStyle w:val="enumlev1"/>
        <w:rPr>
          <w:lang w:val="fr-CH"/>
        </w:rPr>
      </w:pPr>
      <w:r w:rsidRPr="006A79F3">
        <w:rPr>
          <w:lang w:val="fr-CH"/>
        </w:rPr>
        <w:t>c)</w:t>
      </w:r>
      <w:r w:rsidRPr="006A79F3">
        <w:rPr>
          <w:lang w:val="fr-CH"/>
        </w:rPr>
        <w:tab/>
      </w:r>
      <w:r w:rsidR="00F7197B" w:rsidRPr="00F7197B">
        <w:t>reconnaître que les États Membres coopèrent, lorsqu</w:t>
      </w:r>
      <w:r w:rsidR="003A1C3E">
        <w:t>'</w:t>
      </w:r>
      <w:r w:rsidR="00F7197B" w:rsidRPr="00F7197B">
        <w:t>il y a lieu, à la mise en œuvre du</w:t>
      </w:r>
      <w:r w:rsidR="003A1C3E">
        <w:t xml:space="preserve">dit </w:t>
      </w:r>
      <w:r w:rsidR="00F7197B" w:rsidRPr="00F7197B">
        <w:t>Règlement.</w:t>
      </w:r>
    </w:p>
    <w:p w14:paraId="4468906F" w14:textId="163D43E5" w:rsidR="00B817B8" w:rsidRPr="00F7197B" w:rsidRDefault="00B817B8" w:rsidP="00861F48">
      <w:pPr>
        <w:rPr>
          <w:lang w:val="fr-CH"/>
        </w:rPr>
      </w:pPr>
      <w:bookmarkStart w:id="10" w:name="lt_pId018"/>
      <w:r w:rsidRPr="00F7197B">
        <w:rPr>
          <w:lang w:val="fr-CH"/>
        </w:rPr>
        <w:t>3</w:t>
      </w:r>
      <w:r w:rsidRPr="00F7197B">
        <w:rPr>
          <w:lang w:val="fr-CH"/>
        </w:rPr>
        <w:tab/>
      </w:r>
      <w:bookmarkEnd w:id="10"/>
      <w:r w:rsidR="00F7197B" w:rsidRPr="00F7197B">
        <w:t>Dans le cadre de la soumission de la présente contribution, la République sudafricaine suivra les objectifs énoncés au paragraphe 2 ci-dessus.</w:t>
      </w:r>
    </w:p>
    <w:p w14:paraId="7A79CF88" w14:textId="77777777" w:rsidR="00B817B8" w:rsidRPr="003A1C3E" w:rsidRDefault="00B817B8" w:rsidP="00861F48">
      <w:pPr>
        <w:pStyle w:val="Headingb"/>
        <w:rPr>
          <w:lang w:val="fr-CH"/>
        </w:rPr>
      </w:pPr>
      <w:bookmarkStart w:id="11" w:name="lt_pId019"/>
      <w:r w:rsidRPr="003A1C3E">
        <w:rPr>
          <w:lang w:val="fr-CH"/>
        </w:rPr>
        <w:t>Discussion</w:t>
      </w:r>
      <w:bookmarkEnd w:id="11"/>
    </w:p>
    <w:p w14:paraId="2E1B931D" w14:textId="79C1FA18" w:rsidR="00B817B8" w:rsidRPr="0025023C" w:rsidRDefault="0025023C" w:rsidP="00861F48">
      <w:pPr>
        <w:rPr>
          <w:lang w:val="fr-CH"/>
        </w:rPr>
      </w:pPr>
      <w:bookmarkStart w:id="12" w:name="lt_pId020"/>
      <w:r w:rsidRPr="00F7197B">
        <w:rPr>
          <w:lang w:val="fr-CH"/>
        </w:rPr>
        <w:t>4</w:t>
      </w:r>
      <w:r w:rsidRPr="00F7197B">
        <w:rPr>
          <w:lang w:val="fr-CH"/>
        </w:rPr>
        <w:tab/>
      </w:r>
      <w:bookmarkEnd w:id="12"/>
      <w:r w:rsidR="00F7197B" w:rsidRPr="00D63EE9">
        <w:rPr>
          <w:rFonts w:cstheme="minorHAnsi"/>
          <w:szCs w:val="24"/>
        </w:rPr>
        <w:t>Les États Membres n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 xml:space="preserve">ont pas été en mesure de </w:t>
      </w:r>
      <w:r w:rsidR="003A1C3E">
        <w:rPr>
          <w:rFonts w:cstheme="minorHAnsi"/>
          <w:szCs w:val="24"/>
        </w:rPr>
        <w:t xml:space="preserve">s'étendre sur </w:t>
      </w:r>
      <w:r w:rsidR="00F7197B" w:rsidRPr="00D63EE9">
        <w:rPr>
          <w:rFonts w:cstheme="minorHAnsi"/>
          <w:szCs w:val="24"/>
        </w:rPr>
        <w:t xml:space="preserve">un RTI à adopter ou à mettre en œuvre par tous. Dans le cadre de la conduite de cet examen détaillé du RTI, il est rappelé aux États Membres ce qui suit: </w:t>
      </w:r>
      <w:r w:rsidR="003A1C3E">
        <w:rPr>
          <w:rFonts w:cstheme="minorHAnsi"/>
          <w:szCs w:val="24"/>
        </w:rPr>
        <w:t>"</w:t>
      </w:r>
      <w:r w:rsidR="00F7197B" w:rsidRPr="00B40A88">
        <w:rPr>
          <w:rFonts w:cstheme="minorHAnsi"/>
          <w:szCs w:val="24"/>
        </w:rPr>
        <w:t>L</w:t>
      </w:r>
      <w:r w:rsidR="003A1C3E" w:rsidRPr="00B40A88">
        <w:rPr>
          <w:rFonts w:cstheme="minorHAnsi"/>
          <w:szCs w:val="24"/>
        </w:rPr>
        <w:t>'</w:t>
      </w:r>
      <w:r w:rsidR="00F7197B" w:rsidRPr="00B40A88">
        <w:rPr>
          <w:rFonts w:cstheme="minorHAnsi"/>
          <w:szCs w:val="24"/>
        </w:rPr>
        <w:t xml:space="preserve">UIT est déterminée à connecter tous les habitants de la planète </w:t>
      </w:r>
      <w:r w:rsidR="003A1C3E" w:rsidRPr="00B40A88">
        <w:rPr>
          <w:rFonts w:cstheme="minorHAnsi"/>
          <w:szCs w:val="24"/>
        </w:rPr>
        <w:t>–</w:t>
      </w:r>
      <w:r w:rsidR="00F7197B" w:rsidRPr="00D63EE9">
        <w:rPr>
          <w:rFonts w:cstheme="minorHAnsi"/>
          <w:szCs w:val="24"/>
        </w:rPr>
        <w:t xml:space="preserve"> quel que soit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 xml:space="preserve">endroit où ils vivent et quels que soient leurs moyens. Par </w:t>
      </w:r>
      <w:r w:rsidR="003A1C3E">
        <w:rPr>
          <w:rFonts w:cstheme="minorHAnsi"/>
          <w:szCs w:val="24"/>
        </w:rPr>
        <w:t>son</w:t>
      </w:r>
      <w:r w:rsidR="00F7197B" w:rsidRPr="00D63EE9">
        <w:rPr>
          <w:rFonts w:cstheme="minorHAnsi"/>
          <w:szCs w:val="24"/>
        </w:rPr>
        <w:t xml:space="preserve"> travail, elle protège et appuie le droit de chacun à communiquer</w:t>
      </w:r>
      <w:r w:rsidR="00F7197B" w:rsidRPr="00B40A88">
        <w:rPr>
          <w:rStyle w:val="FootnoteReference"/>
        </w:rPr>
        <w:footnoteReference w:id="2"/>
      </w:r>
      <w:r w:rsidR="003A1C3E">
        <w:rPr>
          <w:rFonts w:cstheme="minorHAnsi"/>
          <w:szCs w:val="24"/>
        </w:rPr>
        <w:t>".</w:t>
      </w:r>
    </w:p>
    <w:p w14:paraId="46013433" w14:textId="77777777" w:rsidR="00B40A88" w:rsidRDefault="00B40A88" w:rsidP="00861F48">
      <w:pPr>
        <w:rPr>
          <w:lang w:val="fr-CH"/>
        </w:rPr>
      </w:pPr>
      <w:bookmarkStart w:id="13" w:name="lt_pId023"/>
      <w:r>
        <w:rPr>
          <w:lang w:val="fr-CH"/>
        </w:rPr>
        <w:br w:type="page"/>
      </w:r>
    </w:p>
    <w:p w14:paraId="72E77901" w14:textId="46BFC54F" w:rsidR="00B817B8" w:rsidRPr="00F7197B" w:rsidRDefault="0025023C" w:rsidP="00861F48">
      <w:pPr>
        <w:rPr>
          <w:lang w:val="fr-CH"/>
        </w:rPr>
      </w:pPr>
      <w:r w:rsidRPr="00F7197B">
        <w:rPr>
          <w:lang w:val="fr-CH"/>
        </w:rPr>
        <w:lastRenderedPageBreak/>
        <w:t>5</w:t>
      </w:r>
      <w:r w:rsidRPr="00F7197B">
        <w:rPr>
          <w:lang w:val="fr-CH"/>
        </w:rPr>
        <w:tab/>
      </w:r>
      <w:bookmarkEnd w:id="13"/>
      <w:r w:rsidR="003A1C3E">
        <w:rPr>
          <w:rFonts w:cstheme="minorHAnsi"/>
          <w:szCs w:val="24"/>
        </w:rPr>
        <w:t>L'</w:t>
      </w:r>
      <w:r w:rsidR="00F7197B" w:rsidRPr="00D63EE9">
        <w:rPr>
          <w:rFonts w:cstheme="minorHAnsi"/>
          <w:szCs w:val="24"/>
        </w:rPr>
        <w:t>utilisation de</w:t>
      </w:r>
      <w:r w:rsidR="00F7197B">
        <w:rPr>
          <w:rFonts w:cstheme="minorHAnsi"/>
          <w:szCs w:val="24"/>
        </w:rPr>
        <w:t>s</w:t>
      </w:r>
      <w:r w:rsidR="00F7197B" w:rsidRPr="00D63EE9">
        <w:rPr>
          <w:rFonts w:cstheme="minorHAnsi"/>
          <w:szCs w:val="24"/>
        </w:rPr>
        <w:t xml:space="preserve"> téléphone</w:t>
      </w:r>
      <w:r w:rsidR="00F7197B">
        <w:rPr>
          <w:rFonts w:cstheme="minorHAnsi"/>
          <w:szCs w:val="24"/>
        </w:rPr>
        <w:t>s mobile</w:t>
      </w:r>
      <w:r w:rsidR="00F7197B" w:rsidRPr="00D63EE9">
        <w:rPr>
          <w:rFonts w:cstheme="minorHAnsi"/>
          <w:szCs w:val="24"/>
        </w:rPr>
        <w:t>s continue de croître à un r</w:t>
      </w:r>
      <w:r w:rsidR="00F7197B">
        <w:rPr>
          <w:rFonts w:cstheme="minorHAnsi"/>
          <w:szCs w:val="24"/>
        </w:rPr>
        <w:t xml:space="preserve">ythme exponentiel par rapport aux </w:t>
      </w:r>
      <w:r w:rsidR="003A1C3E">
        <w:rPr>
          <w:rFonts w:cstheme="minorHAnsi"/>
          <w:szCs w:val="24"/>
        </w:rPr>
        <w:t>téléphone</w:t>
      </w:r>
      <w:r w:rsidR="00F7197B" w:rsidRPr="00D63EE9">
        <w:rPr>
          <w:rFonts w:cstheme="minorHAnsi"/>
          <w:szCs w:val="24"/>
        </w:rPr>
        <w:t>s fixes</w:t>
      </w:r>
      <w:r w:rsidR="00F7197B" w:rsidRPr="00B40A88">
        <w:rPr>
          <w:rStyle w:val="FootnoteReference"/>
        </w:rPr>
        <w:footnoteReference w:id="3"/>
      </w:r>
      <w:r w:rsidR="00F7197B">
        <w:rPr>
          <w:rFonts w:cstheme="minorHAnsi"/>
          <w:szCs w:val="24"/>
        </w:rPr>
        <w:t>.</w:t>
      </w:r>
      <w:r w:rsidR="00F7197B" w:rsidRPr="00D63EE9">
        <w:rPr>
          <w:sz w:val="28"/>
          <w:szCs w:val="28"/>
          <w:vertAlign w:val="superscript"/>
        </w:rPr>
        <w:t xml:space="preserve"> </w:t>
      </w:r>
      <w:r w:rsidR="00F7197B" w:rsidRPr="00D63EE9">
        <w:rPr>
          <w:rFonts w:cstheme="minorHAnsi"/>
          <w:szCs w:val="24"/>
        </w:rPr>
        <w:t xml:space="preserve">Toutefois, cela ne signifie pas nécessairement que les utilisateurs </w:t>
      </w:r>
      <w:r w:rsidR="00F7197B">
        <w:rPr>
          <w:rFonts w:cstheme="minorHAnsi"/>
          <w:szCs w:val="24"/>
        </w:rPr>
        <w:t>ont recours à</w:t>
      </w:r>
      <w:r w:rsidR="00F7197B" w:rsidRPr="00D63EE9">
        <w:rPr>
          <w:rFonts w:cstheme="minorHAnsi"/>
          <w:szCs w:val="24"/>
        </w:rPr>
        <w:t xml:space="preserve"> des smartphones plutôt qu</w:t>
      </w:r>
      <w:r w:rsidR="003A1C3E">
        <w:rPr>
          <w:rFonts w:cstheme="minorHAnsi"/>
          <w:szCs w:val="24"/>
        </w:rPr>
        <w:t>'</w:t>
      </w:r>
      <w:r w:rsidR="00F7197B">
        <w:rPr>
          <w:rFonts w:cstheme="minorHAnsi"/>
          <w:szCs w:val="24"/>
        </w:rPr>
        <w:t xml:space="preserve">à </w:t>
      </w:r>
      <w:r w:rsidR="003A1C3E">
        <w:rPr>
          <w:rFonts w:cstheme="minorHAnsi"/>
          <w:szCs w:val="24"/>
        </w:rPr>
        <w:t>des téléphones</w:t>
      </w:r>
      <w:r w:rsidR="00F7197B" w:rsidRPr="00D63EE9">
        <w:rPr>
          <w:rFonts w:cstheme="minorHAnsi"/>
          <w:szCs w:val="24"/>
        </w:rPr>
        <w:t xml:space="preserve"> fixe</w:t>
      </w:r>
      <w:r w:rsidR="003A1C3E">
        <w:rPr>
          <w:rFonts w:cstheme="minorHAnsi"/>
          <w:szCs w:val="24"/>
        </w:rPr>
        <w:t>s</w:t>
      </w:r>
      <w:r w:rsidR="00F7197B" w:rsidRPr="00D63EE9">
        <w:rPr>
          <w:rFonts w:cstheme="minorHAnsi"/>
          <w:szCs w:val="24"/>
        </w:rPr>
        <w:t xml:space="preserve"> pour </w:t>
      </w:r>
      <w:r w:rsidR="003A1C3E">
        <w:rPr>
          <w:rFonts w:cstheme="minorHAnsi"/>
          <w:szCs w:val="24"/>
        </w:rPr>
        <w:t>leurs appels,</w:t>
      </w:r>
      <w:r w:rsidR="00F7197B" w:rsidRPr="00D63EE9">
        <w:rPr>
          <w:rFonts w:cstheme="minorHAnsi"/>
          <w:szCs w:val="24"/>
        </w:rPr>
        <w:t xml:space="preserve"> </w:t>
      </w:r>
      <w:r w:rsidR="003A1C3E">
        <w:rPr>
          <w:rFonts w:cstheme="minorHAnsi"/>
          <w:szCs w:val="24"/>
        </w:rPr>
        <w:t>mais</w:t>
      </w:r>
      <w:r w:rsidR="00F7197B" w:rsidRPr="00D63EE9">
        <w:rPr>
          <w:rFonts w:cstheme="minorHAnsi"/>
          <w:szCs w:val="24"/>
        </w:rPr>
        <w:t xml:space="preserve">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envoi de messages textes via des applications comme WhatsApp est devenu un mode de communication répandu.</w:t>
      </w:r>
    </w:p>
    <w:p w14:paraId="351A016B" w14:textId="5F1F1800" w:rsidR="00B817B8" w:rsidRPr="00F7197B" w:rsidRDefault="0025023C" w:rsidP="00861F48">
      <w:pPr>
        <w:rPr>
          <w:lang w:val="fr-CH"/>
        </w:rPr>
      </w:pPr>
      <w:bookmarkStart w:id="14" w:name="lt_pId025"/>
      <w:r w:rsidRPr="00F7197B">
        <w:rPr>
          <w:lang w:val="fr-CH"/>
        </w:rPr>
        <w:t>6</w:t>
      </w:r>
      <w:r w:rsidRPr="00F7197B">
        <w:rPr>
          <w:lang w:val="fr-CH"/>
        </w:rPr>
        <w:tab/>
      </w:r>
      <w:bookmarkEnd w:id="14"/>
      <w:r w:rsidR="00F7197B" w:rsidRPr="00D63EE9">
        <w:rPr>
          <w:rFonts w:cstheme="minorHAnsi"/>
          <w:szCs w:val="24"/>
        </w:rPr>
        <w:t>Certains particuliers, que ce soit dans les pays en développement ou dans les pays développés, continuent de recourir à la téléphonie fixe. Il convient également de noter que les fournisseurs de services de téléphonie fixe ont tendance à faire passer leurs clients à la fibre optique et au sans fil</w:t>
      </w:r>
      <w:r w:rsidR="00F7197B" w:rsidRPr="00B40A88">
        <w:rPr>
          <w:rStyle w:val="FootnoteReference"/>
        </w:rPr>
        <w:footnoteReference w:id="4"/>
      </w:r>
      <w:r w:rsidR="003A1C3E">
        <w:rPr>
          <w:rFonts w:cstheme="minorHAnsi"/>
          <w:szCs w:val="24"/>
        </w:rPr>
        <w:t>.</w:t>
      </w:r>
      <w:r w:rsidR="00F7197B" w:rsidRPr="00D63EE9">
        <w:rPr>
          <w:vertAlign w:val="superscript"/>
        </w:rPr>
        <w:t xml:space="preserve"> </w:t>
      </w:r>
      <w:r w:rsidR="00F7197B" w:rsidRPr="00D63EE9">
        <w:rPr>
          <w:rFonts w:cstheme="minorHAnsi"/>
          <w:szCs w:val="24"/>
        </w:rPr>
        <w:t>Cependant, la mise en œuvre du processus prend du temps et dépend des capacités financières et de la clientèle du fournisseur de services.</w:t>
      </w:r>
    </w:p>
    <w:p w14:paraId="41B528A2" w14:textId="253443B0" w:rsidR="00B817B8" w:rsidRPr="00F7197B" w:rsidRDefault="0025023C" w:rsidP="00861F48">
      <w:pPr>
        <w:rPr>
          <w:lang w:val="fr-CH"/>
        </w:rPr>
      </w:pPr>
      <w:bookmarkStart w:id="15" w:name="lt_pId028"/>
      <w:r w:rsidRPr="00F7197B">
        <w:rPr>
          <w:lang w:val="fr-CH"/>
        </w:rPr>
        <w:t>7</w:t>
      </w:r>
      <w:r w:rsidRPr="00F7197B">
        <w:rPr>
          <w:lang w:val="fr-CH"/>
        </w:rPr>
        <w:tab/>
      </w:r>
      <w:bookmarkEnd w:id="15"/>
      <w:r w:rsidR="00F7197B" w:rsidRPr="00D63EE9">
        <w:rPr>
          <w:rFonts w:cstheme="minorHAnsi"/>
          <w:szCs w:val="24"/>
        </w:rPr>
        <w:t>Un examen de chacune des dispositions du RTI dans sa version de 2012 jouera un rôle important pour ce qui est de la détermination de ce qui demeure/sera pertinent dans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environnement international des télécommunications actuel/futur. La nouvelle version du RTI</w:t>
      </w:r>
      <w:r w:rsidR="00F7197B" w:rsidRPr="00D63EE9">
        <w:rPr>
          <w:sz w:val="28"/>
          <w:szCs w:val="28"/>
          <w:vertAlign w:val="superscript"/>
        </w:rPr>
        <w:footnoteReference w:id="5"/>
      </w:r>
      <w:r w:rsidR="00F7197B" w:rsidRPr="00D63EE9">
        <w:rPr>
          <w:sz w:val="28"/>
          <w:szCs w:val="28"/>
          <w:vertAlign w:val="superscript"/>
        </w:rPr>
        <w:t xml:space="preserve"> </w:t>
      </w:r>
      <w:r w:rsidR="00F7197B" w:rsidRPr="00D63EE9">
        <w:rPr>
          <w:rFonts w:cstheme="minorHAnsi"/>
          <w:szCs w:val="24"/>
        </w:rPr>
        <w:t>ne doit pas uniquement prendre en considération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environnement actuel mais doit également être tournée vers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avenir en tenant compte des travaux des différentes commissions d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études de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UIT. La nouvelle version du RTI doit également prendre en considération les réalités des pays en</w:t>
      </w:r>
      <w:r w:rsidR="00B40A88">
        <w:rPr>
          <w:rFonts w:cstheme="minorHAnsi"/>
          <w:szCs w:val="24"/>
        </w:rPr>
        <w:t> </w:t>
      </w:r>
      <w:r w:rsidR="00F7197B" w:rsidRPr="00D63EE9">
        <w:rPr>
          <w:rFonts w:cstheme="minorHAnsi"/>
          <w:szCs w:val="24"/>
        </w:rPr>
        <w:t>développement compte tenu des nouvelles tendances des télécommunications/TIC ainsi que des nouveaux problèmes qui se font jour dans l</w:t>
      </w:r>
      <w:r w:rsidR="003A1C3E">
        <w:rPr>
          <w:rFonts w:cstheme="minorHAnsi"/>
          <w:szCs w:val="24"/>
        </w:rPr>
        <w:t>'</w:t>
      </w:r>
      <w:r w:rsidR="00F7197B" w:rsidRPr="00D63EE9">
        <w:rPr>
          <w:rFonts w:cstheme="minorHAnsi"/>
          <w:szCs w:val="24"/>
        </w:rPr>
        <w:t>environnement international des télécommunications/TIC.</w:t>
      </w:r>
    </w:p>
    <w:p w14:paraId="5DE4A29F" w14:textId="7900804F" w:rsidR="00B817B8" w:rsidRPr="00F7197B" w:rsidRDefault="0025023C" w:rsidP="00861F48">
      <w:pPr>
        <w:rPr>
          <w:lang w:val="fr-CH"/>
        </w:rPr>
      </w:pPr>
      <w:bookmarkStart w:id="16" w:name="lt_pId031"/>
      <w:r w:rsidRPr="00F7197B">
        <w:rPr>
          <w:lang w:val="fr-CH"/>
        </w:rPr>
        <w:t>8</w:t>
      </w:r>
      <w:r w:rsidRPr="00F7197B">
        <w:rPr>
          <w:lang w:val="fr-CH"/>
        </w:rPr>
        <w:tab/>
      </w:r>
      <w:bookmarkEnd w:id="16"/>
      <w:r w:rsidR="00F7197B" w:rsidRPr="00F7197B">
        <w:t>La République sudafricaine croit comprendre que les travaux du Groupe EG-RTI comprennent:</w:t>
      </w:r>
    </w:p>
    <w:p w14:paraId="273F8A73" w14:textId="700FCEE1" w:rsidR="00B817B8" w:rsidRPr="00F7197B" w:rsidRDefault="0025023C" w:rsidP="00861F48">
      <w:pPr>
        <w:pStyle w:val="enumlev1"/>
        <w:rPr>
          <w:lang w:val="fr-CH"/>
        </w:rPr>
      </w:pPr>
      <w:bookmarkStart w:id="17" w:name="lt_pId032"/>
      <w:r w:rsidRPr="00F7197B">
        <w:rPr>
          <w:lang w:val="fr-CH"/>
        </w:rPr>
        <w:t>a)</w:t>
      </w:r>
      <w:r w:rsidRPr="00F7197B">
        <w:rPr>
          <w:lang w:val="fr-CH"/>
        </w:rPr>
        <w:tab/>
      </w:r>
      <w:bookmarkEnd w:id="17"/>
      <w:r w:rsidR="004A42D6">
        <w:t>u</w:t>
      </w:r>
      <w:r w:rsidR="00F7197B" w:rsidRPr="00F7197B">
        <w:t>n examen détaillé du RTI, décomposé comme suit:</w:t>
      </w:r>
    </w:p>
    <w:p w14:paraId="4BAF2BB4" w14:textId="0EB7514D" w:rsidR="00B817B8" w:rsidRPr="00F7197B" w:rsidRDefault="0025023C" w:rsidP="00861F48">
      <w:pPr>
        <w:pStyle w:val="enumlev2"/>
        <w:rPr>
          <w:lang w:val="fr-CH"/>
        </w:rPr>
      </w:pPr>
      <w:bookmarkStart w:id="18" w:name="lt_pId033"/>
      <w:r w:rsidRPr="00F7197B">
        <w:rPr>
          <w:lang w:val="fr-CH"/>
        </w:rPr>
        <w:t>i)</w:t>
      </w:r>
      <w:r w:rsidRPr="00F7197B">
        <w:rPr>
          <w:lang w:val="fr-CH"/>
        </w:rPr>
        <w:tab/>
      </w:r>
      <w:bookmarkEnd w:id="18"/>
      <w:r w:rsidR="00F7197B" w:rsidRPr="00F7197B">
        <w:t>un examen de chacune des dispositions du RTI dans sa version de 2012;</w:t>
      </w:r>
    </w:p>
    <w:p w14:paraId="1A2C6EA3" w14:textId="16E397DF" w:rsidR="00B817B8" w:rsidRPr="00F7197B" w:rsidRDefault="0025023C" w:rsidP="00861F48">
      <w:pPr>
        <w:pStyle w:val="enumlev2"/>
        <w:rPr>
          <w:lang w:val="fr-CH"/>
        </w:rPr>
      </w:pPr>
      <w:bookmarkStart w:id="19" w:name="lt_pId034"/>
      <w:r w:rsidRPr="00F7197B">
        <w:rPr>
          <w:lang w:val="fr-CH"/>
        </w:rPr>
        <w:t>ii)</w:t>
      </w:r>
      <w:r w:rsidRPr="00F7197B">
        <w:rPr>
          <w:lang w:val="fr-CH"/>
        </w:rPr>
        <w:tab/>
      </w:r>
      <w:bookmarkEnd w:id="19"/>
      <w:r w:rsidR="00F7197B" w:rsidRPr="00F7197B">
        <w:t>l</w:t>
      </w:r>
      <w:r w:rsidR="003A1C3E">
        <w:t>'</w:t>
      </w:r>
      <w:r w:rsidR="00F7197B" w:rsidRPr="00F7197B">
        <w:t>examen de chacune des dispositions susmentionné doit tenir compte des nouvelles tendances des télécommunications/TIC ainsi que des nouveaux problèmes qui se font jour dans l</w:t>
      </w:r>
      <w:r w:rsidR="003A1C3E">
        <w:t>'</w:t>
      </w:r>
      <w:r w:rsidR="00F7197B" w:rsidRPr="00F7197B">
        <w:t>environnement international des télécommunications/TIC;</w:t>
      </w:r>
    </w:p>
    <w:p w14:paraId="359D1950" w14:textId="35592662" w:rsidR="00B817B8" w:rsidRPr="006A79F3" w:rsidRDefault="0025023C" w:rsidP="00861F48">
      <w:pPr>
        <w:pStyle w:val="enumlev2"/>
        <w:rPr>
          <w:lang w:val="fr-CH"/>
        </w:rPr>
      </w:pPr>
      <w:bookmarkStart w:id="20" w:name="lt_pId035"/>
      <w:r w:rsidRPr="006A79F3">
        <w:rPr>
          <w:lang w:val="fr-CH"/>
        </w:rPr>
        <w:t>iii)</w:t>
      </w:r>
      <w:r w:rsidRPr="006A79F3">
        <w:rPr>
          <w:lang w:val="fr-CH"/>
        </w:rPr>
        <w:tab/>
      </w:r>
      <w:bookmarkEnd w:id="20"/>
      <w:r w:rsidR="00861F48">
        <w:t>c</w:t>
      </w:r>
      <w:r w:rsidR="00F7197B" w:rsidRPr="00F7197B">
        <w:t xml:space="preserve">et examen doit </w:t>
      </w:r>
      <w:r w:rsidR="00F7197B" w:rsidRPr="00F7197B">
        <w:rPr>
          <w:u w:val="single"/>
        </w:rPr>
        <w:t>notamment</w:t>
      </w:r>
      <w:r w:rsidR="00F7197B" w:rsidRPr="00F7197B">
        <w:t xml:space="preserve"> porter sur:</w:t>
      </w:r>
    </w:p>
    <w:p w14:paraId="66E0F172" w14:textId="7C5E581F" w:rsidR="00B817B8" w:rsidRPr="006A79F3" w:rsidRDefault="0025023C" w:rsidP="00861F48">
      <w:pPr>
        <w:pStyle w:val="enumlev3"/>
        <w:rPr>
          <w:lang w:val="fr-CH"/>
        </w:rPr>
      </w:pPr>
      <w:bookmarkStart w:id="21" w:name="lt_pId036"/>
      <w:r w:rsidRPr="006A79F3">
        <w:rPr>
          <w:lang w:val="fr-CH"/>
        </w:rPr>
        <w:t>•</w:t>
      </w:r>
      <w:r w:rsidRPr="006A79F3">
        <w:rPr>
          <w:lang w:val="fr-CH"/>
        </w:rPr>
        <w:tab/>
      </w:r>
      <w:bookmarkEnd w:id="21"/>
      <w:r w:rsidR="00F7197B" w:rsidRPr="00F7197B">
        <w:t>l</w:t>
      </w:r>
      <w:r w:rsidR="003A1C3E">
        <w:t>'</w:t>
      </w:r>
      <w:r w:rsidR="00F7197B" w:rsidRPr="00F7197B">
        <w:t>applicabilité des dispositions du RTI pour ce qui est de favoriser la fourniture et le développement des services et des réseaux internationaux de télécommunication/TIC; et</w:t>
      </w:r>
    </w:p>
    <w:p w14:paraId="5DC983C5" w14:textId="026FE2CF" w:rsidR="0025023C" w:rsidRDefault="0025023C" w:rsidP="00861F48">
      <w:pPr>
        <w:pStyle w:val="enumlev3"/>
        <w:rPr>
          <w:lang w:val="fr-CH"/>
        </w:rPr>
      </w:pPr>
      <w:bookmarkStart w:id="22" w:name="lt_pId037"/>
      <w:r w:rsidRPr="006A79F3">
        <w:rPr>
          <w:lang w:val="fr-CH"/>
        </w:rPr>
        <w:t>•</w:t>
      </w:r>
      <w:r w:rsidRPr="006A79F3">
        <w:rPr>
          <w:lang w:val="fr-CH"/>
        </w:rPr>
        <w:tab/>
      </w:r>
      <w:bookmarkStart w:id="23" w:name="lt_pId038"/>
      <w:bookmarkEnd w:id="22"/>
      <w:r w:rsidR="00F7197B" w:rsidRPr="00F7197B">
        <w:t>la souplesse, ou le manque de souplesse, des dispositions du RTI</w:t>
      </w:r>
      <w:r w:rsidR="00F7197B" w:rsidRPr="00F7197B" w:rsidDel="003867F5">
        <w:t xml:space="preserve"> </w:t>
      </w:r>
      <w:r w:rsidR="00F7197B" w:rsidRPr="00F7197B">
        <w:t>pour tenir compte des nouvelles tendances des télécommunications/TIC ainsi que des nouveaux problèmes qui se font jour dans l</w:t>
      </w:r>
      <w:r w:rsidR="003A1C3E">
        <w:t>'</w:t>
      </w:r>
      <w:r w:rsidR="00F7197B" w:rsidRPr="00F7197B">
        <w:t>environnement international des télécommunications/TIC.</w:t>
      </w:r>
    </w:p>
    <w:p w14:paraId="08773667" w14:textId="77777777" w:rsidR="00861F48" w:rsidRDefault="00861F48" w:rsidP="00861F48">
      <w:pPr>
        <w:pStyle w:val="enumlev1"/>
        <w:rPr>
          <w:lang w:val="fr-CH"/>
        </w:rPr>
      </w:pPr>
      <w:r>
        <w:rPr>
          <w:lang w:val="fr-CH"/>
        </w:rPr>
        <w:br w:type="page"/>
      </w:r>
    </w:p>
    <w:p w14:paraId="0F4AEC28" w14:textId="41E69E56" w:rsidR="00B817B8" w:rsidRPr="00F7197B" w:rsidRDefault="0025023C" w:rsidP="00861F48">
      <w:pPr>
        <w:pStyle w:val="enumlev1"/>
        <w:rPr>
          <w:lang w:val="fr-CH"/>
        </w:rPr>
      </w:pPr>
      <w:r w:rsidRPr="00F7197B">
        <w:rPr>
          <w:lang w:val="fr-CH"/>
        </w:rPr>
        <w:t>b)</w:t>
      </w:r>
      <w:r w:rsidRPr="00F7197B">
        <w:rPr>
          <w:lang w:val="fr-CH"/>
        </w:rPr>
        <w:tab/>
      </w:r>
      <w:bookmarkEnd w:id="23"/>
      <w:r w:rsidR="004A42D6">
        <w:t>l</w:t>
      </w:r>
      <w:r w:rsidR="00F7197B" w:rsidRPr="00F7197B">
        <w:t>a présentation d</w:t>
      </w:r>
      <w:r w:rsidR="003A1C3E">
        <w:t>'</w:t>
      </w:r>
      <w:r w:rsidR="00F7197B" w:rsidRPr="00F7197B">
        <w:t>un rapport d</w:t>
      </w:r>
      <w:r w:rsidR="003A1C3E">
        <w:t>'</w:t>
      </w:r>
      <w:r w:rsidR="00F7197B" w:rsidRPr="00F7197B">
        <w:t xml:space="preserve">activité rendant compte de tous les points de vue concernant </w:t>
      </w:r>
      <w:r w:rsidR="00861F48">
        <w:t>sur l'examen</w:t>
      </w:r>
      <w:r w:rsidR="00F7197B" w:rsidRPr="00F7197B">
        <w:t xml:space="preserve"> du RTI au Conseil à s</w:t>
      </w:r>
      <w:r w:rsidR="00861F48">
        <w:t>es</w:t>
      </w:r>
      <w:r w:rsidR="00F7197B" w:rsidRPr="00F7197B">
        <w:t xml:space="preserve"> session</w:t>
      </w:r>
      <w:r w:rsidR="00861F48">
        <w:t>s</w:t>
      </w:r>
      <w:r w:rsidR="00F7197B" w:rsidRPr="00F7197B">
        <w:t xml:space="preserve"> de 2020 et de 2021, et</w:t>
      </w:r>
    </w:p>
    <w:p w14:paraId="48527E1E" w14:textId="2A3DB6A3" w:rsidR="00B817B8" w:rsidRPr="0025023C" w:rsidRDefault="0025023C" w:rsidP="00861F48">
      <w:pPr>
        <w:pStyle w:val="enumlev1"/>
        <w:rPr>
          <w:lang w:val="fr-CH"/>
        </w:rPr>
      </w:pPr>
      <w:bookmarkStart w:id="24" w:name="lt_pId039"/>
      <w:r w:rsidRPr="0025023C">
        <w:rPr>
          <w:lang w:val="fr-CH"/>
        </w:rPr>
        <w:t>c)</w:t>
      </w:r>
      <w:r w:rsidRPr="0025023C">
        <w:rPr>
          <w:lang w:val="fr-CH"/>
        </w:rPr>
        <w:tab/>
      </w:r>
      <w:bookmarkEnd w:id="24"/>
      <w:r w:rsidR="004A42D6">
        <w:t>l</w:t>
      </w:r>
      <w:bookmarkStart w:id="25" w:name="_GoBack"/>
      <w:bookmarkEnd w:id="25"/>
      <w:r w:rsidR="00F7197B" w:rsidRPr="00F7197B">
        <w:t>a présentation d</w:t>
      </w:r>
      <w:r w:rsidR="003A1C3E">
        <w:t>'</w:t>
      </w:r>
      <w:r w:rsidR="00F7197B" w:rsidRPr="00F7197B">
        <w:t>un rapport final au Conseil à sa session de 2022, afin que celui-ci l</w:t>
      </w:r>
      <w:r w:rsidR="003A1C3E">
        <w:t>'</w:t>
      </w:r>
      <w:r w:rsidR="00F7197B" w:rsidRPr="00F7197B">
        <w:t>examine et le soumette à la Conférence de plénipotentiaires de 2022, assorti de ses observations.</w:t>
      </w:r>
    </w:p>
    <w:p w14:paraId="1FBD1898" w14:textId="77777777" w:rsidR="00B817B8" w:rsidRPr="003A1C3E" w:rsidRDefault="00B817B8" w:rsidP="00861F48">
      <w:pPr>
        <w:pStyle w:val="Headingb"/>
        <w:rPr>
          <w:lang w:val="fr-CH"/>
        </w:rPr>
      </w:pPr>
      <w:bookmarkStart w:id="26" w:name="lt_pId040"/>
      <w:r w:rsidRPr="003A1C3E">
        <w:rPr>
          <w:lang w:val="fr-CH"/>
        </w:rPr>
        <w:t>Conclusion</w:t>
      </w:r>
      <w:bookmarkEnd w:id="26"/>
    </w:p>
    <w:p w14:paraId="4B0AB3F9" w14:textId="37A6CA24" w:rsidR="00D837AA" w:rsidRPr="00F7197B" w:rsidRDefault="00F7197B" w:rsidP="00861F48">
      <w:pPr>
        <w:rPr>
          <w:lang w:val="fr-CH"/>
        </w:rPr>
      </w:pPr>
      <w:r w:rsidRPr="00F7197B">
        <w:rPr>
          <w:rFonts w:cstheme="minorHAnsi"/>
          <w:szCs w:val="24"/>
        </w:rPr>
        <w:t xml:space="preserve">En conclusion, </w:t>
      </w:r>
      <w:r w:rsidR="00861F48">
        <w:rPr>
          <w:rFonts w:cstheme="minorHAnsi"/>
          <w:szCs w:val="24"/>
        </w:rPr>
        <w:t>la République sudafricaine</w:t>
      </w:r>
      <w:r w:rsidRPr="00F7197B">
        <w:rPr>
          <w:rFonts w:cstheme="minorHAnsi"/>
          <w:szCs w:val="24"/>
        </w:rPr>
        <w:t xml:space="preserve"> </w:t>
      </w:r>
      <w:r w:rsidR="00B40A88">
        <w:rPr>
          <w:rFonts w:cstheme="minorHAnsi"/>
          <w:szCs w:val="24"/>
        </w:rPr>
        <w:t>se réjouit</w:t>
      </w:r>
      <w:r w:rsidRPr="00F7197B">
        <w:rPr>
          <w:rFonts w:cstheme="minorHAnsi"/>
          <w:szCs w:val="24"/>
        </w:rPr>
        <w:t xml:space="preserve"> de participer aux travaux du Groupe</w:t>
      </w:r>
      <w:r w:rsidR="00861F48">
        <w:rPr>
          <w:rFonts w:cstheme="minorHAnsi"/>
          <w:szCs w:val="24"/>
        </w:rPr>
        <w:t> </w:t>
      </w:r>
      <w:r w:rsidRPr="00F7197B">
        <w:rPr>
          <w:rFonts w:cstheme="minorHAnsi"/>
          <w:szCs w:val="24"/>
        </w:rPr>
        <w:t>EG</w:t>
      </w:r>
      <w:r w:rsidR="00861F48">
        <w:rPr>
          <w:rFonts w:cstheme="minorHAnsi"/>
          <w:szCs w:val="24"/>
        </w:rPr>
        <w:noBreakHyphen/>
      </w:r>
      <w:r w:rsidRPr="00F7197B">
        <w:rPr>
          <w:rFonts w:cstheme="minorHAnsi"/>
          <w:szCs w:val="24"/>
        </w:rPr>
        <w:t>RTI.</w:t>
      </w:r>
    </w:p>
    <w:p w14:paraId="38CB241A" w14:textId="77777777" w:rsidR="00B817B8" w:rsidRPr="00F7197B" w:rsidRDefault="00B817B8" w:rsidP="00861F48">
      <w:pPr>
        <w:rPr>
          <w:lang w:val="fr-CH"/>
        </w:rPr>
      </w:pPr>
    </w:p>
    <w:p w14:paraId="4EBBCF87" w14:textId="55B4F611" w:rsidR="00571EEA" w:rsidRPr="00B817B8" w:rsidRDefault="00B817B8" w:rsidP="00B817B8">
      <w:pPr>
        <w:jc w:val="center"/>
        <w:rPr>
          <w:lang w:val="en-US"/>
        </w:rPr>
      </w:pPr>
      <w:r>
        <w:t>______________</w:t>
      </w:r>
    </w:p>
    <w:sectPr w:rsidR="00571EEA" w:rsidRPr="00B817B8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6E88" w14:textId="77777777" w:rsidR="00D04990" w:rsidRDefault="00D04990">
      <w:r>
        <w:separator/>
      </w:r>
    </w:p>
  </w:endnote>
  <w:endnote w:type="continuationSeparator" w:id="0">
    <w:p w14:paraId="240FAA22" w14:textId="77777777" w:rsidR="00D04990" w:rsidRDefault="00D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5042" w14:textId="425A9FE6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04990">
      <w:rPr>
        <w:lang w:val="en-US"/>
      </w:rPr>
      <w:t>Document2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00197">
      <w:t>04.09.19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0499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7941" w14:textId="6633D3E0" w:rsidR="00732045" w:rsidRPr="003A1C3E" w:rsidRDefault="003A1C3E" w:rsidP="003A1C3E">
    <w:pPr>
      <w:pStyle w:val="Footer"/>
    </w:pPr>
    <w:r>
      <w:fldChar w:fldCharType="begin"/>
    </w:r>
    <w:r w:rsidRPr="00B817B8">
      <w:instrText xml:space="preserve"> FILENAME \p \* MERGEFORMAT </w:instrText>
    </w:r>
    <w:r>
      <w:fldChar w:fldCharType="separate"/>
    </w:r>
    <w:r>
      <w:t>P:\FRA\SG\CONSEIL\EG-ITR\EG-ITR-1\000\006F.docx</w:t>
    </w:r>
    <w:r>
      <w:fldChar w:fldCharType="end"/>
    </w:r>
    <w:r>
      <w:t xml:space="preserve"> (460258)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999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9DFF" w14:textId="77777777" w:rsidR="00D04990" w:rsidRDefault="00D04990">
      <w:r>
        <w:t>____________________</w:t>
      </w:r>
    </w:p>
  </w:footnote>
  <w:footnote w:type="continuationSeparator" w:id="0">
    <w:p w14:paraId="2224E179" w14:textId="77777777" w:rsidR="00D04990" w:rsidRDefault="00D04990">
      <w:r>
        <w:continuationSeparator/>
      </w:r>
    </w:p>
  </w:footnote>
  <w:footnote w:id="1">
    <w:p w14:paraId="0E3B6083" w14:textId="0D8C0AF7" w:rsidR="00F7197B" w:rsidRPr="00857648" w:rsidRDefault="00F7197B" w:rsidP="00F7197B">
      <w:pPr>
        <w:pStyle w:val="FootnoteText"/>
      </w:pPr>
      <w:r w:rsidRPr="00857648">
        <w:rPr>
          <w:rStyle w:val="FootnoteReference"/>
        </w:rPr>
        <w:footnoteRef/>
      </w:r>
      <w:r>
        <w:tab/>
      </w:r>
      <w:r w:rsidRPr="00857648">
        <w:t>Au regard de dispositions similaires du RTI, dans s</w:t>
      </w:r>
      <w:r w:rsidR="003A1C3E">
        <w:t>es</w:t>
      </w:r>
      <w:r w:rsidRPr="00857648">
        <w:t xml:space="preserve"> version</w:t>
      </w:r>
      <w:r w:rsidR="003A1C3E">
        <w:t>s</w:t>
      </w:r>
      <w:r w:rsidRPr="00857648">
        <w:t xml:space="preserve"> de 1988 et de 2012.</w:t>
      </w:r>
    </w:p>
  </w:footnote>
  <w:footnote w:id="2">
    <w:p w14:paraId="453D9C79" w14:textId="075331F8" w:rsidR="00F7197B" w:rsidRPr="00857648" w:rsidRDefault="00F7197B" w:rsidP="00F7197B">
      <w:pPr>
        <w:pStyle w:val="FootnoteText"/>
      </w:pPr>
      <w:r w:rsidRPr="00857648">
        <w:rPr>
          <w:rStyle w:val="FootnoteReference"/>
        </w:rPr>
        <w:footnoteRef/>
      </w:r>
      <w:r w:rsidRPr="00F7197B">
        <w:tab/>
      </w:r>
      <w:hyperlink r:id="rId1" w:history="1">
        <w:r w:rsidRPr="00857648">
          <w:rPr>
            <w:rStyle w:val="Hyperlink"/>
          </w:rPr>
          <w:t>https://www.itu.int/en/about/Pages/default.aspx</w:t>
        </w:r>
      </w:hyperlink>
      <w:r>
        <w:t>.</w:t>
      </w:r>
    </w:p>
  </w:footnote>
  <w:footnote w:id="3">
    <w:p w14:paraId="208AB07A" w14:textId="3254E3CF" w:rsidR="00F7197B" w:rsidRPr="00857648" w:rsidRDefault="00F7197B" w:rsidP="00F7197B">
      <w:pPr>
        <w:pStyle w:val="FootnoteText"/>
      </w:pPr>
      <w:r w:rsidRPr="00857648">
        <w:rPr>
          <w:rStyle w:val="FootnoteReference"/>
        </w:rPr>
        <w:footnoteRef/>
      </w:r>
      <w:r w:rsidRPr="00F7197B">
        <w:tab/>
      </w:r>
      <w:hyperlink r:id="rId2" w:history="1">
        <w:r w:rsidRPr="00857648">
          <w:rPr>
            <w:rStyle w:val="Hyperlink"/>
          </w:rPr>
          <w:t>https://www.itweb.co.za/content/GxwQDM1AYy8MlPVo</w:t>
        </w:r>
      </w:hyperlink>
      <w:r>
        <w:t>.</w:t>
      </w:r>
    </w:p>
  </w:footnote>
  <w:footnote w:id="4">
    <w:p w14:paraId="63E83708" w14:textId="6221F9C6" w:rsidR="00F7197B" w:rsidRPr="00857648" w:rsidRDefault="00F7197B" w:rsidP="00F7197B">
      <w:pPr>
        <w:pStyle w:val="FootnoteText"/>
      </w:pPr>
      <w:r w:rsidRPr="00857648">
        <w:rPr>
          <w:rStyle w:val="FootnoteReference"/>
        </w:rPr>
        <w:footnoteRef/>
      </w:r>
      <w:r w:rsidRPr="00F7197B">
        <w:tab/>
      </w:r>
      <w:hyperlink r:id="rId3" w:history="1">
        <w:r w:rsidRPr="00857648">
          <w:rPr>
            <w:rStyle w:val="Hyperlink"/>
          </w:rPr>
          <w:t>https://businesstech.co.za/news/telecommunications/332529/telkom-is-migrating-customers-from-copper-to-wireless-with-fixed-line-prepaid-discontinued-in-august/</w:t>
        </w:r>
      </w:hyperlink>
      <w:r>
        <w:t>.</w:t>
      </w:r>
    </w:p>
  </w:footnote>
  <w:footnote w:id="5">
    <w:p w14:paraId="7AA99031" w14:textId="505FF690" w:rsidR="00F7197B" w:rsidRPr="00857648" w:rsidRDefault="00F7197B" w:rsidP="00F7197B">
      <w:pPr>
        <w:pStyle w:val="FootnoteText"/>
      </w:pPr>
      <w:r w:rsidRPr="00857648">
        <w:rPr>
          <w:rStyle w:val="FootnoteReference"/>
        </w:rPr>
        <w:footnoteRef/>
      </w:r>
      <w:r>
        <w:tab/>
      </w:r>
      <w:r w:rsidRPr="00857648">
        <w:t>Si les États Membres parviennent à un consensus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AE8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10D255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F719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79DD4C6D" w14:textId="64D61DE4" w:rsidR="00732045" w:rsidRDefault="00B84194" w:rsidP="0093234A">
    <w:pPr>
      <w:pStyle w:val="Header"/>
    </w:pPr>
    <w:r>
      <w:rPr>
        <w:noProof/>
      </w:rPr>
      <w:t>EG-ITRs-1\</w:t>
    </w:r>
    <w:r w:rsidR="00B817B8">
      <w:rPr>
        <w:noProof/>
      </w:rPr>
      <w:t>6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45C1D"/>
    <w:multiLevelType w:val="hybridMultilevel"/>
    <w:tmpl w:val="3E1ADC3C"/>
    <w:lvl w:ilvl="0" w:tplc="5ED460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A4A7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1834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229B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96F1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CA10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92DB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3E024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A8F5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EC73EB"/>
    <w:multiLevelType w:val="hybridMultilevel"/>
    <w:tmpl w:val="C24A1A26"/>
    <w:lvl w:ilvl="0" w:tplc="404AB23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C1F465D4" w:tentative="1">
      <w:start w:val="1"/>
      <w:numFmt w:val="lowerLetter"/>
      <w:lvlText w:val="%2."/>
      <w:lvlJc w:val="left"/>
      <w:pPr>
        <w:ind w:left="2160" w:hanging="360"/>
      </w:pPr>
    </w:lvl>
    <w:lvl w:ilvl="2" w:tplc="07EC5858" w:tentative="1">
      <w:start w:val="1"/>
      <w:numFmt w:val="lowerRoman"/>
      <w:lvlText w:val="%3."/>
      <w:lvlJc w:val="right"/>
      <w:pPr>
        <w:ind w:left="2880" w:hanging="180"/>
      </w:pPr>
    </w:lvl>
    <w:lvl w:ilvl="3" w:tplc="863407DE" w:tentative="1">
      <w:start w:val="1"/>
      <w:numFmt w:val="decimal"/>
      <w:lvlText w:val="%4."/>
      <w:lvlJc w:val="left"/>
      <w:pPr>
        <w:ind w:left="3600" w:hanging="360"/>
      </w:pPr>
    </w:lvl>
    <w:lvl w:ilvl="4" w:tplc="1CD0ADFA" w:tentative="1">
      <w:start w:val="1"/>
      <w:numFmt w:val="lowerLetter"/>
      <w:lvlText w:val="%5."/>
      <w:lvlJc w:val="left"/>
      <w:pPr>
        <w:ind w:left="4320" w:hanging="360"/>
      </w:pPr>
    </w:lvl>
    <w:lvl w:ilvl="5" w:tplc="026AD9F2" w:tentative="1">
      <w:start w:val="1"/>
      <w:numFmt w:val="lowerRoman"/>
      <w:lvlText w:val="%6."/>
      <w:lvlJc w:val="right"/>
      <w:pPr>
        <w:ind w:left="5040" w:hanging="180"/>
      </w:pPr>
    </w:lvl>
    <w:lvl w:ilvl="6" w:tplc="B59CBEFA" w:tentative="1">
      <w:start w:val="1"/>
      <w:numFmt w:val="decimal"/>
      <w:lvlText w:val="%7."/>
      <w:lvlJc w:val="left"/>
      <w:pPr>
        <w:ind w:left="5760" w:hanging="360"/>
      </w:pPr>
    </w:lvl>
    <w:lvl w:ilvl="7" w:tplc="FB163E5A" w:tentative="1">
      <w:start w:val="1"/>
      <w:numFmt w:val="lowerLetter"/>
      <w:lvlText w:val="%8."/>
      <w:lvlJc w:val="left"/>
      <w:pPr>
        <w:ind w:left="6480" w:hanging="360"/>
      </w:pPr>
    </w:lvl>
    <w:lvl w:ilvl="8" w:tplc="4F2805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FC4B05"/>
    <w:multiLevelType w:val="hybridMultilevel"/>
    <w:tmpl w:val="0BDEB472"/>
    <w:lvl w:ilvl="0" w:tplc="5A6A1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24F07C" w:tentative="1">
      <w:start w:val="1"/>
      <w:numFmt w:val="lowerLetter"/>
      <w:lvlText w:val="%2."/>
      <w:lvlJc w:val="left"/>
      <w:pPr>
        <w:ind w:left="1800" w:hanging="360"/>
      </w:pPr>
    </w:lvl>
    <w:lvl w:ilvl="2" w:tplc="849E3C70" w:tentative="1">
      <w:start w:val="1"/>
      <w:numFmt w:val="lowerRoman"/>
      <w:lvlText w:val="%3."/>
      <w:lvlJc w:val="right"/>
      <w:pPr>
        <w:ind w:left="2520" w:hanging="180"/>
      </w:pPr>
    </w:lvl>
    <w:lvl w:ilvl="3" w:tplc="02B435DC" w:tentative="1">
      <w:start w:val="1"/>
      <w:numFmt w:val="decimal"/>
      <w:lvlText w:val="%4."/>
      <w:lvlJc w:val="left"/>
      <w:pPr>
        <w:ind w:left="3240" w:hanging="360"/>
      </w:pPr>
    </w:lvl>
    <w:lvl w:ilvl="4" w:tplc="C136D6DC" w:tentative="1">
      <w:start w:val="1"/>
      <w:numFmt w:val="lowerLetter"/>
      <w:lvlText w:val="%5."/>
      <w:lvlJc w:val="left"/>
      <w:pPr>
        <w:ind w:left="3960" w:hanging="360"/>
      </w:pPr>
    </w:lvl>
    <w:lvl w:ilvl="5" w:tplc="69043890" w:tentative="1">
      <w:start w:val="1"/>
      <w:numFmt w:val="lowerRoman"/>
      <w:lvlText w:val="%6."/>
      <w:lvlJc w:val="right"/>
      <w:pPr>
        <w:ind w:left="4680" w:hanging="180"/>
      </w:pPr>
    </w:lvl>
    <w:lvl w:ilvl="6" w:tplc="6FDA8744" w:tentative="1">
      <w:start w:val="1"/>
      <w:numFmt w:val="decimal"/>
      <w:lvlText w:val="%7."/>
      <w:lvlJc w:val="left"/>
      <w:pPr>
        <w:ind w:left="5400" w:hanging="360"/>
      </w:pPr>
    </w:lvl>
    <w:lvl w:ilvl="7" w:tplc="D5FA5DA4" w:tentative="1">
      <w:start w:val="1"/>
      <w:numFmt w:val="lowerLetter"/>
      <w:lvlText w:val="%8."/>
      <w:lvlJc w:val="left"/>
      <w:pPr>
        <w:ind w:left="6120" w:hanging="360"/>
      </w:pPr>
    </w:lvl>
    <w:lvl w:ilvl="8" w:tplc="B7B2BB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86783"/>
    <w:multiLevelType w:val="hybridMultilevel"/>
    <w:tmpl w:val="9D1CC16C"/>
    <w:lvl w:ilvl="0" w:tplc="E2A693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9D82F5F8" w:tentative="1">
      <w:start w:val="1"/>
      <w:numFmt w:val="lowerLetter"/>
      <w:lvlText w:val="%2."/>
      <w:lvlJc w:val="left"/>
      <w:pPr>
        <w:ind w:left="1800" w:hanging="360"/>
      </w:pPr>
    </w:lvl>
    <w:lvl w:ilvl="2" w:tplc="EC623046" w:tentative="1">
      <w:start w:val="1"/>
      <w:numFmt w:val="lowerRoman"/>
      <w:lvlText w:val="%3."/>
      <w:lvlJc w:val="right"/>
      <w:pPr>
        <w:ind w:left="2520" w:hanging="180"/>
      </w:pPr>
    </w:lvl>
    <w:lvl w:ilvl="3" w:tplc="62B2B694" w:tentative="1">
      <w:start w:val="1"/>
      <w:numFmt w:val="decimal"/>
      <w:lvlText w:val="%4."/>
      <w:lvlJc w:val="left"/>
      <w:pPr>
        <w:ind w:left="3240" w:hanging="360"/>
      </w:pPr>
    </w:lvl>
    <w:lvl w:ilvl="4" w:tplc="EC82CB30" w:tentative="1">
      <w:start w:val="1"/>
      <w:numFmt w:val="lowerLetter"/>
      <w:lvlText w:val="%5."/>
      <w:lvlJc w:val="left"/>
      <w:pPr>
        <w:ind w:left="3960" w:hanging="360"/>
      </w:pPr>
    </w:lvl>
    <w:lvl w:ilvl="5" w:tplc="7FF07FD2" w:tentative="1">
      <w:start w:val="1"/>
      <w:numFmt w:val="lowerRoman"/>
      <w:lvlText w:val="%6."/>
      <w:lvlJc w:val="right"/>
      <w:pPr>
        <w:ind w:left="4680" w:hanging="180"/>
      </w:pPr>
    </w:lvl>
    <w:lvl w:ilvl="6" w:tplc="1C820AC8" w:tentative="1">
      <w:start w:val="1"/>
      <w:numFmt w:val="decimal"/>
      <w:lvlText w:val="%7."/>
      <w:lvlJc w:val="left"/>
      <w:pPr>
        <w:ind w:left="5400" w:hanging="360"/>
      </w:pPr>
    </w:lvl>
    <w:lvl w:ilvl="7" w:tplc="15721AB2" w:tentative="1">
      <w:start w:val="1"/>
      <w:numFmt w:val="lowerLetter"/>
      <w:lvlText w:val="%8."/>
      <w:lvlJc w:val="left"/>
      <w:pPr>
        <w:ind w:left="6120" w:hanging="360"/>
      </w:pPr>
    </w:lvl>
    <w:lvl w:ilvl="8" w:tplc="5E36CD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818F8"/>
    <w:multiLevelType w:val="multilevel"/>
    <w:tmpl w:val="2F68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0"/>
    <w:rsid w:val="000D0D0A"/>
    <w:rsid w:val="00103163"/>
    <w:rsid w:val="00115D93"/>
    <w:rsid w:val="001247A8"/>
    <w:rsid w:val="001378C0"/>
    <w:rsid w:val="001437E8"/>
    <w:rsid w:val="0018694A"/>
    <w:rsid w:val="001A3287"/>
    <w:rsid w:val="001A6508"/>
    <w:rsid w:val="001D4C31"/>
    <w:rsid w:val="001E4D21"/>
    <w:rsid w:val="00207CD1"/>
    <w:rsid w:val="002477A2"/>
    <w:rsid w:val="0025023C"/>
    <w:rsid w:val="00263A51"/>
    <w:rsid w:val="00267E02"/>
    <w:rsid w:val="002A5D44"/>
    <w:rsid w:val="002E0BC4"/>
    <w:rsid w:val="002F1B76"/>
    <w:rsid w:val="00355FF5"/>
    <w:rsid w:val="00361350"/>
    <w:rsid w:val="003A1C3E"/>
    <w:rsid w:val="004038CB"/>
    <w:rsid w:val="0040546F"/>
    <w:rsid w:val="0042404A"/>
    <w:rsid w:val="0042535D"/>
    <w:rsid w:val="0044618F"/>
    <w:rsid w:val="0046769A"/>
    <w:rsid w:val="00474A8E"/>
    <w:rsid w:val="00475FB3"/>
    <w:rsid w:val="004A42D6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00197"/>
    <w:rsid w:val="006235CA"/>
    <w:rsid w:val="006643AB"/>
    <w:rsid w:val="006A79F3"/>
    <w:rsid w:val="007210CD"/>
    <w:rsid w:val="00732045"/>
    <w:rsid w:val="007369DB"/>
    <w:rsid w:val="00764DFE"/>
    <w:rsid w:val="007956C2"/>
    <w:rsid w:val="007A187E"/>
    <w:rsid w:val="007C72C2"/>
    <w:rsid w:val="007D2F14"/>
    <w:rsid w:val="007D4436"/>
    <w:rsid w:val="007F257A"/>
    <w:rsid w:val="007F3665"/>
    <w:rsid w:val="00800037"/>
    <w:rsid w:val="00852808"/>
    <w:rsid w:val="00861D73"/>
    <w:rsid w:val="00861F48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40A88"/>
    <w:rsid w:val="00B61619"/>
    <w:rsid w:val="00B817B8"/>
    <w:rsid w:val="00B84194"/>
    <w:rsid w:val="00BB4545"/>
    <w:rsid w:val="00BD5873"/>
    <w:rsid w:val="00C04BE3"/>
    <w:rsid w:val="00C25D29"/>
    <w:rsid w:val="00C27A7C"/>
    <w:rsid w:val="00C93610"/>
    <w:rsid w:val="00CA08ED"/>
    <w:rsid w:val="00CF183B"/>
    <w:rsid w:val="00D04990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7197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E57650E"/>
  <w15:docId w15:val="{9303DA60-7A13-4499-A151-3F49EF58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B817B8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817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fr-CH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rsid w:val="00B817B8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023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usinesstech.co.za/news/telecommunications/332529/telkom-is-migrating-customers-from-copper-to-wireless-with-fixed-line-prepaid-discontinued-in-august/" TargetMode="External"/><Relationship Id="rId2" Type="http://schemas.openxmlformats.org/officeDocument/2006/relationships/hyperlink" Target="https://www.itweb.co.za/content/GxwQDM1AYy8MlPVo" TargetMode="External"/><Relationship Id="rId1" Type="http://schemas.openxmlformats.org/officeDocument/2006/relationships/hyperlink" Target="https://www.itu.int/en/about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46</TotalTime>
  <Pages>3</Pages>
  <Words>727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</vt:lpstr>
      <vt:lpstr>Discussion</vt:lpstr>
      <vt:lpstr>Conclusion</vt:lpstr>
    </vt:vector>
  </TitlesOfParts>
  <Manager>Secrétariat général - Pool</Manager>
  <Company>Union internationale des télécommunications (UIT)</Company>
  <LinksUpToDate>false</LinksUpToDate>
  <CharactersWithSpaces>4904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Royer, Veronique</dc:creator>
  <cp:keywords/>
  <dc:description/>
  <cp:lastModifiedBy>Royer, Veronique</cp:lastModifiedBy>
  <cp:revision>5</cp:revision>
  <cp:lastPrinted>2000-07-18T08:55:00Z</cp:lastPrinted>
  <dcterms:created xsi:type="dcterms:W3CDTF">2019-09-04T12:03:00Z</dcterms:created>
  <dcterms:modified xsi:type="dcterms:W3CDTF">2019-09-04T12:52:00Z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