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6012C12E" w14:textId="77777777">
        <w:trPr>
          <w:cantSplit/>
        </w:trPr>
        <w:tc>
          <w:tcPr>
            <w:tcW w:w="6912" w:type="dxa"/>
          </w:tcPr>
          <w:p w14:paraId="026E6BEC"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612EEBA3" w14:textId="77777777" w:rsidR="00093EEB" w:rsidRPr="000B0D00" w:rsidRDefault="00012E27" w:rsidP="00093EEB">
            <w:pPr>
              <w:spacing w:before="0"/>
              <w:jc w:val="right"/>
              <w:rPr>
                <w:szCs w:val="24"/>
              </w:rPr>
            </w:pPr>
            <w:bookmarkStart w:id="1" w:name="ditulogo"/>
            <w:bookmarkEnd w:id="1"/>
            <w:r>
              <w:rPr>
                <w:noProof/>
                <w:lang w:val="en-US"/>
              </w:rPr>
              <w:drawing>
                <wp:inline distT="0" distB="0" distL="0" distR="0" wp14:anchorId="2E7E764D" wp14:editId="448D45DC">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0B0D00" w14:paraId="26877896" w14:textId="77777777">
        <w:trPr>
          <w:cantSplit/>
          <w:trHeight w:val="20"/>
        </w:trPr>
        <w:tc>
          <w:tcPr>
            <w:tcW w:w="10173" w:type="dxa"/>
            <w:gridSpan w:val="2"/>
            <w:tcBorders>
              <w:bottom w:val="single" w:sz="12" w:space="0" w:color="auto"/>
            </w:tcBorders>
          </w:tcPr>
          <w:p w14:paraId="4A89E0F2" w14:textId="77777777" w:rsidR="00093EEB" w:rsidRPr="00EB1212" w:rsidRDefault="00012E27" w:rsidP="00012E27">
            <w:pPr>
              <w:spacing w:before="0"/>
              <w:rPr>
                <w:b/>
                <w:bCs/>
                <w:szCs w:val="24"/>
              </w:rPr>
            </w:pPr>
            <w:r>
              <w:rPr>
                <w:rFonts w:eastAsia="Calibri" w:cs="Calibri"/>
                <w:b/>
                <w:color w:val="000000"/>
                <w:szCs w:val="24"/>
                <w:lang w:val="es-ES"/>
              </w:rPr>
              <w:t>Primera reunión</w:t>
            </w:r>
            <w:r w:rsidRPr="00E42521">
              <w:rPr>
                <w:rFonts w:eastAsia="Calibri" w:cs="Calibri"/>
                <w:b/>
                <w:color w:val="000000"/>
                <w:szCs w:val="24"/>
                <w:lang w:val="es-ES"/>
              </w:rPr>
              <w:t xml:space="preserve"> </w:t>
            </w:r>
            <w:r w:rsidR="00D92832" w:rsidRPr="00AA22E2">
              <w:rPr>
                <w:b/>
                <w:bCs/>
              </w:rPr>
              <w:t>– Ginebra, 1</w:t>
            </w:r>
            <w:r>
              <w:rPr>
                <w:b/>
                <w:bCs/>
              </w:rPr>
              <w:t>6</w:t>
            </w:r>
            <w:r w:rsidR="00D92832" w:rsidRPr="00AA22E2">
              <w:rPr>
                <w:b/>
                <w:bCs/>
              </w:rPr>
              <w:t>-1</w:t>
            </w:r>
            <w:r>
              <w:rPr>
                <w:b/>
                <w:bCs/>
              </w:rPr>
              <w:t>7</w:t>
            </w:r>
            <w:r w:rsidR="00D92832" w:rsidRPr="00AA22E2">
              <w:rPr>
                <w:b/>
                <w:bCs/>
              </w:rPr>
              <w:t xml:space="preserve"> de </w:t>
            </w:r>
            <w:r>
              <w:rPr>
                <w:b/>
                <w:bCs/>
              </w:rPr>
              <w:t>septiembre</w:t>
            </w:r>
            <w:r w:rsidR="00D92832" w:rsidRPr="00AA22E2">
              <w:rPr>
                <w:b/>
                <w:bCs/>
              </w:rPr>
              <w:t xml:space="preserve"> de 201</w:t>
            </w:r>
            <w:r>
              <w:rPr>
                <w:b/>
                <w:bCs/>
              </w:rPr>
              <w:t>9</w:t>
            </w:r>
          </w:p>
        </w:tc>
      </w:tr>
      <w:tr w:rsidR="00093EEB" w:rsidRPr="000B0D00" w14:paraId="3F92DA61" w14:textId="77777777">
        <w:trPr>
          <w:cantSplit/>
          <w:trHeight w:val="20"/>
        </w:trPr>
        <w:tc>
          <w:tcPr>
            <w:tcW w:w="6912" w:type="dxa"/>
            <w:tcBorders>
              <w:top w:val="single" w:sz="12" w:space="0" w:color="auto"/>
            </w:tcBorders>
          </w:tcPr>
          <w:p w14:paraId="3629CFB6"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D123BF3" w14:textId="77777777" w:rsidR="00093EEB" w:rsidRPr="000B0D00" w:rsidRDefault="00093EEB">
            <w:pPr>
              <w:spacing w:before="0"/>
              <w:rPr>
                <w:b/>
                <w:bCs/>
                <w:szCs w:val="24"/>
              </w:rPr>
            </w:pPr>
          </w:p>
        </w:tc>
      </w:tr>
      <w:tr w:rsidR="00093EEB" w:rsidRPr="001F60AD" w14:paraId="682EBF79" w14:textId="77777777">
        <w:trPr>
          <w:cantSplit/>
          <w:trHeight w:val="20"/>
        </w:trPr>
        <w:tc>
          <w:tcPr>
            <w:tcW w:w="6912" w:type="dxa"/>
            <w:shd w:val="clear" w:color="auto" w:fill="auto"/>
          </w:tcPr>
          <w:p w14:paraId="7FD093E0"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7FC5F401" w14:textId="7B3E2ABC" w:rsidR="00093EEB" w:rsidRPr="00D92832" w:rsidRDefault="00093EEB" w:rsidP="001F60AD">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1F60AD">
              <w:rPr>
                <w:rFonts w:asciiTheme="minorHAnsi" w:hAnsiTheme="minorHAnsi" w:cs="Times New Roman Bold"/>
                <w:b/>
                <w:spacing w:val="-4"/>
                <w:lang w:val="en-US"/>
              </w:rPr>
              <w:t>1</w:t>
            </w:r>
            <w:r w:rsidR="00D92832" w:rsidRPr="00D92832">
              <w:rPr>
                <w:rFonts w:asciiTheme="minorHAnsi" w:hAnsiTheme="minorHAnsi" w:cs="Times New Roman Bold"/>
                <w:b/>
                <w:spacing w:val="-4"/>
                <w:lang w:val="en-US"/>
              </w:rPr>
              <w:t>/</w:t>
            </w:r>
            <w:r w:rsidR="00B263A1">
              <w:rPr>
                <w:rFonts w:asciiTheme="minorHAnsi" w:hAnsiTheme="minorHAnsi" w:cs="Times New Roman Bold"/>
                <w:b/>
                <w:spacing w:val="-4"/>
                <w:lang w:val="en-US"/>
              </w:rPr>
              <w:t>6</w:t>
            </w:r>
            <w:r w:rsidR="00D92832" w:rsidRPr="00D92832">
              <w:rPr>
                <w:rFonts w:asciiTheme="minorHAnsi" w:hAnsiTheme="minorHAnsi" w:cs="Times New Roman Bold"/>
                <w:b/>
                <w:spacing w:val="-4"/>
                <w:lang w:val="en-US"/>
              </w:rPr>
              <w:t>-S</w:t>
            </w:r>
          </w:p>
        </w:tc>
      </w:tr>
      <w:tr w:rsidR="00093EEB" w:rsidRPr="000B0D00" w14:paraId="35038450" w14:textId="77777777">
        <w:trPr>
          <w:cantSplit/>
          <w:trHeight w:val="20"/>
        </w:trPr>
        <w:tc>
          <w:tcPr>
            <w:tcW w:w="6912" w:type="dxa"/>
            <w:shd w:val="clear" w:color="auto" w:fill="auto"/>
          </w:tcPr>
          <w:p w14:paraId="64748190"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649B4DC6" w14:textId="085C9927" w:rsidR="00093EEB" w:rsidRPr="00093EEB" w:rsidRDefault="00B263A1" w:rsidP="001F60AD">
            <w:pPr>
              <w:spacing w:before="0"/>
              <w:rPr>
                <w:b/>
                <w:bCs/>
                <w:szCs w:val="24"/>
              </w:rPr>
            </w:pPr>
            <w:r>
              <w:rPr>
                <w:b/>
                <w:bCs/>
                <w:szCs w:val="24"/>
              </w:rPr>
              <w:t>31</w:t>
            </w:r>
            <w:r w:rsidR="0077252D">
              <w:rPr>
                <w:b/>
                <w:bCs/>
                <w:szCs w:val="24"/>
              </w:rPr>
              <w:t xml:space="preserve"> </w:t>
            </w:r>
            <w:r w:rsidR="00D92832">
              <w:rPr>
                <w:b/>
                <w:bCs/>
                <w:szCs w:val="24"/>
              </w:rPr>
              <w:t xml:space="preserve">de </w:t>
            </w:r>
            <w:r>
              <w:rPr>
                <w:b/>
                <w:bCs/>
                <w:szCs w:val="24"/>
              </w:rPr>
              <w:t>agosto</w:t>
            </w:r>
            <w:r w:rsidR="00093EEB">
              <w:rPr>
                <w:b/>
                <w:bCs/>
                <w:szCs w:val="24"/>
              </w:rPr>
              <w:t xml:space="preserve"> de 201</w:t>
            </w:r>
            <w:r w:rsidR="001F60AD">
              <w:rPr>
                <w:b/>
                <w:bCs/>
                <w:szCs w:val="24"/>
              </w:rPr>
              <w:t>9</w:t>
            </w:r>
          </w:p>
        </w:tc>
      </w:tr>
      <w:tr w:rsidR="00093EEB" w:rsidRPr="000B0D00" w14:paraId="46B6CC74" w14:textId="77777777">
        <w:trPr>
          <w:cantSplit/>
          <w:trHeight w:val="20"/>
        </w:trPr>
        <w:tc>
          <w:tcPr>
            <w:tcW w:w="6912" w:type="dxa"/>
            <w:shd w:val="clear" w:color="auto" w:fill="auto"/>
          </w:tcPr>
          <w:p w14:paraId="62F7D3AB"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58802275" w14:textId="77777777" w:rsidR="00093EEB" w:rsidRPr="00093EEB" w:rsidRDefault="00093EEB" w:rsidP="00093EEB">
            <w:pPr>
              <w:spacing w:before="0"/>
              <w:rPr>
                <w:b/>
                <w:bCs/>
                <w:szCs w:val="24"/>
              </w:rPr>
            </w:pPr>
            <w:r>
              <w:rPr>
                <w:b/>
                <w:bCs/>
                <w:szCs w:val="24"/>
              </w:rPr>
              <w:t>Original: inglés</w:t>
            </w:r>
          </w:p>
        </w:tc>
      </w:tr>
      <w:tr w:rsidR="00093EEB" w:rsidRPr="000B0D00" w14:paraId="1F265476" w14:textId="77777777">
        <w:trPr>
          <w:cantSplit/>
        </w:trPr>
        <w:tc>
          <w:tcPr>
            <w:tcW w:w="10173" w:type="dxa"/>
            <w:gridSpan w:val="2"/>
          </w:tcPr>
          <w:p w14:paraId="6DCE51D5" w14:textId="5B8B87A7" w:rsidR="00093EEB" w:rsidRPr="000B0D00" w:rsidRDefault="00B263A1">
            <w:pPr>
              <w:pStyle w:val="Source"/>
            </w:pPr>
            <w:bookmarkStart w:id="6" w:name="dsource" w:colFirst="0" w:colLast="0"/>
            <w:bookmarkEnd w:id="0"/>
            <w:bookmarkEnd w:id="5"/>
            <w:r w:rsidRPr="00B263A1">
              <w:rPr>
                <w:lang w:val="es-ES"/>
              </w:rPr>
              <w:t>República de Sudáfrica</w:t>
            </w:r>
          </w:p>
        </w:tc>
      </w:tr>
      <w:tr w:rsidR="00093EEB" w:rsidRPr="000B0D00" w14:paraId="69605AE0" w14:textId="77777777">
        <w:trPr>
          <w:cantSplit/>
        </w:trPr>
        <w:tc>
          <w:tcPr>
            <w:tcW w:w="10173" w:type="dxa"/>
            <w:gridSpan w:val="2"/>
          </w:tcPr>
          <w:p w14:paraId="1C8304EB" w14:textId="63AD83EE" w:rsidR="00093EEB" w:rsidRPr="000B0D00" w:rsidRDefault="00B263A1">
            <w:pPr>
              <w:pStyle w:val="Title1"/>
            </w:pPr>
            <w:bookmarkStart w:id="7" w:name="dtitle1" w:colFirst="0" w:colLast="0"/>
            <w:bookmarkEnd w:id="6"/>
            <w:r w:rsidRPr="00B263A1">
              <w:rPr>
                <w:lang w:val="es-ES"/>
              </w:rPr>
              <w:t>examen pormenorizado del reglamento de las</w:t>
            </w:r>
            <w:r>
              <w:rPr>
                <w:lang w:val="es-ES"/>
              </w:rPr>
              <w:br/>
            </w:r>
            <w:r w:rsidRPr="00B263A1">
              <w:rPr>
                <w:lang w:val="es-ES"/>
              </w:rPr>
              <w:t>telecomunicaciones internacionales</w:t>
            </w:r>
          </w:p>
        </w:tc>
      </w:tr>
    </w:tbl>
    <w:bookmarkEnd w:id="7"/>
    <w:p w14:paraId="6D719A27" w14:textId="77777777" w:rsidR="00B263A1" w:rsidRPr="001967AC" w:rsidRDefault="00B263A1" w:rsidP="003F26DF">
      <w:pPr>
        <w:pStyle w:val="Headingb"/>
        <w:rPr>
          <w:lang w:val="es-ES"/>
        </w:rPr>
      </w:pPr>
      <w:r w:rsidRPr="001967AC">
        <w:rPr>
          <w:lang w:val="es-ES"/>
        </w:rPr>
        <w:t>Introducción</w:t>
      </w:r>
    </w:p>
    <w:p w14:paraId="3A33AF79" w14:textId="6A9CCAB7" w:rsidR="00B263A1" w:rsidRPr="001967AC" w:rsidRDefault="003F26DF" w:rsidP="003F26DF">
      <w:pPr>
        <w:rPr>
          <w:lang w:val="es-ES"/>
        </w:rPr>
      </w:pPr>
      <w:r>
        <w:rPr>
          <w:lang w:val="es-ES"/>
        </w:rPr>
        <w:t>1</w:t>
      </w:r>
      <w:r>
        <w:rPr>
          <w:lang w:val="es-ES"/>
        </w:rPr>
        <w:tab/>
      </w:r>
      <w:r w:rsidR="00B263A1" w:rsidRPr="001967AC">
        <w:rPr>
          <w:lang w:val="es-ES"/>
        </w:rPr>
        <w:t>La República de Sudáfrica aguarda con interés participar en la labor del Grupo de Expertos sobre el Reglamento de las Telecomunicaciones Internacionales (GE-RTI) y contribuir a ella.</w:t>
      </w:r>
    </w:p>
    <w:p w14:paraId="6BDF7E9C" w14:textId="221883E8" w:rsidR="00B263A1" w:rsidRPr="001967AC" w:rsidRDefault="003F26DF" w:rsidP="003F26DF">
      <w:pPr>
        <w:rPr>
          <w:lang w:val="es-ES"/>
        </w:rPr>
      </w:pPr>
      <w:r>
        <w:rPr>
          <w:lang w:val="es-ES"/>
        </w:rPr>
        <w:t>2</w:t>
      </w:r>
      <w:r>
        <w:rPr>
          <w:lang w:val="es-ES"/>
        </w:rPr>
        <w:tab/>
      </w:r>
      <w:r w:rsidR="00B263A1" w:rsidRPr="001967AC">
        <w:rPr>
          <w:lang w:val="es-ES"/>
        </w:rPr>
        <w:t>Parece haber un entendimiento común</w:t>
      </w:r>
      <w:r w:rsidR="00B263A1" w:rsidRPr="001967AC">
        <w:rPr>
          <w:rStyle w:val="FootnoteReference"/>
          <w:rFonts w:asciiTheme="minorHAnsi" w:hAnsiTheme="minorHAnsi" w:cstheme="minorHAnsi"/>
          <w:sz w:val="20"/>
          <w:lang w:val="es-ES"/>
        </w:rPr>
        <w:footnoteReference w:id="1"/>
      </w:r>
      <w:r w:rsidR="00B263A1" w:rsidRPr="001967AC">
        <w:rPr>
          <w:lang w:val="es-ES"/>
        </w:rPr>
        <w:t xml:space="preserve"> entre los Estados Miembros de que, como mínimo, el Reglamento de las Telecomunicaciones Internacionales (RTI) debe:</w:t>
      </w:r>
    </w:p>
    <w:p w14:paraId="780915B6" w14:textId="2CDC503F" w:rsidR="00B263A1" w:rsidRPr="001967AC" w:rsidRDefault="003F26DF" w:rsidP="003F26DF">
      <w:pPr>
        <w:pStyle w:val="enumlev1"/>
        <w:rPr>
          <w:lang w:val="es-ES"/>
        </w:rPr>
      </w:pPr>
      <w:r>
        <w:rPr>
          <w:lang w:val="es-ES"/>
        </w:rPr>
        <w:t>a)</w:t>
      </w:r>
      <w:r>
        <w:rPr>
          <w:lang w:val="es-ES"/>
        </w:rPr>
        <w:tab/>
      </w:r>
      <w:r w:rsidR="00B263A1" w:rsidRPr="001967AC">
        <w:rPr>
          <w:lang w:val="es-ES"/>
        </w:rPr>
        <w:t>establecer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p>
    <w:p w14:paraId="0F92EED1" w14:textId="5F36F311" w:rsidR="00B263A1" w:rsidRPr="001967AC" w:rsidRDefault="003F26DF" w:rsidP="003F26DF">
      <w:pPr>
        <w:pStyle w:val="enumlev1"/>
        <w:rPr>
          <w:lang w:val="es-ES"/>
        </w:rPr>
      </w:pPr>
      <w:r>
        <w:rPr>
          <w:lang w:val="es-ES"/>
        </w:rPr>
        <w:t>b)</w:t>
      </w:r>
      <w:r>
        <w:rPr>
          <w:lang w:val="es-ES"/>
        </w:rPr>
        <w:tab/>
      </w:r>
      <w:r w:rsidR="00B263A1" w:rsidRPr="001967AC">
        <w:rPr>
          <w:lang w:val="es-ES"/>
        </w:rPr>
        <w:t>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 y</w:t>
      </w:r>
    </w:p>
    <w:p w14:paraId="12E0799B" w14:textId="40F6C996" w:rsidR="00B263A1" w:rsidRPr="001967AC" w:rsidRDefault="003F26DF" w:rsidP="003F26DF">
      <w:pPr>
        <w:pStyle w:val="enumlev1"/>
        <w:rPr>
          <w:lang w:val="es-ES"/>
        </w:rPr>
      </w:pPr>
      <w:r>
        <w:rPr>
          <w:lang w:val="es-ES"/>
        </w:rPr>
        <w:t>c)</w:t>
      </w:r>
      <w:r>
        <w:rPr>
          <w:lang w:val="es-ES"/>
        </w:rPr>
        <w:tab/>
      </w:r>
      <w:r w:rsidR="00B263A1" w:rsidRPr="001967AC">
        <w:rPr>
          <w:lang w:val="es-ES"/>
        </w:rPr>
        <w:t>reconocer que los Estados Miembros cooperarán, en su caso, en la aplicación de dicho Reglamento.</w:t>
      </w:r>
    </w:p>
    <w:p w14:paraId="48A5F332" w14:textId="2AEC3C55" w:rsidR="00B263A1" w:rsidRPr="001967AC" w:rsidRDefault="003F26DF" w:rsidP="003F26DF">
      <w:pPr>
        <w:rPr>
          <w:lang w:val="es-ES"/>
        </w:rPr>
      </w:pPr>
      <w:r>
        <w:rPr>
          <w:lang w:val="es-ES"/>
        </w:rPr>
        <w:t>3</w:t>
      </w:r>
      <w:r>
        <w:rPr>
          <w:lang w:val="es-ES"/>
        </w:rPr>
        <w:tab/>
      </w:r>
      <w:r w:rsidR="00B263A1" w:rsidRPr="001967AC">
        <w:rPr>
          <w:lang w:val="es-ES"/>
        </w:rPr>
        <w:t xml:space="preserve">Al realizar la presente contribución, la República de Sudáfrica se guiará por los objetivos enunciados en el párrafo </w:t>
      </w:r>
      <w:r w:rsidR="00B335AF">
        <w:rPr>
          <w:lang w:val="es-ES"/>
        </w:rPr>
        <w:t>2</w:t>
      </w:r>
      <w:r w:rsidR="00B263A1" w:rsidRPr="001967AC">
        <w:rPr>
          <w:lang w:val="es-ES"/>
        </w:rPr>
        <w:t xml:space="preserve"> </w:t>
      </w:r>
      <w:r w:rsidR="00B263A1" w:rsidRPr="001967AC">
        <w:rPr>
          <w:i/>
          <w:iCs/>
          <w:lang w:val="es-ES"/>
        </w:rPr>
        <w:t>supra</w:t>
      </w:r>
      <w:r w:rsidR="00B263A1" w:rsidRPr="001967AC">
        <w:rPr>
          <w:lang w:val="es-ES"/>
        </w:rPr>
        <w:t>.</w:t>
      </w:r>
    </w:p>
    <w:p w14:paraId="216F8E5F" w14:textId="77777777" w:rsidR="00B263A1" w:rsidRPr="001967AC" w:rsidRDefault="00B263A1" w:rsidP="003F26DF">
      <w:pPr>
        <w:pStyle w:val="Headingb"/>
        <w:rPr>
          <w:lang w:val="es-ES"/>
        </w:rPr>
      </w:pPr>
      <w:r w:rsidRPr="001967AC">
        <w:rPr>
          <w:lang w:val="es-ES"/>
        </w:rPr>
        <w:t>Debate</w:t>
      </w:r>
    </w:p>
    <w:p w14:paraId="4FB597BF" w14:textId="29791166" w:rsidR="00B263A1" w:rsidRPr="001967AC" w:rsidRDefault="00B335AF" w:rsidP="003F26DF">
      <w:pPr>
        <w:rPr>
          <w:lang w:val="es-ES"/>
        </w:rPr>
      </w:pPr>
      <w:r>
        <w:rPr>
          <w:lang w:val="es-ES"/>
        </w:rPr>
        <w:t>4</w:t>
      </w:r>
      <w:r w:rsidR="003F26DF">
        <w:rPr>
          <w:lang w:val="es-ES"/>
        </w:rPr>
        <w:tab/>
      </w:r>
      <w:r w:rsidR="00B263A1" w:rsidRPr="001967AC">
        <w:rPr>
          <w:lang w:val="es-ES"/>
        </w:rPr>
        <w:t xml:space="preserve">Los Estados Miembros no han podido ponerse de acuerdo sobre un RTI que pudiera ser adoptado y aplicado por todos. Al emprender este examen pormenorizado del RTI, se recuerda a los Estados Miembros que </w:t>
      </w:r>
      <w:r w:rsidR="00B510C3">
        <w:rPr>
          <w:lang w:val="es-ES"/>
        </w:rPr>
        <w:t>"</w:t>
      </w:r>
      <w:r w:rsidR="00B263A1" w:rsidRPr="001967AC">
        <w:rPr>
          <w:lang w:val="es-ES"/>
        </w:rPr>
        <w:t>la UIT está comprometida para conectar a toda la población mundial – dondequiera que viva y cualesquiera que sean sus medios. A través de nuestra labor, protegemos y apoyamos el derecho fundamental de todos a comunicar.</w:t>
      </w:r>
      <w:r w:rsidR="00B510C3">
        <w:rPr>
          <w:lang w:val="es-ES"/>
        </w:rPr>
        <w:t>"</w:t>
      </w:r>
      <w:r w:rsidR="00B263A1" w:rsidRPr="001967AC">
        <w:rPr>
          <w:sz w:val="28"/>
          <w:szCs w:val="28"/>
          <w:vertAlign w:val="superscript"/>
          <w:lang w:val="es-ES"/>
        </w:rPr>
        <w:footnoteReference w:id="2"/>
      </w:r>
    </w:p>
    <w:p w14:paraId="048B4DF0" w14:textId="3E34E239" w:rsidR="00B263A1" w:rsidRPr="001967AC" w:rsidRDefault="00B335AF" w:rsidP="003F26DF">
      <w:pPr>
        <w:rPr>
          <w:lang w:val="es-ES"/>
        </w:rPr>
      </w:pPr>
      <w:r>
        <w:rPr>
          <w:lang w:val="es-ES"/>
        </w:rPr>
        <w:lastRenderedPageBreak/>
        <w:t>5</w:t>
      </w:r>
      <w:r w:rsidR="003F26DF">
        <w:rPr>
          <w:lang w:val="es-ES"/>
        </w:rPr>
        <w:tab/>
      </w:r>
      <w:r w:rsidR="00B263A1" w:rsidRPr="001967AC">
        <w:rPr>
          <w:lang w:val="es-ES"/>
        </w:rPr>
        <w:t>El uso de la telefonía móvil sigue creciendo a un ritmo exponencial en comparación con el uso de la línea fija.</w:t>
      </w:r>
      <w:r w:rsidR="00B263A1" w:rsidRPr="001967AC">
        <w:rPr>
          <w:sz w:val="28"/>
          <w:szCs w:val="28"/>
          <w:vertAlign w:val="superscript"/>
          <w:lang w:val="es-ES"/>
        </w:rPr>
        <w:footnoteReference w:id="3"/>
      </w:r>
      <w:r w:rsidR="00B263A1" w:rsidRPr="001967AC">
        <w:rPr>
          <w:sz w:val="28"/>
          <w:szCs w:val="28"/>
          <w:vertAlign w:val="superscript"/>
          <w:lang w:val="es-ES"/>
        </w:rPr>
        <w:t xml:space="preserve"> </w:t>
      </w:r>
      <w:r w:rsidR="00B263A1" w:rsidRPr="001967AC">
        <w:rPr>
          <w:lang w:val="es-ES"/>
        </w:rPr>
        <w:t xml:space="preserve">Sin embargo, esto no significa necesariamente que los usuarios hayan pasado de llamar desde una línea fija a llamar desde un teléfono inteligente, ya que los mensajes de texto desde aplicaciones como WhatsApp se han convertido en un método popular de comunicación. </w:t>
      </w:r>
    </w:p>
    <w:p w14:paraId="6F39919A" w14:textId="1E2A3D87" w:rsidR="00B263A1" w:rsidRPr="001967AC" w:rsidRDefault="00B335AF" w:rsidP="003F26DF">
      <w:pPr>
        <w:rPr>
          <w:lang w:val="es-ES"/>
        </w:rPr>
      </w:pPr>
      <w:r>
        <w:rPr>
          <w:lang w:val="es-ES"/>
        </w:rPr>
        <w:t>6</w:t>
      </w:r>
      <w:r w:rsidR="003F26DF">
        <w:rPr>
          <w:lang w:val="es-ES"/>
        </w:rPr>
        <w:tab/>
      </w:r>
      <w:r w:rsidR="00B263A1" w:rsidRPr="001967AC">
        <w:rPr>
          <w:lang w:val="es-ES"/>
        </w:rPr>
        <w:t>Algunos usuarios, ya sean de países en desarrollo o de países desarrollados, siguen dependiendo del uso de las líneas fijas. También cabe señalar que los proveedores de servicios de líneas fijas animan a sus clientes a pasar a utilizar la fibra y las tecnologías inalámbricas.</w:t>
      </w:r>
      <w:r w:rsidR="00B263A1" w:rsidRPr="001967AC">
        <w:rPr>
          <w:sz w:val="28"/>
          <w:szCs w:val="28"/>
          <w:vertAlign w:val="superscript"/>
          <w:lang w:val="es-ES"/>
        </w:rPr>
        <w:footnoteReference w:id="4"/>
      </w:r>
      <w:r w:rsidR="00B263A1" w:rsidRPr="001967AC">
        <w:rPr>
          <w:vertAlign w:val="superscript"/>
          <w:lang w:val="es-ES"/>
        </w:rPr>
        <w:t xml:space="preserve"> </w:t>
      </w:r>
      <w:r w:rsidR="00B263A1" w:rsidRPr="001967AC">
        <w:rPr>
          <w:lang w:val="es-ES"/>
        </w:rPr>
        <w:t>Sin embargo, la implementación del proceso lleva tiempo y está sujeta a la capacidad financiera y a la base de clientes del proveedor de servicios.</w:t>
      </w:r>
    </w:p>
    <w:p w14:paraId="0E93C19A" w14:textId="3B4D731A" w:rsidR="00B263A1" w:rsidRPr="001967AC" w:rsidRDefault="00B335AF" w:rsidP="003F26DF">
      <w:pPr>
        <w:rPr>
          <w:lang w:val="es-ES"/>
        </w:rPr>
      </w:pPr>
      <w:r>
        <w:rPr>
          <w:lang w:val="es-ES"/>
        </w:rPr>
        <w:t>7</w:t>
      </w:r>
      <w:r w:rsidR="003F26DF">
        <w:rPr>
          <w:lang w:val="es-ES"/>
        </w:rPr>
        <w:tab/>
      </w:r>
      <w:r w:rsidR="00B263A1" w:rsidRPr="001967AC">
        <w:rPr>
          <w:lang w:val="es-ES"/>
        </w:rPr>
        <w:t>Un examen disposición por disposición del RTI de 2012 desempeñará un papel importante en la determinación de lo que sigue siendo o será pertinente en el entorno actual y futuro de las telecomunicaciones internacionales. En el nuevo RTI</w:t>
      </w:r>
      <w:r w:rsidR="00B263A1" w:rsidRPr="001967AC">
        <w:rPr>
          <w:sz w:val="28"/>
          <w:szCs w:val="28"/>
          <w:vertAlign w:val="superscript"/>
          <w:lang w:val="es-ES"/>
        </w:rPr>
        <w:footnoteReference w:id="5"/>
      </w:r>
      <w:r w:rsidR="00B263A1" w:rsidRPr="001967AC">
        <w:rPr>
          <w:lang w:val="es-ES"/>
        </w:rPr>
        <w:t xml:space="preserve"> no sólo se debe abordar el panorama actual, sino también mirar hacia el futuro, teniendo en cuenta la labor de las distintas Comisiones de Estudio de la UIT. El nuevo RTI también debe tomar en consideración la realidad de los países en desarrollo, las nuevas tendencias de las telecomunicaciones/TIC y las cuestiones emergentes en el entorno internacional de las telecomunicaciones/TIC.</w:t>
      </w:r>
    </w:p>
    <w:p w14:paraId="5576DFC6" w14:textId="73FEB590" w:rsidR="00B263A1" w:rsidRPr="001967AC" w:rsidRDefault="00B335AF" w:rsidP="003F26DF">
      <w:pPr>
        <w:rPr>
          <w:lang w:val="es-ES"/>
        </w:rPr>
      </w:pPr>
      <w:r>
        <w:rPr>
          <w:lang w:val="es-ES"/>
        </w:rPr>
        <w:t>8</w:t>
      </w:r>
      <w:r w:rsidR="003F26DF">
        <w:rPr>
          <w:lang w:val="es-ES"/>
        </w:rPr>
        <w:tab/>
      </w:r>
      <w:r w:rsidR="00B263A1" w:rsidRPr="001967AC">
        <w:rPr>
          <w:lang w:val="es-ES"/>
        </w:rPr>
        <w:t>La República de Sudáfrica comprende que la labor del GE-RTI debe consistir en lo siguiente:</w:t>
      </w:r>
    </w:p>
    <w:p w14:paraId="4C739CED" w14:textId="285E1D51" w:rsidR="00B263A1" w:rsidRPr="001967AC" w:rsidRDefault="003F26DF" w:rsidP="003F26DF">
      <w:pPr>
        <w:pStyle w:val="enumlev1"/>
        <w:rPr>
          <w:lang w:val="es-ES"/>
        </w:rPr>
      </w:pPr>
      <w:r>
        <w:rPr>
          <w:lang w:val="es-ES"/>
        </w:rPr>
        <w:t>a)</w:t>
      </w:r>
      <w:r>
        <w:rPr>
          <w:lang w:val="es-ES"/>
        </w:rPr>
        <w:tab/>
      </w:r>
      <w:r w:rsidR="00B263A1" w:rsidRPr="001967AC">
        <w:rPr>
          <w:lang w:val="es-ES"/>
        </w:rPr>
        <w:t>Examinar pormenorizadamente el RTI, como sigue:</w:t>
      </w:r>
    </w:p>
    <w:p w14:paraId="0A57FC74" w14:textId="10114EC6" w:rsidR="00B263A1" w:rsidRPr="001967AC" w:rsidRDefault="003F26DF" w:rsidP="003F26DF">
      <w:pPr>
        <w:pStyle w:val="enumlev2"/>
        <w:rPr>
          <w:lang w:val="es-ES"/>
        </w:rPr>
      </w:pPr>
      <w:r>
        <w:rPr>
          <w:lang w:val="es-ES"/>
        </w:rPr>
        <w:t>i)</w:t>
      </w:r>
      <w:r>
        <w:rPr>
          <w:lang w:val="es-ES"/>
        </w:rPr>
        <w:tab/>
      </w:r>
      <w:r w:rsidR="002A0083">
        <w:rPr>
          <w:lang w:val="es-ES"/>
        </w:rPr>
        <w:t>u</w:t>
      </w:r>
      <w:r w:rsidR="00B263A1" w:rsidRPr="001967AC">
        <w:rPr>
          <w:lang w:val="es-ES"/>
        </w:rPr>
        <w:t>n examen del RTI de 2012, disposición por disposición;</w:t>
      </w:r>
    </w:p>
    <w:p w14:paraId="6C7CA523" w14:textId="5B50F6BC" w:rsidR="00B263A1" w:rsidRPr="001967AC" w:rsidRDefault="003F26DF" w:rsidP="003F26DF">
      <w:pPr>
        <w:pStyle w:val="enumlev2"/>
        <w:rPr>
          <w:lang w:val="es-ES"/>
        </w:rPr>
      </w:pPr>
      <w:r>
        <w:rPr>
          <w:lang w:val="es-ES"/>
        </w:rPr>
        <w:t>ii)</w:t>
      </w:r>
      <w:r>
        <w:rPr>
          <w:lang w:val="es-ES"/>
        </w:rPr>
        <w:tab/>
      </w:r>
      <w:r w:rsidR="002A0083">
        <w:rPr>
          <w:lang w:val="es-ES"/>
        </w:rPr>
        <w:t>e</w:t>
      </w:r>
      <w:r w:rsidR="00B263A1" w:rsidRPr="001967AC">
        <w:rPr>
          <w:lang w:val="es-ES"/>
        </w:rPr>
        <w:t>l anterior examen disposición por disposición, teniendo en cuenta las nuevas tendencias en las telecomunicaciones/TIC y las cuestiones emergentes en el entorno internacional de las telecomunicaciones/TIC;</w:t>
      </w:r>
    </w:p>
    <w:p w14:paraId="04D815FF" w14:textId="139C096B" w:rsidR="00B263A1" w:rsidRPr="001967AC" w:rsidRDefault="003F26DF" w:rsidP="003F26DF">
      <w:pPr>
        <w:pStyle w:val="enumlev2"/>
        <w:rPr>
          <w:lang w:val="es-ES"/>
        </w:rPr>
      </w:pPr>
      <w:r>
        <w:rPr>
          <w:lang w:val="es-ES"/>
        </w:rPr>
        <w:t>iii)</w:t>
      </w:r>
      <w:r>
        <w:rPr>
          <w:lang w:val="es-ES"/>
        </w:rPr>
        <w:tab/>
      </w:r>
      <w:r w:rsidR="002A0083">
        <w:rPr>
          <w:lang w:val="es-ES"/>
        </w:rPr>
        <w:t>e</w:t>
      </w:r>
      <w:r w:rsidR="00B263A1" w:rsidRPr="001967AC">
        <w:rPr>
          <w:lang w:val="es-ES"/>
        </w:rPr>
        <w:t xml:space="preserve">l examen debe incluir lo siguiente, </w:t>
      </w:r>
      <w:r w:rsidR="00B263A1" w:rsidRPr="001967AC">
        <w:rPr>
          <w:u w:val="single"/>
          <w:lang w:val="es-ES"/>
        </w:rPr>
        <w:t>sin limitarse a ello</w:t>
      </w:r>
      <w:r w:rsidR="00B263A1" w:rsidRPr="001967AC">
        <w:rPr>
          <w:lang w:val="es-ES"/>
        </w:rPr>
        <w:t>:</w:t>
      </w:r>
    </w:p>
    <w:p w14:paraId="70D088DD" w14:textId="73B963FC" w:rsidR="00B263A1" w:rsidRPr="001967AC" w:rsidRDefault="003F26DF" w:rsidP="003F26DF">
      <w:pPr>
        <w:pStyle w:val="enumlev3"/>
        <w:rPr>
          <w:lang w:val="es-ES"/>
        </w:rPr>
      </w:pPr>
      <w:r w:rsidRPr="003F26DF">
        <w:rPr>
          <w:lang w:val="es-ES"/>
        </w:rPr>
        <w:t>•</w:t>
      </w:r>
      <w:r>
        <w:rPr>
          <w:lang w:val="es-ES"/>
        </w:rPr>
        <w:tab/>
      </w:r>
      <w:r w:rsidR="00B263A1" w:rsidRPr="001967AC">
        <w:rPr>
          <w:lang w:val="es-ES"/>
        </w:rPr>
        <w:t>la aplicabilidad de las disposiciones del RTI para fomentar la prestación y el desarrollo de servicios y redes de telecomunicaciones/TIC internacionales; y</w:t>
      </w:r>
    </w:p>
    <w:p w14:paraId="0B1F6D17" w14:textId="1A74DFFC" w:rsidR="00B263A1" w:rsidRPr="001967AC" w:rsidRDefault="003F26DF" w:rsidP="003F26DF">
      <w:pPr>
        <w:pStyle w:val="enumlev3"/>
        <w:rPr>
          <w:lang w:val="es-ES"/>
        </w:rPr>
      </w:pPr>
      <w:r w:rsidRPr="003F26DF">
        <w:rPr>
          <w:lang w:val="es-ES"/>
        </w:rPr>
        <w:t>•</w:t>
      </w:r>
      <w:r>
        <w:rPr>
          <w:lang w:val="es-ES"/>
        </w:rPr>
        <w:tab/>
      </w:r>
      <w:r w:rsidR="00B263A1" w:rsidRPr="001967AC">
        <w:rPr>
          <w:lang w:val="es-ES"/>
        </w:rPr>
        <w:t>la flexibilidad o rigidez de las disposiciones del RTI para acomodar las nuevas tendencias en las telecomunicaciones/TIC y los nuevos problemas del entorno internacional de las telecomunicaciones/TIC.</w:t>
      </w:r>
    </w:p>
    <w:p w14:paraId="4FA8C6EC" w14:textId="069210E8" w:rsidR="00B263A1" w:rsidRPr="001967AC" w:rsidRDefault="002A0083" w:rsidP="00135E74">
      <w:pPr>
        <w:pStyle w:val="enumlev1"/>
        <w:rPr>
          <w:lang w:val="es-ES"/>
        </w:rPr>
      </w:pPr>
      <w:r>
        <w:rPr>
          <w:lang w:val="es-ES"/>
        </w:rPr>
        <w:t>b</w:t>
      </w:r>
      <w:r w:rsidR="003F26DF">
        <w:rPr>
          <w:lang w:val="es-ES"/>
        </w:rPr>
        <w:t>)</w:t>
      </w:r>
      <w:r w:rsidR="003F26DF">
        <w:rPr>
          <w:lang w:val="es-ES"/>
        </w:rPr>
        <w:tab/>
      </w:r>
      <w:r>
        <w:rPr>
          <w:lang w:val="es-ES"/>
        </w:rPr>
        <w:t>p</w:t>
      </w:r>
      <w:r w:rsidR="00B263A1" w:rsidRPr="001967AC">
        <w:rPr>
          <w:lang w:val="es-ES"/>
        </w:rPr>
        <w:t>resentar un informe sobre la marcha de los trabajos que refleje todas las opiniones acerca del examen del RTI para las reuniones de 2020 y 2021 del Consejo, y</w:t>
      </w:r>
    </w:p>
    <w:p w14:paraId="18E43516" w14:textId="74D2F7AE" w:rsidR="00B263A1" w:rsidRPr="001967AC" w:rsidRDefault="002A0083" w:rsidP="00135E74">
      <w:pPr>
        <w:pStyle w:val="enumlev1"/>
        <w:rPr>
          <w:lang w:val="es-ES"/>
        </w:rPr>
      </w:pPr>
      <w:r>
        <w:rPr>
          <w:lang w:val="es-ES"/>
        </w:rPr>
        <w:t>c</w:t>
      </w:r>
      <w:r w:rsidR="003F26DF">
        <w:rPr>
          <w:lang w:val="es-ES"/>
        </w:rPr>
        <w:t>)</w:t>
      </w:r>
      <w:r w:rsidR="003F26DF">
        <w:rPr>
          <w:lang w:val="es-ES"/>
        </w:rPr>
        <w:tab/>
      </w:r>
      <w:r>
        <w:rPr>
          <w:lang w:val="es-ES"/>
        </w:rPr>
        <w:t>p</w:t>
      </w:r>
      <w:bookmarkStart w:id="8" w:name="_GoBack"/>
      <w:bookmarkEnd w:id="8"/>
      <w:r w:rsidR="00B263A1" w:rsidRPr="001967AC">
        <w:rPr>
          <w:lang w:val="es-ES"/>
        </w:rPr>
        <w:t>resentar un informe final a la reunión de 2022 del Consejo para su examen y presentación a la Conferencia de Plenipotenciarios de 2022 con los comentarios del Consejo.</w:t>
      </w:r>
    </w:p>
    <w:p w14:paraId="05D54F4F" w14:textId="77777777" w:rsidR="00B263A1" w:rsidRPr="001967AC" w:rsidRDefault="00B263A1" w:rsidP="003F26DF">
      <w:pPr>
        <w:pStyle w:val="Headingb"/>
        <w:rPr>
          <w:lang w:val="es-ES"/>
        </w:rPr>
      </w:pPr>
      <w:r w:rsidRPr="001967AC">
        <w:rPr>
          <w:lang w:val="es-ES"/>
        </w:rPr>
        <w:t>Conclusión</w:t>
      </w:r>
    </w:p>
    <w:p w14:paraId="635033A8" w14:textId="77777777" w:rsidR="00B263A1" w:rsidRPr="001967AC" w:rsidRDefault="00B263A1" w:rsidP="003F26DF">
      <w:pPr>
        <w:rPr>
          <w:b/>
          <w:lang w:val="es-ES"/>
        </w:rPr>
      </w:pPr>
      <w:r w:rsidRPr="001967AC">
        <w:rPr>
          <w:lang w:val="es-ES"/>
        </w:rPr>
        <w:t>En conclusión, la República de Sudáfrica aguarda con interés participar en las labores del GE-RTI.</w:t>
      </w:r>
    </w:p>
    <w:p w14:paraId="59370317" w14:textId="7614E71E" w:rsidR="001304D3" w:rsidRPr="00F82FEE" w:rsidRDefault="00135E74" w:rsidP="00135E74">
      <w:pPr>
        <w:jc w:val="center"/>
      </w:pPr>
      <w:r>
        <w:t>______________</w:t>
      </w:r>
    </w:p>
    <w:sectPr w:rsidR="001304D3" w:rsidRPr="00F82FE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4E2E" w14:textId="77777777" w:rsidR="00B263A1" w:rsidRDefault="00B263A1">
      <w:r>
        <w:separator/>
      </w:r>
    </w:p>
  </w:endnote>
  <w:endnote w:type="continuationSeparator" w:id="0">
    <w:p w14:paraId="25FDCE1E" w14:textId="77777777" w:rsidR="00B263A1" w:rsidRDefault="00B2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3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1811" w14:textId="7D6A860C" w:rsidR="00760F1C" w:rsidRDefault="005262C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35E74">
      <w:rPr>
        <w:lang w:val="en-US"/>
      </w:rPr>
      <w:t>P:\ESP\SG\CONSEIL\EG-ITR\EG-ITR-1\000\006S.docx</w:t>
    </w:r>
    <w:r>
      <w:rPr>
        <w:lang w:val="en-US"/>
      </w:rPr>
      <w:fldChar w:fldCharType="end"/>
    </w:r>
    <w:r w:rsidR="00135E74">
      <w:rPr>
        <w:lang w:val="en-US"/>
      </w:rPr>
      <w:t xml:space="preserve"> (460258)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5D6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E1F48" w14:textId="77777777" w:rsidR="00B263A1" w:rsidRDefault="00B263A1">
      <w:r>
        <w:t>____________________</w:t>
      </w:r>
    </w:p>
  </w:footnote>
  <w:footnote w:type="continuationSeparator" w:id="0">
    <w:p w14:paraId="7512074E" w14:textId="77777777" w:rsidR="00B263A1" w:rsidRDefault="00B263A1">
      <w:r>
        <w:continuationSeparator/>
      </w:r>
    </w:p>
  </w:footnote>
  <w:footnote w:id="1">
    <w:p w14:paraId="16DAA972" w14:textId="64BA53FC" w:rsidR="00B263A1" w:rsidRPr="00BE5776" w:rsidRDefault="00B263A1" w:rsidP="00B263A1">
      <w:pPr>
        <w:pStyle w:val="FootnoteText"/>
        <w:rPr>
          <w:lang w:val="es-ES"/>
        </w:rPr>
      </w:pPr>
      <w:r>
        <w:rPr>
          <w:rStyle w:val="FootnoteReference"/>
        </w:rPr>
        <w:footnoteRef/>
      </w:r>
      <w:r w:rsidR="00B510C3">
        <w:rPr>
          <w:lang w:val="es-ES"/>
        </w:rPr>
        <w:tab/>
      </w:r>
      <w:r w:rsidRPr="00BE5776">
        <w:rPr>
          <w:lang w:val="es-ES"/>
        </w:rPr>
        <w:t xml:space="preserve">Se observan disposiciones similares entre el RTI de 1988 </w:t>
      </w:r>
      <w:r>
        <w:rPr>
          <w:lang w:val="es-ES"/>
        </w:rPr>
        <w:t xml:space="preserve">y el de </w:t>
      </w:r>
      <w:r w:rsidRPr="00BE5776">
        <w:rPr>
          <w:lang w:val="es-ES"/>
        </w:rPr>
        <w:t>2012</w:t>
      </w:r>
      <w:r>
        <w:rPr>
          <w:lang w:val="es-ES"/>
        </w:rPr>
        <w:t>.</w:t>
      </w:r>
    </w:p>
  </w:footnote>
  <w:footnote w:id="2">
    <w:p w14:paraId="5DA34617" w14:textId="135330A6" w:rsidR="00B263A1" w:rsidRPr="00BE5776" w:rsidRDefault="00B263A1" w:rsidP="00B263A1">
      <w:pPr>
        <w:pStyle w:val="FootnoteText"/>
        <w:rPr>
          <w:lang w:val="es-ES"/>
        </w:rPr>
      </w:pPr>
      <w:r>
        <w:rPr>
          <w:rStyle w:val="FootnoteReference"/>
        </w:rPr>
        <w:footnoteRef/>
      </w:r>
      <w:r w:rsidR="00B510C3">
        <w:rPr>
          <w:lang w:val="es-ES"/>
        </w:rPr>
        <w:tab/>
      </w:r>
      <w:hyperlink r:id="rId1" w:history="1">
        <w:r w:rsidRPr="00BE5776">
          <w:rPr>
            <w:rStyle w:val="Hyperlink"/>
            <w:lang w:val="es-ES"/>
          </w:rPr>
          <w:t>https://www.itu.int/en/about/Pages/default.aspx</w:t>
        </w:r>
      </w:hyperlink>
      <w:r w:rsidRPr="00BE5776">
        <w:rPr>
          <w:lang w:val="es-ES"/>
        </w:rPr>
        <w:t xml:space="preserve"> </w:t>
      </w:r>
    </w:p>
  </w:footnote>
  <w:footnote w:id="3">
    <w:p w14:paraId="5BC4CBBA" w14:textId="5DF7AEF9" w:rsidR="00B263A1" w:rsidRPr="00824EBB" w:rsidRDefault="00B263A1" w:rsidP="00B263A1">
      <w:pPr>
        <w:pStyle w:val="FootnoteText"/>
        <w:rPr>
          <w:lang w:val="es-ES"/>
        </w:rPr>
      </w:pPr>
      <w:r>
        <w:rPr>
          <w:rStyle w:val="FootnoteReference"/>
        </w:rPr>
        <w:footnoteRef/>
      </w:r>
      <w:r w:rsidR="00135E74">
        <w:rPr>
          <w:lang w:val="es-ES"/>
        </w:rPr>
        <w:tab/>
      </w:r>
      <w:hyperlink r:id="rId2" w:history="1">
        <w:r w:rsidR="00135E74" w:rsidRPr="004F0299">
          <w:rPr>
            <w:rStyle w:val="Hyperlink"/>
            <w:lang w:val="es-ES"/>
          </w:rPr>
          <w:t>https://www.itweb.co.za/content/GxwQDM1AYy8MlPVo</w:t>
        </w:r>
      </w:hyperlink>
      <w:r w:rsidRPr="00824EBB">
        <w:rPr>
          <w:lang w:val="es-ES"/>
        </w:rPr>
        <w:t xml:space="preserve"> </w:t>
      </w:r>
    </w:p>
  </w:footnote>
  <w:footnote w:id="4">
    <w:p w14:paraId="27C88393" w14:textId="7372ED48" w:rsidR="00B263A1" w:rsidRPr="00824EBB" w:rsidRDefault="00B263A1" w:rsidP="00B263A1">
      <w:pPr>
        <w:pStyle w:val="FootnoteText"/>
        <w:rPr>
          <w:lang w:val="es-ES"/>
        </w:rPr>
      </w:pPr>
      <w:r>
        <w:rPr>
          <w:rStyle w:val="FootnoteReference"/>
        </w:rPr>
        <w:footnoteRef/>
      </w:r>
      <w:r w:rsidR="00135E74">
        <w:rPr>
          <w:lang w:val="es-ES"/>
        </w:rPr>
        <w:tab/>
      </w:r>
      <w:hyperlink r:id="rId3" w:history="1">
        <w:r w:rsidR="00135E74" w:rsidRPr="004F0299">
          <w:rPr>
            <w:rStyle w:val="Hyperlink"/>
            <w:lang w:val="es-ES"/>
          </w:rPr>
          <w:t>https://businesstech.co.za/news/telecommunications/332529/telkom-is-migrating-customers-from-copper-to-wireless-with-fixed-line-prepaid-discontinued-in-august/</w:t>
        </w:r>
      </w:hyperlink>
      <w:r w:rsidRPr="00824EBB">
        <w:rPr>
          <w:lang w:val="es-ES"/>
        </w:rPr>
        <w:t xml:space="preserve"> </w:t>
      </w:r>
    </w:p>
  </w:footnote>
  <w:footnote w:id="5">
    <w:p w14:paraId="3C00AA7A" w14:textId="1F21FDDE" w:rsidR="00135E74" w:rsidRPr="001D1CD8" w:rsidRDefault="00B263A1" w:rsidP="00B263A1">
      <w:pPr>
        <w:pStyle w:val="FootnoteText"/>
        <w:rPr>
          <w:lang w:val="es-ES"/>
        </w:rPr>
      </w:pPr>
      <w:r>
        <w:rPr>
          <w:rStyle w:val="FootnoteReference"/>
        </w:rPr>
        <w:footnoteRef/>
      </w:r>
      <w:r w:rsidR="00135E74">
        <w:rPr>
          <w:lang w:val="es-ES"/>
        </w:rPr>
        <w:tab/>
      </w:r>
      <w:r>
        <w:rPr>
          <w:lang w:val="es-ES"/>
        </w:rPr>
        <w:t>En el caso de que</w:t>
      </w:r>
      <w:r w:rsidRPr="001D1CD8">
        <w:rPr>
          <w:lang w:val="es-ES"/>
        </w:rPr>
        <w:t xml:space="preserve"> los Estados Miembros </w:t>
      </w:r>
      <w:r>
        <w:rPr>
          <w:lang w:val="es-ES"/>
        </w:rPr>
        <w:t>llegaran a un consenso.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03C5"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29CA9640" w14:textId="60BFD9A1" w:rsidR="00760F1C" w:rsidRDefault="00012E27" w:rsidP="00B8298E">
    <w:pPr>
      <w:pStyle w:val="Header"/>
    </w:pPr>
    <w:r>
      <w:rPr>
        <w:noProof/>
      </w:rPr>
      <w:t>EG-ITRs-1\</w:t>
    </w:r>
    <w:r w:rsidR="00135E74">
      <w:rPr>
        <w:noProof/>
      </w:rPr>
      <w:t>6</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45C1D"/>
    <w:multiLevelType w:val="hybridMultilevel"/>
    <w:tmpl w:val="3E1ADC3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68EC73EB"/>
    <w:multiLevelType w:val="hybridMultilevel"/>
    <w:tmpl w:val="980A28BC"/>
    <w:lvl w:ilvl="0" w:tplc="1B14250E">
      <w:start w:val="1"/>
      <w:numFmt w:val="lowerRoman"/>
      <w:lvlText w:val="(%1)"/>
      <w:lvlJc w:val="left"/>
      <w:pPr>
        <w:ind w:left="1800" w:hanging="720"/>
      </w:pPr>
      <w:rPr>
        <w:rFonts w:hint="default"/>
        <w:lang w:val="es-ES"/>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68FC4B05"/>
    <w:multiLevelType w:val="hybridMultilevel"/>
    <w:tmpl w:val="0BDEB472"/>
    <w:lvl w:ilvl="0" w:tplc="1F20682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6D286783"/>
    <w:multiLevelType w:val="hybridMultilevel"/>
    <w:tmpl w:val="9D1CC16C"/>
    <w:lvl w:ilvl="0" w:tplc="6296A2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A1"/>
    <w:rsid w:val="00012E27"/>
    <w:rsid w:val="00093EEB"/>
    <w:rsid w:val="000B0D00"/>
    <w:rsid w:val="000B7C15"/>
    <w:rsid w:val="000D1D0F"/>
    <w:rsid w:val="000F5290"/>
    <w:rsid w:val="0010165C"/>
    <w:rsid w:val="001304D3"/>
    <w:rsid w:val="00135E74"/>
    <w:rsid w:val="00146BFB"/>
    <w:rsid w:val="001F14A2"/>
    <w:rsid w:val="001F60AD"/>
    <w:rsid w:val="002801AA"/>
    <w:rsid w:val="002A0083"/>
    <w:rsid w:val="002C4676"/>
    <w:rsid w:val="002C70B0"/>
    <w:rsid w:val="002F3CC4"/>
    <w:rsid w:val="003F26DF"/>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263A1"/>
    <w:rsid w:val="00B335AF"/>
    <w:rsid w:val="00B510C3"/>
    <w:rsid w:val="00B574DB"/>
    <w:rsid w:val="00B826C2"/>
    <w:rsid w:val="00B8298E"/>
    <w:rsid w:val="00BA4764"/>
    <w:rsid w:val="00BD0723"/>
    <w:rsid w:val="00BD2518"/>
    <w:rsid w:val="00BF1D1C"/>
    <w:rsid w:val="00C20C59"/>
    <w:rsid w:val="00C55B1F"/>
    <w:rsid w:val="00CF1A67"/>
    <w:rsid w:val="00D2750E"/>
    <w:rsid w:val="00D62446"/>
    <w:rsid w:val="00D92832"/>
    <w:rsid w:val="00DA4EA2"/>
    <w:rsid w:val="00DC3D3E"/>
    <w:rsid w:val="00DE2C90"/>
    <w:rsid w:val="00DE3B24"/>
    <w:rsid w:val="00E06947"/>
    <w:rsid w:val="00E3592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86B73"/>
  <w15:docId w15:val="{FEE46368-C639-49DD-BEE0-9AEF7E53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0B0D0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B263A1"/>
    <w:rPr>
      <w:rFonts w:ascii="Calibri" w:hAnsi="Calibri"/>
      <w:sz w:val="24"/>
      <w:lang w:val="es-ES_tradnl" w:eastAsia="en-US"/>
    </w:rPr>
  </w:style>
  <w:style w:type="paragraph" w:styleId="ListParagraph">
    <w:name w:val="List Paragraph"/>
    <w:basedOn w:val="Normal"/>
    <w:uiPriority w:val="34"/>
    <w:qFormat/>
    <w:rsid w:val="00B263A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B263A1"/>
    <w:rPr>
      <w:rFonts w:ascii="Calibri" w:hAnsi="Calibri"/>
      <w:sz w:val="24"/>
      <w:lang w:val="es-ES_tradnl" w:eastAsia="en-US"/>
    </w:rPr>
  </w:style>
  <w:style w:type="character" w:styleId="UnresolvedMention">
    <w:name w:val="Unresolved Mention"/>
    <w:basedOn w:val="DefaultParagraphFont"/>
    <w:uiPriority w:val="99"/>
    <w:semiHidden/>
    <w:unhideWhenUsed/>
    <w:rsid w:val="00135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sinesstech.co.za/news/telecommunications/332529/telkom-is-migrating-customers-from-copper-to-wireless-with-fixed-line-prepaid-discontinued-in-august/" TargetMode="External"/><Relationship Id="rId2" Type="http://schemas.openxmlformats.org/officeDocument/2006/relationships/hyperlink" Target="https://www.itweb.co.za/content/GxwQDM1AYy8MlPVo" TargetMode="External"/><Relationship Id="rId1" Type="http://schemas.openxmlformats.org/officeDocument/2006/relationships/hyperlink" Target="https://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95</TotalTime>
  <Pages>2</Pages>
  <Words>712</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4663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6</cp:revision>
  <cp:lastPrinted>2006-03-24T09:51:00Z</cp:lastPrinted>
  <dcterms:created xsi:type="dcterms:W3CDTF">2019-09-05T07:06:00Z</dcterms:created>
  <dcterms:modified xsi:type="dcterms:W3CDTF">2019-09-05T08:45:00Z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