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40" w:firstRow="0" w:lastRow="1" w:firstColumn="0" w:lastColumn="0" w:noHBand="0" w:noVBand="0"/>
      </w:tblPr>
      <w:tblGrid>
        <w:gridCol w:w="6911"/>
        <w:gridCol w:w="3120"/>
      </w:tblGrid>
      <w:tr w:rsidR="00700D1F" w14:paraId="6CBE80B0" w14:textId="77777777" w:rsidTr="00AC341C">
        <w:trPr>
          <w:cantSplit/>
        </w:trPr>
        <w:tc>
          <w:tcPr>
            <w:tcW w:w="6911" w:type="dxa"/>
          </w:tcPr>
          <w:p w14:paraId="6A30299E" w14:textId="77777777" w:rsidR="00700D1F" w:rsidRPr="0034098D" w:rsidRDefault="008F2D3A" w:rsidP="00402C3A">
            <w:pPr>
              <w:spacing w:before="360" w:after="48"/>
              <w:rPr>
                <w:position w:val="6"/>
                <w:sz w:val="32"/>
                <w:szCs w:val="32"/>
                <w:lang w:eastAsia="zh-CN"/>
              </w:rPr>
            </w:pPr>
            <w:r w:rsidRPr="0034098D">
              <w:rPr>
                <w:b/>
                <w:bCs/>
                <w:sz w:val="32"/>
                <w:szCs w:val="32"/>
                <w:lang w:val="en-US" w:eastAsia="zh-CN"/>
              </w:rPr>
              <w:t>《国际电信规则》专家组（</w:t>
            </w:r>
            <w:r w:rsidRPr="0034098D">
              <w:rPr>
                <w:b/>
                <w:bCs/>
                <w:sz w:val="32"/>
                <w:szCs w:val="32"/>
                <w:lang w:val="en-US" w:eastAsia="zh-CN"/>
              </w:rPr>
              <w:t>EG</w:t>
            </w:r>
            <w:r w:rsidRPr="0034098D">
              <w:rPr>
                <w:b/>
                <w:bCs/>
                <w:sz w:val="32"/>
                <w:szCs w:val="32"/>
                <w:lang w:val="en-US" w:eastAsia="zh-CN"/>
              </w:rPr>
              <w:noBreakHyphen/>
              <w:t>ITR</w:t>
            </w:r>
            <w:r w:rsidR="00402C3A" w:rsidRPr="0034098D">
              <w:rPr>
                <w:b/>
                <w:bCs/>
                <w:sz w:val="32"/>
                <w:szCs w:val="32"/>
                <w:lang w:val="en-US" w:eastAsia="zh-CN"/>
              </w:rPr>
              <w:t>s</w:t>
            </w:r>
            <w:r w:rsidRPr="0034098D">
              <w:rPr>
                <w:b/>
                <w:bCs/>
                <w:sz w:val="32"/>
                <w:szCs w:val="32"/>
                <w:lang w:val="en-US" w:eastAsia="zh-CN"/>
              </w:rPr>
              <w:t>）</w:t>
            </w:r>
          </w:p>
        </w:tc>
        <w:tc>
          <w:tcPr>
            <w:tcW w:w="3120" w:type="dxa"/>
          </w:tcPr>
          <w:p w14:paraId="54B988B6" w14:textId="5DC68FF1" w:rsidR="00700D1F" w:rsidRDefault="00A14786" w:rsidP="00864589">
            <w:pPr>
              <w:spacing w:before="0"/>
              <w:jc w:val="right"/>
            </w:pPr>
            <w:bookmarkStart w:id="0" w:name="ditulogo"/>
            <w:bookmarkEnd w:id="0"/>
            <w:r>
              <w:rPr>
                <w:noProof/>
                <w:lang w:eastAsia="zh-CN"/>
              </w:rPr>
              <w:drawing>
                <wp:inline distT="0" distB="0" distL="0" distR="0" wp14:anchorId="258CEC6A" wp14:editId="2A566C83">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700D1F" w:rsidRPr="00617BE4" w14:paraId="1B24C797" w14:textId="77777777" w:rsidTr="00AC341C">
        <w:trPr>
          <w:cantSplit/>
        </w:trPr>
        <w:tc>
          <w:tcPr>
            <w:tcW w:w="6911" w:type="dxa"/>
            <w:tcBorders>
              <w:bottom w:val="single" w:sz="12" w:space="0" w:color="auto"/>
            </w:tcBorders>
          </w:tcPr>
          <w:p w14:paraId="635BC038" w14:textId="03ECBF84" w:rsidR="00700D1F" w:rsidRPr="00617BE4" w:rsidRDefault="008F2D3A" w:rsidP="00001B77">
            <w:pPr>
              <w:spacing w:before="0" w:after="48"/>
              <w:rPr>
                <w:b/>
                <w:smallCaps/>
                <w:szCs w:val="24"/>
                <w:lang w:eastAsia="zh-CN"/>
              </w:rPr>
            </w:pPr>
            <w:r>
              <w:rPr>
                <w:rFonts w:hint="eastAsia"/>
                <w:b/>
                <w:smallCaps/>
                <w:szCs w:val="24"/>
                <w:lang w:eastAsia="zh-CN"/>
              </w:rPr>
              <w:t>第</w:t>
            </w:r>
            <w:r>
              <w:rPr>
                <w:b/>
                <w:smallCaps/>
                <w:szCs w:val="24"/>
                <w:lang w:eastAsia="zh-CN"/>
              </w:rPr>
              <w:t>一</w:t>
            </w:r>
            <w:r>
              <w:rPr>
                <w:rFonts w:hint="eastAsia"/>
                <w:b/>
                <w:smallCaps/>
                <w:szCs w:val="24"/>
                <w:lang w:eastAsia="zh-CN"/>
              </w:rPr>
              <w:t>次</w:t>
            </w:r>
            <w:r>
              <w:rPr>
                <w:b/>
                <w:smallCaps/>
                <w:szCs w:val="24"/>
                <w:lang w:eastAsia="zh-CN"/>
              </w:rPr>
              <w:t>会议</w:t>
            </w:r>
            <w:r>
              <w:rPr>
                <w:rFonts w:hint="eastAsia"/>
                <w:b/>
                <w:smallCaps/>
                <w:szCs w:val="24"/>
                <w:lang w:eastAsia="zh-CN"/>
              </w:rPr>
              <w:t xml:space="preserve"> </w:t>
            </w:r>
            <w:r w:rsidRPr="008F2D3A">
              <w:rPr>
                <w:b/>
                <w:smallCaps/>
                <w:szCs w:val="24"/>
                <w:lang w:eastAsia="zh-CN"/>
              </w:rPr>
              <w:t>–</w:t>
            </w:r>
            <w:r>
              <w:rPr>
                <w:b/>
                <w:smallCaps/>
                <w:szCs w:val="24"/>
                <w:lang w:eastAsia="zh-CN"/>
              </w:rPr>
              <w:t xml:space="preserve"> 201</w:t>
            </w:r>
            <w:r w:rsidR="00757322">
              <w:rPr>
                <w:b/>
                <w:smallCaps/>
                <w:szCs w:val="24"/>
                <w:lang w:eastAsia="zh-CN"/>
              </w:rPr>
              <w:t>9</w:t>
            </w:r>
            <w:r>
              <w:rPr>
                <w:b/>
                <w:smallCaps/>
                <w:szCs w:val="24"/>
                <w:lang w:eastAsia="zh-CN"/>
              </w:rPr>
              <w:t>年</w:t>
            </w:r>
            <w:r w:rsidR="00757322">
              <w:rPr>
                <w:b/>
                <w:smallCaps/>
                <w:szCs w:val="24"/>
                <w:lang w:eastAsia="zh-CN"/>
              </w:rPr>
              <w:t>9</w:t>
            </w:r>
            <w:r>
              <w:rPr>
                <w:b/>
                <w:smallCaps/>
                <w:szCs w:val="24"/>
                <w:lang w:eastAsia="zh-CN"/>
              </w:rPr>
              <w:t>月</w:t>
            </w:r>
            <w:r w:rsidR="00757322">
              <w:rPr>
                <w:b/>
                <w:smallCaps/>
                <w:szCs w:val="24"/>
                <w:lang w:eastAsia="zh-CN"/>
              </w:rPr>
              <w:t>16</w:t>
            </w:r>
            <w:r>
              <w:rPr>
                <w:b/>
                <w:smallCaps/>
                <w:szCs w:val="24"/>
                <w:lang w:eastAsia="zh-CN"/>
              </w:rPr>
              <w:t>-1</w:t>
            </w:r>
            <w:r w:rsidR="00757322">
              <w:rPr>
                <w:b/>
                <w:smallCaps/>
                <w:szCs w:val="24"/>
                <w:lang w:eastAsia="zh-CN"/>
              </w:rPr>
              <w:t>7</w:t>
            </w:r>
            <w:r>
              <w:rPr>
                <w:b/>
                <w:smallCaps/>
                <w:szCs w:val="24"/>
                <w:lang w:eastAsia="zh-CN"/>
              </w:rPr>
              <w:t>日，日内瓦</w:t>
            </w:r>
          </w:p>
        </w:tc>
        <w:tc>
          <w:tcPr>
            <w:tcW w:w="3120" w:type="dxa"/>
            <w:tcBorders>
              <w:bottom w:val="single" w:sz="12" w:space="0" w:color="auto"/>
            </w:tcBorders>
          </w:tcPr>
          <w:p w14:paraId="51EA0DEB" w14:textId="77777777" w:rsidR="00700D1F" w:rsidRPr="00617BE4" w:rsidRDefault="00700D1F" w:rsidP="00001B77">
            <w:pPr>
              <w:spacing w:before="0"/>
              <w:rPr>
                <w:rFonts w:ascii="Verdana" w:hAnsi="Verdana"/>
                <w:szCs w:val="24"/>
                <w:lang w:eastAsia="zh-CN"/>
              </w:rPr>
            </w:pPr>
          </w:p>
        </w:tc>
      </w:tr>
      <w:tr w:rsidR="00700D1F" w:rsidRPr="00617BE4" w14:paraId="5AF267B5" w14:textId="77777777" w:rsidTr="00AC341C">
        <w:trPr>
          <w:cantSplit/>
        </w:trPr>
        <w:tc>
          <w:tcPr>
            <w:tcW w:w="6911" w:type="dxa"/>
            <w:tcBorders>
              <w:top w:val="single" w:sz="12" w:space="0" w:color="auto"/>
            </w:tcBorders>
          </w:tcPr>
          <w:p w14:paraId="6D09AFD0" w14:textId="77777777" w:rsidR="00700D1F" w:rsidRPr="00617BE4" w:rsidRDefault="00700D1F" w:rsidP="00001B77">
            <w:pPr>
              <w:spacing w:before="0" w:after="48"/>
              <w:rPr>
                <w:b/>
                <w:smallCaps/>
                <w:szCs w:val="24"/>
                <w:lang w:eastAsia="zh-CN"/>
              </w:rPr>
            </w:pPr>
          </w:p>
        </w:tc>
        <w:tc>
          <w:tcPr>
            <w:tcW w:w="3120" w:type="dxa"/>
            <w:tcBorders>
              <w:top w:val="single" w:sz="12" w:space="0" w:color="auto"/>
            </w:tcBorders>
          </w:tcPr>
          <w:p w14:paraId="27AAB51A" w14:textId="77777777" w:rsidR="00700D1F" w:rsidRPr="00617BE4" w:rsidRDefault="00700D1F" w:rsidP="00001B77">
            <w:pPr>
              <w:spacing w:before="0"/>
              <w:rPr>
                <w:rFonts w:ascii="Verdana" w:hAnsi="Verdana"/>
                <w:szCs w:val="24"/>
                <w:lang w:eastAsia="zh-CN"/>
              </w:rPr>
            </w:pPr>
          </w:p>
        </w:tc>
      </w:tr>
      <w:tr w:rsidR="00700D1F" w14:paraId="7F870284" w14:textId="77777777" w:rsidTr="00AC341C">
        <w:trPr>
          <w:cantSplit/>
          <w:trHeight w:val="23"/>
        </w:trPr>
        <w:tc>
          <w:tcPr>
            <w:tcW w:w="6911" w:type="dxa"/>
            <w:vMerge w:val="restart"/>
          </w:tcPr>
          <w:p w14:paraId="20816C9D"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20307F0E" w14:textId="50CB3C5F" w:rsidR="00700D1F" w:rsidRPr="00700D1F" w:rsidRDefault="00700D1F" w:rsidP="004B1B7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8F2D3A">
              <w:rPr>
                <w:rFonts w:eastAsia="Calibri" w:cs="Calibri"/>
                <w:b/>
                <w:color w:val="000000"/>
                <w:szCs w:val="24"/>
                <w:lang w:val="de-CH"/>
              </w:rPr>
              <w:t>E</w:t>
            </w:r>
            <w:r w:rsidR="008F2D3A" w:rsidRPr="005476DB">
              <w:rPr>
                <w:rFonts w:eastAsia="Calibri" w:cs="Calibri"/>
                <w:b/>
                <w:color w:val="000000"/>
                <w:szCs w:val="24"/>
                <w:lang w:val="de-CH"/>
              </w:rPr>
              <w:t>G-I</w:t>
            </w:r>
            <w:r w:rsidR="008F2D3A">
              <w:rPr>
                <w:rFonts w:eastAsia="Calibri" w:cs="Calibri"/>
                <w:b/>
                <w:color w:val="000000"/>
                <w:szCs w:val="24"/>
                <w:lang w:val="de-CH"/>
              </w:rPr>
              <w:t>TRs</w:t>
            </w:r>
            <w:r w:rsidR="008F2D3A" w:rsidRPr="005476DB">
              <w:rPr>
                <w:rFonts w:eastAsia="Calibri" w:cs="Calibri"/>
                <w:b/>
                <w:color w:val="000000"/>
                <w:szCs w:val="24"/>
                <w:lang w:val="de-CH"/>
              </w:rPr>
              <w:t xml:space="preserve"> </w:t>
            </w:r>
            <w:r w:rsidR="008F2D3A">
              <w:rPr>
                <w:rFonts w:eastAsia="Calibri" w:cs="Calibri"/>
                <w:b/>
                <w:color w:val="000000"/>
                <w:szCs w:val="24"/>
                <w:lang w:val="de-CH"/>
              </w:rPr>
              <w:t>1</w:t>
            </w:r>
            <w:r w:rsidR="008F2D3A" w:rsidRPr="005476DB">
              <w:rPr>
                <w:rFonts w:eastAsia="Calibri" w:cs="Calibri"/>
                <w:b/>
                <w:color w:val="000000"/>
                <w:szCs w:val="24"/>
                <w:lang w:val="de-CH"/>
              </w:rPr>
              <w:t>/</w:t>
            </w:r>
            <w:r w:rsidR="004B3DDB">
              <w:rPr>
                <w:rFonts w:eastAsia="Calibri" w:cs="Calibri"/>
                <w:b/>
                <w:color w:val="000000"/>
                <w:szCs w:val="24"/>
                <w:lang w:val="de-CH"/>
              </w:rPr>
              <w:t>7</w:t>
            </w:r>
            <w:r w:rsidR="008F2D3A">
              <w:rPr>
                <w:rFonts w:eastAsia="Calibri" w:cs="Calibri"/>
                <w:b/>
                <w:color w:val="000000"/>
                <w:szCs w:val="24"/>
                <w:lang w:val="de-CH"/>
              </w:rPr>
              <w:t>-C</w:t>
            </w:r>
          </w:p>
        </w:tc>
      </w:tr>
      <w:bookmarkEnd w:id="1"/>
      <w:tr w:rsidR="00700D1F" w14:paraId="35168CA9" w14:textId="77777777" w:rsidTr="00AC341C">
        <w:trPr>
          <w:cantSplit/>
          <w:trHeight w:val="23"/>
        </w:trPr>
        <w:tc>
          <w:tcPr>
            <w:tcW w:w="6911" w:type="dxa"/>
            <w:vMerge/>
          </w:tcPr>
          <w:p w14:paraId="79787843" w14:textId="77777777" w:rsidR="00700D1F" w:rsidRDefault="00700D1F" w:rsidP="00001B77">
            <w:pPr>
              <w:tabs>
                <w:tab w:val="left" w:pos="851"/>
              </w:tabs>
              <w:rPr>
                <w:b/>
                <w:lang w:eastAsia="zh-CN"/>
              </w:rPr>
            </w:pPr>
          </w:p>
        </w:tc>
        <w:tc>
          <w:tcPr>
            <w:tcW w:w="3120" w:type="dxa"/>
          </w:tcPr>
          <w:p w14:paraId="1DAA9B5A" w14:textId="6A2A46CE" w:rsidR="00700D1F" w:rsidRPr="00FC5386" w:rsidRDefault="00700D1F" w:rsidP="004B3DD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757322">
              <w:rPr>
                <w:b/>
                <w:bCs/>
                <w:szCs w:val="24"/>
                <w:lang w:eastAsia="zh-CN"/>
              </w:rPr>
              <w:t>9</w:t>
            </w:r>
            <w:r w:rsidRPr="00FC5386">
              <w:rPr>
                <w:rFonts w:hint="eastAsia"/>
                <w:b/>
                <w:bCs/>
                <w:szCs w:val="24"/>
                <w:lang w:eastAsia="zh-CN"/>
              </w:rPr>
              <w:t>年</w:t>
            </w:r>
            <w:r w:rsidR="004B3DDB">
              <w:rPr>
                <w:rFonts w:asciiTheme="minorHAnsi" w:hAnsiTheme="minorHAnsi" w:cstheme="minorHAnsi"/>
                <w:b/>
                <w:bCs/>
                <w:szCs w:val="24"/>
                <w:lang w:eastAsia="zh-CN"/>
              </w:rPr>
              <w:t>9</w:t>
            </w:r>
            <w:r w:rsidRPr="00FC5386">
              <w:rPr>
                <w:rFonts w:hint="eastAsia"/>
                <w:b/>
                <w:bCs/>
                <w:szCs w:val="24"/>
                <w:lang w:eastAsia="zh-CN"/>
              </w:rPr>
              <w:t>月</w:t>
            </w:r>
            <w:r w:rsidR="004B3DDB">
              <w:rPr>
                <w:b/>
                <w:bCs/>
                <w:szCs w:val="24"/>
                <w:lang w:val="en-US" w:eastAsia="zh-CN"/>
              </w:rPr>
              <w:t>1</w:t>
            </w:r>
            <w:r w:rsidRPr="00FC5386">
              <w:rPr>
                <w:rFonts w:hint="eastAsia"/>
                <w:b/>
                <w:bCs/>
                <w:szCs w:val="24"/>
                <w:lang w:eastAsia="zh-CN"/>
              </w:rPr>
              <w:t>日</w:t>
            </w:r>
          </w:p>
        </w:tc>
      </w:tr>
      <w:tr w:rsidR="00700D1F" w14:paraId="25E47BF6" w14:textId="77777777" w:rsidTr="00AC341C">
        <w:trPr>
          <w:cantSplit/>
          <w:trHeight w:val="23"/>
        </w:trPr>
        <w:tc>
          <w:tcPr>
            <w:tcW w:w="6911" w:type="dxa"/>
            <w:vMerge/>
          </w:tcPr>
          <w:p w14:paraId="3D1EF561" w14:textId="77777777" w:rsidR="00700D1F" w:rsidRDefault="00700D1F" w:rsidP="00001B77">
            <w:pPr>
              <w:tabs>
                <w:tab w:val="left" w:pos="851"/>
              </w:tabs>
              <w:rPr>
                <w:b/>
                <w:lang w:eastAsia="zh-CN"/>
              </w:rPr>
            </w:pPr>
          </w:p>
        </w:tc>
        <w:tc>
          <w:tcPr>
            <w:tcW w:w="3120" w:type="dxa"/>
          </w:tcPr>
          <w:p w14:paraId="67B856BD" w14:textId="018AE72F"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4B3DDB" w:rsidRPr="003002D9">
              <w:rPr>
                <w:rFonts w:ascii="Times New Roman" w:hAnsi="Times New Roman"/>
                <w:lang w:eastAsia="zh-CN"/>
              </w:rPr>
              <w:t>中文</w:t>
            </w:r>
          </w:p>
        </w:tc>
      </w:tr>
      <w:tr w:rsidR="002C5DB0" w14:paraId="0C630BE7" w14:textId="77777777" w:rsidTr="00B24F46">
        <w:trPr>
          <w:cantSplit/>
          <w:trHeight w:val="23"/>
        </w:trPr>
        <w:tc>
          <w:tcPr>
            <w:tcW w:w="10031" w:type="dxa"/>
            <w:gridSpan w:val="2"/>
          </w:tcPr>
          <w:p w14:paraId="4974440A" w14:textId="74A1D7A0" w:rsidR="002C5DB0" w:rsidRPr="0092392D" w:rsidRDefault="004B3DDB" w:rsidP="002C5DB0">
            <w:pPr>
              <w:pStyle w:val="Source"/>
            </w:pPr>
            <w:r w:rsidRPr="003002D9">
              <w:rPr>
                <w:rFonts w:ascii="Times New Roman" w:hAnsi="Times New Roman"/>
                <w:lang w:eastAsia="zh-CN"/>
              </w:rPr>
              <w:t>中华人民共和国</w:t>
            </w:r>
          </w:p>
        </w:tc>
      </w:tr>
      <w:tr w:rsidR="002C5DB0" w14:paraId="0F0CC62D" w14:textId="77777777" w:rsidTr="00B24F46">
        <w:trPr>
          <w:cantSplit/>
          <w:trHeight w:val="23"/>
        </w:trPr>
        <w:tc>
          <w:tcPr>
            <w:tcW w:w="10031" w:type="dxa"/>
            <w:gridSpan w:val="2"/>
          </w:tcPr>
          <w:p w14:paraId="4ECC4F58" w14:textId="0B2A6E3B" w:rsidR="002C5DB0" w:rsidRPr="004B3DDB" w:rsidRDefault="004B3DDB" w:rsidP="00E82D37">
            <w:pPr>
              <w:pStyle w:val="Title1"/>
              <w:spacing w:after="360"/>
              <w:rPr>
                <w:bCs/>
                <w:lang w:eastAsia="zh-CN"/>
              </w:rPr>
            </w:pPr>
            <w:r w:rsidRPr="004B3DDB">
              <w:rPr>
                <w:rFonts w:ascii="Times New Roman" w:hAnsi="Times New Roman"/>
                <w:bCs/>
                <w:lang w:eastAsia="zh-CN"/>
              </w:rPr>
              <w:t>关于审议和修订《国际电信规则》的意见</w:t>
            </w:r>
          </w:p>
        </w:tc>
      </w:tr>
    </w:tbl>
    <w:p w14:paraId="5E64DCD8" w14:textId="77777777" w:rsidR="004B3DDB" w:rsidRPr="003002D9" w:rsidRDefault="004B3DDB" w:rsidP="004B3DDB">
      <w:pPr>
        <w:pStyle w:val="Headingb"/>
        <w:spacing w:line="360" w:lineRule="auto"/>
        <w:rPr>
          <w:rFonts w:ascii="Times New Roman" w:hAnsi="Times New Roman"/>
          <w:lang w:eastAsia="zh-CN"/>
        </w:rPr>
      </w:pPr>
      <w:r w:rsidRPr="003002D9">
        <w:rPr>
          <w:rFonts w:ascii="Times New Roman" w:hAnsi="Times New Roman"/>
          <w:lang w:eastAsia="zh-CN"/>
        </w:rPr>
        <w:t>前言</w:t>
      </w:r>
    </w:p>
    <w:p w14:paraId="5E7945B9" w14:textId="77777777" w:rsidR="004B3DDB" w:rsidRPr="003002D9" w:rsidRDefault="004B3DDB" w:rsidP="004B3DDB">
      <w:pPr>
        <w:spacing w:line="360" w:lineRule="auto"/>
        <w:ind w:firstLineChars="200" w:firstLine="480"/>
        <w:rPr>
          <w:rFonts w:ascii="Times New Roman" w:hAnsi="Times New Roman"/>
          <w:lang w:eastAsia="zh-CN"/>
        </w:rPr>
      </w:pPr>
      <w:r w:rsidRPr="003002D9">
        <w:rPr>
          <w:rFonts w:ascii="Times New Roman" w:hAnsi="Times New Roman"/>
          <w:lang w:eastAsia="zh-CN"/>
        </w:rPr>
        <w:t>第</w:t>
      </w:r>
      <w:r w:rsidRPr="003002D9">
        <w:rPr>
          <w:rFonts w:ascii="Times New Roman" w:hAnsi="Times New Roman"/>
          <w:lang w:eastAsia="zh-CN"/>
        </w:rPr>
        <w:t>146</w:t>
      </w:r>
      <w:r w:rsidRPr="003002D9">
        <w:rPr>
          <w:rFonts w:ascii="Times New Roman" w:hAnsi="Times New Roman"/>
          <w:lang w:eastAsia="zh-CN"/>
        </w:rPr>
        <w:t>号决议（</w:t>
      </w:r>
      <w:r w:rsidRPr="003002D9">
        <w:rPr>
          <w:rFonts w:ascii="Times New Roman" w:hAnsi="Times New Roman"/>
          <w:lang w:eastAsia="zh-CN"/>
        </w:rPr>
        <w:t>2018</w:t>
      </w:r>
      <w:r w:rsidRPr="003002D9">
        <w:rPr>
          <w:rFonts w:ascii="Times New Roman" w:hAnsi="Times New Roman"/>
          <w:lang w:eastAsia="zh-CN"/>
        </w:rPr>
        <w:t>年，迪拜，修订版）做出决议，通常应定期审议《国际电信规则》；对《国际电信规则》进行全面审查，以便就与其相关的未来工作方向达成共识。</w:t>
      </w:r>
    </w:p>
    <w:p w14:paraId="6D74C2B0" w14:textId="77777777" w:rsidR="004B3DDB" w:rsidRPr="003002D9" w:rsidRDefault="004B3DDB" w:rsidP="004B3DDB">
      <w:pPr>
        <w:spacing w:line="360" w:lineRule="auto"/>
        <w:ind w:firstLineChars="200" w:firstLine="480"/>
        <w:rPr>
          <w:rFonts w:ascii="Times New Roman" w:hAnsi="Times New Roman"/>
          <w:lang w:eastAsia="zh-CN"/>
        </w:rPr>
      </w:pPr>
      <w:r w:rsidRPr="003002D9">
        <w:rPr>
          <w:rFonts w:ascii="Times New Roman" w:hAnsi="Times New Roman"/>
          <w:lang w:eastAsia="zh-CN"/>
        </w:rPr>
        <w:t>理事会第</w:t>
      </w:r>
      <w:r w:rsidRPr="003002D9">
        <w:rPr>
          <w:rFonts w:ascii="Times New Roman" w:hAnsi="Times New Roman"/>
          <w:lang w:eastAsia="zh-CN"/>
        </w:rPr>
        <w:t>1379</w:t>
      </w:r>
      <w:r w:rsidRPr="003002D9">
        <w:rPr>
          <w:rFonts w:ascii="Times New Roman" w:hAnsi="Times New Roman"/>
          <w:lang w:eastAsia="zh-CN"/>
        </w:rPr>
        <w:t>号决议（</w:t>
      </w:r>
      <w:r w:rsidRPr="003002D9">
        <w:rPr>
          <w:rFonts w:ascii="Times New Roman" w:hAnsi="Times New Roman"/>
          <w:lang w:eastAsia="zh-CN"/>
        </w:rPr>
        <w:t>2019</w:t>
      </w:r>
      <w:r w:rsidRPr="003002D9">
        <w:rPr>
          <w:rFonts w:ascii="Times New Roman" w:hAnsi="Times New Roman"/>
          <w:lang w:eastAsia="zh-CN"/>
        </w:rPr>
        <w:t>年修订）做出决议，召集向所有成员国和部门成员开放的《国际电信规则》专家组（</w:t>
      </w:r>
      <w:r w:rsidRPr="003002D9">
        <w:rPr>
          <w:rFonts w:ascii="Times New Roman" w:hAnsi="Times New Roman"/>
          <w:lang w:eastAsia="zh-CN"/>
        </w:rPr>
        <w:t>EG-ITRs</w:t>
      </w:r>
      <w:r w:rsidRPr="003002D9">
        <w:rPr>
          <w:rFonts w:ascii="Times New Roman" w:hAnsi="Times New Roman"/>
          <w:lang w:eastAsia="zh-CN"/>
        </w:rPr>
        <w:t>），对《国际电信规则》进行逐款审议，重点关注</w:t>
      </w:r>
      <w:r w:rsidRPr="003002D9">
        <w:rPr>
          <w:rFonts w:ascii="Times New Roman" w:hAnsi="Times New Roman"/>
          <w:lang w:eastAsia="zh-CN"/>
        </w:rPr>
        <w:t>2012</w:t>
      </w:r>
      <w:r w:rsidRPr="003002D9">
        <w:rPr>
          <w:rFonts w:ascii="Times New Roman" w:hAnsi="Times New Roman"/>
          <w:lang w:eastAsia="zh-CN"/>
        </w:rPr>
        <w:t>年版《国际电信规则》，同时考虑到电信</w:t>
      </w:r>
      <w:r w:rsidRPr="003002D9">
        <w:rPr>
          <w:rFonts w:ascii="Times New Roman" w:hAnsi="Times New Roman"/>
          <w:lang w:eastAsia="zh-CN"/>
        </w:rPr>
        <w:t>/ICT</w:t>
      </w:r>
      <w:r w:rsidRPr="003002D9">
        <w:rPr>
          <w:rFonts w:ascii="Times New Roman" w:hAnsi="Times New Roman"/>
          <w:lang w:eastAsia="zh-CN"/>
        </w:rPr>
        <w:t>的新趋势和国际电信</w:t>
      </w:r>
      <w:r w:rsidRPr="003002D9">
        <w:rPr>
          <w:rFonts w:ascii="Times New Roman" w:hAnsi="Times New Roman"/>
          <w:lang w:eastAsia="zh-CN"/>
        </w:rPr>
        <w:t>/ICT</w:t>
      </w:r>
      <w:r w:rsidRPr="003002D9">
        <w:rPr>
          <w:rFonts w:ascii="Times New Roman" w:hAnsi="Times New Roman"/>
          <w:lang w:eastAsia="zh-CN"/>
        </w:rPr>
        <w:t>环境中正在出现的问题。根据理事会第</w:t>
      </w:r>
      <w:r w:rsidRPr="003002D9">
        <w:rPr>
          <w:rFonts w:ascii="Times New Roman" w:hAnsi="Times New Roman"/>
          <w:lang w:eastAsia="zh-CN"/>
        </w:rPr>
        <w:t>1379</w:t>
      </w:r>
      <w:r w:rsidRPr="003002D9">
        <w:rPr>
          <w:rFonts w:ascii="Times New Roman" w:hAnsi="Times New Roman"/>
          <w:lang w:eastAsia="zh-CN"/>
        </w:rPr>
        <w:t>号决议（</w:t>
      </w:r>
      <w:r w:rsidRPr="003002D9">
        <w:rPr>
          <w:rFonts w:ascii="Times New Roman" w:hAnsi="Times New Roman"/>
          <w:lang w:eastAsia="zh-CN"/>
        </w:rPr>
        <w:t>2019</w:t>
      </w:r>
      <w:r w:rsidRPr="003002D9">
        <w:rPr>
          <w:rFonts w:ascii="Times New Roman" w:hAnsi="Times New Roman"/>
          <w:lang w:eastAsia="zh-CN"/>
        </w:rPr>
        <w:t>年修订）规定的职责范围，专家组（</w:t>
      </w:r>
      <w:r w:rsidRPr="003002D9">
        <w:rPr>
          <w:rFonts w:ascii="Times New Roman" w:hAnsi="Times New Roman"/>
          <w:lang w:eastAsia="zh-CN"/>
        </w:rPr>
        <w:t>EG-ITRs</w:t>
      </w:r>
      <w:r w:rsidRPr="003002D9">
        <w:rPr>
          <w:rFonts w:ascii="Times New Roman" w:hAnsi="Times New Roman"/>
          <w:lang w:eastAsia="zh-CN"/>
        </w:rPr>
        <w:t>）将向理事会</w:t>
      </w:r>
      <w:r w:rsidRPr="003002D9">
        <w:rPr>
          <w:rFonts w:ascii="Times New Roman" w:hAnsi="Times New Roman"/>
          <w:lang w:eastAsia="zh-CN"/>
        </w:rPr>
        <w:t>2020</w:t>
      </w:r>
      <w:r w:rsidRPr="003002D9">
        <w:rPr>
          <w:rFonts w:ascii="Times New Roman" w:hAnsi="Times New Roman"/>
          <w:lang w:eastAsia="zh-CN"/>
        </w:rPr>
        <w:t>年和</w:t>
      </w:r>
      <w:r w:rsidRPr="003002D9">
        <w:rPr>
          <w:rFonts w:ascii="Times New Roman" w:hAnsi="Times New Roman"/>
          <w:lang w:eastAsia="zh-CN"/>
        </w:rPr>
        <w:t>2021</w:t>
      </w:r>
      <w:r w:rsidRPr="003002D9">
        <w:rPr>
          <w:rFonts w:ascii="Times New Roman" w:hAnsi="Times New Roman"/>
          <w:lang w:eastAsia="zh-CN"/>
        </w:rPr>
        <w:t>年会议提交反映出审议《国际电信规则》所有观点的进展报告，并且向理事会</w:t>
      </w:r>
      <w:r w:rsidRPr="003002D9">
        <w:rPr>
          <w:rFonts w:ascii="Times New Roman" w:hAnsi="Times New Roman"/>
          <w:lang w:eastAsia="zh-CN"/>
        </w:rPr>
        <w:t>2022</w:t>
      </w:r>
      <w:r w:rsidRPr="003002D9">
        <w:rPr>
          <w:rFonts w:ascii="Times New Roman" w:hAnsi="Times New Roman"/>
          <w:lang w:eastAsia="zh-CN"/>
        </w:rPr>
        <w:t>年会议提交最终报告供其审查，之后将报告连同理事会的意见一并提交</w:t>
      </w:r>
      <w:r w:rsidRPr="003002D9">
        <w:rPr>
          <w:rFonts w:ascii="Times New Roman" w:hAnsi="Times New Roman"/>
          <w:lang w:eastAsia="zh-CN"/>
        </w:rPr>
        <w:t>2022</w:t>
      </w:r>
      <w:r w:rsidRPr="003002D9">
        <w:rPr>
          <w:rFonts w:ascii="Times New Roman" w:hAnsi="Times New Roman"/>
          <w:lang w:eastAsia="zh-CN"/>
        </w:rPr>
        <w:t>年全权代表大会。</w:t>
      </w:r>
    </w:p>
    <w:p w14:paraId="335DDD23" w14:textId="77777777" w:rsidR="004B3DDB" w:rsidRPr="003002D9" w:rsidRDefault="004B3DDB" w:rsidP="004B3DDB">
      <w:pPr>
        <w:pStyle w:val="Headingb"/>
        <w:spacing w:line="360" w:lineRule="auto"/>
        <w:rPr>
          <w:rFonts w:ascii="Times New Roman" w:hAnsi="Times New Roman"/>
          <w:lang w:eastAsia="zh-CN"/>
        </w:rPr>
      </w:pPr>
      <w:r w:rsidRPr="003002D9">
        <w:rPr>
          <w:rFonts w:ascii="Times New Roman" w:hAnsi="Times New Roman"/>
          <w:lang w:eastAsia="zh-CN"/>
        </w:rPr>
        <w:t>建议</w:t>
      </w:r>
    </w:p>
    <w:p w14:paraId="32F963A7" w14:textId="77777777" w:rsidR="004B3DDB" w:rsidRPr="003002D9" w:rsidRDefault="004B3DDB" w:rsidP="004B3DDB">
      <w:pPr>
        <w:spacing w:line="360" w:lineRule="auto"/>
        <w:ind w:firstLineChars="200" w:firstLine="480"/>
        <w:rPr>
          <w:rFonts w:ascii="Times New Roman" w:hAnsi="Times New Roman"/>
          <w:lang w:eastAsia="zh-CN"/>
        </w:rPr>
      </w:pPr>
      <w:r w:rsidRPr="003002D9">
        <w:rPr>
          <w:rFonts w:ascii="Times New Roman" w:hAnsi="Times New Roman"/>
          <w:lang w:eastAsia="zh-CN"/>
        </w:rPr>
        <w:t>专家组（</w:t>
      </w:r>
      <w:r w:rsidRPr="003002D9">
        <w:rPr>
          <w:rFonts w:ascii="Times New Roman" w:hAnsi="Times New Roman"/>
          <w:lang w:eastAsia="zh-CN"/>
        </w:rPr>
        <w:t>EG-ITRs</w:t>
      </w:r>
      <w:r w:rsidRPr="003002D9">
        <w:rPr>
          <w:rFonts w:ascii="Times New Roman" w:hAnsi="Times New Roman"/>
          <w:lang w:eastAsia="zh-CN"/>
        </w:rPr>
        <w:t>）应当根据第</w:t>
      </w:r>
      <w:r w:rsidRPr="003002D9">
        <w:rPr>
          <w:rFonts w:ascii="Times New Roman" w:hAnsi="Times New Roman"/>
          <w:lang w:eastAsia="zh-CN"/>
        </w:rPr>
        <w:t>146</w:t>
      </w:r>
      <w:r w:rsidRPr="003002D9">
        <w:rPr>
          <w:rFonts w:ascii="Times New Roman" w:hAnsi="Times New Roman"/>
          <w:lang w:eastAsia="zh-CN"/>
        </w:rPr>
        <w:t>号决议（</w:t>
      </w:r>
      <w:r w:rsidRPr="003002D9">
        <w:rPr>
          <w:rFonts w:ascii="Times New Roman" w:hAnsi="Times New Roman"/>
          <w:lang w:eastAsia="zh-CN"/>
        </w:rPr>
        <w:t>2018</w:t>
      </w:r>
      <w:r w:rsidRPr="003002D9">
        <w:rPr>
          <w:rFonts w:ascii="Times New Roman" w:hAnsi="Times New Roman"/>
          <w:lang w:eastAsia="zh-CN"/>
        </w:rPr>
        <w:t>年，迪拜，修订版）以及理事会第</w:t>
      </w:r>
      <w:r w:rsidRPr="003002D9">
        <w:rPr>
          <w:rFonts w:ascii="Times New Roman" w:hAnsi="Times New Roman"/>
          <w:lang w:eastAsia="zh-CN"/>
        </w:rPr>
        <w:t>1379</w:t>
      </w:r>
      <w:r w:rsidRPr="003002D9">
        <w:rPr>
          <w:rFonts w:ascii="Times New Roman" w:hAnsi="Times New Roman"/>
          <w:lang w:eastAsia="zh-CN"/>
        </w:rPr>
        <w:t>号决议（</w:t>
      </w:r>
      <w:r w:rsidRPr="003002D9">
        <w:rPr>
          <w:rFonts w:ascii="Times New Roman" w:hAnsi="Times New Roman"/>
          <w:lang w:eastAsia="zh-CN"/>
        </w:rPr>
        <w:t>2019</w:t>
      </w:r>
      <w:r w:rsidRPr="003002D9">
        <w:rPr>
          <w:rFonts w:ascii="Times New Roman" w:hAnsi="Times New Roman"/>
          <w:lang w:eastAsia="zh-CN"/>
        </w:rPr>
        <w:t>年修订）的授权，在</w:t>
      </w:r>
      <w:bookmarkStart w:id="2" w:name="_GoBack"/>
      <w:bookmarkEnd w:id="2"/>
      <w:r w:rsidRPr="003002D9">
        <w:rPr>
          <w:rFonts w:ascii="Times New Roman" w:hAnsi="Times New Roman"/>
          <w:lang w:eastAsia="zh-CN"/>
        </w:rPr>
        <w:t>成员国、部门成员提交的文稿以及必要时各局主任提供的输入意见的基础上，分步骤对《国际电信规则》进行全面审议和修订，高效率和高质量地完成理事会赋予专家组（</w:t>
      </w:r>
      <w:r w:rsidRPr="003002D9">
        <w:rPr>
          <w:rFonts w:ascii="Times New Roman" w:hAnsi="Times New Roman"/>
          <w:lang w:eastAsia="zh-CN"/>
        </w:rPr>
        <w:t>EG-ITRs</w:t>
      </w:r>
      <w:r w:rsidRPr="003002D9">
        <w:rPr>
          <w:rFonts w:ascii="Times New Roman" w:hAnsi="Times New Roman"/>
          <w:lang w:eastAsia="zh-CN"/>
        </w:rPr>
        <w:t>）的全部职责。</w:t>
      </w:r>
    </w:p>
    <w:p w14:paraId="2470D2A3" w14:textId="77777777" w:rsidR="004B3DDB" w:rsidRPr="003002D9" w:rsidRDefault="004B3DDB" w:rsidP="004B3DDB">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spacing w:line="360" w:lineRule="auto"/>
        <w:contextualSpacing w:val="0"/>
        <w:rPr>
          <w:rFonts w:ascii="Times New Roman" w:hAnsi="Times New Roman"/>
          <w:lang w:eastAsia="zh-CN"/>
        </w:rPr>
      </w:pPr>
      <w:r w:rsidRPr="003002D9">
        <w:rPr>
          <w:rFonts w:ascii="Times New Roman" w:hAnsi="Times New Roman"/>
          <w:lang w:eastAsia="zh-CN"/>
        </w:rPr>
        <w:t>充分讨论国际电信/ICT发展的新趋势、面临的新问题，特别是要考虑到当前大数据、物联网、人工智能等新一代信息通信技术驱动下全球数字经济迅猛发展的情况</w:t>
      </w:r>
      <w:r w:rsidRPr="003002D9">
        <w:rPr>
          <w:rFonts w:ascii="Times New Roman" w:hAnsi="Times New Roman"/>
          <w:szCs w:val="24"/>
          <w:lang w:eastAsia="zh-CN"/>
        </w:rPr>
        <w:t>，</w:t>
      </w:r>
      <w:r w:rsidRPr="003002D9">
        <w:rPr>
          <w:rFonts w:ascii="Times New Roman" w:hAnsi="Times New Roman"/>
          <w:lang w:eastAsia="zh-CN"/>
        </w:rPr>
        <w:t>确定</w:t>
      </w:r>
      <w:r w:rsidRPr="003002D9">
        <w:rPr>
          <w:rFonts w:ascii="Times New Roman" w:hAnsi="Times New Roman"/>
          <w:szCs w:val="24"/>
          <w:lang w:eastAsia="zh-CN"/>
        </w:rPr>
        <w:t>《国际电信规则》审议和修订的前进方向；</w:t>
      </w:r>
    </w:p>
    <w:p w14:paraId="174D904F" w14:textId="77777777" w:rsidR="004B3DDB" w:rsidRPr="003002D9" w:rsidRDefault="004B3DDB" w:rsidP="004B3DDB">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spacing w:line="360" w:lineRule="auto"/>
        <w:contextualSpacing w:val="0"/>
        <w:rPr>
          <w:rFonts w:ascii="Times New Roman" w:hAnsi="Times New Roman"/>
          <w:szCs w:val="24"/>
          <w:lang w:eastAsia="zh-CN"/>
        </w:rPr>
      </w:pPr>
      <w:r w:rsidRPr="003002D9">
        <w:rPr>
          <w:rFonts w:ascii="Times New Roman" w:hAnsi="Times New Roman"/>
          <w:lang w:eastAsia="zh-CN"/>
        </w:rPr>
        <w:t>逐条审议</w:t>
      </w:r>
      <w:r w:rsidRPr="003002D9">
        <w:rPr>
          <w:rFonts w:ascii="Times New Roman" w:hAnsi="Times New Roman"/>
          <w:szCs w:val="24"/>
          <w:lang w:eastAsia="zh-CN"/>
        </w:rPr>
        <w:t>《国际电信规则》条款在促进国际电信/ICT业务和网络的提供与发展方面的适用性问题，以及《国际电信规则》条款的灵活性问题，确定需要修订的《国际电信规则》条款，以及当前《国际电信规则》尚未规定但涉及国际电信/ICT且需要纳入《国际电信规则》的问题，并进行全面分析；</w:t>
      </w:r>
    </w:p>
    <w:p w14:paraId="15A5D90E" w14:textId="77777777" w:rsidR="004B3DDB" w:rsidRPr="003002D9" w:rsidRDefault="004B3DDB" w:rsidP="004B3DDB">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spacing w:line="360" w:lineRule="auto"/>
        <w:contextualSpacing w:val="0"/>
        <w:rPr>
          <w:rFonts w:ascii="Times New Roman" w:hAnsi="Times New Roman"/>
          <w:lang w:eastAsia="zh-CN"/>
        </w:rPr>
      </w:pPr>
      <w:r w:rsidRPr="003002D9">
        <w:rPr>
          <w:rFonts w:ascii="Times New Roman" w:hAnsi="Times New Roman"/>
          <w:szCs w:val="24"/>
          <w:lang w:eastAsia="zh-CN"/>
        </w:rPr>
        <w:t>根据国际电信</w:t>
      </w:r>
      <w:r w:rsidRPr="003002D9">
        <w:rPr>
          <w:rFonts w:ascii="Times New Roman" w:hAnsi="Times New Roman"/>
          <w:lang w:eastAsia="zh-CN"/>
        </w:rPr>
        <w:t>/ICT技术发展和政策变化，</w:t>
      </w:r>
      <w:r w:rsidRPr="003002D9">
        <w:rPr>
          <w:rFonts w:ascii="Times New Roman" w:hAnsi="Times New Roman"/>
          <w:szCs w:val="24"/>
          <w:lang w:eastAsia="zh-CN"/>
        </w:rPr>
        <w:t>确定所有成员国都可以接受的非争议性问题和需要修订的条款，并以《国际电信规则》的修订形式纳入；</w:t>
      </w:r>
    </w:p>
    <w:p w14:paraId="1684A3F6" w14:textId="77777777" w:rsidR="004B3DDB" w:rsidRPr="003002D9" w:rsidRDefault="004B3DDB" w:rsidP="004B3DDB">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spacing w:line="360" w:lineRule="auto"/>
        <w:contextualSpacing w:val="0"/>
        <w:rPr>
          <w:rFonts w:ascii="Times New Roman" w:hAnsi="Times New Roman"/>
          <w:lang w:eastAsia="zh-CN"/>
        </w:rPr>
      </w:pPr>
      <w:r w:rsidRPr="003002D9">
        <w:rPr>
          <w:rFonts w:ascii="Times New Roman" w:hAnsi="Times New Roman"/>
          <w:lang w:eastAsia="zh-CN"/>
        </w:rPr>
        <w:t>确定需要修订或纳入《国际电信规则》但仍存在争议的《国际电信规则》条款和相关问题，并提出处理方案或建议；</w:t>
      </w:r>
    </w:p>
    <w:p w14:paraId="7992DED8" w14:textId="77777777" w:rsidR="004B3DDB" w:rsidRPr="003002D9" w:rsidRDefault="004B3DDB" w:rsidP="004B3DDB">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spacing w:line="360" w:lineRule="auto"/>
        <w:contextualSpacing w:val="0"/>
        <w:rPr>
          <w:rFonts w:ascii="Times New Roman" w:hAnsi="Times New Roman"/>
          <w:lang w:eastAsia="zh-CN"/>
        </w:rPr>
      </w:pPr>
      <w:r w:rsidRPr="003002D9">
        <w:rPr>
          <w:rFonts w:ascii="Times New Roman" w:hAnsi="Times New Roman"/>
          <w:lang w:eastAsia="zh-CN"/>
        </w:rPr>
        <w:t>在上述工作基础上，形成向理事会提交的《国际电信规则》审议进展报告和最终报告。</w:t>
      </w:r>
    </w:p>
    <w:p w14:paraId="127BF371" w14:textId="77777777" w:rsidR="004B3DDB" w:rsidRPr="003002D9" w:rsidRDefault="004B3DDB" w:rsidP="004B3DDB">
      <w:pPr>
        <w:pStyle w:val="Headingb"/>
        <w:spacing w:line="360" w:lineRule="auto"/>
        <w:rPr>
          <w:rFonts w:ascii="Times New Roman" w:hAnsi="Times New Roman"/>
          <w:lang w:eastAsia="zh-CN"/>
        </w:rPr>
      </w:pPr>
      <w:r w:rsidRPr="003002D9">
        <w:rPr>
          <w:rFonts w:ascii="Times New Roman" w:hAnsi="Times New Roman"/>
          <w:lang w:eastAsia="zh-CN"/>
        </w:rPr>
        <w:t>结束语</w:t>
      </w:r>
    </w:p>
    <w:p w14:paraId="3836E9FA" w14:textId="77777777" w:rsidR="004B3DDB" w:rsidRPr="003002D9" w:rsidRDefault="004B3DDB" w:rsidP="004B3DDB">
      <w:pPr>
        <w:spacing w:line="360" w:lineRule="auto"/>
        <w:ind w:firstLineChars="200" w:firstLine="480"/>
        <w:rPr>
          <w:rFonts w:ascii="Times New Roman" w:hAnsi="Times New Roman"/>
          <w:lang w:eastAsia="zh-CN"/>
        </w:rPr>
      </w:pPr>
      <w:r w:rsidRPr="003002D9">
        <w:rPr>
          <w:rFonts w:ascii="Times New Roman" w:hAnsi="Times New Roman"/>
          <w:lang w:eastAsia="zh-CN"/>
        </w:rPr>
        <w:t>中国积极支持推动《国际电信规则》的全面审议和修订，目的是为了实现国际电联的宗旨和职能，维护国际电联《组织法》和《公约》的完整性以及国际电联的权威性，促进各成员国为实现国际电联的宗旨而相互合作，共同推动《国际电信规则》在全球电信新趋势下</w:t>
      </w:r>
      <w:r w:rsidRPr="003002D9">
        <w:rPr>
          <w:rFonts w:ascii="Times New Roman" w:hAnsi="Times New Roman"/>
          <w:lang w:eastAsia="zh-CN"/>
        </w:rPr>
        <w:t>“</w:t>
      </w:r>
      <w:r w:rsidRPr="003002D9">
        <w:rPr>
          <w:rFonts w:ascii="Times New Roman" w:hAnsi="Times New Roman"/>
          <w:lang w:eastAsia="zh-CN"/>
        </w:rPr>
        <w:t>与时俱进</w:t>
      </w:r>
      <w:r w:rsidRPr="003002D9">
        <w:rPr>
          <w:rFonts w:ascii="Times New Roman" w:hAnsi="Times New Roman"/>
          <w:lang w:eastAsia="zh-CN"/>
        </w:rPr>
        <w:t>”</w:t>
      </w:r>
      <w:r w:rsidRPr="003002D9">
        <w:rPr>
          <w:rFonts w:ascii="Times New Roman" w:hAnsi="Times New Roman"/>
          <w:lang w:eastAsia="zh-CN"/>
        </w:rPr>
        <w:t>，为全球电信</w:t>
      </w:r>
      <w:r w:rsidRPr="003002D9">
        <w:rPr>
          <w:rFonts w:ascii="Times New Roman" w:hAnsi="Times New Roman"/>
          <w:lang w:eastAsia="zh-CN"/>
        </w:rPr>
        <w:t>/ICT</w:t>
      </w:r>
      <w:r w:rsidRPr="003002D9">
        <w:rPr>
          <w:rFonts w:ascii="Times New Roman" w:hAnsi="Times New Roman"/>
          <w:lang w:eastAsia="zh-CN"/>
        </w:rPr>
        <w:t>的安全、发展和繁荣发挥积极促进作用，并为之做出贡献。</w:t>
      </w:r>
    </w:p>
    <w:p w14:paraId="71D2FEFB" w14:textId="77777777" w:rsidR="004B3DDB" w:rsidRDefault="004B3DDB" w:rsidP="00E82D37">
      <w:pPr>
        <w:jc w:val="center"/>
        <w:rPr>
          <w:lang w:eastAsia="zh-CN"/>
        </w:rPr>
      </w:pPr>
    </w:p>
    <w:p w14:paraId="7615FD28" w14:textId="58655DE1" w:rsidR="002C5DB0" w:rsidRPr="00E82D37" w:rsidRDefault="00E82D37" w:rsidP="00E82D37">
      <w:pPr>
        <w:jc w:val="center"/>
      </w:pPr>
      <w:r>
        <w:t>______________</w:t>
      </w:r>
    </w:p>
    <w:sectPr w:rsidR="002C5DB0" w:rsidRPr="00E82D37" w:rsidSect="006C36CD">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EEF08" w14:textId="77777777" w:rsidR="00F53E3D" w:rsidRDefault="00F53E3D">
      <w:r>
        <w:separator/>
      </w:r>
    </w:p>
  </w:endnote>
  <w:endnote w:type="continuationSeparator" w:id="0">
    <w:p w14:paraId="0DFB4FAE" w14:textId="77777777" w:rsidR="00F53E3D" w:rsidRDefault="00F5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8A11" w14:textId="52832B87" w:rsidR="002C5DB0" w:rsidRPr="00E82D37" w:rsidRDefault="002C5DB0" w:rsidP="00E82D37">
    <w:pPr>
      <w:spacing w:after="120"/>
      <w:jc w:val="center"/>
      <w:rPr>
        <w:sz w:val="22"/>
        <w:szCs w:val="22"/>
      </w:rPr>
    </w:pPr>
    <w:r w:rsidRPr="00E82D37">
      <w:rPr>
        <w:sz w:val="22"/>
        <w:szCs w:val="22"/>
      </w:rPr>
      <w:t xml:space="preserve">• </w:t>
    </w:r>
    <w:hyperlink r:id="rId1" w:history="1">
      <w:r w:rsidRPr="00E82D37">
        <w:rPr>
          <w:rStyle w:val="Hyperlink"/>
          <w:sz w:val="22"/>
          <w:szCs w:val="22"/>
        </w:rPr>
        <w:t>http://www.itu.int/council</w:t>
      </w:r>
    </w:hyperlink>
    <w:r w:rsidRPr="00E82D37">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6CB81" w14:textId="77777777" w:rsidR="00F53E3D" w:rsidRDefault="00F53E3D">
      <w:r>
        <w:t>____________________</w:t>
      </w:r>
    </w:p>
  </w:footnote>
  <w:footnote w:type="continuationSeparator" w:id="0">
    <w:p w14:paraId="59162D93" w14:textId="77777777" w:rsidR="00F53E3D" w:rsidRDefault="00F53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64DB" w14:textId="3408D133" w:rsidR="002C5DB0" w:rsidRDefault="002C5DB0" w:rsidP="002C5DB0">
    <w:pPr>
      <w:pStyle w:val="Header"/>
      <w:rPr>
        <w:noProof/>
      </w:rPr>
    </w:pPr>
    <w:r>
      <w:fldChar w:fldCharType="begin"/>
    </w:r>
    <w:r>
      <w:instrText>PAGE</w:instrText>
    </w:r>
    <w:r>
      <w:fldChar w:fldCharType="separate"/>
    </w:r>
    <w:r w:rsidR="004B3DDB">
      <w:rPr>
        <w:noProof/>
      </w:rPr>
      <w:t>2</w:t>
    </w:r>
    <w:r>
      <w:rPr>
        <w:noProof/>
      </w:rPr>
      <w:fldChar w:fldCharType="end"/>
    </w:r>
  </w:p>
  <w:p w14:paraId="514E4DFE" w14:textId="45FE7BCC" w:rsidR="00E82D37" w:rsidRDefault="00E82D37" w:rsidP="004B3DDB">
    <w:pPr>
      <w:pStyle w:val="Header"/>
    </w:pPr>
    <w:r w:rsidRPr="00E82D37">
      <w:rPr>
        <w:lang w:val="en-GB"/>
      </w:rPr>
      <w:t>EG-ITRs\</w:t>
    </w:r>
    <w:r w:rsidR="004B3DDB">
      <w:rPr>
        <w:lang w:val="en-GB"/>
      </w:rPr>
      <w:t>7</w:t>
    </w:r>
    <w:r w:rsidRPr="00E82D37">
      <w:rPr>
        <w:lang w:val="en-GB"/>
      </w:rPr>
      <w:t>-</w:t>
    </w:r>
    <w:r>
      <w:rPr>
        <w:lang w:val="en-GB"/>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64436F1"/>
    <w:multiLevelType w:val="multilevel"/>
    <w:tmpl w:val="B49A2D4C"/>
    <w:lvl w:ilvl="0">
      <w:start w:val="1"/>
      <w:numFmt w:val="decimal"/>
      <w:lvlText w:val="%1."/>
      <w:lvlJc w:val="left"/>
      <w:pPr>
        <w:ind w:left="810" w:hanging="360"/>
      </w:pPr>
      <w:rPr>
        <w:b/>
      </w:rPr>
    </w:lvl>
    <w:lvl w:ilvl="1">
      <w:start w:val="1"/>
      <w:numFmt w:val="decimal"/>
      <w:isLgl/>
      <w:lvlText w:val="%1.%2"/>
      <w:lvlJc w:val="left"/>
      <w:pPr>
        <w:ind w:left="930" w:hanging="360"/>
      </w:pPr>
    </w:lvl>
    <w:lvl w:ilvl="2">
      <w:start w:val="1"/>
      <w:numFmt w:val="decimal"/>
      <w:isLgl/>
      <w:lvlText w:val="%1.%2.%3"/>
      <w:lvlJc w:val="left"/>
      <w:pPr>
        <w:ind w:left="1500"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480" w:hanging="144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281358"/>
    <w:multiLevelType w:val="hybridMultilevel"/>
    <w:tmpl w:val="F97819D4"/>
    <w:lvl w:ilvl="0" w:tplc="905A55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3A"/>
    <w:rsid w:val="00001B77"/>
    <w:rsid w:val="0000517A"/>
    <w:rsid w:val="00031E72"/>
    <w:rsid w:val="000404D2"/>
    <w:rsid w:val="000770A5"/>
    <w:rsid w:val="000853C0"/>
    <w:rsid w:val="000A1C21"/>
    <w:rsid w:val="000D15EA"/>
    <w:rsid w:val="00100D84"/>
    <w:rsid w:val="00124C9D"/>
    <w:rsid w:val="00157773"/>
    <w:rsid w:val="00177089"/>
    <w:rsid w:val="0018251A"/>
    <w:rsid w:val="00190272"/>
    <w:rsid w:val="00193244"/>
    <w:rsid w:val="00195C6C"/>
    <w:rsid w:val="00195FED"/>
    <w:rsid w:val="001A4BD6"/>
    <w:rsid w:val="001D5A18"/>
    <w:rsid w:val="00230E2C"/>
    <w:rsid w:val="00280EB8"/>
    <w:rsid w:val="002A6670"/>
    <w:rsid w:val="002C5DB0"/>
    <w:rsid w:val="002D7B26"/>
    <w:rsid w:val="00303502"/>
    <w:rsid w:val="00325C25"/>
    <w:rsid w:val="0034098D"/>
    <w:rsid w:val="00372C8F"/>
    <w:rsid w:val="00380ECE"/>
    <w:rsid w:val="00393DDF"/>
    <w:rsid w:val="00397F55"/>
    <w:rsid w:val="003B4454"/>
    <w:rsid w:val="003C21A6"/>
    <w:rsid w:val="003C2E37"/>
    <w:rsid w:val="003F1415"/>
    <w:rsid w:val="0040144C"/>
    <w:rsid w:val="00402C3A"/>
    <w:rsid w:val="00403EB7"/>
    <w:rsid w:val="00430BF0"/>
    <w:rsid w:val="004672E6"/>
    <w:rsid w:val="00474ED1"/>
    <w:rsid w:val="00493085"/>
    <w:rsid w:val="004A36EC"/>
    <w:rsid w:val="004B1B75"/>
    <w:rsid w:val="004B3DDB"/>
    <w:rsid w:val="004C349B"/>
    <w:rsid w:val="004D163F"/>
    <w:rsid w:val="004E4BFF"/>
    <w:rsid w:val="004F2598"/>
    <w:rsid w:val="00502CA9"/>
    <w:rsid w:val="005403F7"/>
    <w:rsid w:val="00540632"/>
    <w:rsid w:val="005414E0"/>
    <w:rsid w:val="00541CF4"/>
    <w:rsid w:val="005451E8"/>
    <w:rsid w:val="005507F2"/>
    <w:rsid w:val="005759CC"/>
    <w:rsid w:val="005A72E1"/>
    <w:rsid w:val="005C1E5D"/>
    <w:rsid w:val="005C6632"/>
    <w:rsid w:val="005D0DBC"/>
    <w:rsid w:val="005D1C9E"/>
    <w:rsid w:val="005E242A"/>
    <w:rsid w:val="0064210F"/>
    <w:rsid w:val="00654257"/>
    <w:rsid w:val="0065435A"/>
    <w:rsid w:val="00667D1B"/>
    <w:rsid w:val="006A2DD3"/>
    <w:rsid w:val="006A5AF8"/>
    <w:rsid w:val="006A63F7"/>
    <w:rsid w:val="006C36CD"/>
    <w:rsid w:val="006C72E9"/>
    <w:rsid w:val="00700D1F"/>
    <w:rsid w:val="007205CB"/>
    <w:rsid w:val="00722690"/>
    <w:rsid w:val="00726073"/>
    <w:rsid w:val="00734FE8"/>
    <w:rsid w:val="007360CE"/>
    <w:rsid w:val="00757322"/>
    <w:rsid w:val="00772315"/>
    <w:rsid w:val="00774ACD"/>
    <w:rsid w:val="00775157"/>
    <w:rsid w:val="007813AE"/>
    <w:rsid w:val="00792B15"/>
    <w:rsid w:val="007A37DB"/>
    <w:rsid w:val="007D0BF5"/>
    <w:rsid w:val="007E189D"/>
    <w:rsid w:val="00802A22"/>
    <w:rsid w:val="00811259"/>
    <w:rsid w:val="00813AA2"/>
    <w:rsid w:val="008173A3"/>
    <w:rsid w:val="0086059C"/>
    <w:rsid w:val="00864589"/>
    <w:rsid w:val="00875393"/>
    <w:rsid w:val="00881B5D"/>
    <w:rsid w:val="00890AFB"/>
    <w:rsid w:val="00890FC4"/>
    <w:rsid w:val="00894A58"/>
    <w:rsid w:val="00895905"/>
    <w:rsid w:val="008F2D3A"/>
    <w:rsid w:val="009164A9"/>
    <w:rsid w:val="009258CB"/>
    <w:rsid w:val="0093362E"/>
    <w:rsid w:val="00944563"/>
    <w:rsid w:val="00953160"/>
    <w:rsid w:val="009625D8"/>
    <w:rsid w:val="0098459B"/>
    <w:rsid w:val="00997185"/>
    <w:rsid w:val="009C2458"/>
    <w:rsid w:val="009C2EB3"/>
    <w:rsid w:val="009C4A7B"/>
    <w:rsid w:val="009C6123"/>
    <w:rsid w:val="009C65CD"/>
    <w:rsid w:val="009D4956"/>
    <w:rsid w:val="009D4B04"/>
    <w:rsid w:val="009F1E3E"/>
    <w:rsid w:val="00A1213C"/>
    <w:rsid w:val="00A14786"/>
    <w:rsid w:val="00A272FF"/>
    <w:rsid w:val="00A5354B"/>
    <w:rsid w:val="00AB42C1"/>
    <w:rsid w:val="00AC341C"/>
    <w:rsid w:val="00AC516F"/>
    <w:rsid w:val="00AE2926"/>
    <w:rsid w:val="00B0184B"/>
    <w:rsid w:val="00B01BE6"/>
    <w:rsid w:val="00B035CD"/>
    <w:rsid w:val="00B0769D"/>
    <w:rsid w:val="00B217F8"/>
    <w:rsid w:val="00B332EA"/>
    <w:rsid w:val="00B40A53"/>
    <w:rsid w:val="00B45365"/>
    <w:rsid w:val="00B46A65"/>
    <w:rsid w:val="00B52838"/>
    <w:rsid w:val="00B60184"/>
    <w:rsid w:val="00B62D20"/>
    <w:rsid w:val="00B81E75"/>
    <w:rsid w:val="00BD12F4"/>
    <w:rsid w:val="00BD1A5A"/>
    <w:rsid w:val="00BD7A9B"/>
    <w:rsid w:val="00BD7BE1"/>
    <w:rsid w:val="00BF416B"/>
    <w:rsid w:val="00BF6246"/>
    <w:rsid w:val="00C41954"/>
    <w:rsid w:val="00C64E4E"/>
    <w:rsid w:val="00C66E64"/>
    <w:rsid w:val="00C761A0"/>
    <w:rsid w:val="00C85F7E"/>
    <w:rsid w:val="00C91A3C"/>
    <w:rsid w:val="00CD47F0"/>
    <w:rsid w:val="00CD5566"/>
    <w:rsid w:val="00CD64D7"/>
    <w:rsid w:val="00CE6F22"/>
    <w:rsid w:val="00CF41F6"/>
    <w:rsid w:val="00CF7D3E"/>
    <w:rsid w:val="00D02B4E"/>
    <w:rsid w:val="00D27445"/>
    <w:rsid w:val="00D319A0"/>
    <w:rsid w:val="00D36817"/>
    <w:rsid w:val="00D5666C"/>
    <w:rsid w:val="00D61EE8"/>
    <w:rsid w:val="00D666BC"/>
    <w:rsid w:val="00D83542"/>
    <w:rsid w:val="00D92F45"/>
    <w:rsid w:val="00D94637"/>
    <w:rsid w:val="00D9725C"/>
    <w:rsid w:val="00DA7006"/>
    <w:rsid w:val="00DC6427"/>
    <w:rsid w:val="00DD011C"/>
    <w:rsid w:val="00DD66A1"/>
    <w:rsid w:val="00DE196D"/>
    <w:rsid w:val="00DF0B83"/>
    <w:rsid w:val="00DF6B49"/>
    <w:rsid w:val="00E05257"/>
    <w:rsid w:val="00E067C5"/>
    <w:rsid w:val="00E265BF"/>
    <w:rsid w:val="00E346BD"/>
    <w:rsid w:val="00E378D8"/>
    <w:rsid w:val="00E43A12"/>
    <w:rsid w:val="00E540D9"/>
    <w:rsid w:val="00E608A4"/>
    <w:rsid w:val="00E622A2"/>
    <w:rsid w:val="00E67C67"/>
    <w:rsid w:val="00E77476"/>
    <w:rsid w:val="00E8228B"/>
    <w:rsid w:val="00E82D37"/>
    <w:rsid w:val="00E87453"/>
    <w:rsid w:val="00EE5706"/>
    <w:rsid w:val="00EF1B7F"/>
    <w:rsid w:val="00EF373D"/>
    <w:rsid w:val="00F11595"/>
    <w:rsid w:val="00F13349"/>
    <w:rsid w:val="00F13BC9"/>
    <w:rsid w:val="00F357B2"/>
    <w:rsid w:val="00F36556"/>
    <w:rsid w:val="00F53E3D"/>
    <w:rsid w:val="00F705DF"/>
    <w:rsid w:val="00F70622"/>
    <w:rsid w:val="00F85624"/>
    <w:rsid w:val="00F87C05"/>
    <w:rsid w:val="00F93191"/>
    <w:rsid w:val="00F93A17"/>
    <w:rsid w:val="00FA2AF6"/>
    <w:rsid w:val="00FB073D"/>
    <w:rsid w:val="00FB771F"/>
    <w:rsid w:val="00FC5386"/>
    <w:rsid w:val="00FD1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83287B"/>
  <w15:docId w15:val="{979976B8-899B-4927-AC16-1711FBA8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F13349"/>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UnresolvedMention">
    <w:name w:val="Unresolved Mention"/>
    <w:basedOn w:val="DefaultParagraphFont"/>
    <w:uiPriority w:val="99"/>
    <w:semiHidden/>
    <w:unhideWhenUsed/>
    <w:rsid w:val="00E82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4114006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658C-20F2-40A8-B7F2-15730BCF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Template>
  <TotalTime>0</TotalTime>
  <Pages>2</Pages>
  <Words>670</Words>
  <Characters>531</Characters>
  <Application>Microsoft Office Word</Application>
  <DocSecurity>4</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Janin, Patricia</cp:lastModifiedBy>
  <cp:revision>2</cp:revision>
  <cp:lastPrinted>2015-02-24T13:23:00Z</cp:lastPrinted>
  <dcterms:created xsi:type="dcterms:W3CDTF">2019-09-02T06:24:00Z</dcterms:created>
  <dcterms:modified xsi:type="dcterms:W3CDTF">2019-09-02T06:24:00Z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