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7B7F81" w:rsidRPr="00950A5B" w14:paraId="18E66231" w14:textId="77777777" w:rsidTr="000B128B">
        <w:trPr>
          <w:cantSplit/>
          <w:trHeight w:val="20"/>
        </w:trPr>
        <w:tc>
          <w:tcPr>
            <w:tcW w:w="6620" w:type="dxa"/>
          </w:tcPr>
          <w:p w14:paraId="6F5E3309"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vAlign w:val="center"/>
          </w:tcPr>
          <w:p w14:paraId="0BD8D815"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rPr>
              <w:drawing>
                <wp:inline distT="0" distB="0" distL="0" distR="0" wp14:anchorId="070EEDC2" wp14:editId="62C3DAE8">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7B7F81" w:rsidRPr="00950A5B" w14:paraId="4F42575C" w14:textId="77777777" w:rsidTr="004B6B8C">
        <w:trPr>
          <w:cantSplit/>
          <w:trHeight w:val="68"/>
        </w:trPr>
        <w:tc>
          <w:tcPr>
            <w:tcW w:w="6620" w:type="dxa"/>
            <w:tcBorders>
              <w:bottom w:val="single" w:sz="12" w:space="0" w:color="auto"/>
            </w:tcBorders>
          </w:tcPr>
          <w:p w14:paraId="5951ACFE" w14:textId="77777777" w:rsidR="007B7F81" w:rsidRPr="00950A5B" w:rsidRDefault="007B7F81" w:rsidP="007B7F81">
            <w:pPr>
              <w:spacing w:before="0" w:after="120"/>
              <w:rPr>
                <w:rFonts w:eastAsiaTheme="minorEastAsia"/>
                <w:rtl/>
                <w:lang w:eastAsia="zh-CN" w:bidi="ar-EG"/>
              </w:rPr>
            </w:pPr>
            <w:r w:rsidRPr="00950A5B">
              <w:rPr>
                <w:rFonts w:eastAsiaTheme="minorEastAsia" w:hint="cs"/>
                <w:b/>
                <w:bCs/>
                <w:sz w:val="24"/>
                <w:szCs w:val="32"/>
                <w:rtl/>
                <w:lang w:eastAsia="zh-CN" w:bidi="ar-EG"/>
              </w:rPr>
              <w:t xml:space="preserve">الاجتماع </w:t>
            </w:r>
            <w:r>
              <w:rPr>
                <w:rFonts w:eastAsiaTheme="minorEastAsia" w:hint="cs"/>
                <w:b/>
                <w:bCs/>
                <w:sz w:val="24"/>
                <w:szCs w:val="32"/>
                <w:rtl/>
                <w:lang w:eastAsia="zh-CN"/>
              </w:rPr>
              <w:t>الأول</w:t>
            </w:r>
            <w:r w:rsidRPr="00950A5B">
              <w:rPr>
                <w:rFonts w:eastAsiaTheme="minorEastAsia" w:hint="cs"/>
                <w:b/>
                <w:bCs/>
                <w:sz w:val="24"/>
                <w:szCs w:val="32"/>
                <w:rtl/>
                <w:lang w:eastAsia="zh-CN" w:bidi="ar-EG"/>
              </w:rPr>
              <w:t xml:space="preserve"> - جنيف، </w:t>
            </w:r>
            <w:r>
              <w:rPr>
                <w:rFonts w:eastAsiaTheme="minorEastAsia"/>
                <w:b/>
                <w:bCs/>
                <w:sz w:val="24"/>
                <w:szCs w:val="32"/>
                <w:lang w:eastAsia="zh-CN" w:bidi="ar-EG"/>
              </w:rPr>
              <w:t>17-16</w:t>
            </w:r>
            <w:r w:rsidRPr="00950A5B">
              <w:rPr>
                <w:rFonts w:eastAsiaTheme="minorEastAsia" w:hint="cs"/>
                <w:b/>
                <w:bCs/>
                <w:sz w:val="24"/>
                <w:szCs w:val="32"/>
                <w:rtl/>
                <w:lang w:eastAsia="zh-CN" w:bidi="ar-EG"/>
              </w:rPr>
              <w:t xml:space="preserve"> </w:t>
            </w:r>
            <w:r>
              <w:rPr>
                <w:rFonts w:eastAsiaTheme="minorEastAsia" w:hint="cs"/>
                <w:b/>
                <w:bCs/>
                <w:sz w:val="24"/>
                <w:szCs w:val="32"/>
                <w:rtl/>
                <w:lang w:eastAsia="zh-CN" w:bidi="ar-EG"/>
              </w:rPr>
              <w:t>سبتمبر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Pr>
                <w:rFonts w:eastAsiaTheme="minorEastAsia"/>
                <w:b/>
                <w:bCs/>
                <w:sz w:val="24"/>
                <w:szCs w:val="32"/>
                <w:lang w:eastAsia="zh-CN" w:bidi="ar-EG"/>
              </w:rPr>
              <w:t>9</w:t>
            </w:r>
          </w:p>
        </w:tc>
        <w:tc>
          <w:tcPr>
            <w:tcW w:w="3052" w:type="dxa"/>
            <w:vMerge/>
            <w:tcBorders>
              <w:bottom w:val="single" w:sz="12" w:space="0" w:color="auto"/>
            </w:tcBorders>
          </w:tcPr>
          <w:p w14:paraId="2D667925" w14:textId="77777777" w:rsidR="007B7F81" w:rsidRPr="00950A5B" w:rsidRDefault="007B7F81" w:rsidP="007B7F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14:paraId="01B9071A" w14:textId="77777777" w:rsidTr="004B6B8C">
        <w:trPr>
          <w:cantSplit/>
          <w:trHeight w:val="20"/>
        </w:trPr>
        <w:tc>
          <w:tcPr>
            <w:tcW w:w="6620" w:type="dxa"/>
            <w:tcBorders>
              <w:top w:val="single" w:sz="12" w:space="0" w:color="auto"/>
            </w:tcBorders>
          </w:tcPr>
          <w:p w14:paraId="3F1E32DF"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049275AC" w14:textId="77777777" w:rsidR="00950A5B" w:rsidRPr="00950A5B" w:rsidRDefault="00950A5B" w:rsidP="00950A5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14:paraId="59E72A41" w14:textId="77777777" w:rsidTr="004B6B8C">
        <w:trPr>
          <w:cantSplit/>
        </w:trPr>
        <w:tc>
          <w:tcPr>
            <w:tcW w:w="6620" w:type="dxa"/>
            <w:vMerge w:val="restart"/>
          </w:tcPr>
          <w:p w14:paraId="32522C17"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15723851" w14:textId="77777777"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7B7F81">
              <w:rPr>
                <w:rFonts w:eastAsiaTheme="minorEastAsia"/>
                <w:b/>
                <w:bCs/>
                <w:lang w:eastAsia="zh-CN" w:bidi="ar-SY"/>
              </w:rPr>
              <w:t>1</w:t>
            </w:r>
            <w:r w:rsidRPr="00950A5B">
              <w:rPr>
                <w:rFonts w:eastAsiaTheme="minorEastAsia"/>
                <w:b/>
                <w:bCs/>
                <w:lang w:eastAsia="zh-CN" w:bidi="ar-SY"/>
              </w:rPr>
              <w:t>/</w:t>
            </w:r>
            <w:r w:rsidR="003F7C9E">
              <w:rPr>
                <w:rFonts w:eastAsiaTheme="minorEastAsia"/>
                <w:b/>
                <w:bCs/>
                <w:lang w:eastAsia="zh-CN" w:bidi="ar-SY"/>
              </w:rPr>
              <w:t>10</w:t>
            </w:r>
            <w:r w:rsidRPr="00950A5B">
              <w:rPr>
                <w:rFonts w:eastAsiaTheme="minorEastAsia"/>
                <w:b/>
                <w:bCs/>
                <w:lang w:eastAsia="zh-CN" w:bidi="ar-SY"/>
              </w:rPr>
              <w:t>-A</w:t>
            </w:r>
          </w:p>
        </w:tc>
      </w:tr>
      <w:tr w:rsidR="00950A5B" w:rsidRPr="00950A5B" w14:paraId="643F318A" w14:textId="77777777" w:rsidTr="004B6B8C">
        <w:trPr>
          <w:cantSplit/>
        </w:trPr>
        <w:tc>
          <w:tcPr>
            <w:tcW w:w="6620" w:type="dxa"/>
            <w:vMerge/>
          </w:tcPr>
          <w:p w14:paraId="144CED9C"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66444606" w14:textId="30602859" w:rsidR="00950A5B" w:rsidRPr="00950A5B" w:rsidRDefault="003F7C9E"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r>
              <w:rPr>
                <w:rFonts w:eastAsiaTheme="minorEastAsia"/>
                <w:b/>
                <w:bCs/>
                <w:lang w:eastAsia="zh-CN" w:bidi="ar-SY"/>
              </w:rPr>
              <w:t>16</w:t>
            </w:r>
            <w:r w:rsidR="00950A5B" w:rsidRPr="00950A5B">
              <w:rPr>
                <w:rFonts w:eastAsiaTheme="minorEastAsia" w:hint="cs"/>
                <w:b/>
                <w:bCs/>
                <w:rtl/>
                <w:lang w:eastAsia="zh-CN" w:bidi="ar-EG"/>
              </w:rPr>
              <w:t xml:space="preserve"> </w:t>
            </w:r>
            <w:r>
              <w:rPr>
                <w:rFonts w:eastAsiaTheme="minorEastAsia" w:hint="cs"/>
                <w:b/>
                <w:bCs/>
                <w:rtl/>
                <w:lang w:eastAsia="zh-CN" w:bidi="ar-EG"/>
              </w:rPr>
              <w:t>سبتمبر</w:t>
            </w:r>
            <w:r w:rsidR="00950A5B" w:rsidRPr="00950A5B">
              <w:rPr>
                <w:rFonts w:eastAsiaTheme="minorEastAsia" w:hint="cs"/>
                <w:b/>
                <w:bCs/>
                <w:rtl/>
                <w:lang w:eastAsia="zh-CN" w:bidi="ar-EG"/>
              </w:rPr>
              <w:t xml:space="preserve"> </w:t>
            </w:r>
            <w:r w:rsidR="007B7F81">
              <w:rPr>
                <w:rFonts w:eastAsiaTheme="minorEastAsia"/>
                <w:b/>
                <w:bCs/>
                <w:lang w:eastAsia="zh-CN" w:bidi="ar-SY"/>
              </w:rPr>
              <w:t>2019</w:t>
            </w:r>
          </w:p>
        </w:tc>
      </w:tr>
      <w:tr w:rsidR="00950A5B" w:rsidRPr="00950A5B" w14:paraId="6C7EC33A" w14:textId="77777777" w:rsidTr="004B6B8C">
        <w:trPr>
          <w:cantSplit/>
        </w:trPr>
        <w:tc>
          <w:tcPr>
            <w:tcW w:w="6620" w:type="dxa"/>
            <w:vMerge/>
          </w:tcPr>
          <w:p w14:paraId="675C6168" w14:textId="77777777" w:rsidR="00950A5B" w:rsidRPr="00950A5B" w:rsidRDefault="00950A5B" w:rsidP="00955F6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5E11D0A9" w14:textId="77777777" w:rsidR="00950A5B" w:rsidRPr="00950A5B" w:rsidRDefault="00950A5B" w:rsidP="00303AE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sidRPr="00950A5B">
              <w:rPr>
                <w:rFonts w:eastAsiaTheme="minorEastAsia"/>
                <w:b/>
                <w:bCs/>
                <w:rtl/>
                <w:lang w:eastAsia="zh-CN" w:bidi="ar-EG"/>
              </w:rPr>
              <w:t xml:space="preserve">الأصل: </w:t>
            </w:r>
            <w:r w:rsidRPr="00AA1F1A">
              <w:rPr>
                <w:rFonts w:eastAsiaTheme="minorEastAsia" w:hint="cs"/>
                <w:b/>
                <w:bCs/>
                <w:rtl/>
                <w:lang w:eastAsia="zh-CN" w:bidi="ar-EG"/>
              </w:rPr>
              <w:t>بالإنكليزية</w:t>
            </w:r>
          </w:p>
        </w:tc>
      </w:tr>
      <w:tr w:rsidR="00950A5B" w:rsidRPr="00950A5B" w14:paraId="68D18462" w14:textId="77777777" w:rsidTr="004B6B8C">
        <w:trPr>
          <w:cantSplit/>
        </w:trPr>
        <w:tc>
          <w:tcPr>
            <w:tcW w:w="9672" w:type="dxa"/>
            <w:gridSpan w:val="2"/>
          </w:tcPr>
          <w:p w14:paraId="56146E1F" w14:textId="122E2D26" w:rsidR="00950A5B" w:rsidRPr="00950A5B" w:rsidRDefault="003F7C9E" w:rsidP="00955F61">
            <w:pPr>
              <w:pStyle w:val="Source"/>
              <w:rPr>
                <w:rFonts w:eastAsiaTheme="minorEastAsia"/>
                <w:rtl/>
                <w:lang w:eastAsia="zh-CN"/>
              </w:rPr>
            </w:pPr>
            <w:r>
              <w:rPr>
                <w:rFonts w:eastAsiaTheme="minorEastAsia" w:hint="cs"/>
                <w:rtl/>
                <w:lang w:eastAsia="zh-CN"/>
              </w:rPr>
              <w:t>زمبابوي</w:t>
            </w:r>
          </w:p>
        </w:tc>
      </w:tr>
      <w:tr w:rsidR="00950A5B" w:rsidRPr="00950A5B" w14:paraId="064011FD" w14:textId="77777777" w:rsidTr="004B6B8C">
        <w:trPr>
          <w:cantSplit/>
        </w:trPr>
        <w:tc>
          <w:tcPr>
            <w:tcW w:w="9672" w:type="dxa"/>
            <w:gridSpan w:val="2"/>
          </w:tcPr>
          <w:p w14:paraId="48D09DBC" w14:textId="0F1B3EB7" w:rsidR="00950A5B" w:rsidRPr="00950A5B" w:rsidRDefault="003F7C9E" w:rsidP="00955F61">
            <w:pPr>
              <w:pStyle w:val="Title1"/>
              <w:rPr>
                <w:rFonts w:eastAsiaTheme="minorEastAsia"/>
                <w:rtl/>
                <w:lang w:eastAsia="zh-CN"/>
              </w:rPr>
            </w:pPr>
            <w:bookmarkStart w:id="1" w:name="_GoBack"/>
            <w:bookmarkEnd w:id="1"/>
            <w:r>
              <w:rPr>
                <w:rFonts w:eastAsiaTheme="minorEastAsia" w:hint="cs"/>
                <w:rtl/>
                <w:lang w:eastAsia="zh-CN"/>
              </w:rPr>
              <w:t>مقترحات للإدراج في خطة عمل فريق الخبراء المعني بلوائح الاتصالات الدولية</w:t>
            </w:r>
          </w:p>
        </w:tc>
      </w:tr>
      <w:tr w:rsidR="00955F61" w:rsidRPr="00950A5B" w14:paraId="61DDFE33" w14:textId="77777777" w:rsidTr="004B6B8C">
        <w:trPr>
          <w:cantSplit/>
        </w:trPr>
        <w:tc>
          <w:tcPr>
            <w:tcW w:w="9672" w:type="dxa"/>
            <w:gridSpan w:val="2"/>
          </w:tcPr>
          <w:p w14:paraId="62FEBE78" w14:textId="77777777" w:rsidR="00955F61" w:rsidRPr="00950A5B" w:rsidRDefault="00955F61" w:rsidP="00955F61">
            <w:pPr>
              <w:rPr>
                <w:rFonts w:eastAsiaTheme="minorEastAsia"/>
                <w:rtl/>
                <w:lang w:eastAsia="zh-CN"/>
              </w:rPr>
            </w:pPr>
          </w:p>
        </w:tc>
      </w:tr>
    </w:tbl>
    <w:p w14:paraId="1C6DC6FE" w14:textId="0AA07437" w:rsidR="007B7F81" w:rsidRDefault="003F7C9E" w:rsidP="003F7C9E">
      <w:pPr>
        <w:pStyle w:val="Heading1"/>
        <w:rPr>
          <w:rtl/>
        </w:rPr>
      </w:pPr>
      <w:r>
        <w:t>1</w:t>
      </w:r>
      <w:r>
        <w:rPr>
          <w:rtl/>
        </w:rPr>
        <w:tab/>
        <w:t>مقدمة</w:t>
      </w:r>
    </w:p>
    <w:p w14:paraId="36374395" w14:textId="496FB5EA" w:rsidR="003F7C9E" w:rsidRPr="00712FED" w:rsidRDefault="003F7C9E" w:rsidP="003F7C9E">
      <w:pPr>
        <w:rPr>
          <w:lang w:val="en-GB" w:bidi="ar-EG"/>
        </w:rPr>
      </w:pPr>
      <w:r w:rsidRPr="00712FED">
        <w:rPr>
          <w:rtl/>
        </w:rPr>
        <w:t>يورد تقرير فريق الخبراء السابق المعني بلوائح الاتصالات الدولية وجهات نظر متباينة بشأن هذا الموضوع، لا</w:t>
      </w:r>
      <w:r w:rsidR="008869F9">
        <w:rPr>
          <w:rFonts w:hint="cs"/>
          <w:rtl/>
        </w:rPr>
        <w:t> </w:t>
      </w:r>
      <w:r w:rsidRPr="00712FED">
        <w:rPr>
          <w:rtl/>
        </w:rPr>
        <w:t>سيما فيما</w:t>
      </w:r>
      <w:r w:rsidR="008869F9">
        <w:rPr>
          <w:rFonts w:hint="cs"/>
          <w:rtl/>
        </w:rPr>
        <w:t> </w:t>
      </w:r>
      <w:r w:rsidRPr="00712FED">
        <w:rPr>
          <w:rtl/>
        </w:rPr>
        <w:t>يتعلق بقابلية وعدم قابلية تطبيق لوائح الاتصالات الدولية، والمرونة وانعدامها، والحاجة أو عدم الحاجة إلى عقد مؤتمر عالمي للاتصالات الدولية</w:t>
      </w:r>
      <w:r w:rsidR="00712FED" w:rsidRPr="00712FED">
        <w:rPr>
          <w:rFonts w:hint="cs"/>
          <w:rtl/>
        </w:rPr>
        <w:t> </w:t>
      </w:r>
      <w:r w:rsidRPr="00712FED">
        <w:t>(</w:t>
      </w:r>
      <w:r w:rsidRPr="00712FED">
        <w:rPr>
          <w:lang w:val="en-GB" w:bidi="ar-EG"/>
        </w:rPr>
        <w:t>WCIT</w:t>
      </w:r>
      <w:r w:rsidRPr="00712FED">
        <w:t>)</w:t>
      </w:r>
      <w:r w:rsidRPr="00712FED">
        <w:rPr>
          <w:rtl/>
        </w:rPr>
        <w:t>. ومن المهم، مع بدء عمل فريق الخبراء الجديد، ألا يلجأ الأعضاء إلى مجرد عرض حججهم القديمة والتشبث بها، لأن ذلك لن يحل الإشكالات التي أنشئ الفريق للتعامل معها.</w:t>
      </w:r>
    </w:p>
    <w:p w14:paraId="01287FE1" w14:textId="3B05BEFB" w:rsidR="003F7C9E" w:rsidRPr="003F7C9E" w:rsidRDefault="003F7C9E" w:rsidP="003F7C9E">
      <w:pPr>
        <w:rPr>
          <w:rtl/>
        </w:rPr>
      </w:pPr>
      <w:r w:rsidRPr="003F7C9E">
        <w:rPr>
          <w:rtl/>
        </w:rPr>
        <w:t xml:space="preserve">ومن الأهمية بمكان أن يبقي ذهن كل مشارك منفتحاً وأن يتفحص الاختصاصات توخياً للبقاء ضمن سياقها وضمن أحكام لوائح الاتصالات الدولية، من أجل تقييم كل حكم على حدة. ومن المهم للاستنتاجات النهائية الواردة في التقرير النهائي لفريق الخبراء أن تنبثق بوضوح من مداولات الفريق وعمله. وسيتضرر قطاع الاتصالات برُمَّتِه، إذا انطلق الخبراء الذين يشكلون الفريق بدءاً من الاستنتاجات التي انتهوا إليها ثم </w:t>
      </w:r>
      <w:r w:rsidRPr="00E4215F">
        <w:rPr>
          <w:rtl/>
        </w:rPr>
        <w:t>نكصوا على أعقابهم</w:t>
      </w:r>
      <w:r w:rsidRPr="003F7C9E">
        <w:rPr>
          <w:rtl/>
        </w:rPr>
        <w:t xml:space="preserve"> </w:t>
      </w:r>
      <w:r>
        <w:rPr>
          <w:rFonts w:hint="cs"/>
          <w:rtl/>
          <w:lang w:bidi="ar-EG"/>
        </w:rPr>
        <w:t>للعمل على تبرير</w:t>
      </w:r>
      <w:r w:rsidRPr="003F7C9E">
        <w:rPr>
          <w:rtl/>
        </w:rPr>
        <w:t xml:space="preserve"> تلك الاستنتاجات. وفي هذا الصدد، وكجزء من خطة عمل فريق الخبراء ومهامه، من المهم النظر إلى الفهم العام لأحكام لوائح الاتصالات الدولية، والطريقة التي تعزز بها هذه الأحكام </w:t>
      </w:r>
      <w:r>
        <w:rPr>
          <w:rFonts w:hint="cs"/>
          <w:rtl/>
        </w:rPr>
        <w:t>توفير</w:t>
      </w:r>
      <w:r w:rsidRPr="003F7C9E">
        <w:rPr>
          <w:rtl/>
        </w:rPr>
        <w:t xml:space="preserve"> وتطوير خدمات وشبكات الاتصالات الدولية، وأي جانب من هذه الأحكام يحتاج إلى تعزيز أو تغيير، وما إذا كانت هذه الأحكام تستوعب اتجاهات جديدة في الاتصالات/تكنولوجيا المعلومات والاتصالات وماهية هذه الاتجاهات الجديدة، ومدى مرونة لوائح الاتصالات الدولية في استيعاب الاتجاهات الجديدة والقضايا الناشئة وما يمكن القيام به لتعزيز المرونة.</w:t>
      </w:r>
    </w:p>
    <w:p w14:paraId="09BE7890" w14:textId="4BDF63C8" w:rsidR="003F7C9E" w:rsidRPr="003F7C9E" w:rsidRDefault="003F7C9E" w:rsidP="001161AD">
      <w:pPr>
        <w:pStyle w:val="Heading1"/>
        <w:ind w:left="567" w:hanging="567"/>
        <w:rPr>
          <w:rtl/>
        </w:rPr>
      </w:pPr>
      <w:r>
        <w:t>2</w:t>
      </w:r>
      <w:r w:rsidRPr="003F7C9E">
        <w:rPr>
          <w:rtl/>
        </w:rPr>
        <w:tab/>
        <w:t>الجوانب الرئيسية التي ينبغي النظر فيها لدفع عجلة أعمال فريق الخبراء المعني بلوائح الاتصالات</w:t>
      </w:r>
      <w:r w:rsidR="001161AD">
        <w:rPr>
          <w:rFonts w:hint="cs"/>
          <w:rtl/>
        </w:rPr>
        <w:t> </w:t>
      </w:r>
      <w:r w:rsidRPr="003F7C9E">
        <w:rPr>
          <w:rtl/>
        </w:rPr>
        <w:t>الدولية</w:t>
      </w:r>
    </w:p>
    <w:p w14:paraId="6B23EB07" w14:textId="0AC2DDFD" w:rsidR="003F7C9E" w:rsidRPr="003F7C9E" w:rsidRDefault="003F7C9E" w:rsidP="003F7C9E">
      <w:pPr>
        <w:pStyle w:val="Heading2"/>
        <w:rPr>
          <w:rtl/>
        </w:rPr>
      </w:pPr>
      <w:r>
        <w:t>1.2</w:t>
      </w:r>
      <w:r w:rsidRPr="003F7C9E">
        <w:rPr>
          <w:rtl/>
        </w:rPr>
        <w:tab/>
        <w:t>فهم أحكام لوائح الاتصالات الدولية</w:t>
      </w:r>
    </w:p>
    <w:p w14:paraId="5BFC5228" w14:textId="1F9FD104" w:rsidR="003F7C9E" w:rsidRPr="003F7C9E" w:rsidRDefault="003F7C9E" w:rsidP="003F7C9E">
      <w:pPr>
        <w:rPr>
          <w:rtl/>
        </w:rPr>
      </w:pPr>
      <w:r w:rsidRPr="003F7C9E">
        <w:rPr>
          <w:rtl/>
        </w:rPr>
        <w:t xml:space="preserve">هذا الجانب هو أسهل العناصر التي تقترح هذه المساهمة أن ينظر الفريق فيها. </w:t>
      </w:r>
      <w:r>
        <w:rPr>
          <w:rFonts w:hint="cs"/>
          <w:rtl/>
          <w:lang w:bidi="ar-SY"/>
        </w:rPr>
        <w:t>ولا يلزم أن</w:t>
      </w:r>
      <w:r w:rsidRPr="003F7C9E">
        <w:rPr>
          <w:rtl/>
        </w:rPr>
        <w:t xml:space="preserve"> يستغرق الفريق وقتاً طويلاً في</w:t>
      </w:r>
      <w:r w:rsidR="00712FED">
        <w:rPr>
          <w:rFonts w:hint="cs"/>
          <w:rtl/>
        </w:rPr>
        <w:t> </w:t>
      </w:r>
      <w:r w:rsidRPr="003F7C9E">
        <w:rPr>
          <w:rtl/>
        </w:rPr>
        <w:t>ذلك، ولكن</w:t>
      </w:r>
      <w:r w:rsidR="00712FED">
        <w:rPr>
          <w:rFonts w:hint="cs"/>
          <w:rtl/>
        </w:rPr>
        <w:t> </w:t>
      </w:r>
      <w:r w:rsidRPr="003F7C9E">
        <w:rPr>
          <w:rtl/>
        </w:rPr>
        <w:t>من المهم أن تكون هذه هي نقطة البداية عند النظر في كل حكم.</w:t>
      </w:r>
    </w:p>
    <w:p w14:paraId="79E8AC42" w14:textId="3134A218" w:rsidR="003F7C9E" w:rsidRPr="003F7C9E" w:rsidRDefault="003F7C9E" w:rsidP="003F7C9E">
      <w:pPr>
        <w:pStyle w:val="Heading2"/>
        <w:rPr>
          <w:rtl/>
        </w:rPr>
      </w:pPr>
      <w:r>
        <w:lastRenderedPageBreak/>
        <w:t>2.2</w:t>
      </w:r>
      <w:r w:rsidRPr="003F7C9E">
        <w:rPr>
          <w:rtl/>
        </w:rPr>
        <w:tab/>
        <w:t xml:space="preserve">الطريقة التي </w:t>
      </w:r>
      <w:r>
        <w:rPr>
          <w:rFonts w:hint="cs"/>
          <w:rtl/>
        </w:rPr>
        <w:t>يعزز</w:t>
      </w:r>
      <w:r w:rsidRPr="003F7C9E">
        <w:rPr>
          <w:rtl/>
        </w:rPr>
        <w:t xml:space="preserve"> بها كل حكم تطوير خدمات وشبكات الاتصالات الدولية</w:t>
      </w:r>
    </w:p>
    <w:p w14:paraId="6E25571C" w14:textId="29EFA74E" w:rsidR="003F7C9E" w:rsidRPr="003F7C9E" w:rsidRDefault="003F7C9E" w:rsidP="003F7C9E">
      <w:pPr>
        <w:rPr>
          <w:rtl/>
        </w:rPr>
      </w:pPr>
      <w:r w:rsidRPr="003F7C9E">
        <w:rPr>
          <w:rtl/>
        </w:rPr>
        <w:t xml:space="preserve">من المهم أن تنص خطة العمل بوضوح على تحليل للكيفية التي </w:t>
      </w:r>
      <w:r>
        <w:rPr>
          <w:rFonts w:hint="cs"/>
          <w:rtl/>
        </w:rPr>
        <w:t>يعزز</w:t>
      </w:r>
      <w:r w:rsidRPr="003F7C9E">
        <w:rPr>
          <w:rtl/>
        </w:rPr>
        <w:t xml:space="preserve"> بها كل حكم محدد تطوير الاتصالات الدولية. وينبغي أن</w:t>
      </w:r>
      <w:r w:rsidR="00712FED">
        <w:rPr>
          <w:rFonts w:hint="cs"/>
          <w:rtl/>
        </w:rPr>
        <w:t> </w:t>
      </w:r>
      <w:r>
        <w:rPr>
          <w:rFonts w:hint="cs"/>
          <w:rtl/>
        </w:rPr>
        <w:t>يشمل</w:t>
      </w:r>
      <w:r w:rsidRPr="003F7C9E">
        <w:rPr>
          <w:rtl/>
        </w:rPr>
        <w:t xml:space="preserve"> هذا التحليل جميع التفاصيل، ب</w:t>
      </w:r>
      <w:r>
        <w:rPr>
          <w:rFonts w:hint="cs"/>
          <w:rtl/>
        </w:rPr>
        <w:t xml:space="preserve">ناءً على </w:t>
      </w:r>
      <w:r w:rsidRPr="003F7C9E">
        <w:rPr>
          <w:rtl/>
        </w:rPr>
        <w:t>مساهمات ذات طابع غير عام بشأن كل حكم. ويمكن أن تغطي المساهمات الغرض من الحكم وكيف يُخدم هذا الغرض.</w:t>
      </w:r>
    </w:p>
    <w:p w14:paraId="298BC62F" w14:textId="4E9425A2" w:rsidR="003F7C9E" w:rsidRPr="003F7C9E" w:rsidRDefault="003F7C9E" w:rsidP="003F7C9E">
      <w:pPr>
        <w:pStyle w:val="Heading2"/>
        <w:rPr>
          <w:rtl/>
        </w:rPr>
      </w:pPr>
      <w:r>
        <w:t>3.2</w:t>
      </w:r>
      <w:r w:rsidRPr="003F7C9E">
        <w:rPr>
          <w:rtl/>
        </w:rPr>
        <w:tab/>
        <w:t xml:space="preserve">جوانب كل </w:t>
      </w:r>
      <w:r w:rsidRPr="003F7C9E">
        <w:rPr>
          <w:rtl/>
          <w:lang w:bidi="ar-SA"/>
        </w:rPr>
        <w:t>حكم</w:t>
      </w:r>
      <w:r w:rsidRPr="003F7C9E">
        <w:rPr>
          <w:rtl/>
        </w:rPr>
        <w:t xml:space="preserve"> يلزم إسقاطه أو تعزيزه</w:t>
      </w:r>
    </w:p>
    <w:p w14:paraId="723EBA09" w14:textId="3BA48AC1" w:rsidR="003F7C9E" w:rsidRPr="003F7C9E" w:rsidRDefault="003F7C9E" w:rsidP="003F7C9E">
      <w:pPr>
        <w:rPr>
          <w:rtl/>
          <w:lang w:bidi="ar-SY"/>
        </w:rPr>
      </w:pPr>
      <w:r w:rsidRPr="003F7C9E">
        <w:rPr>
          <w:rtl/>
          <w:lang w:bidi="ar-SY"/>
        </w:rPr>
        <w:t>ينبغي</w:t>
      </w:r>
      <w:r>
        <w:rPr>
          <w:rFonts w:hint="cs"/>
          <w:rtl/>
          <w:lang w:bidi="ar-SY"/>
        </w:rPr>
        <w:t xml:space="preserve"> أيضاً</w:t>
      </w:r>
      <w:r w:rsidRPr="003F7C9E">
        <w:rPr>
          <w:rtl/>
          <w:lang w:bidi="ar-SY"/>
        </w:rPr>
        <w:t xml:space="preserve"> أن تغطي خطة العمل، أو أن تنص على، العمل اللازم لتحديد أي جزء من كل حكم قد يلزم إسقاطه إذا تجاوزه</w:t>
      </w:r>
      <w:r w:rsidR="00712FED">
        <w:rPr>
          <w:rFonts w:hint="cs"/>
          <w:rtl/>
          <w:lang w:bidi="ar-SY"/>
        </w:rPr>
        <w:t> </w:t>
      </w:r>
      <w:r w:rsidRPr="003F7C9E">
        <w:rPr>
          <w:rtl/>
          <w:lang w:bidi="ar-SY"/>
        </w:rPr>
        <w:t xml:space="preserve">الزمن، والعمل اللازم لإدراج جوانب تعزز هذا الحكم ليحسِّن خدمة الغرض العصري من الحكم. ويمكن </w:t>
      </w:r>
      <w:r>
        <w:rPr>
          <w:rFonts w:hint="cs"/>
          <w:rtl/>
          <w:lang w:bidi="ar-SY"/>
        </w:rPr>
        <w:t xml:space="preserve">أيضاً </w:t>
      </w:r>
      <w:r w:rsidRPr="003F7C9E">
        <w:rPr>
          <w:rtl/>
          <w:lang w:bidi="ar-SY"/>
        </w:rPr>
        <w:t>أن يشكل التبرير الملموس لأي تعديل محتمل جزءاً من المساهمات.</w:t>
      </w:r>
    </w:p>
    <w:p w14:paraId="6B73D79D" w14:textId="50BA1641" w:rsidR="003F7C9E" w:rsidRPr="003F7C9E" w:rsidRDefault="003F7C9E" w:rsidP="003F7C9E">
      <w:pPr>
        <w:pStyle w:val="Heading2"/>
        <w:rPr>
          <w:rtl/>
        </w:rPr>
      </w:pPr>
      <w:r>
        <w:t>4.2</w:t>
      </w:r>
      <w:r w:rsidRPr="003F7C9E">
        <w:rPr>
          <w:rtl/>
        </w:rPr>
        <w:tab/>
        <w:t>تحديد الاتجاهات الجديدة والقضايا الناشئة</w:t>
      </w:r>
    </w:p>
    <w:p w14:paraId="5623950D" w14:textId="55DE4695" w:rsidR="003F7C9E" w:rsidRPr="003F7C9E" w:rsidRDefault="003F7C9E" w:rsidP="003F7C9E">
      <w:pPr>
        <w:rPr>
          <w:rtl/>
          <w:lang w:bidi="ar-SY"/>
        </w:rPr>
      </w:pPr>
      <w:r w:rsidRPr="003F7C9E">
        <w:rPr>
          <w:rtl/>
          <w:lang w:bidi="ar-SY"/>
        </w:rPr>
        <w:t>من المهم أيضاً التأكد من تحديد الاتجاهات الجديدة والقضايا الناشئة بوضوح وتجميع قائمة استشرافية قبل دراسة أي حكم فيما</w:t>
      </w:r>
      <w:r w:rsidR="00712FED">
        <w:rPr>
          <w:rFonts w:hint="cs"/>
          <w:rtl/>
          <w:lang w:bidi="ar-SY"/>
        </w:rPr>
        <w:t> </w:t>
      </w:r>
      <w:r w:rsidRPr="003F7C9E">
        <w:rPr>
          <w:rtl/>
          <w:lang w:bidi="ar-SY"/>
        </w:rPr>
        <w:t>يتعلق باستيعاب الاتجاهات الجديدة والقضايا الناشئة. ويمكن بعد ذلك تفحص كل حكم بشأن مدى استيعابه لهذه الأمور. وحيثما توجد أوجه قصور، يمكن أيضاً تحديد الجوانب المقترحة التي تتطلب التعديل.</w:t>
      </w:r>
    </w:p>
    <w:p w14:paraId="2E19E6AB" w14:textId="257A6621" w:rsidR="003F7C9E" w:rsidRPr="003F7C9E" w:rsidRDefault="003F7C9E" w:rsidP="003F7C9E">
      <w:pPr>
        <w:pStyle w:val="Heading2"/>
        <w:rPr>
          <w:rtl/>
        </w:rPr>
      </w:pPr>
      <w:r>
        <w:t>5.2</w:t>
      </w:r>
      <w:r w:rsidRPr="003F7C9E">
        <w:rPr>
          <w:rtl/>
        </w:rPr>
        <w:tab/>
        <w:t>المرونة</w:t>
      </w:r>
    </w:p>
    <w:p w14:paraId="32B30AE2" w14:textId="690B7F66" w:rsidR="003F7C9E" w:rsidRPr="003F7C9E" w:rsidRDefault="003F7C9E" w:rsidP="003F7C9E">
      <w:pPr>
        <w:rPr>
          <w:rtl/>
          <w:lang w:bidi="ar-SY"/>
        </w:rPr>
      </w:pPr>
      <w:r w:rsidRPr="003F7C9E">
        <w:rPr>
          <w:rtl/>
          <w:lang w:bidi="ar-SY"/>
        </w:rPr>
        <w:t xml:space="preserve">ينبغي أن تغطي خطة العمل بوضوح العمل اللازم لتحديد المرونة المطلوبة لكل حكم من أحكام </w:t>
      </w:r>
      <w:r w:rsidRPr="003F7C9E">
        <w:rPr>
          <w:rtl/>
        </w:rPr>
        <w:t xml:space="preserve">لوائح الاتصالات الدولية </w:t>
      </w:r>
      <w:r w:rsidRPr="003F7C9E">
        <w:rPr>
          <w:rtl/>
          <w:lang w:bidi="ar-SY"/>
        </w:rPr>
        <w:t>وما</w:t>
      </w:r>
      <w:r w:rsidR="00712FED">
        <w:rPr>
          <w:rFonts w:hint="cs"/>
          <w:rtl/>
          <w:lang w:bidi="ar-SY"/>
        </w:rPr>
        <w:t> </w:t>
      </w:r>
      <w:r w:rsidRPr="003F7C9E">
        <w:rPr>
          <w:rtl/>
          <w:lang w:bidi="ar-SY"/>
        </w:rPr>
        <w:t>إذا</w:t>
      </w:r>
      <w:r w:rsidR="00712FED">
        <w:rPr>
          <w:rFonts w:hint="cs"/>
          <w:rtl/>
          <w:lang w:bidi="ar-SY"/>
        </w:rPr>
        <w:t> </w:t>
      </w:r>
      <w:r w:rsidRPr="003F7C9E">
        <w:rPr>
          <w:rtl/>
          <w:lang w:bidi="ar-SY"/>
        </w:rPr>
        <w:t>كان الحكم الحالي يفي بالمعيار المطلوب. وعندما لا يفي الحكم بالمعيار المطلوب، يمكن للمساهمات أن تقترح مجالات تتطلب الاستعراض لتعزيز المرونة.</w:t>
      </w:r>
    </w:p>
    <w:p w14:paraId="19B554FF" w14:textId="4CD4C472" w:rsidR="003F7C9E" w:rsidRPr="003F7C9E" w:rsidRDefault="003F7C9E" w:rsidP="003F7C9E">
      <w:pPr>
        <w:rPr>
          <w:rtl/>
          <w:lang w:bidi="ar-SY"/>
        </w:rPr>
      </w:pPr>
      <w:r w:rsidRPr="003F7C9E">
        <w:rPr>
          <w:rtl/>
          <w:lang w:bidi="ar-SY"/>
        </w:rPr>
        <w:t>ويسمح هذا النهج الموضوعي باستخلاص استنتاجات بوجه عام، فيما يتعلق بتطبيق أحكام ترقى إلى مستوى معاهدة في</w:t>
      </w:r>
      <w:r w:rsidR="00712FED">
        <w:rPr>
          <w:rFonts w:hint="cs"/>
          <w:rtl/>
          <w:lang w:bidi="ar-SY"/>
        </w:rPr>
        <w:t xml:space="preserve"> تعزير</w:t>
      </w:r>
      <w:r w:rsidR="00712FED">
        <w:rPr>
          <w:rFonts w:hint="eastAsia"/>
          <w:rtl/>
          <w:lang w:bidi="ar-SY"/>
        </w:rPr>
        <w:t> </w:t>
      </w:r>
      <w:r w:rsidR="00712FED">
        <w:rPr>
          <w:rFonts w:hint="cs"/>
          <w:rtl/>
          <w:lang w:bidi="ar-SY"/>
        </w:rPr>
        <w:t>توفير</w:t>
      </w:r>
      <w:r w:rsidRPr="003F7C9E">
        <w:rPr>
          <w:rtl/>
          <w:lang w:bidi="ar-SY"/>
        </w:rPr>
        <w:t xml:space="preserve"> الاتصالات الدولية وتطويرها. وهو سيسمح أيضاً باستخلاص استنتاجات فيما يتعلق بمرونة الأحكام.</w:t>
      </w:r>
    </w:p>
    <w:p w14:paraId="5C8A8CC2" w14:textId="013AE1D3" w:rsidR="003F7C9E" w:rsidRPr="003F7C9E" w:rsidRDefault="003F7C9E" w:rsidP="003F7C9E">
      <w:pPr>
        <w:rPr>
          <w:rtl/>
          <w:lang w:bidi="ar-SY"/>
        </w:rPr>
      </w:pPr>
      <w:r w:rsidRPr="003F7C9E">
        <w:rPr>
          <w:rtl/>
          <w:lang w:bidi="ar-SY"/>
        </w:rPr>
        <w:t xml:space="preserve">وتسمح الاختصاصات لفريق الخبراء بالنظر في الاتجاهات الجديدة والقضايا الناشئة التي قد لا تغطيها الأحكام القائمة على الإطلاق، أو ربما تلك التي تتعذر تغطيتها بتعديل الأحكام القائمة. وفي هذه الحالة، يمكن أن تحتوي خطة العمل أيضاً على قسم يتناول معالجة مثل هذه الاتجاهات الجديدة والقضايا الناشئة التي قد تتطلب صياغة أحكام جديدة تماماً، ويقترح </w:t>
      </w:r>
      <w:r w:rsidR="00712FED">
        <w:rPr>
          <w:rFonts w:hint="cs"/>
          <w:rtl/>
          <w:lang w:bidi="ar-SY"/>
        </w:rPr>
        <w:t>سبيل المضي قدماً</w:t>
      </w:r>
      <w:r w:rsidRPr="003F7C9E">
        <w:rPr>
          <w:rtl/>
          <w:lang w:bidi="ar-SY"/>
        </w:rPr>
        <w:t>.</w:t>
      </w:r>
    </w:p>
    <w:p w14:paraId="4A46CB50" w14:textId="282BBBB5" w:rsidR="003F7C9E" w:rsidRPr="003F7C9E" w:rsidRDefault="003F7C9E" w:rsidP="003F7C9E">
      <w:pPr>
        <w:pStyle w:val="Heading2"/>
        <w:rPr>
          <w:rtl/>
          <w:lang w:bidi="ar-SY"/>
        </w:rPr>
      </w:pPr>
      <w:r>
        <w:rPr>
          <w:lang w:bidi="ar-SY"/>
        </w:rPr>
        <w:t>6.2</w:t>
      </w:r>
      <w:r w:rsidRPr="003F7C9E">
        <w:rPr>
          <w:rtl/>
          <w:lang w:bidi="ar-SY"/>
        </w:rPr>
        <w:tab/>
        <w:t xml:space="preserve">عقد </w:t>
      </w:r>
      <w:r w:rsidRPr="003F7C9E">
        <w:rPr>
          <w:rtl/>
        </w:rPr>
        <w:t>مؤتمر عالمي للاتصالات الدولية</w:t>
      </w:r>
    </w:p>
    <w:p w14:paraId="18F297ED" w14:textId="77777777" w:rsidR="003F7C9E" w:rsidRPr="003F7C9E" w:rsidRDefault="003F7C9E" w:rsidP="003F7C9E">
      <w:pPr>
        <w:rPr>
          <w:rtl/>
          <w:lang w:bidi="ar-SY"/>
        </w:rPr>
      </w:pPr>
      <w:r w:rsidRPr="003F7C9E">
        <w:rPr>
          <w:rtl/>
          <w:lang w:bidi="ar-SY"/>
        </w:rPr>
        <w:t xml:space="preserve">ترى زمبابوي أن مسألة التوصيات بشأن عقد أو عدم عقد مؤتمر </w:t>
      </w:r>
      <w:r w:rsidRPr="003F7C9E">
        <w:rPr>
          <w:rtl/>
        </w:rPr>
        <w:t>عالمي</w:t>
      </w:r>
      <w:r w:rsidRPr="003F7C9E">
        <w:rPr>
          <w:rtl/>
          <w:lang w:bidi="ar-SY"/>
        </w:rPr>
        <w:t xml:space="preserve"> جديد</w:t>
      </w:r>
      <w:r w:rsidRPr="003F7C9E">
        <w:rPr>
          <w:rtl/>
        </w:rPr>
        <w:t xml:space="preserve"> للاتصالات الدولية </w:t>
      </w:r>
      <w:r w:rsidRPr="003F7C9E">
        <w:rPr>
          <w:rtl/>
          <w:lang w:bidi="ar-SY"/>
        </w:rPr>
        <w:t>ينبغي ألا تُطرح إلا في نهاية عمل الفريق. وذلك لأن اتخاذ موقف بشأن ذلك الآن سابق لأوانه، حيث ينبغي لأي موقف من هذا القبيل أن يسترشد بنتائج استعراض الأحكام حكماً تلو حكم، ليكون ذا مغزى.</w:t>
      </w:r>
    </w:p>
    <w:p w14:paraId="2DBB2D19" w14:textId="7960A2A2" w:rsidR="003F7C9E" w:rsidRPr="003F7C9E" w:rsidRDefault="003F7C9E" w:rsidP="003F7C9E">
      <w:pPr>
        <w:pStyle w:val="Heading2"/>
        <w:rPr>
          <w:rtl/>
        </w:rPr>
      </w:pPr>
      <w:r>
        <w:t>7.2</w:t>
      </w:r>
      <w:r w:rsidRPr="003F7C9E">
        <w:rPr>
          <w:rtl/>
        </w:rPr>
        <w:tab/>
        <w:t>آراء مشغلي الاتصالات/تكنولوجيا المعلومات والاتصالات ضمن الدول الأعضاء</w:t>
      </w:r>
    </w:p>
    <w:p w14:paraId="00BDF54C" w14:textId="31FA51C0" w:rsidR="003F7C9E" w:rsidRPr="003F7C9E" w:rsidRDefault="003F7C9E" w:rsidP="003F7C9E">
      <w:pPr>
        <w:rPr>
          <w:rtl/>
          <w:lang w:bidi="ar-SY"/>
        </w:rPr>
      </w:pPr>
      <w:r w:rsidRPr="003F7C9E">
        <w:rPr>
          <w:rtl/>
          <w:lang w:bidi="ar-SY"/>
        </w:rPr>
        <w:t>بما أن المعاهدة قيد المناقشة تؤثر على عمليات مقدمي الخدمة في الدول الأعضاء، فمن المهم أن تؤخذ آراء هؤلاء المشغلين في</w:t>
      </w:r>
      <w:r w:rsidR="00712FED">
        <w:rPr>
          <w:rFonts w:hint="cs"/>
          <w:rtl/>
          <w:lang w:bidi="ar-SY"/>
        </w:rPr>
        <w:t> </w:t>
      </w:r>
      <w:r w:rsidRPr="003F7C9E">
        <w:rPr>
          <w:rtl/>
          <w:lang w:bidi="ar-SY"/>
        </w:rPr>
        <w:t>الاعتبار عند الاقتضاء. وفي هذا الصدد، يوصى بوضع استبيان يغطي أسئلة محددة ذات صلة يمكن للمشاركين توجيهها للمشغلين ضمن بلدانهم، لأن ذلك يمكن أن يلقي الضوء على المجالات التي يتوقع المشغلون فيها أحكاماً ترقى إلى مستوى معاهدة لتعزيز التطوير الدولي للاتصالات، مع مراعاة الاتجاهات الجديدة والقضايا الناشئة.</w:t>
      </w:r>
    </w:p>
    <w:p w14:paraId="12781697" w14:textId="7B9890A2" w:rsidR="003F7C9E" w:rsidRPr="003F7C9E" w:rsidRDefault="003F7C9E" w:rsidP="003F7C9E">
      <w:pPr>
        <w:pStyle w:val="Heading1"/>
        <w:rPr>
          <w:rtl/>
        </w:rPr>
      </w:pPr>
      <w:r>
        <w:lastRenderedPageBreak/>
        <w:t>3</w:t>
      </w:r>
      <w:r>
        <w:tab/>
      </w:r>
      <w:r w:rsidRPr="003F7C9E">
        <w:rPr>
          <w:rtl/>
        </w:rPr>
        <w:t>الخلاصة</w:t>
      </w:r>
    </w:p>
    <w:p w14:paraId="24075841" w14:textId="7DCB9E25" w:rsidR="003F7C9E" w:rsidRPr="003F7C9E" w:rsidRDefault="003F7C9E" w:rsidP="003F7C9E">
      <w:pPr>
        <w:rPr>
          <w:rtl/>
          <w:lang w:bidi="ar-SY"/>
        </w:rPr>
      </w:pPr>
      <w:r w:rsidRPr="003F7C9E">
        <w:rPr>
          <w:rtl/>
          <w:lang w:bidi="ar-SY"/>
        </w:rPr>
        <w:t xml:space="preserve">في الختام، تتطلع </w:t>
      </w:r>
      <w:r>
        <w:rPr>
          <w:rtl/>
          <w:lang w:bidi="ar-SY"/>
        </w:rPr>
        <w:t>زمبابوي</w:t>
      </w:r>
      <w:r w:rsidRPr="003F7C9E">
        <w:rPr>
          <w:rtl/>
          <w:lang w:bidi="ar-SY"/>
        </w:rPr>
        <w:t xml:space="preserve"> قدماً إلى مشاركة مثمرة في أعمال </w:t>
      </w:r>
      <w:r w:rsidRPr="003F7C9E">
        <w:rPr>
          <w:rtl/>
        </w:rPr>
        <w:t>فريق الخبراء المعني بلوائح الاتصالات الدولية،</w:t>
      </w:r>
      <w:r w:rsidRPr="003F7C9E">
        <w:rPr>
          <w:rtl/>
          <w:lang w:bidi="ar-SY"/>
        </w:rPr>
        <w:t xml:space="preserve"> </w:t>
      </w:r>
      <w:r w:rsidR="00712FED">
        <w:rPr>
          <w:rFonts w:hint="cs"/>
          <w:rtl/>
          <w:lang w:bidi="ar-SY"/>
        </w:rPr>
        <w:t>و</w:t>
      </w:r>
      <w:r w:rsidRPr="003F7C9E">
        <w:rPr>
          <w:rtl/>
          <w:lang w:bidi="ar-SY"/>
        </w:rPr>
        <w:t>إلى خطة العمل التي</w:t>
      </w:r>
      <w:r w:rsidR="00712FED">
        <w:rPr>
          <w:rFonts w:hint="cs"/>
          <w:rtl/>
          <w:lang w:bidi="ar-SY"/>
        </w:rPr>
        <w:t> </w:t>
      </w:r>
      <w:r w:rsidRPr="003F7C9E">
        <w:rPr>
          <w:rtl/>
          <w:lang w:bidi="ar-SY"/>
        </w:rPr>
        <w:t>تغطي القضايا</w:t>
      </w:r>
      <w:r w:rsidR="00712FED">
        <w:rPr>
          <w:rFonts w:hint="cs"/>
          <w:rtl/>
          <w:lang w:bidi="ar-SY"/>
        </w:rPr>
        <w:t> </w:t>
      </w:r>
      <w:r w:rsidRPr="003F7C9E">
        <w:rPr>
          <w:rtl/>
          <w:lang w:bidi="ar-SY"/>
        </w:rPr>
        <w:t>التالية:</w:t>
      </w:r>
    </w:p>
    <w:p w14:paraId="48D179D6" w14:textId="32747D29" w:rsidR="003F7C9E" w:rsidRPr="00712FED" w:rsidRDefault="003F7C9E" w:rsidP="00712FED">
      <w:pPr>
        <w:pStyle w:val="enumlev1"/>
        <w:rPr>
          <w:spacing w:val="-4"/>
          <w:lang w:bidi="ar-SY"/>
        </w:rPr>
      </w:pPr>
      <w:r w:rsidRPr="00712FED">
        <w:rPr>
          <w:spacing w:val="-4"/>
          <w:rtl/>
          <w:lang w:bidi="ar-SY"/>
        </w:rPr>
        <w:t>-</w:t>
      </w:r>
      <w:r w:rsidR="00712FED" w:rsidRPr="00712FED">
        <w:rPr>
          <w:spacing w:val="-4"/>
          <w:rtl/>
          <w:lang w:bidi="ar-SY"/>
        </w:rPr>
        <w:tab/>
      </w:r>
      <w:r w:rsidRPr="00712FED">
        <w:rPr>
          <w:spacing w:val="-4"/>
          <w:rtl/>
          <w:lang w:bidi="ar-SY"/>
        </w:rPr>
        <w:t xml:space="preserve">دراسة الطريقة التي يشجع بها كل حكم من أحكام لوائح الاتصالات الدولية </w:t>
      </w:r>
      <w:r w:rsidR="00712FED" w:rsidRPr="00712FED">
        <w:rPr>
          <w:rFonts w:hint="cs"/>
          <w:spacing w:val="-4"/>
          <w:rtl/>
          <w:lang w:bidi="ar-SY"/>
        </w:rPr>
        <w:t xml:space="preserve">توفير </w:t>
      </w:r>
      <w:r w:rsidRPr="00712FED">
        <w:rPr>
          <w:spacing w:val="-4"/>
          <w:rtl/>
          <w:lang w:bidi="ar-SY"/>
        </w:rPr>
        <w:t>وتطوير خدمات وشبكات الاتصالات</w:t>
      </w:r>
      <w:r w:rsidR="00712FED">
        <w:rPr>
          <w:rFonts w:hint="cs"/>
          <w:spacing w:val="-4"/>
          <w:rtl/>
          <w:lang w:bidi="ar-SY"/>
        </w:rPr>
        <w:t> </w:t>
      </w:r>
      <w:r w:rsidRPr="00712FED">
        <w:rPr>
          <w:spacing w:val="-4"/>
          <w:rtl/>
          <w:lang w:bidi="ar-SY"/>
        </w:rPr>
        <w:t>الدولية</w:t>
      </w:r>
      <w:r w:rsidR="00D7507C">
        <w:rPr>
          <w:rFonts w:hint="cs"/>
          <w:spacing w:val="-4"/>
          <w:rtl/>
          <w:lang w:bidi="ar-SY"/>
        </w:rPr>
        <w:t>.</w:t>
      </w:r>
    </w:p>
    <w:p w14:paraId="273BDC20" w14:textId="04BB2FA1" w:rsidR="003F7C9E" w:rsidRPr="003F7C9E" w:rsidRDefault="003F7C9E" w:rsidP="00712FED">
      <w:pPr>
        <w:pStyle w:val="enumlev1"/>
        <w:rPr>
          <w:rtl/>
          <w:lang w:bidi="ar-SY"/>
        </w:rPr>
      </w:pPr>
      <w:r w:rsidRPr="003F7C9E">
        <w:rPr>
          <w:rtl/>
          <w:lang w:bidi="ar-SY"/>
        </w:rPr>
        <w:t>-</w:t>
      </w:r>
      <w:r w:rsidR="00712FED">
        <w:rPr>
          <w:rtl/>
          <w:lang w:bidi="ar-SY"/>
        </w:rPr>
        <w:tab/>
      </w:r>
      <w:r w:rsidRPr="003F7C9E">
        <w:rPr>
          <w:rtl/>
          <w:lang w:bidi="ar-SY"/>
        </w:rPr>
        <w:t>جوانب الأحكام التي تحتاج إلى تعزيز أو تغيير</w:t>
      </w:r>
      <w:r w:rsidR="00D7507C">
        <w:rPr>
          <w:rFonts w:hint="cs"/>
          <w:rtl/>
          <w:lang w:bidi="ar-SY"/>
        </w:rPr>
        <w:t>.</w:t>
      </w:r>
    </w:p>
    <w:p w14:paraId="3E787D75" w14:textId="1C1EF760" w:rsidR="003F7C9E" w:rsidRPr="003F7C9E" w:rsidRDefault="003F7C9E" w:rsidP="00712FED">
      <w:pPr>
        <w:pStyle w:val="enumlev1"/>
        <w:rPr>
          <w:rtl/>
          <w:lang w:bidi="ar-SY"/>
        </w:rPr>
      </w:pPr>
      <w:r w:rsidRPr="003F7C9E">
        <w:rPr>
          <w:rtl/>
          <w:lang w:bidi="ar-SY"/>
        </w:rPr>
        <w:t>-</w:t>
      </w:r>
      <w:r w:rsidR="00712FED">
        <w:rPr>
          <w:rtl/>
          <w:lang w:bidi="ar-SY"/>
        </w:rPr>
        <w:tab/>
      </w:r>
      <w:r w:rsidRPr="003F7C9E">
        <w:rPr>
          <w:rtl/>
          <w:lang w:bidi="ar-SY"/>
        </w:rPr>
        <w:t>تحليل كل حكم لتحديد مستوى</w:t>
      </w:r>
      <w:r w:rsidR="00712FED">
        <w:rPr>
          <w:rFonts w:hint="cs"/>
          <w:rtl/>
          <w:lang w:bidi="ar-SY"/>
        </w:rPr>
        <w:t xml:space="preserve"> ا</w:t>
      </w:r>
      <w:r w:rsidRPr="003F7C9E">
        <w:rPr>
          <w:rtl/>
          <w:lang w:bidi="ar-SY"/>
        </w:rPr>
        <w:t>ست</w:t>
      </w:r>
      <w:r w:rsidR="00712FED">
        <w:rPr>
          <w:rFonts w:hint="cs"/>
          <w:rtl/>
          <w:lang w:bidi="ar-SY"/>
        </w:rPr>
        <w:t>ي</w:t>
      </w:r>
      <w:r w:rsidRPr="003F7C9E">
        <w:rPr>
          <w:rtl/>
          <w:lang w:bidi="ar-SY"/>
        </w:rPr>
        <w:t>ع</w:t>
      </w:r>
      <w:r w:rsidR="00712FED">
        <w:rPr>
          <w:rFonts w:hint="cs"/>
          <w:rtl/>
          <w:lang w:bidi="ar-SY"/>
        </w:rPr>
        <w:t>ا</w:t>
      </w:r>
      <w:r w:rsidRPr="003F7C9E">
        <w:rPr>
          <w:rtl/>
          <w:lang w:bidi="ar-SY"/>
        </w:rPr>
        <w:t>ب</w:t>
      </w:r>
      <w:r w:rsidR="00712FED">
        <w:rPr>
          <w:rFonts w:hint="cs"/>
          <w:rtl/>
          <w:lang w:bidi="ar-SY"/>
        </w:rPr>
        <w:t>ه</w:t>
      </w:r>
      <w:r w:rsidRPr="003F7C9E">
        <w:rPr>
          <w:rtl/>
          <w:lang w:bidi="ar-SY"/>
        </w:rPr>
        <w:t xml:space="preserve"> اتجاهات جديدة</w:t>
      </w:r>
      <w:r w:rsidR="00D7507C">
        <w:rPr>
          <w:rFonts w:hint="cs"/>
          <w:rtl/>
          <w:lang w:bidi="ar-SY"/>
        </w:rPr>
        <w:t>.</w:t>
      </w:r>
    </w:p>
    <w:p w14:paraId="2F71D66F" w14:textId="6B04E714" w:rsidR="003F7C9E" w:rsidRPr="003F7C9E" w:rsidRDefault="003F7C9E" w:rsidP="00712FED">
      <w:pPr>
        <w:pStyle w:val="enumlev1"/>
        <w:rPr>
          <w:rtl/>
          <w:lang w:bidi="ar-SY"/>
        </w:rPr>
      </w:pPr>
      <w:r w:rsidRPr="003F7C9E">
        <w:rPr>
          <w:rtl/>
          <w:lang w:bidi="ar-SY"/>
        </w:rPr>
        <w:t>-</w:t>
      </w:r>
      <w:r w:rsidR="00712FED">
        <w:rPr>
          <w:rtl/>
          <w:lang w:bidi="ar-SY"/>
        </w:rPr>
        <w:tab/>
      </w:r>
      <w:r w:rsidRPr="003F7C9E">
        <w:rPr>
          <w:rtl/>
          <w:lang w:bidi="ar-SY"/>
        </w:rPr>
        <w:t>تحديد الاتجاهات الجديدة والقضايا الناشئة</w:t>
      </w:r>
      <w:r w:rsidR="00D7507C">
        <w:rPr>
          <w:rFonts w:hint="cs"/>
          <w:rtl/>
          <w:lang w:bidi="ar-SY"/>
        </w:rPr>
        <w:t>.</w:t>
      </w:r>
    </w:p>
    <w:p w14:paraId="3D3C2D80" w14:textId="3621D5DD" w:rsidR="003F7C9E" w:rsidRPr="003F7C9E" w:rsidRDefault="003F7C9E" w:rsidP="00712FED">
      <w:pPr>
        <w:pStyle w:val="enumlev1"/>
        <w:rPr>
          <w:rtl/>
          <w:lang w:bidi="ar-SY"/>
        </w:rPr>
      </w:pPr>
      <w:r w:rsidRPr="003F7C9E">
        <w:rPr>
          <w:rtl/>
          <w:lang w:bidi="ar-SY"/>
        </w:rPr>
        <w:t>-</w:t>
      </w:r>
      <w:r w:rsidR="00712FED">
        <w:rPr>
          <w:rtl/>
          <w:lang w:bidi="ar-SY"/>
        </w:rPr>
        <w:tab/>
      </w:r>
      <w:r w:rsidRPr="003F7C9E">
        <w:rPr>
          <w:rtl/>
          <w:lang w:bidi="ar-SY"/>
        </w:rPr>
        <w:t>تحليل مرونة كل حكم في استيعاب الاتجاهات الجديدة والقضايا الناشئة وما يمكن القيام به لتعزيز المرونة</w:t>
      </w:r>
      <w:r w:rsidR="00D7507C">
        <w:rPr>
          <w:rFonts w:hint="cs"/>
          <w:rtl/>
          <w:lang w:bidi="ar-SY"/>
        </w:rPr>
        <w:t>.</w:t>
      </w:r>
    </w:p>
    <w:p w14:paraId="5AA47888" w14:textId="0B4009B6" w:rsidR="000E4FF0" w:rsidRDefault="003F7C9E" w:rsidP="00712FED">
      <w:pPr>
        <w:pStyle w:val="enumlev1"/>
        <w:rPr>
          <w:rtl/>
          <w:lang w:bidi="ar-SY"/>
        </w:rPr>
      </w:pPr>
      <w:r w:rsidRPr="003F7C9E">
        <w:rPr>
          <w:rtl/>
          <w:lang w:bidi="ar-SY"/>
        </w:rPr>
        <w:t>-</w:t>
      </w:r>
      <w:r w:rsidR="00712FED">
        <w:rPr>
          <w:rtl/>
          <w:lang w:bidi="ar-SY"/>
        </w:rPr>
        <w:tab/>
      </w:r>
      <w:r w:rsidRPr="003F7C9E">
        <w:rPr>
          <w:rtl/>
          <w:lang w:bidi="ar-SY"/>
        </w:rPr>
        <w:t xml:space="preserve">عملية تقصي حقائق من خلال </w:t>
      </w:r>
      <w:proofErr w:type="gramStart"/>
      <w:r w:rsidRPr="003F7C9E">
        <w:rPr>
          <w:rtl/>
          <w:lang w:bidi="ar-SY"/>
        </w:rPr>
        <w:t>استبيان</w:t>
      </w:r>
      <w:proofErr w:type="gramEnd"/>
      <w:r w:rsidRPr="003F7C9E">
        <w:rPr>
          <w:rtl/>
          <w:lang w:bidi="ar-SY"/>
        </w:rPr>
        <w:t xml:space="preserve"> يوزَع على مشغلين محليين ضمن الدول الأعضاء، بشأن القضايا قيد المناقشة.</w:t>
      </w:r>
    </w:p>
    <w:p w14:paraId="72B0E35A" w14:textId="4E4F21E5" w:rsidR="000E4FF0" w:rsidRDefault="00A73CB1" w:rsidP="00712FED">
      <w:pPr>
        <w:spacing w:before="600"/>
        <w:jc w:val="center"/>
        <w:rPr>
          <w:rtl/>
          <w:lang w:bidi="ar-EG"/>
        </w:rPr>
      </w:pPr>
      <w:r>
        <w:rPr>
          <w:rFonts w:hint="cs"/>
          <w:rtl/>
          <w:lang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D85BC" w14:textId="77777777" w:rsidR="00DB0034" w:rsidRDefault="00DB0034" w:rsidP="00E07379">
      <w:pPr>
        <w:spacing w:before="0" w:line="240" w:lineRule="auto"/>
      </w:pPr>
      <w:r>
        <w:separator/>
      </w:r>
    </w:p>
  </w:endnote>
  <w:endnote w:type="continuationSeparator" w:id="0">
    <w:p w14:paraId="3A9362CC" w14:textId="77777777" w:rsidR="00DB0034" w:rsidRDefault="00DB003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0657" w14:textId="7237E4FB" w:rsidR="00BD0C50" w:rsidRPr="00665956" w:rsidRDefault="00E4215F" w:rsidP="007B7F81">
    <w:pPr>
      <w:pStyle w:val="Footer"/>
      <w:tabs>
        <w:tab w:val="clear" w:pos="5812"/>
        <w:tab w:val="center" w:pos="5387"/>
      </w:tabs>
    </w:pPr>
    <w:r>
      <w:fldChar w:fldCharType="begin"/>
    </w:r>
    <w:r>
      <w:instrText xml:space="preserve"> FILENAME \p \* MERGEFORMAT </w:instrText>
    </w:r>
    <w:r>
      <w:fldChar w:fldCharType="separate"/>
    </w:r>
    <w:r w:rsidR="00A73CB1">
      <w:rPr>
        <w:noProof/>
      </w:rPr>
      <w:t>P:\ARA\SG\CONSEIL\EG-ITR\EG-ITR-1\000\010A.docx</w:t>
    </w:r>
    <w:r>
      <w:rPr>
        <w:noProof/>
      </w:rPr>
      <w:fldChar w:fldCharType="end"/>
    </w:r>
    <w:proofErr w:type="gramStart"/>
    <w:r w:rsidR="00BD0C50" w:rsidRPr="00665956">
      <w:t xml:space="preserve">   (</w:t>
    </w:r>
    <w:proofErr w:type="gramEnd"/>
    <w:r w:rsidR="00712FED">
      <w:rPr>
        <w:rFonts w:hint="cs"/>
        <w:rtl/>
      </w:rPr>
      <w:t>460339</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A73CB1">
      <w:rPr>
        <w:noProof/>
      </w:rPr>
      <w:t>11.09.19</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A73CB1">
      <w:rPr>
        <w:noProof/>
      </w:rPr>
      <w:t>11.09.19</w:t>
    </w:r>
    <w:r w:rsidR="00BD0C50" w:rsidRPr="006659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DD33" w14:textId="77777777" w:rsidR="00950A5B" w:rsidRPr="00950A5B" w:rsidRDefault="00950A5B" w:rsidP="008869F9">
    <w:pPr>
      <w:spacing w:before="24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685B" w14:textId="77777777" w:rsidR="00DB0034" w:rsidRDefault="00DB0034" w:rsidP="00E07379">
      <w:pPr>
        <w:spacing w:before="0" w:line="240" w:lineRule="auto"/>
      </w:pPr>
      <w:r>
        <w:separator/>
      </w:r>
    </w:p>
  </w:footnote>
  <w:footnote w:type="continuationSeparator" w:id="0">
    <w:p w14:paraId="638411F9" w14:textId="77777777" w:rsidR="00DB0034" w:rsidRDefault="00DB0034"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9295" w14:textId="670DF9DC" w:rsidR="000E4FF0" w:rsidRPr="000E4FF0" w:rsidRDefault="00E4215F" w:rsidP="007B7F8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cs="Calibri"/>
          <w:sz w:val="20"/>
          <w:szCs w:val="20"/>
          <w:lang w:eastAsia="zh-CN"/>
        </w:rPr>
        <w:id w:val="1910657968"/>
        <w:docPartObj>
          <w:docPartGallery w:val="Page Numbers (Top of Page)"/>
          <w:docPartUnique/>
        </w:docPartObj>
      </w:sdtPr>
      <w:sdtEndPr/>
      <w:sdtContent>
        <w:r w:rsidR="007B7F81" w:rsidRPr="007B7F81">
          <w:rPr>
            <w:rFonts w:eastAsiaTheme="minorEastAsia" w:cs="Calibri"/>
            <w:sz w:val="20"/>
            <w:szCs w:val="20"/>
            <w:lang w:eastAsia="zh-CN"/>
          </w:rPr>
          <w:fldChar w:fldCharType="begin"/>
        </w:r>
        <w:r w:rsidR="007B7F81" w:rsidRPr="007B7F81">
          <w:rPr>
            <w:rFonts w:eastAsiaTheme="minorEastAsia" w:cs="Calibri"/>
            <w:sz w:val="20"/>
            <w:szCs w:val="20"/>
            <w:lang w:eastAsia="zh-CN"/>
          </w:rPr>
          <w:instrText xml:space="preserve"> PAGE   \* MERGEFORMAT </w:instrText>
        </w:r>
        <w:r w:rsidR="007B7F81" w:rsidRPr="007B7F81">
          <w:rPr>
            <w:rFonts w:eastAsiaTheme="minorEastAsia" w:cs="Calibri"/>
            <w:sz w:val="20"/>
            <w:szCs w:val="20"/>
            <w:lang w:eastAsia="zh-CN"/>
          </w:rPr>
          <w:fldChar w:fldCharType="separate"/>
        </w:r>
        <w:r w:rsidR="007B7F81" w:rsidRPr="007B7F81">
          <w:rPr>
            <w:rFonts w:eastAsiaTheme="minorEastAsia" w:cs="Calibri"/>
            <w:sz w:val="20"/>
            <w:szCs w:val="20"/>
            <w:lang w:eastAsia="zh-CN"/>
          </w:rPr>
          <w:t>2</w:t>
        </w:r>
        <w:r w:rsidR="007B7F81" w:rsidRPr="007B7F81">
          <w:rPr>
            <w:rFonts w:eastAsiaTheme="minorEastAsia" w:cs="Calibri"/>
            <w:sz w:val="20"/>
            <w:szCs w:val="20"/>
            <w:lang w:eastAsia="zh-CN"/>
          </w:rPr>
          <w:fldChar w:fldCharType="end"/>
        </w:r>
        <w:r w:rsidR="007B7F81" w:rsidRPr="007B7F81">
          <w:rPr>
            <w:rFonts w:eastAsiaTheme="minorEastAsia" w:cs="Calibri"/>
            <w:sz w:val="20"/>
            <w:szCs w:val="20"/>
            <w:lang w:eastAsia="zh-CN"/>
          </w:rPr>
          <w:br/>
        </w:r>
        <w:r w:rsidR="007B7F81" w:rsidRPr="007B7F81">
          <w:rPr>
            <w:rFonts w:eastAsiaTheme="minorEastAsia" w:cs="Calibri"/>
            <w:sz w:val="20"/>
            <w:szCs w:val="20"/>
            <w:lang w:val="fr-CH" w:eastAsia="zh-CN"/>
          </w:rPr>
          <w:t>EG-ITR-1\</w:t>
        </w:r>
        <w:r w:rsidR="00712FED">
          <w:rPr>
            <w:rFonts w:eastAsiaTheme="minorEastAsia" w:cs="Calibri"/>
            <w:sz w:val="20"/>
            <w:szCs w:val="20"/>
            <w:lang w:val="fr-CH" w:eastAsia="zh-CN"/>
          </w:rPr>
          <w:t>10</w:t>
        </w:r>
        <w:r w:rsidR="007B7F81" w:rsidRPr="007B7F81">
          <w:rPr>
            <w:rFonts w:eastAsiaTheme="minorEastAsia" w:cs="Calibri"/>
            <w:sz w:val="20"/>
            <w:szCs w:val="20"/>
            <w:lang w:val="fr-CH" w:eastAsia="zh-CN"/>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34"/>
    <w:rsid w:val="000124CC"/>
    <w:rsid w:val="00041F8B"/>
    <w:rsid w:val="00046444"/>
    <w:rsid w:val="0006023B"/>
    <w:rsid w:val="0008638B"/>
    <w:rsid w:val="00090574"/>
    <w:rsid w:val="00092FC2"/>
    <w:rsid w:val="000A1677"/>
    <w:rsid w:val="000B128B"/>
    <w:rsid w:val="000B407F"/>
    <w:rsid w:val="000C13C2"/>
    <w:rsid w:val="000D4C64"/>
    <w:rsid w:val="000E4FF0"/>
    <w:rsid w:val="000F0B1C"/>
    <w:rsid w:val="000F1D42"/>
    <w:rsid w:val="000F4D07"/>
    <w:rsid w:val="00102A03"/>
    <w:rsid w:val="001040A3"/>
    <w:rsid w:val="001161AD"/>
    <w:rsid w:val="00173915"/>
    <w:rsid w:val="00180E41"/>
    <w:rsid w:val="00195266"/>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3AE3"/>
    <w:rsid w:val="0030486B"/>
    <w:rsid w:val="003231B9"/>
    <w:rsid w:val="003275AC"/>
    <w:rsid w:val="00333D29"/>
    <w:rsid w:val="003409F4"/>
    <w:rsid w:val="00357185"/>
    <w:rsid w:val="003C106D"/>
    <w:rsid w:val="003C475F"/>
    <w:rsid w:val="003E4132"/>
    <w:rsid w:val="003F678F"/>
    <w:rsid w:val="003F7C9E"/>
    <w:rsid w:val="0042686F"/>
    <w:rsid w:val="004367CE"/>
    <w:rsid w:val="00443869"/>
    <w:rsid w:val="004712C6"/>
    <w:rsid w:val="00476123"/>
    <w:rsid w:val="00497703"/>
    <w:rsid w:val="004F0F06"/>
    <w:rsid w:val="00501E0E"/>
    <w:rsid w:val="005204D7"/>
    <w:rsid w:val="00530420"/>
    <w:rsid w:val="005318FA"/>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2FED"/>
    <w:rsid w:val="00726AEC"/>
    <w:rsid w:val="007530CA"/>
    <w:rsid w:val="00760E68"/>
    <w:rsid w:val="0079553D"/>
    <w:rsid w:val="007B01CC"/>
    <w:rsid w:val="007B7F81"/>
    <w:rsid w:val="007D4F32"/>
    <w:rsid w:val="007E7C6C"/>
    <w:rsid w:val="007F6238"/>
    <w:rsid w:val="007F646C"/>
    <w:rsid w:val="00801FCD"/>
    <w:rsid w:val="00803D7E"/>
    <w:rsid w:val="00803F08"/>
    <w:rsid w:val="008235CD"/>
    <w:rsid w:val="00823A07"/>
    <w:rsid w:val="00835FEC"/>
    <w:rsid w:val="008513CB"/>
    <w:rsid w:val="00874D9C"/>
    <w:rsid w:val="008869F9"/>
    <w:rsid w:val="008A1810"/>
    <w:rsid w:val="008B5B5D"/>
    <w:rsid w:val="00917694"/>
    <w:rsid w:val="009263CD"/>
    <w:rsid w:val="00930E6D"/>
    <w:rsid w:val="00950A5B"/>
    <w:rsid w:val="00955F61"/>
    <w:rsid w:val="00972CA2"/>
    <w:rsid w:val="00982B28"/>
    <w:rsid w:val="00984EA5"/>
    <w:rsid w:val="00992593"/>
    <w:rsid w:val="009B4F68"/>
    <w:rsid w:val="009C17E1"/>
    <w:rsid w:val="009C35ED"/>
    <w:rsid w:val="009F1C12"/>
    <w:rsid w:val="00A124CB"/>
    <w:rsid w:val="00A2167A"/>
    <w:rsid w:val="00A25A43"/>
    <w:rsid w:val="00A3295B"/>
    <w:rsid w:val="00A42AE5"/>
    <w:rsid w:val="00A52B61"/>
    <w:rsid w:val="00A64820"/>
    <w:rsid w:val="00A71DD6"/>
    <w:rsid w:val="00A723C7"/>
    <w:rsid w:val="00A73CB1"/>
    <w:rsid w:val="00A80E11"/>
    <w:rsid w:val="00A97F94"/>
    <w:rsid w:val="00AA1F1A"/>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507C"/>
    <w:rsid w:val="00D77D0F"/>
    <w:rsid w:val="00DA1CF0"/>
    <w:rsid w:val="00DB0034"/>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215F"/>
    <w:rsid w:val="00E45211"/>
    <w:rsid w:val="00E63082"/>
    <w:rsid w:val="00E7380C"/>
    <w:rsid w:val="00E74BE7"/>
    <w:rsid w:val="00E86CC9"/>
    <w:rsid w:val="00E96624"/>
    <w:rsid w:val="00F126F1"/>
    <w:rsid w:val="00F2106A"/>
    <w:rsid w:val="00F2286D"/>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15925"/>
  <w15:chartTrackingRefBased/>
  <w15:docId w15:val="{FD8E18DC-7C0B-4ACE-BF3F-790182E2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F81"/>
    <w:pPr>
      <w:tabs>
        <w:tab w:val="left" w:pos="567"/>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B7F81"/>
    <w:pPr>
      <w:ind w:left="1134"/>
    </w:pPr>
  </w:style>
  <w:style w:type="character" w:customStyle="1" w:styleId="enumlev2Char">
    <w:name w:val="enumlev2 Char"/>
    <w:basedOn w:val="enumlev1Char"/>
    <w:link w:val="enumlev2"/>
    <w:rsid w:val="007B7F81"/>
    <w:rPr>
      <w:rFonts w:ascii="Calibri" w:eastAsia="Times New Roman" w:hAnsi="Calibri"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B7F81"/>
    <w:pPr>
      <w:spacing w:before="80"/>
      <w:ind w:left="567" w:hanging="567"/>
    </w:pPr>
  </w:style>
  <w:style w:type="character" w:customStyle="1" w:styleId="enumlev1Char">
    <w:name w:val="enumlev1 Char"/>
    <w:basedOn w:val="DefaultParagraphFont"/>
    <w:link w:val="enumlev1"/>
    <w:rsid w:val="007B7F81"/>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B7F81"/>
    <w:pPr>
      <w:tabs>
        <w:tab w:val="clear" w:pos="567"/>
      </w:tabs>
      <w:ind w:left="1701"/>
    </w:pPr>
  </w:style>
  <w:style w:type="character" w:customStyle="1" w:styleId="enumlev3Char">
    <w:name w:val="enumlev3 Char"/>
    <w:basedOn w:val="enumlev2Char"/>
    <w:link w:val="enumlev3"/>
    <w:rsid w:val="007B7F81"/>
    <w:rPr>
      <w:rFonts w:ascii="Calibri" w:eastAsia="Times New Roman" w:hAnsi="Calibri" w:cs="Traditional Arabic"/>
      <w:szCs w:val="30"/>
      <w:lang w:eastAsia="en-US"/>
    </w:rPr>
  </w:style>
  <w:style w:type="paragraph" w:customStyle="1" w:styleId="FigureNo">
    <w:name w:val="Figure_No"/>
    <w:basedOn w:val="Normal"/>
    <w:qFormat/>
    <w:rsid w:val="007E7C6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EG-IT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openxmlformats.org/package/2006/metadata/core-properties"/>
    <ds:schemaRef ds:uri="de10a323-94a9-4e93-88b4-ea964576960d"/>
    <ds:schemaRef ds:uri="996b2e75-67fd-4955-a3b0-5ab9934cb50b"/>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4E8DC-38DC-476D-96C1-571F6A9C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PA_EG-ITR-1.dotx</Template>
  <TotalTime>49</TotalTime>
  <Pages>3</Pages>
  <Words>790</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Aly, Abdullah</dc:creator>
  <cp:keywords/>
  <dc:description/>
  <cp:lastModifiedBy>Awad, Samy</cp:lastModifiedBy>
  <cp:revision>9</cp:revision>
  <cp:lastPrinted>2019-09-11T07:05:00Z</cp:lastPrinted>
  <dcterms:created xsi:type="dcterms:W3CDTF">2019-09-11T06:38:00Z</dcterms:created>
  <dcterms:modified xsi:type="dcterms:W3CDTF">2019-09-11T13:31:00Z</dcterms:modified>
  <cp:category>Conference document</cp:category>
</cp:coreProperties>
</file>