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7B7F81" w:rsidRPr="00950A5B" w14:paraId="1089F74D" w14:textId="77777777" w:rsidTr="000B128B">
        <w:trPr>
          <w:cantSplit/>
          <w:trHeight w:val="20"/>
        </w:trPr>
        <w:tc>
          <w:tcPr>
            <w:tcW w:w="6620" w:type="dxa"/>
          </w:tcPr>
          <w:p w14:paraId="54FCD382" w14:textId="77777777" w:rsidR="007B7F81" w:rsidRPr="00950A5B" w:rsidRDefault="007B7F81" w:rsidP="007B7F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vAlign w:val="center"/>
          </w:tcPr>
          <w:p w14:paraId="024AF447" w14:textId="77777777" w:rsidR="007B7F81" w:rsidRPr="00950A5B" w:rsidRDefault="007B7F81" w:rsidP="007B7F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Pr>
                <w:noProof/>
              </w:rPr>
              <w:drawing>
                <wp:inline distT="0" distB="0" distL="0" distR="0" wp14:anchorId="6B6B1D7E" wp14:editId="075760F0">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7B7F81" w:rsidRPr="00950A5B" w14:paraId="1FB1E980" w14:textId="77777777" w:rsidTr="004B6B8C">
        <w:trPr>
          <w:cantSplit/>
          <w:trHeight w:val="68"/>
        </w:trPr>
        <w:tc>
          <w:tcPr>
            <w:tcW w:w="6620" w:type="dxa"/>
            <w:tcBorders>
              <w:bottom w:val="single" w:sz="12" w:space="0" w:color="auto"/>
            </w:tcBorders>
          </w:tcPr>
          <w:p w14:paraId="17E0FE99" w14:textId="77777777" w:rsidR="007B7F81" w:rsidRPr="00950A5B" w:rsidRDefault="007B7F81" w:rsidP="007B7F81">
            <w:pPr>
              <w:spacing w:before="0" w:after="120"/>
              <w:rPr>
                <w:rFonts w:eastAsiaTheme="minorEastAsia"/>
                <w:rtl/>
                <w:lang w:eastAsia="zh-CN" w:bidi="ar-EG"/>
              </w:rPr>
            </w:pPr>
            <w:r w:rsidRPr="00950A5B">
              <w:rPr>
                <w:rFonts w:eastAsiaTheme="minorEastAsia" w:hint="cs"/>
                <w:b/>
                <w:bCs/>
                <w:sz w:val="24"/>
                <w:szCs w:val="32"/>
                <w:rtl/>
                <w:lang w:eastAsia="zh-CN" w:bidi="ar-EG"/>
              </w:rPr>
              <w:t xml:space="preserve">الاجتماع </w:t>
            </w:r>
            <w:r>
              <w:rPr>
                <w:rFonts w:eastAsiaTheme="minorEastAsia" w:hint="cs"/>
                <w:b/>
                <w:bCs/>
                <w:sz w:val="24"/>
                <w:szCs w:val="32"/>
                <w:rtl/>
                <w:lang w:eastAsia="zh-CN"/>
              </w:rPr>
              <w:t>الأول</w:t>
            </w:r>
            <w:r w:rsidRPr="00950A5B">
              <w:rPr>
                <w:rFonts w:eastAsiaTheme="minorEastAsia" w:hint="cs"/>
                <w:b/>
                <w:bCs/>
                <w:sz w:val="24"/>
                <w:szCs w:val="32"/>
                <w:rtl/>
                <w:lang w:eastAsia="zh-CN" w:bidi="ar-EG"/>
              </w:rPr>
              <w:t xml:space="preserve"> - جنيف، </w:t>
            </w:r>
            <w:r>
              <w:rPr>
                <w:rFonts w:eastAsiaTheme="minorEastAsia"/>
                <w:b/>
                <w:bCs/>
                <w:sz w:val="24"/>
                <w:szCs w:val="32"/>
                <w:lang w:eastAsia="zh-CN" w:bidi="ar-EG"/>
              </w:rPr>
              <w:t>17-16</w:t>
            </w:r>
            <w:r w:rsidRPr="00950A5B">
              <w:rPr>
                <w:rFonts w:eastAsiaTheme="minorEastAsia" w:hint="cs"/>
                <w:b/>
                <w:bCs/>
                <w:sz w:val="24"/>
                <w:szCs w:val="32"/>
                <w:rtl/>
                <w:lang w:eastAsia="zh-CN" w:bidi="ar-EG"/>
              </w:rPr>
              <w:t xml:space="preserve"> </w:t>
            </w:r>
            <w:r>
              <w:rPr>
                <w:rFonts w:eastAsiaTheme="minorEastAsia" w:hint="cs"/>
                <w:b/>
                <w:bCs/>
                <w:sz w:val="24"/>
                <w:szCs w:val="32"/>
                <w:rtl/>
                <w:lang w:eastAsia="zh-CN" w:bidi="ar-EG"/>
              </w:rPr>
              <w:t>سبتمبر</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Pr>
                <w:rFonts w:eastAsiaTheme="minorEastAsia"/>
                <w:b/>
                <w:bCs/>
                <w:sz w:val="24"/>
                <w:szCs w:val="32"/>
                <w:lang w:eastAsia="zh-CN" w:bidi="ar-EG"/>
              </w:rPr>
              <w:t>9</w:t>
            </w:r>
          </w:p>
        </w:tc>
        <w:tc>
          <w:tcPr>
            <w:tcW w:w="3052" w:type="dxa"/>
            <w:vMerge/>
            <w:tcBorders>
              <w:bottom w:val="single" w:sz="12" w:space="0" w:color="auto"/>
            </w:tcBorders>
          </w:tcPr>
          <w:p w14:paraId="2D93F1D9" w14:textId="77777777" w:rsidR="007B7F81" w:rsidRPr="00950A5B" w:rsidRDefault="007B7F81" w:rsidP="007B7F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14:paraId="63E42014" w14:textId="77777777" w:rsidTr="004B6B8C">
        <w:trPr>
          <w:cantSplit/>
          <w:trHeight w:val="20"/>
        </w:trPr>
        <w:tc>
          <w:tcPr>
            <w:tcW w:w="6620" w:type="dxa"/>
            <w:tcBorders>
              <w:top w:val="single" w:sz="12" w:space="0" w:color="auto"/>
            </w:tcBorders>
          </w:tcPr>
          <w:p w14:paraId="07579AE9" w14:textId="77777777" w:rsidR="00950A5B" w:rsidRPr="00950A5B" w:rsidRDefault="00950A5B"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14:paraId="46DE9417" w14:textId="77777777" w:rsidR="00950A5B" w:rsidRPr="00950A5B" w:rsidRDefault="00950A5B"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14:paraId="62B10790" w14:textId="77777777" w:rsidTr="004B6B8C">
        <w:trPr>
          <w:cantSplit/>
        </w:trPr>
        <w:tc>
          <w:tcPr>
            <w:tcW w:w="6620" w:type="dxa"/>
            <w:vMerge w:val="restart"/>
          </w:tcPr>
          <w:p w14:paraId="41AF846B"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14:paraId="0577DEF5" w14:textId="3FBD8746" w:rsidR="00950A5B" w:rsidRPr="00950A5B" w:rsidRDefault="00950A5B"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7B7F81">
              <w:rPr>
                <w:rFonts w:eastAsiaTheme="minorEastAsia"/>
                <w:b/>
                <w:bCs/>
                <w:lang w:eastAsia="zh-CN" w:bidi="ar-SY"/>
              </w:rPr>
              <w:t>1</w:t>
            </w:r>
            <w:r w:rsidRPr="00950A5B">
              <w:rPr>
                <w:rFonts w:eastAsiaTheme="minorEastAsia"/>
                <w:b/>
                <w:bCs/>
                <w:lang w:eastAsia="zh-CN" w:bidi="ar-SY"/>
              </w:rPr>
              <w:t>/</w:t>
            </w:r>
            <w:r w:rsidR="009E7540">
              <w:rPr>
                <w:rFonts w:eastAsiaTheme="minorEastAsia"/>
                <w:b/>
                <w:bCs/>
                <w:lang w:eastAsia="zh-CN" w:bidi="ar-SY"/>
              </w:rPr>
              <w:t>12</w:t>
            </w:r>
            <w:r w:rsidRPr="00950A5B">
              <w:rPr>
                <w:rFonts w:eastAsiaTheme="minorEastAsia"/>
                <w:b/>
                <w:bCs/>
                <w:lang w:eastAsia="zh-CN" w:bidi="ar-SY"/>
              </w:rPr>
              <w:t>-A</w:t>
            </w:r>
          </w:p>
        </w:tc>
      </w:tr>
      <w:tr w:rsidR="00950A5B" w:rsidRPr="00950A5B" w14:paraId="696A5DDF" w14:textId="77777777" w:rsidTr="004B6B8C">
        <w:trPr>
          <w:cantSplit/>
        </w:trPr>
        <w:tc>
          <w:tcPr>
            <w:tcW w:w="6620" w:type="dxa"/>
            <w:vMerge/>
          </w:tcPr>
          <w:p w14:paraId="3C7BFFBF"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14:paraId="7C0F1375" w14:textId="4BFF3277" w:rsidR="00950A5B" w:rsidRPr="00950A5B" w:rsidRDefault="009E7540"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r>
              <w:rPr>
                <w:rFonts w:eastAsiaTheme="minorEastAsia"/>
                <w:b/>
                <w:bCs/>
                <w:lang w:eastAsia="zh-CN" w:bidi="ar-SY"/>
              </w:rPr>
              <w:t>2</w:t>
            </w:r>
            <w:r w:rsidR="00950A5B" w:rsidRPr="00950A5B">
              <w:rPr>
                <w:rFonts w:eastAsiaTheme="minorEastAsia" w:hint="cs"/>
                <w:b/>
                <w:bCs/>
                <w:rtl/>
                <w:lang w:eastAsia="zh-CN" w:bidi="ar-EG"/>
              </w:rPr>
              <w:t xml:space="preserve"> </w:t>
            </w:r>
            <w:r>
              <w:rPr>
                <w:rFonts w:eastAsiaTheme="minorEastAsia" w:hint="cs"/>
                <w:b/>
                <w:bCs/>
                <w:rtl/>
                <w:lang w:eastAsia="zh-CN" w:bidi="ar-EG"/>
              </w:rPr>
              <w:t xml:space="preserve">سبتمبر </w:t>
            </w:r>
            <w:r w:rsidR="007B7F81">
              <w:rPr>
                <w:rFonts w:eastAsiaTheme="minorEastAsia"/>
                <w:b/>
                <w:bCs/>
                <w:lang w:eastAsia="zh-CN" w:bidi="ar-SY"/>
              </w:rPr>
              <w:t>2019</w:t>
            </w:r>
          </w:p>
        </w:tc>
      </w:tr>
      <w:tr w:rsidR="00950A5B" w:rsidRPr="00950A5B" w14:paraId="7809ABC4" w14:textId="77777777" w:rsidTr="004B6B8C">
        <w:trPr>
          <w:cantSplit/>
        </w:trPr>
        <w:tc>
          <w:tcPr>
            <w:tcW w:w="6620" w:type="dxa"/>
            <w:vMerge/>
          </w:tcPr>
          <w:p w14:paraId="30A02348"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14:paraId="0A7650E2" w14:textId="77777777" w:rsidR="00950A5B" w:rsidRPr="00950A5B" w:rsidRDefault="00950A5B"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b/>
                <w:bCs/>
                <w:rtl/>
                <w:lang w:eastAsia="zh-CN" w:bidi="ar-EG"/>
              </w:rPr>
              <w:t xml:space="preserve">الأصل: </w:t>
            </w:r>
            <w:r w:rsidRPr="00AA1F1A">
              <w:rPr>
                <w:rFonts w:eastAsiaTheme="minorEastAsia" w:hint="cs"/>
                <w:b/>
                <w:bCs/>
                <w:rtl/>
                <w:lang w:eastAsia="zh-CN" w:bidi="ar-EG"/>
              </w:rPr>
              <w:t>بالإنكليزية</w:t>
            </w:r>
          </w:p>
        </w:tc>
      </w:tr>
      <w:tr w:rsidR="00950A5B" w:rsidRPr="00950A5B" w14:paraId="3882EF5C" w14:textId="77777777" w:rsidTr="004B6B8C">
        <w:trPr>
          <w:cantSplit/>
        </w:trPr>
        <w:tc>
          <w:tcPr>
            <w:tcW w:w="9672" w:type="dxa"/>
            <w:gridSpan w:val="2"/>
          </w:tcPr>
          <w:p w14:paraId="260F6ADA" w14:textId="0E8DB5B3" w:rsidR="00950A5B" w:rsidRPr="00950A5B" w:rsidRDefault="009E7540" w:rsidP="009E7540">
            <w:pPr>
              <w:pStyle w:val="Source"/>
              <w:rPr>
                <w:rFonts w:eastAsiaTheme="minorEastAsia"/>
                <w:rtl/>
                <w:lang w:eastAsia="zh-CN"/>
              </w:rPr>
            </w:pPr>
            <w:r w:rsidRPr="009E7540">
              <w:rPr>
                <w:rFonts w:eastAsiaTheme="minorEastAsia"/>
                <w:rtl/>
                <w:lang w:eastAsia="zh-CN" w:bidi="ar-SA"/>
              </w:rPr>
              <w:t>جمهورية البرازيل الاتحادية</w:t>
            </w:r>
          </w:p>
        </w:tc>
      </w:tr>
      <w:tr w:rsidR="00950A5B" w:rsidRPr="00950A5B" w14:paraId="3EB3027E" w14:textId="77777777" w:rsidTr="004B6B8C">
        <w:trPr>
          <w:cantSplit/>
        </w:trPr>
        <w:tc>
          <w:tcPr>
            <w:tcW w:w="9672" w:type="dxa"/>
            <w:gridSpan w:val="2"/>
          </w:tcPr>
          <w:p w14:paraId="12255ED0" w14:textId="40A1DE2B" w:rsidR="00950A5B" w:rsidRPr="00950A5B" w:rsidRDefault="009E7540" w:rsidP="009E7540">
            <w:pPr>
              <w:pStyle w:val="Title1"/>
              <w:rPr>
                <w:rFonts w:eastAsiaTheme="minorEastAsia"/>
                <w:rtl/>
                <w:lang w:eastAsia="zh-CN"/>
              </w:rPr>
            </w:pPr>
            <w:r w:rsidRPr="009E7540">
              <w:rPr>
                <w:rFonts w:eastAsiaTheme="minorEastAsia" w:hint="cs"/>
                <w:rtl/>
                <w:lang w:eastAsia="zh-CN" w:bidi="ar-SA"/>
              </w:rPr>
              <w:t>مبادئ من أجل استعراض لوائح الاتصالات الدولية</w:t>
            </w:r>
          </w:p>
        </w:tc>
      </w:tr>
      <w:tr w:rsidR="00955F61" w:rsidRPr="00950A5B" w14:paraId="0A37D372" w14:textId="77777777" w:rsidTr="004B6B8C">
        <w:trPr>
          <w:cantSplit/>
        </w:trPr>
        <w:tc>
          <w:tcPr>
            <w:tcW w:w="9672" w:type="dxa"/>
            <w:gridSpan w:val="2"/>
          </w:tcPr>
          <w:p w14:paraId="747366B3" w14:textId="77777777" w:rsidR="00955F61" w:rsidRPr="00950A5B" w:rsidRDefault="00955F61" w:rsidP="00955F61">
            <w:pPr>
              <w:rPr>
                <w:rFonts w:eastAsiaTheme="minorEastAsia"/>
                <w:rtl/>
                <w:lang w:eastAsia="zh-CN"/>
              </w:rPr>
            </w:pPr>
          </w:p>
        </w:tc>
      </w:tr>
    </w:tbl>
    <w:p w14:paraId="2047662A" w14:textId="77777777" w:rsidR="009E7540" w:rsidRPr="009E7540" w:rsidRDefault="009E7540" w:rsidP="009E7540">
      <w:pPr>
        <w:pStyle w:val="Headingb"/>
        <w:rPr>
          <w:rtl/>
        </w:rPr>
      </w:pPr>
      <w:r w:rsidRPr="009E7540">
        <w:rPr>
          <w:rFonts w:hint="cs"/>
          <w:rtl/>
        </w:rPr>
        <w:t>مقدمة</w:t>
      </w:r>
    </w:p>
    <w:p w14:paraId="6E2714E6" w14:textId="2EB5D012" w:rsidR="009E7540" w:rsidRPr="009E7540" w:rsidRDefault="009E7540" w:rsidP="009E7540">
      <w:pPr>
        <w:rPr>
          <w:rtl/>
          <w:lang w:bidi="ar"/>
        </w:rPr>
      </w:pPr>
      <w:bookmarkStart w:id="1" w:name="lt_pId026"/>
      <w:r w:rsidRPr="009E7540">
        <w:rPr>
          <w:rFonts w:hint="cs"/>
          <w:rtl/>
          <w:lang w:bidi="ar"/>
        </w:rPr>
        <w:t xml:space="preserve">نشطت البرازيل في دعم المؤتمر العالمي للاتصالات الدولية لعام </w:t>
      </w:r>
      <w:r w:rsidRPr="009E7540">
        <w:rPr>
          <w:lang w:bidi="ar-EG"/>
        </w:rPr>
        <w:t>2012</w:t>
      </w:r>
      <w:r w:rsidRPr="009E7540">
        <w:rPr>
          <w:rFonts w:hint="cs"/>
          <w:rtl/>
          <w:lang w:bidi="ar"/>
        </w:rPr>
        <w:t xml:space="preserve"> </w:t>
      </w:r>
      <w:r w:rsidRPr="009E7540">
        <w:rPr>
          <w:lang w:bidi="ar-EG"/>
        </w:rPr>
        <w:t>(</w:t>
      </w:r>
      <w:r w:rsidRPr="009E7540">
        <w:rPr>
          <w:rFonts w:hint="cs"/>
          <w:lang w:bidi="ar-EG"/>
        </w:rPr>
        <w:t>WCIT-12</w:t>
      </w:r>
      <w:r w:rsidRPr="009E7540">
        <w:rPr>
          <w:lang w:bidi="ar-EG"/>
        </w:rPr>
        <w:t>)</w:t>
      </w:r>
      <w:r w:rsidRPr="009E7540">
        <w:rPr>
          <w:rFonts w:hint="cs"/>
          <w:rtl/>
          <w:lang w:bidi="ar"/>
        </w:rPr>
        <w:t>. وشاركنا بمساهمات عديدة في جميع الاجتماعات التحضيرية لفريق العمل التابع للمجلس</w:t>
      </w:r>
      <w:r w:rsidRPr="009E7540">
        <w:rPr>
          <w:rFonts w:hint="cs"/>
          <w:rtl/>
        </w:rPr>
        <w:t xml:space="preserve"> </w:t>
      </w:r>
      <w:r w:rsidRPr="009E7540">
        <w:rPr>
          <w:lang w:bidi="ar-EG"/>
        </w:rPr>
        <w:t>(CWG)</w:t>
      </w:r>
      <w:r w:rsidRPr="009E7540">
        <w:rPr>
          <w:rFonts w:hint="cs"/>
          <w:rtl/>
          <w:lang w:bidi="ar"/>
        </w:rPr>
        <w:t xml:space="preserve">. وقدمنا </w:t>
      </w:r>
      <w:r w:rsidRPr="009E7540">
        <w:rPr>
          <w:lang w:bidi="ar-EG"/>
        </w:rPr>
        <w:t>77</w:t>
      </w:r>
      <w:r w:rsidRPr="009E7540">
        <w:rPr>
          <w:rFonts w:hint="cs"/>
          <w:rtl/>
          <w:lang w:bidi="ar"/>
        </w:rPr>
        <w:t xml:space="preserve"> مقترحاً برازيلياً إلى المؤتمر العالمي للاتصالات الدولية لعام</w:t>
      </w:r>
      <w:r w:rsidR="007141A8">
        <w:rPr>
          <w:rFonts w:hint="eastAsia"/>
          <w:rtl/>
          <w:lang w:bidi="ar"/>
        </w:rPr>
        <w:t> </w:t>
      </w:r>
      <w:r w:rsidRPr="009E7540">
        <w:rPr>
          <w:lang w:bidi="ar-EG"/>
        </w:rPr>
        <w:t>2012</w:t>
      </w:r>
      <w:r w:rsidRPr="009E7540">
        <w:rPr>
          <w:rFonts w:hint="cs"/>
          <w:rtl/>
          <w:lang w:bidi="ar"/>
        </w:rPr>
        <w:t xml:space="preserve">، وشاركنا في التوقيع على </w:t>
      </w:r>
      <w:r w:rsidRPr="009E7540">
        <w:rPr>
          <w:lang w:bidi="ar-EG"/>
        </w:rPr>
        <w:t>17</w:t>
      </w:r>
      <w:r w:rsidRPr="009E7540">
        <w:rPr>
          <w:rFonts w:hint="eastAsia"/>
          <w:rtl/>
          <w:lang w:bidi="ar"/>
        </w:rPr>
        <w:t> </w:t>
      </w:r>
      <w:r w:rsidRPr="009E7540">
        <w:rPr>
          <w:rFonts w:hint="cs"/>
          <w:rtl/>
          <w:lang w:bidi="ar"/>
        </w:rPr>
        <w:t>مقترحاً من</w:t>
      </w:r>
      <w:r w:rsidRPr="009E7540">
        <w:rPr>
          <w:rFonts w:hint="eastAsia"/>
          <w:rtl/>
        </w:rPr>
        <w:t xml:space="preserve"> </w:t>
      </w:r>
      <w:r w:rsidRPr="009E7540">
        <w:rPr>
          <w:rFonts w:hint="eastAsia"/>
          <w:rtl/>
          <w:lang w:bidi="ar"/>
        </w:rPr>
        <w:t>لجنة</w:t>
      </w:r>
      <w:r w:rsidRPr="009E7540">
        <w:rPr>
          <w:rtl/>
          <w:lang w:bidi="ar"/>
        </w:rPr>
        <w:t xml:space="preserve"> </w:t>
      </w:r>
      <w:r w:rsidRPr="009E7540">
        <w:rPr>
          <w:rFonts w:hint="eastAsia"/>
          <w:rtl/>
          <w:lang w:bidi="ar"/>
        </w:rPr>
        <w:t>البلدان</w:t>
      </w:r>
      <w:r w:rsidRPr="009E7540">
        <w:rPr>
          <w:rtl/>
          <w:lang w:bidi="ar"/>
        </w:rPr>
        <w:t xml:space="preserve"> </w:t>
      </w:r>
      <w:r w:rsidRPr="009E7540">
        <w:rPr>
          <w:rFonts w:hint="eastAsia"/>
          <w:rtl/>
          <w:lang w:bidi="ar"/>
        </w:rPr>
        <w:t>الأمريكية</w:t>
      </w:r>
      <w:r w:rsidRPr="009E7540">
        <w:rPr>
          <w:rtl/>
          <w:lang w:bidi="ar"/>
        </w:rPr>
        <w:t xml:space="preserve"> </w:t>
      </w:r>
      <w:r w:rsidRPr="009E7540">
        <w:rPr>
          <w:rFonts w:hint="eastAsia"/>
          <w:rtl/>
          <w:lang w:bidi="ar"/>
        </w:rPr>
        <w:t>للاتصالات</w:t>
      </w:r>
      <w:r w:rsidRPr="009E7540">
        <w:rPr>
          <w:rtl/>
          <w:lang w:bidi="ar"/>
        </w:rPr>
        <w:t xml:space="preserve"> </w:t>
      </w:r>
      <w:r w:rsidRPr="009E7540">
        <w:rPr>
          <w:lang w:bidi="ar-EG"/>
        </w:rPr>
        <w:t>(CITEL)</w:t>
      </w:r>
      <w:r w:rsidRPr="009E7540">
        <w:rPr>
          <w:rFonts w:hint="cs"/>
          <w:rtl/>
          <w:lang w:bidi="ar"/>
        </w:rPr>
        <w:t xml:space="preserve">. وأوفدنا </w:t>
      </w:r>
      <w:r w:rsidRPr="009E7540">
        <w:rPr>
          <w:lang w:bidi="ar-EG"/>
        </w:rPr>
        <w:t>40</w:t>
      </w:r>
      <w:r w:rsidRPr="009E7540">
        <w:rPr>
          <w:rFonts w:hint="cs"/>
          <w:rtl/>
          <w:lang w:bidi="ar"/>
        </w:rPr>
        <w:t xml:space="preserve"> مندوباً إلى المؤتمر، وشاركنا بنشاط في</w:t>
      </w:r>
      <w:r>
        <w:rPr>
          <w:rFonts w:hint="eastAsia"/>
          <w:rtl/>
          <w:lang w:bidi="ar"/>
        </w:rPr>
        <w:t> </w:t>
      </w:r>
      <w:r w:rsidRPr="009E7540">
        <w:rPr>
          <w:rFonts w:hint="cs"/>
          <w:rtl/>
          <w:lang w:bidi="ar"/>
        </w:rPr>
        <w:t xml:space="preserve">جميع الاجتماعات. وفي النهاية، وقعنا على الوثائق الختامية للمؤتمر العالمي للاتصالات الدولية لعام </w:t>
      </w:r>
      <w:r w:rsidRPr="009E7540">
        <w:rPr>
          <w:lang w:bidi="ar-EG"/>
        </w:rPr>
        <w:t>2012</w:t>
      </w:r>
      <w:r w:rsidRPr="009E7540">
        <w:rPr>
          <w:rFonts w:hint="cs"/>
          <w:rtl/>
          <w:lang w:bidi="ar"/>
        </w:rPr>
        <w:t xml:space="preserve"> دون أي تحفظات. واليوم، تواصل البرازيل التزامها بلوائح الاتصالات الدولية</w:t>
      </w:r>
      <w:r w:rsidRPr="009E7540">
        <w:rPr>
          <w:rFonts w:hint="eastAsia"/>
          <w:rtl/>
          <w:lang w:bidi="ar"/>
        </w:rPr>
        <w:t> </w:t>
      </w:r>
      <w:r w:rsidRPr="009E7540">
        <w:rPr>
          <w:lang w:bidi="ar-EG"/>
        </w:rPr>
        <w:t>(ITR)</w:t>
      </w:r>
      <w:r w:rsidRPr="009E7540">
        <w:rPr>
          <w:rFonts w:hint="cs"/>
          <w:rtl/>
          <w:lang w:bidi="ar"/>
        </w:rPr>
        <w:t xml:space="preserve"> لعامي </w:t>
      </w:r>
      <w:r w:rsidRPr="009E7540">
        <w:rPr>
          <w:lang w:bidi="ar-EG"/>
        </w:rPr>
        <w:t>19</w:t>
      </w:r>
      <w:r w:rsidRPr="009E7540">
        <w:rPr>
          <w:lang w:val="fr-FR" w:bidi="ar-EG"/>
        </w:rPr>
        <w:t>8</w:t>
      </w:r>
      <w:r w:rsidRPr="009E7540">
        <w:rPr>
          <w:lang w:bidi="ar-EG"/>
        </w:rPr>
        <w:t>8</w:t>
      </w:r>
      <w:r w:rsidRPr="009E7540">
        <w:rPr>
          <w:rFonts w:hint="cs"/>
          <w:rtl/>
          <w:lang w:bidi="ar"/>
        </w:rPr>
        <w:t xml:space="preserve"> و</w:t>
      </w:r>
      <w:r w:rsidRPr="009E7540">
        <w:rPr>
          <w:lang w:bidi="ar-EG"/>
        </w:rPr>
        <w:t>2012</w:t>
      </w:r>
      <w:r w:rsidRPr="009E7540">
        <w:rPr>
          <w:rFonts w:hint="cs"/>
          <w:rtl/>
          <w:lang w:bidi="ar"/>
        </w:rPr>
        <w:t xml:space="preserve"> و</w:t>
      </w:r>
      <w:r w:rsidRPr="009E7540">
        <w:rPr>
          <w:rFonts w:hint="cs"/>
          <w:rtl/>
        </w:rPr>
        <w:t>ا</w:t>
      </w:r>
      <w:r w:rsidRPr="009E7540">
        <w:rPr>
          <w:rFonts w:hint="cs"/>
          <w:rtl/>
          <w:lang w:bidi="ar"/>
        </w:rPr>
        <w:t>متثالها لها.</w:t>
      </w:r>
    </w:p>
    <w:p w14:paraId="6C59ABDF" w14:textId="1AD789D7" w:rsidR="009E7540" w:rsidRPr="009E7540" w:rsidRDefault="009E7540" w:rsidP="009E7540">
      <w:pPr>
        <w:rPr>
          <w:rtl/>
          <w:lang w:bidi="ar"/>
        </w:rPr>
      </w:pPr>
      <w:r w:rsidRPr="009E7540">
        <w:rPr>
          <w:rFonts w:hint="cs"/>
          <w:rtl/>
          <w:lang w:bidi="ar"/>
        </w:rPr>
        <w:t xml:space="preserve">وتعرض هذه الوثيقة آراء البرازيل بشأن </w:t>
      </w:r>
      <w:r>
        <w:rPr>
          <w:rFonts w:hint="cs"/>
          <w:rtl/>
          <w:lang w:bidi="ar"/>
        </w:rPr>
        <w:t xml:space="preserve">عملية </w:t>
      </w:r>
      <w:r w:rsidRPr="009E7540">
        <w:rPr>
          <w:rFonts w:hint="cs"/>
          <w:rtl/>
          <w:lang w:bidi="ar"/>
        </w:rPr>
        <w:t xml:space="preserve">استعراض </w:t>
      </w:r>
      <w:r>
        <w:rPr>
          <w:rFonts w:hint="cs"/>
          <w:rtl/>
          <w:lang w:bidi="ar"/>
        </w:rPr>
        <w:t>ل</w:t>
      </w:r>
      <w:r w:rsidRPr="009E7540">
        <w:rPr>
          <w:rFonts w:hint="cs"/>
          <w:rtl/>
          <w:lang w:bidi="ar"/>
        </w:rPr>
        <w:t>وائح الاتصالات الدولية. وتدرك البرازيل أن المسائل الرئيسية على بساط البحث هي التالية:</w:t>
      </w:r>
    </w:p>
    <w:bookmarkEnd w:id="1"/>
    <w:p w14:paraId="47236EA4" w14:textId="77777777" w:rsidR="009E7540" w:rsidRPr="009E7540" w:rsidRDefault="009E7540" w:rsidP="009E7540">
      <w:pPr>
        <w:pStyle w:val="enumlev1"/>
        <w:rPr>
          <w:lang w:bidi="ar-EG"/>
        </w:rPr>
      </w:pPr>
      <w:r w:rsidRPr="009E7540">
        <w:rPr>
          <w:rFonts w:hint="cs"/>
          <w:lang w:bidi="ar-EG"/>
        </w:rPr>
        <w:sym w:font="Symbol" w:char="F0B7"/>
      </w:r>
      <w:r w:rsidRPr="009E7540">
        <w:rPr>
          <w:rtl/>
          <w:lang w:bidi="ar"/>
        </w:rPr>
        <w:tab/>
      </w:r>
      <w:r w:rsidRPr="009E7540">
        <w:rPr>
          <w:rFonts w:hint="cs"/>
          <w:rtl/>
          <w:lang w:bidi="ar"/>
        </w:rPr>
        <w:t xml:space="preserve">قابلية تطبيق </w:t>
      </w:r>
      <w:r w:rsidRPr="009E7540">
        <w:rPr>
          <w:rFonts w:hint="cs"/>
          <w:rtl/>
        </w:rPr>
        <w:t>أحكام لوائح الاتصالات الدولية فيما يتعلق بتعزيز إتاحة خدمات وشبكات الاتصالات/تكنولوجيا المعلومات والاتصالات وتطويرها</w:t>
      </w:r>
      <w:r w:rsidRPr="009E7540">
        <w:rPr>
          <w:rFonts w:hint="cs"/>
          <w:rtl/>
          <w:lang w:bidi="ar"/>
        </w:rPr>
        <w:t>؛</w:t>
      </w:r>
    </w:p>
    <w:p w14:paraId="35586152" w14:textId="77777777" w:rsidR="009E7540" w:rsidRPr="009E7540" w:rsidRDefault="009E7540" w:rsidP="009E7540">
      <w:pPr>
        <w:pStyle w:val="enumlev1"/>
        <w:rPr>
          <w:lang w:bidi="ar-EG"/>
        </w:rPr>
      </w:pPr>
      <w:r w:rsidRPr="009E7540">
        <w:rPr>
          <w:rFonts w:hint="cs"/>
          <w:lang w:bidi="ar-EG"/>
        </w:rPr>
        <w:sym w:font="Symbol" w:char="F0B7"/>
      </w:r>
      <w:r w:rsidRPr="009E7540">
        <w:rPr>
          <w:rtl/>
          <w:lang w:bidi="ar"/>
        </w:rPr>
        <w:tab/>
      </w:r>
      <w:r w:rsidRPr="009E7540">
        <w:rPr>
          <w:rFonts w:hint="cs"/>
          <w:rtl/>
        </w:rPr>
        <w:t>مرونة، أو عدم مرونة، أحكام لوائح الاتصالات الدولية لاستيعاب الاتجاهات الجديدة في الاتصالات/تكنولوجيا المعلومات والاتصالات والقضايا الناشئة في بيئة الاتصالات/تكنولوجيا المعلومات والاتصالات الدولية؛</w:t>
      </w:r>
    </w:p>
    <w:p w14:paraId="1A9A552B" w14:textId="77777777" w:rsidR="009E7540" w:rsidRPr="009E7540" w:rsidRDefault="009E7540" w:rsidP="009E7540">
      <w:pPr>
        <w:pStyle w:val="enumlev1"/>
        <w:rPr>
          <w:rtl/>
        </w:rPr>
      </w:pPr>
      <w:r w:rsidRPr="009E7540">
        <w:rPr>
          <w:rFonts w:hint="cs"/>
          <w:lang w:bidi="ar-EG"/>
        </w:rPr>
        <w:sym w:font="Symbol" w:char="F0B7"/>
      </w:r>
      <w:r w:rsidRPr="009E7540">
        <w:rPr>
          <w:rtl/>
          <w:lang w:bidi="ar"/>
        </w:rPr>
        <w:tab/>
      </w:r>
      <w:r w:rsidRPr="009E7540">
        <w:rPr>
          <w:rFonts w:hint="cs"/>
          <w:rtl/>
          <w:lang w:bidi="ar"/>
        </w:rPr>
        <w:t>تكاليف عقد مؤتمر عالمي جديد للاتصالات الدولية؛</w:t>
      </w:r>
    </w:p>
    <w:p w14:paraId="2DC205F3" w14:textId="77777777" w:rsidR="009E7540" w:rsidRPr="009E7540" w:rsidRDefault="009E7540" w:rsidP="009E7540">
      <w:pPr>
        <w:pStyle w:val="enumlev1"/>
        <w:rPr>
          <w:lang w:bidi="ar-EG"/>
        </w:rPr>
      </w:pPr>
      <w:r w:rsidRPr="009E7540">
        <w:rPr>
          <w:rFonts w:hint="cs"/>
          <w:lang w:bidi="ar-EG"/>
        </w:rPr>
        <w:sym w:font="Symbol" w:char="F0B7"/>
      </w:r>
      <w:r w:rsidRPr="009E7540">
        <w:rPr>
          <w:rtl/>
          <w:lang w:bidi="ar"/>
        </w:rPr>
        <w:tab/>
      </w:r>
      <w:r w:rsidRPr="009E7540">
        <w:rPr>
          <w:rFonts w:hint="cs"/>
          <w:rtl/>
          <w:lang w:bidi="ar"/>
        </w:rPr>
        <w:t>الآثار المترتبة فيما يتعلق بالتعاون الدولي وسمعة الاتحاد.</w:t>
      </w:r>
    </w:p>
    <w:p w14:paraId="076AFF04" w14:textId="77777777" w:rsidR="009E7540" w:rsidRPr="009E7540" w:rsidRDefault="009E7540" w:rsidP="009E7540">
      <w:pPr>
        <w:pStyle w:val="Headingb"/>
      </w:pPr>
      <w:bookmarkStart w:id="2" w:name="_Hlk18404048"/>
      <w:r w:rsidRPr="009E7540">
        <w:rPr>
          <w:rFonts w:hint="cs"/>
          <w:rtl/>
        </w:rPr>
        <w:t xml:space="preserve">قابلية تطبيق ومرونة لوائح الاتصالات الدولية </w:t>
      </w:r>
      <w:bookmarkEnd w:id="2"/>
      <w:r w:rsidRPr="009E7540">
        <w:rPr>
          <w:rFonts w:hint="cs"/>
          <w:rtl/>
        </w:rPr>
        <w:t>لاستيعاب الاتجاهات الجديدة والقضايا الناشئة في مجال الاتصالات/تكنولوجيا المعلومات والاتصالات</w:t>
      </w:r>
    </w:p>
    <w:p w14:paraId="2EC5F7B9" w14:textId="710EC11A" w:rsidR="009E7540" w:rsidRPr="00FA5BB5" w:rsidRDefault="009E7540" w:rsidP="009E7540">
      <w:pPr>
        <w:rPr>
          <w:spacing w:val="4"/>
          <w:rtl/>
        </w:rPr>
      </w:pPr>
      <w:r w:rsidRPr="00FA5BB5">
        <w:rPr>
          <w:rFonts w:hint="cs"/>
          <w:spacing w:val="4"/>
          <w:rtl/>
        </w:rPr>
        <w:t xml:space="preserve">يمكن دراسة قابلية تطبيق لوائح الاتصالات الدولية ومرونتها استناداً إلى: </w:t>
      </w:r>
      <w:r w:rsidRPr="00FA5BB5">
        <w:rPr>
          <w:rFonts w:hint="cs"/>
          <w:spacing w:val="4"/>
          <w:rtl/>
          <w:lang w:bidi="ar-EG"/>
        </w:rPr>
        <w:t>’</w:t>
      </w:r>
      <w:r w:rsidRPr="00FA5BB5">
        <w:rPr>
          <w:spacing w:val="4"/>
          <w:lang w:bidi="ar-EG"/>
        </w:rPr>
        <w:t>1</w:t>
      </w:r>
      <w:r w:rsidRPr="00FA5BB5">
        <w:rPr>
          <w:rFonts w:hint="cs"/>
          <w:spacing w:val="4"/>
          <w:rtl/>
          <w:lang w:bidi="ar-EG"/>
        </w:rPr>
        <w:t>‘</w:t>
      </w:r>
      <w:r w:rsidR="008E3F92">
        <w:rPr>
          <w:rFonts w:hint="eastAsia"/>
          <w:spacing w:val="4"/>
          <w:rtl/>
          <w:lang w:bidi="ar-EG"/>
        </w:rPr>
        <w:t> </w:t>
      </w:r>
      <w:r w:rsidRPr="00FA5BB5">
        <w:rPr>
          <w:rFonts w:hint="cs"/>
          <w:spacing w:val="4"/>
          <w:rtl/>
          <w:lang w:bidi="ar-EG"/>
        </w:rPr>
        <w:t xml:space="preserve">وجهة نظر كل دولة عضو بشأن الحاجة إلى </w:t>
      </w:r>
      <w:r w:rsidRPr="00FA5BB5">
        <w:rPr>
          <w:rFonts w:hint="cs"/>
          <w:spacing w:val="4"/>
          <w:rtl/>
        </w:rPr>
        <w:t xml:space="preserve">لوائح الاتصالات الدولية، </w:t>
      </w:r>
      <w:r w:rsidR="008E3F92">
        <w:rPr>
          <w:rFonts w:hint="cs"/>
          <w:spacing w:val="4"/>
          <w:rtl/>
          <w:lang w:bidi="ar-EG"/>
        </w:rPr>
        <w:t>و</w:t>
      </w:r>
      <w:r w:rsidRPr="00FA5BB5">
        <w:rPr>
          <w:rFonts w:hint="cs"/>
          <w:spacing w:val="4"/>
          <w:rtl/>
          <w:lang w:bidi="ar-EG"/>
        </w:rPr>
        <w:t>’</w:t>
      </w:r>
      <w:r w:rsidRPr="00FA5BB5">
        <w:rPr>
          <w:spacing w:val="4"/>
          <w:lang w:bidi="ar-EG"/>
        </w:rPr>
        <w:t>2</w:t>
      </w:r>
      <w:r w:rsidRPr="00FA5BB5">
        <w:rPr>
          <w:rFonts w:hint="cs"/>
          <w:spacing w:val="4"/>
          <w:rtl/>
          <w:lang w:bidi="ar-EG"/>
        </w:rPr>
        <w:t>‘</w:t>
      </w:r>
      <w:r w:rsidR="008E3F92">
        <w:rPr>
          <w:rFonts w:hint="eastAsia"/>
          <w:spacing w:val="4"/>
          <w:rtl/>
          <w:lang w:bidi="ar-EG"/>
        </w:rPr>
        <w:t> </w:t>
      </w:r>
      <w:r w:rsidRPr="00FA5BB5">
        <w:rPr>
          <w:rFonts w:hint="cs"/>
          <w:spacing w:val="4"/>
          <w:rtl/>
        </w:rPr>
        <w:t xml:space="preserve">مجال تطبيق لوائح الاتصالات الدولية، </w:t>
      </w:r>
      <w:r w:rsidR="008E3F92">
        <w:rPr>
          <w:rFonts w:hint="cs"/>
          <w:spacing w:val="4"/>
          <w:rtl/>
        </w:rPr>
        <w:t>و</w:t>
      </w:r>
      <w:r w:rsidRPr="00FA5BB5">
        <w:rPr>
          <w:rFonts w:hint="cs"/>
          <w:spacing w:val="4"/>
          <w:rtl/>
          <w:lang w:bidi="ar-EG"/>
        </w:rPr>
        <w:t>’</w:t>
      </w:r>
      <w:r w:rsidRPr="00FA5BB5">
        <w:rPr>
          <w:spacing w:val="4"/>
          <w:lang w:bidi="ar-EG"/>
        </w:rPr>
        <w:t>3</w:t>
      </w:r>
      <w:r w:rsidRPr="00FA5BB5">
        <w:rPr>
          <w:rFonts w:hint="cs"/>
          <w:spacing w:val="4"/>
          <w:rtl/>
          <w:lang w:bidi="ar-EG"/>
        </w:rPr>
        <w:t>‘</w:t>
      </w:r>
      <w:r w:rsidR="008E3F92">
        <w:rPr>
          <w:rFonts w:hint="eastAsia"/>
          <w:spacing w:val="4"/>
          <w:rtl/>
          <w:lang w:bidi="ar-EG"/>
        </w:rPr>
        <w:t> </w:t>
      </w:r>
      <w:r w:rsidRPr="00FA5BB5">
        <w:rPr>
          <w:rFonts w:hint="cs"/>
          <w:spacing w:val="4"/>
          <w:rtl/>
        </w:rPr>
        <w:t>وتيرة الابتكار في مجال الاتصالات/تكنولوجيا المعلومات والاتصالات.</w:t>
      </w:r>
    </w:p>
    <w:p w14:paraId="7BBD41AE" w14:textId="77777777" w:rsidR="009E7540" w:rsidRPr="009E7540" w:rsidRDefault="009E7540" w:rsidP="0062173B">
      <w:pPr>
        <w:keepNext/>
        <w:rPr>
          <w:lang w:bidi="ar-EG"/>
        </w:rPr>
      </w:pPr>
      <w:r w:rsidRPr="009E7540">
        <w:rPr>
          <w:rFonts w:hint="cs"/>
          <w:b/>
          <w:bCs/>
          <w:rtl/>
          <w:lang w:bidi="ar-EG"/>
        </w:rPr>
        <w:t>’</w:t>
      </w:r>
      <w:r w:rsidRPr="009E7540">
        <w:rPr>
          <w:b/>
          <w:bCs/>
          <w:lang w:bidi="ar-EG"/>
        </w:rPr>
        <w:t>1</w:t>
      </w:r>
      <w:r w:rsidRPr="009E7540">
        <w:rPr>
          <w:rFonts w:hint="cs"/>
          <w:b/>
          <w:bCs/>
          <w:rtl/>
          <w:lang w:bidi="ar-EG"/>
        </w:rPr>
        <w:t>‘</w:t>
      </w:r>
      <w:r w:rsidRPr="009E7540">
        <w:rPr>
          <w:b/>
          <w:bCs/>
          <w:rtl/>
          <w:lang w:bidi="ar-EG"/>
        </w:rPr>
        <w:tab/>
      </w:r>
      <w:r w:rsidRPr="009E7540">
        <w:rPr>
          <w:rFonts w:hint="cs"/>
          <w:b/>
          <w:bCs/>
          <w:rtl/>
        </w:rPr>
        <w:t>فيما يتعلق بوجهات النظر بشأن لوائح الاتصالات الدولية.</w:t>
      </w:r>
      <w:r w:rsidRPr="009E7540">
        <w:rPr>
          <w:rFonts w:hint="cs"/>
          <w:rtl/>
        </w:rPr>
        <w:t xml:space="preserve"> </w:t>
      </w:r>
      <w:r w:rsidRPr="009E7540">
        <w:rPr>
          <w:rFonts w:hint="cs"/>
          <w:rtl/>
          <w:lang w:bidi="ar"/>
        </w:rPr>
        <w:t>تسود وجهتا نظر بشأن لوائح الاتصالات الدولية:</w:t>
      </w:r>
    </w:p>
    <w:p w14:paraId="268DA95F" w14:textId="77777777" w:rsidR="009E7540" w:rsidRPr="009E7540" w:rsidRDefault="009E7540" w:rsidP="0062173B">
      <w:pPr>
        <w:pStyle w:val="enumlev1"/>
        <w:rPr>
          <w:lang w:bidi="ar-EG"/>
        </w:rPr>
      </w:pPr>
      <w:r w:rsidRPr="009E7540">
        <w:rPr>
          <w:lang w:bidi="ar-EG"/>
        </w:rPr>
        <w:t>1</w:t>
      </w:r>
      <w:r w:rsidRPr="009E7540">
        <w:rPr>
          <w:rtl/>
          <w:lang w:bidi="ar-EG"/>
        </w:rPr>
        <w:tab/>
      </w:r>
      <w:r w:rsidRPr="009E7540">
        <w:rPr>
          <w:rFonts w:hint="cs"/>
          <w:rtl/>
          <w:lang w:bidi="ar"/>
        </w:rPr>
        <w:t xml:space="preserve">"الرأي </w:t>
      </w:r>
      <w:r w:rsidRPr="009E7540">
        <w:rPr>
          <w:lang w:bidi="ar-EG"/>
        </w:rPr>
        <w:t>1</w:t>
      </w:r>
      <w:r w:rsidRPr="009E7540">
        <w:rPr>
          <w:rFonts w:hint="cs"/>
          <w:rtl/>
          <w:lang w:bidi="ar"/>
        </w:rPr>
        <w:t>": لا لزوم للوائح الاتصالات الدولية لأن المنافسة في السوق والسياسات التنظيمية الوطنية والاتفاقات الثنائية تكفي لتقديم الاتصالات/تكنولوجيا المعلومات والاتصالات بالشكل الأمثل على الصعيد العالمي؛</w:t>
      </w:r>
    </w:p>
    <w:p w14:paraId="23A7706A" w14:textId="7BF4E393" w:rsidR="009E7540" w:rsidRPr="009E7540" w:rsidRDefault="009E7540" w:rsidP="0062173B">
      <w:pPr>
        <w:pStyle w:val="enumlev1"/>
        <w:rPr>
          <w:lang w:bidi="ar-EG"/>
        </w:rPr>
      </w:pPr>
      <w:r w:rsidRPr="009E7540">
        <w:rPr>
          <w:lang w:bidi="ar-EG"/>
        </w:rPr>
        <w:t>2</w:t>
      </w:r>
      <w:r w:rsidRPr="009E7540">
        <w:rPr>
          <w:rtl/>
          <w:lang w:bidi="ar-EG"/>
        </w:rPr>
        <w:tab/>
      </w:r>
      <w:r w:rsidRPr="009E7540">
        <w:rPr>
          <w:rFonts w:hint="cs"/>
          <w:rtl/>
          <w:lang w:bidi="ar"/>
        </w:rPr>
        <w:t xml:space="preserve">"الرأي </w:t>
      </w:r>
      <w:r w:rsidRPr="009E7540">
        <w:rPr>
          <w:lang w:bidi="ar-EG"/>
        </w:rPr>
        <w:t>2</w:t>
      </w:r>
      <w:r w:rsidRPr="009E7540">
        <w:rPr>
          <w:rFonts w:hint="cs"/>
          <w:rtl/>
          <w:lang w:bidi="ar"/>
        </w:rPr>
        <w:t xml:space="preserve">": لوائح الاتصالات الدولية ضرورية لأنها تضع مبادئ مشتركة لتمكين </w:t>
      </w:r>
      <w:r w:rsidR="0062173B">
        <w:rPr>
          <w:rFonts w:hint="cs"/>
          <w:rtl/>
          <w:lang w:bidi="ar"/>
        </w:rPr>
        <w:t>وتوفير</w:t>
      </w:r>
      <w:r w:rsidRPr="009E7540">
        <w:rPr>
          <w:rFonts w:hint="cs"/>
          <w:rtl/>
          <w:lang w:bidi="ar"/>
        </w:rPr>
        <w:t xml:space="preserve"> الاتصالات/تكنولوجيا المعلومات والاتصالات بالشكل الأمثل على الصعيد العالمي.</w:t>
      </w:r>
    </w:p>
    <w:p w14:paraId="60637480" w14:textId="20FFF509" w:rsidR="009E7540" w:rsidRPr="009E7540" w:rsidRDefault="009E7540" w:rsidP="0062173B">
      <w:pPr>
        <w:rPr>
          <w:rtl/>
          <w:lang w:bidi="ar"/>
        </w:rPr>
      </w:pPr>
      <w:r w:rsidRPr="009E7540">
        <w:rPr>
          <w:rFonts w:hint="cs"/>
          <w:rtl/>
          <w:lang w:bidi="ar"/>
        </w:rPr>
        <w:t xml:space="preserve">ويقع الرأيان </w:t>
      </w:r>
      <w:r w:rsidRPr="009E7540">
        <w:rPr>
          <w:lang w:bidi="ar-EG"/>
        </w:rPr>
        <w:t>1</w:t>
      </w:r>
      <w:r w:rsidRPr="009E7540">
        <w:rPr>
          <w:rFonts w:hint="cs"/>
          <w:rtl/>
          <w:lang w:bidi="ar"/>
        </w:rPr>
        <w:t xml:space="preserve"> و</w:t>
      </w:r>
      <w:r w:rsidRPr="009E7540">
        <w:rPr>
          <w:lang w:bidi="ar-EG"/>
        </w:rPr>
        <w:t>2</w:t>
      </w:r>
      <w:r w:rsidRPr="009E7540">
        <w:rPr>
          <w:rFonts w:hint="cs"/>
          <w:rtl/>
          <w:lang w:bidi="ar"/>
        </w:rPr>
        <w:t xml:space="preserve"> على طرفي نقيض. وبما أن الانضمام إلى لوائح الاتصالات الدولية أمر اختياري، إذا استمر تضاد الآراء بشأن </w:t>
      </w:r>
      <w:r w:rsidRPr="009E7540">
        <w:rPr>
          <w:rFonts w:hint="cs"/>
          <w:b/>
          <w:rtl/>
          <w:lang w:bidi="ar"/>
        </w:rPr>
        <w:t xml:space="preserve">قابلية تطبيق </w:t>
      </w:r>
      <w:r w:rsidRPr="009E7540">
        <w:rPr>
          <w:rFonts w:hint="cs"/>
          <w:rtl/>
          <w:lang w:bidi="ar"/>
        </w:rPr>
        <w:t xml:space="preserve">لوائح الاتصالات الدولية، </w:t>
      </w:r>
      <w:r w:rsidRPr="005A6551">
        <w:rPr>
          <w:rFonts w:hint="cs"/>
          <w:rtl/>
          <w:lang w:bidi="ar"/>
        </w:rPr>
        <w:t xml:space="preserve">سيسفر </w:t>
      </w:r>
      <w:r w:rsidR="005A6551" w:rsidRPr="005A6551">
        <w:rPr>
          <w:rFonts w:hint="cs"/>
          <w:rtl/>
          <w:lang w:bidi="ar"/>
        </w:rPr>
        <w:t>أي مؤتمر عالمي جديد</w:t>
      </w:r>
      <w:r w:rsidRPr="005A6551">
        <w:rPr>
          <w:rFonts w:hint="cs"/>
          <w:rtl/>
          <w:lang w:bidi="ar"/>
        </w:rPr>
        <w:t xml:space="preserve"> للاتصالات الدولية</w:t>
      </w:r>
      <w:r w:rsidRPr="009E7540">
        <w:rPr>
          <w:rFonts w:hint="cs"/>
          <w:rtl/>
          <w:lang w:bidi="ar"/>
        </w:rPr>
        <w:t xml:space="preserve"> عن نفس النتائج التي أسفر عنها المؤتمر العالمي للاتصالات الدولية لعام </w:t>
      </w:r>
      <w:r w:rsidRPr="009E7540">
        <w:rPr>
          <w:lang w:bidi="ar-EG"/>
        </w:rPr>
        <w:t>2012</w:t>
      </w:r>
      <w:r w:rsidRPr="009E7540">
        <w:rPr>
          <w:rFonts w:hint="cs"/>
          <w:rtl/>
          <w:lang w:bidi="ar"/>
        </w:rPr>
        <w:t>: عدم توافق في الآراء، وشقاق بين الدول الأعضاء.</w:t>
      </w:r>
      <w:r w:rsidR="0062173B">
        <w:rPr>
          <w:rFonts w:hint="cs"/>
          <w:rtl/>
          <w:lang w:bidi="ar"/>
        </w:rPr>
        <w:t xml:space="preserve"> </w:t>
      </w:r>
      <w:r w:rsidRPr="009E7540">
        <w:rPr>
          <w:rFonts w:hint="cs"/>
          <w:rtl/>
          <w:lang w:bidi="ar"/>
        </w:rPr>
        <w:t>وحتى بين البلدان الموقعة، لا</w:t>
      </w:r>
      <w:r w:rsidRPr="009E7540">
        <w:rPr>
          <w:rFonts w:hint="eastAsia"/>
          <w:rtl/>
          <w:lang w:bidi="ar"/>
        </w:rPr>
        <w:t> </w:t>
      </w:r>
      <w:r w:rsidRPr="009E7540">
        <w:rPr>
          <w:rFonts w:hint="cs"/>
          <w:rtl/>
          <w:lang w:bidi="ar"/>
        </w:rPr>
        <w:t>توجد هيئات عليا للإشراف على الامتثال للوائح الاتصالات الدولية وإنفاذها، وبالتالي فإن فعالية لوائح الاتصالات الدولية وقابليتها للتطبيق تعتمد أساساً على التزام استباقي طوعي بالتعاون لحل المشاكل المشتركة في</w:t>
      </w:r>
      <w:r w:rsidRPr="009E7540">
        <w:rPr>
          <w:rFonts w:hint="eastAsia"/>
          <w:rtl/>
          <w:lang w:bidi="ar"/>
        </w:rPr>
        <w:t> </w:t>
      </w:r>
      <w:r w:rsidR="0062173B">
        <w:rPr>
          <w:rFonts w:hint="cs"/>
          <w:rtl/>
          <w:lang w:bidi="ar"/>
        </w:rPr>
        <w:t>توفير</w:t>
      </w:r>
      <w:r w:rsidRPr="009E7540">
        <w:rPr>
          <w:rFonts w:hint="cs"/>
          <w:rtl/>
          <w:lang w:bidi="ar"/>
        </w:rPr>
        <w:t xml:space="preserve"> الاتصالات/تكنولوجيا المعلومات والاتصالات على الصعيد العالمي.</w:t>
      </w:r>
    </w:p>
    <w:p w14:paraId="627936C1" w14:textId="7EADDEDD" w:rsidR="009E7540" w:rsidRPr="009E7540" w:rsidRDefault="009E7540" w:rsidP="009E7540">
      <w:pPr>
        <w:rPr>
          <w:rtl/>
          <w:lang w:bidi="ar"/>
        </w:rPr>
      </w:pPr>
      <w:r w:rsidRPr="009E7540">
        <w:rPr>
          <w:rFonts w:hint="cs"/>
          <w:rtl/>
          <w:lang w:bidi="ar"/>
        </w:rPr>
        <w:t xml:space="preserve">ويتوقف قرار مراجعة لوائح الاتصالات الدولية وعقد مؤتمر عالمي جديد للاتصالات الدولية على توافق إجمالي أو توافق أغلبية كبيرة على أن لوائح الاتصالات الدولية مهمة </w:t>
      </w:r>
      <w:r w:rsidR="0062173B">
        <w:rPr>
          <w:rFonts w:hint="cs"/>
          <w:rtl/>
          <w:lang w:bidi="ar"/>
        </w:rPr>
        <w:t>لتوفير</w:t>
      </w:r>
      <w:r w:rsidRPr="009E7540">
        <w:rPr>
          <w:rFonts w:hint="cs"/>
          <w:rtl/>
          <w:lang w:bidi="ar"/>
        </w:rPr>
        <w:t xml:space="preserve"> الاتصالات/تكنولوجيا المعلومات والاتصالات </w:t>
      </w:r>
      <w:r w:rsidR="0062173B">
        <w:rPr>
          <w:rFonts w:hint="cs"/>
          <w:rtl/>
          <w:lang w:bidi="ar"/>
        </w:rPr>
        <w:t xml:space="preserve">بالشكل الأمثل </w:t>
      </w:r>
      <w:r w:rsidRPr="009E7540">
        <w:rPr>
          <w:rFonts w:hint="cs"/>
          <w:rtl/>
          <w:lang w:bidi="ar"/>
        </w:rPr>
        <w:t xml:space="preserve">وتمكينها عبر الحدود. وبعبارة أخرى، ينبغي التوصل إلى تقارب شبه تام مع الرأي </w:t>
      </w:r>
      <w:r w:rsidRPr="009E7540">
        <w:rPr>
          <w:lang w:bidi="ar-EG"/>
        </w:rPr>
        <w:t>2</w:t>
      </w:r>
      <w:r w:rsidRPr="009E7540">
        <w:rPr>
          <w:rFonts w:hint="cs"/>
          <w:rtl/>
          <w:lang w:bidi="ar"/>
        </w:rPr>
        <w:t xml:space="preserve"> قبل اتخاذ مثل هذا القرار.</w:t>
      </w:r>
    </w:p>
    <w:p w14:paraId="5F36654D" w14:textId="68385436" w:rsidR="009E7540" w:rsidRPr="006E154C" w:rsidRDefault="009E7540" w:rsidP="009E7540">
      <w:pPr>
        <w:rPr>
          <w:lang w:bidi="ar-EG"/>
        </w:rPr>
      </w:pPr>
      <w:r w:rsidRPr="006E154C">
        <w:rPr>
          <w:rFonts w:hint="cs"/>
          <w:b/>
          <w:bCs/>
          <w:rtl/>
          <w:lang w:bidi="ar-EG"/>
        </w:rPr>
        <w:t>’</w:t>
      </w:r>
      <w:r w:rsidR="0062173B" w:rsidRPr="006E154C">
        <w:rPr>
          <w:b/>
          <w:bCs/>
          <w:lang w:bidi="ar-EG"/>
        </w:rPr>
        <w:t>2</w:t>
      </w:r>
      <w:r w:rsidRPr="006E154C">
        <w:rPr>
          <w:rFonts w:hint="cs"/>
          <w:b/>
          <w:bCs/>
          <w:rtl/>
          <w:lang w:bidi="ar-EG"/>
        </w:rPr>
        <w:t>‘</w:t>
      </w:r>
      <w:r w:rsidRPr="006E154C">
        <w:rPr>
          <w:b/>
          <w:bCs/>
          <w:rtl/>
          <w:lang w:bidi="ar-EG"/>
        </w:rPr>
        <w:tab/>
      </w:r>
      <w:r w:rsidRPr="006E154C">
        <w:rPr>
          <w:rFonts w:hint="cs"/>
          <w:b/>
          <w:bCs/>
          <w:rtl/>
          <w:lang w:bidi="ar"/>
        </w:rPr>
        <w:t>فيما يتعلق بمجال تطبيق لوائح الاتصالات الدولية</w:t>
      </w:r>
      <w:r w:rsidRPr="006E154C">
        <w:rPr>
          <w:rFonts w:hint="cs"/>
          <w:rtl/>
          <w:lang w:bidi="ar"/>
        </w:rPr>
        <w:t xml:space="preserve">، تواجه كل دولة من الدول الأعضاء في الاتحاد البالغ عددها </w:t>
      </w:r>
      <w:r w:rsidRPr="006E154C">
        <w:rPr>
          <w:lang w:bidi="ar-EG"/>
        </w:rPr>
        <w:t>193</w:t>
      </w:r>
      <w:r w:rsidRPr="006E154C">
        <w:rPr>
          <w:rFonts w:hint="eastAsia"/>
          <w:rtl/>
          <w:lang w:bidi="ar"/>
        </w:rPr>
        <w:t> </w:t>
      </w:r>
      <w:r w:rsidRPr="006E154C">
        <w:rPr>
          <w:rFonts w:hint="cs"/>
          <w:rtl/>
          <w:lang w:bidi="ar"/>
        </w:rPr>
        <w:t>دولة تحديات تنظيمية تنفرد بها تبعاً للسياق، ومستوى التطور التقني/الاقتصادي في كل سوق وطني</w:t>
      </w:r>
      <w:r w:rsidR="0062173B" w:rsidRPr="006E154C">
        <w:rPr>
          <w:rFonts w:hint="cs"/>
          <w:rtl/>
          <w:lang w:bidi="ar-EG"/>
        </w:rPr>
        <w:t>ة</w:t>
      </w:r>
      <w:r w:rsidRPr="006E154C">
        <w:rPr>
          <w:rFonts w:hint="cs"/>
          <w:rtl/>
          <w:lang w:bidi="ar"/>
        </w:rPr>
        <w:t xml:space="preserve">، والحاجة إلى التدخل/التنظيم، وأصحاب المصلحة المعنيين. فلوائح الاتصالات الدولية ليست فعّالة </w:t>
      </w:r>
      <w:r w:rsidRPr="006E154C">
        <w:rPr>
          <w:rFonts w:hint="cs"/>
          <w:rtl/>
          <w:lang w:bidi="ar-EG"/>
        </w:rPr>
        <w:t xml:space="preserve">في </w:t>
      </w:r>
      <w:r w:rsidRPr="006E154C">
        <w:rPr>
          <w:rFonts w:hint="cs"/>
          <w:rtl/>
          <w:lang w:bidi="ar"/>
        </w:rPr>
        <w:t>حل مشاكل ذات مجال تطبيق محدود ويقتصر تأثيرها على بعض البلدان. وينبغي أن تحدد لوائح الاتصالات الدولية قواعد مشتركة لإدارة الترابط بين جميع البلدان في تقديم الاتصالات/تكنولوجيا المعلومات والاتصالات، وينبغي أن تعبِّر عن الالتزامات الثلاثة التالية من جانب الموقعين عليها</w:t>
      </w:r>
      <w:r w:rsidRPr="006E154C">
        <w:rPr>
          <w:rStyle w:val="FootnoteReference"/>
          <w:rtl/>
          <w:lang w:bidi="ar"/>
        </w:rPr>
        <w:footnoteReference w:id="1"/>
      </w:r>
      <w:r w:rsidRPr="006E154C">
        <w:rPr>
          <w:rFonts w:hint="cs"/>
          <w:rtl/>
          <w:lang w:bidi="ar"/>
        </w:rPr>
        <w:t>:</w:t>
      </w:r>
    </w:p>
    <w:p w14:paraId="44D916FC" w14:textId="77777777" w:rsidR="009E7540" w:rsidRPr="009E7540" w:rsidRDefault="009E7540" w:rsidP="0062173B">
      <w:pPr>
        <w:pStyle w:val="enumlev1"/>
        <w:rPr>
          <w:lang w:bidi="ar-EG"/>
        </w:rPr>
      </w:pPr>
      <w:r w:rsidRPr="009E7540">
        <w:rPr>
          <w:rFonts w:hint="cs"/>
          <w:lang w:bidi="ar-EG"/>
        </w:rPr>
        <w:sym w:font="Symbol" w:char="F0B7"/>
      </w:r>
      <w:r w:rsidRPr="009E7540">
        <w:rPr>
          <w:rtl/>
          <w:lang w:bidi="ar"/>
        </w:rPr>
        <w:tab/>
      </w:r>
      <w:r w:rsidRPr="009E7540">
        <w:rPr>
          <w:rFonts w:hint="cs"/>
          <w:rtl/>
          <w:lang w:bidi="ar"/>
        </w:rPr>
        <w:t>تعزيز الإدارة الوطنية للتداعيات العابرة للحدود؛</w:t>
      </w:r>
    </w:p>
    <w:p w14:paraId="57539D7C" w14:textId="77777777" w:rsidR="009E7540" w:rsidRPr="009E7540" w:rsidRDefault="009E7540" w:rsidP="0062173B">
      <w:pPr>
        <w:pStyle w:val="enumlev1"/>
        <w:rPr>
          <w:lang w:bidi="ar-EG"/>
        </w:rPr>
      </w:pPr>
      <w:r w:rsidRPr="009E7540">
        <w:rPr>
          <w:rFonts w:hint="cs"/>
          <w:lang w:bidi="ar-EG"/>
        </w:rPr>
        <w:sym w:font="Symbol" w:char="F0B7"/>
      </w:r>
      <w:r w:rsidRPr="009E7540">
        <w:rPr>
          <w:rtl/>
          <w:lang w:bidi="ar"/>
        </w:rPr>
        <w:tab/>
      </w:r>
      <w:r w:rsidRPr="009E7540">
        <w:rPr>
          <w:rFonts w:hint="cs"/>
          <w:rtl/>
          <w:lang w:bidi="ar"/>
        </w:rPr>
        <w:t>حماية سيادة أي دولة إذا تعرضت لهجوم؛</w:t>
      </w:r>
    </w:p>
    <w:p w14:paraId="3DCD7304" w14:textId="7B85F70E" w:rsidR="009E7540" w:rsidRPr="009E7540" w:rsidRDefault="009E7540" w:rsidP="0062173B">
      <w:pPr>
        <w:pStyle w:val="enumlev1"/>
        <w:rPr>
          <w:lang w:bidi="ar-EG"/>
        </w:rPr>
      </w:pPr>
      <w:r w:rsidRPr="009E7540">
        <w:rPr>
          <w:rFonts w:hint="cs"/>
          <w:lang w:bidi="ar-EG"/>
        </w:rPr>
        <w:sym w:font="Symbol" w:char="F0B7"/>
      </w:r>
      <w:r w:rsidRPr="009E7540">
        <w:rPr>
          <w:rtl/>
          <w:lang w:bidi="ar"/>
        </w:rPr>
        <w:tab/>
      </w:r>
      <w:r w:rsidRPr="009E7540">
        <w:rPr>
          <w:rFonts w:hint="cs"/>
          <w:rtl/>
          <w:lang w:bidi="ar"/>
        </w:rPr>
        <w:t>التعاون في التخفيف من المخاطر التي يتعرض لها النظام العالمي.</w:t>
      </w:r>
    </w:p>
    <w:p w14:paraId="0DC2398C" w14:textId="55600462" w:rsidR="009E7540" w:rsidRPr="00057EBB" w:rsidRDefault="009E7540" w:rsidP="009E7540">
      <w:pPr>
        <w:rPr>
          <w:spacing w:val="2"/>
          <w:lang w:bidi="ar-EG"/>
        </w:rPr>
      </w:pPr>
      <w:r w:rsidRPr="00057EBB">
        <w:rPr>
          <w:rFonts w:hint="cs"/>
          <w:spacing w:val="2"/>
          <w:rtl/>
          <w:lang w:bidi="ar"/>
        </w:rPr>
        <w:t>ولكي تكون لوائح الاتصالات الدولية قابلة للتطبيق، ينبغي لجميع الدول الأعضاء أن تكون مستعدة للالتزام بشدة بهذه الأهداف الثلاثة للتعاون</w:t>
      </w:r>
      <w:r w:rsidR="00643464" w:rsidRPr="00057EBB">
        <w:rPr>
          <w:rFonts w:hint="cs"/>
          <w:spacing w:val="2"/>
          <w:rtl/>
          <w:lang w:bidi="ar"/>
        </w:rPr>
        <w:t xml:space="preserve"> </w:t>
      </w:r>
      <w:r w:rsidRPr="00057EBB">
        <w:rPr>
          <w:rFonts w:hint="cs"/>
          <w:spacing w:val="2"/>
          <w:rtl/>
          <w:lang w:bidi="ar"/>
        </w:rPr>
        <w:t>الدولي. وهذه واحدة من مشكلتين رئيسيتين في مناقشة لوائح الاتصالات الدولية في الوقت الحاضر: إذ تختلف الدول الأعضاء اختلافاً كبيرا</w:t>
      </w:r>
      <w:r w:rsidR="0062173B" w:rsidRPr="00057EBB">
        <w:rPr>
          <w:rFonts w:hint="cs"/>
          <w:spacing w:val="2"/>
          <w:rtl/>
          <w:lang w:bidi="ar"/>
        </w:rPr>
        <w:t>ً</w:t>
      </w:r>
      <w:r w:rsidRPr="00057EBB">
        <w:rPr>
          <w:rFonts w:hint="cs"/>
          <w:spacing w:val="2"/>
          <w:rtl/>
          <w:lang w:bidi="ar"/>
        </w:rPr>
        <w:t xml:space="preserve"> فيما يتصل بكيفية التعامل مع هذه الالتزامات. </w:t>
      </w:r>
      <w:r w:rsidR="0062173B" w:rsidRPr="00057EBB">
        <w:rPr>
          <w:rFonts w:hint="cs"/>
          <w:spacing w:val="2"/>
          <w:rtl/>
          <w:lang w:bidi="ar"/>
        </w:rPr>
        <w:t>ف</w:t>
      </w:r>
      <w:r w:rsidRPr="00057EBB">
        <w:rPr>
          <w:rFonts w:hint="cs"/>
          <w:spacing w:val="2"/>
          <w:rtl/>
          <w:lang w:bidi="ar"/>
        </w:rPr>
        <w:t xml:space="preserve">بعض الدول الأعضاء </w:t>
      </w:r>
      <w:r w:rsidR="004911E7" w:rsidRPr="00057EBB">
        <w:rPr>
          <w:rFonts w:hint="cs"/>
          <w:spacing w:val="2"/>
          <w:rtl/>
          <w:lang w:bidi="ar"/>
        </w:rPr>
        <w:t xml:space="preserve">تبرم </w:t>
      </w:r>
      <w:r w:rsidRPr="00057EBB">
        <w:rPr>
          <w:rFonts w:hint="cs"/>
          <w:spacing w:val="2"/>
          <w:rtl/>
          <w:lang w:bidi="ar"/>
        </w:rPr>
        <w:t>اتفاقات ثنائية أو إقليمية مع دول أعضاء أخرى. وتسعى دول أعضاء أخرى إلى إبرام اتفاق دولي شامل، مثل لوائح الاتصالات الدولية. وتعطي دول أعضاء أخرى الأولوية لسيادتها وتطبق سياسات وطنية لمعالجة القضايا العابرة للحدود. وفي الواقع، لا تتنافس الإجراءات المذكورة التي تقوم بها الدول الأعضاء بالضرورة؛ ويمكن أن تكون مكملة، وقد يكون ذلك بمثابة مبدأ توجيهي تسعى لوائح الاتصالات الدولية</w:t>
      </w:r>
      <w:r w:rsidR="00647595" w:rsidRPr="00057EBB">
        <w:rPr>
          <w:rFonts w:hint="eastAsia"/>
          <w:spacing w:val="2"/>
          <w:rtl/>
          <w:lang w:bidi="ar"/>
        </w:rPr>
        <w:t> </w:t>
      </w:r>
      <w:r w:rsidRPr="00057EBB">
        <w:rPr>
          <w:rFonts w:hint="cs"/>
          <w:spacing w:val="2"/>
          <w:rtl/>
          <w:lang w:bidi="ar"/>
        </w:rPr>
        <w:t>لتحقيقه.</w:t>
      </w:r>
    </w:p>
    <w:p w14:paraId="6F266235" w14:textId="0D16304D" w:rsidR="009E7540" w:rsidRPr="009E7540" w:rsidRDefault="009E7540" w:rsidP="009E7540">
      <w:pPr>
        <w:rPr>
          <w:lang w:val="en-GB" w:bidi="ar-EG"/>
        </w:rPr>
      </w:pPr>
      <w:r w:rsidRPr="009E7540">
        <w:rPr>
          <w:rFonts w:hint="cs"/>
          <w:rtl/>
          <w:lang w:bidi="ar"/>
        </w:rPr>
        <w:t xml:space="preserve">والمشكلة الرئيسية الثانية هي عدد أصحاب المصلحة المعنيين وطبيعتهم. وعندما تمت الموافقة على لوائح الاتصالات الدولية لأول مرة في عام </w:t>
      </w:r>
      <w:r w:rsidRPr="009E7540">
        <w:rPr>
          <w:lang w:bidi="ar-EG"/>
        </w:rPr>
        <w:t>1988</w:t>
      </w:r>
      <w:r w:rsidRPr="009E7540">
        <w:rPr>
          <w:rFonts w:hint="cs"/>
          <w:rtl/>
          <w:lang w:bidi="ar"/>
        </w:rPr>
        <w:t>، كانت الشركات المملوكة للدولة</w:t>
      </w:r>
      <w:r w:rsidRPr="009E7540">
        <w:rPr>
          <w:rFonts w:hint="cs"/>
          <w:rtl/>
        </w:rPr>
        <w:t xml:space="preserve"> في الغالب الجهة المقدمة للخدمات المتعلقة ب</w:t>
      </w:r>
      <w:r w:rsidRPr="009E7540">
        <w:rPr>
          <w:rFonts w:hint="cs"/>
          <w:rtl/>
          <w:lang w:bidi="ar"/>
        </w:rPr>
        <w:t>الاتصالات/تكنولوجيا المعلومات والاتصالات، وبالتالي كانت الحكومات تمثل أصحاب المصلحة</w:t>
      </w:r>
      <w:bookmarkStart w:id="3" w:name="_GoBack"/>
      <w:bookmarkEnd w:id="3"/>
      <w:r w:rsidRPr="009E7540">
        <w:rPr>
          <w:rFonts w:hint="cs"/>
          <w:rtl/>
          <w:lang w:bidi="ar"/>
        </w:rPr>
        <w:t xml:space="preserve"> الأساسيين بصفتها مقدمة للخدمات، وجهة لإنفاذ الاتفاقات، و"الممثل" الرئيسي للمجتمع. وفي الوقت الحاضر، تمت خصخصة عملية إتاحة خدمات الاتصالات/تكنولوجيا المعلومات والاتصالات على مستويات ونطاقات مختلفة في معظم البلدان، ويمنح انتشار الإنترنت ووسائل التواصل الاجتماعي الجميع حق إسماع رأيهم، وقد تحول التنظيم إلى عملية تعاونية بين أصحاب المصلحة المتعددين، نظرا</w:t>
      </w:r>
      <w:r w:rsidR="004911E7">
        <w:rPr>
          <w:rFonts w:hint="cs"/>
          <w:rtl/>
          <w:lang w:bidi="ar"/>
        </w:rPr>
        <w:t>ً</w:t>
      </w:r>
      <w:r w:rsidRPr="009E7540">
        <w:rPr>
          <w:rFonts w:hint="cs"/>
          <w:rtl/>
          <w:lang w:bidi="ar"/>
        </w:rPr>
        <w:t xml:space="preserve"> لسرعة تطور الاتصالات/تكنولوجيا المعلومات والاتصالات الجديدة</w:t>
      </w:r>
      <w:r w:rsidR="004911E7">
        <w:rPr>
          <w:rFonts w:hint="cs"/>
          <w:rtl/>
          <w:lang w:bidi="ar"/>
        </w:rPr>
        <w:t xml:space="preserve"> واعتمادها</w:t>
      </w:r>
      <w:r w:rsidRPr="009E7540">
        <w:rPr>
          <w:rFonts w:hint="cs"/>
          <w:rtl/>
          <w:lang w:bidi="ar"/>
        </w:rPr>
        <w:t xml:space="preserve">. وعُززت مكانة القطاع الخاص والمجتمع المدني والمجتمع التقني في عملية </w:t>
      </w:r>
      <w:r w:rsidR="004911E7">
        <w:rPr>
          <w:rFonts w:hint="cs"/>
          <w:rtl/>
          <w:lang w:bidi="ar"/>
        </w:rPr>
        <w:t xml:space="preserve">الإدارة </w:t>
      </w:r>
      <w:r w:rsidRPr="009E7540">
        <w:rPr>
          <w:rFonts w:hint="cs"/>
          <w:rtl/>
          <w:lang w:bidi="ar"/>
        </w:rPr>
        <w:t>ما نتج عنه النمو "الهائل" لأصحاب المصلحة غير الحكوميين الذي</w:t>
      </w:r>
      <w:r w:rsidR="004911E7">
        <w:rPr>
          <w:rFonts w:hint="cs"/>
          <w:rtl/>
          <w:lang w:bidi="ar"/>
        </w:rPr>
        <w:t>ن</w:t>
      </w:r>
      <w:r w:rsidRPr="009E7540">
        <w:rPr>
          <w:rFonts w:hint="cs"/>
          <w:rtl/>
          <w:lang w:bidi="ar"/>
        </w:rPr>
        <w:t xml:space="preserve"> يتعيّن </w:t>
      </w:r>
      <w:r w:rsidR="004911E7">
        <w:rPr>
          <w:rFonts w:hint="cs"/>
          <w:rtl/>
          <w:lang w:bidi="ar"/>
        </w:rPr>
        <w:t xml:space="preserve">إشراكهم </w:t>
      </w:r>
      <w:r w:rsidRPr="009E7540">
        <w:rPr>
          <w:rFonts w:hint="cs"/>
          <w:rtl/>
          <w:lang w:bidi="ar"/>
        </w:rPr>
        <w:t xml:space="preserve">في </w:t>
      </w:r>
      <w:r w:rsidRPr="009E7540">
        <w:rPr>
          <w:rtl/>
        </w:rPr>
        <w:t>عملية المؤتمر العالمي للاتصالات الدولية</w:t>
      </w:r>
      <w:r w:rsidRPr="009E7540">
        <w:rPr>
          <w:rFonts w:hint="cs"/>
          <w:rtl/>
        </w:rPr>
        <w:t>.</w:t>
      </w:r>
      <w:r w:rsidRPr="009E7540">
        <w:rPr>
          <w:rStyle w:val="FootnoteReference"/>
          <w:rtl/>
        </w:rPr>
        <w:footnoteReference w:id="2"/>
      </w:r>
    </w:p>
    <w:p w14:paraId="2E928DDB" w14:textId="07B9C041" w:rsidR="009E7540" w:rsidRPr="009E7540" w:rsidRDefault="009E7540" w:rsidP="009E7540">
      <w:pPr>
        <w:rPr>
          <w:spacing w:val="-2"/>
          <w:lang w:bidi="ar-EG"/>
        </w:rPr>
      </w:pPr>
      <w:bookmarkStart w:id="4" w:name="lt_pId059"/>
      <w:r w:rsidRPr="009E7540">
        <w:rPr>
          <w:rFonts w:hint="cs"/>
          <w:b/>
          <w:bCs/>
          <w:spacing w:val="-2"/>
          <w:rtl/>
          <w:lang w:bidi="ar-EG"/>
        </w:rPr>
        <w:t>’</w:t>
      </w:r>
      <w:r w:rsidRPr="009E7540">
        <w:rPr>
          <w:b/>
          <w:bCs/>
          <w:spacing w:val="-2"/>
          <w:lang w:bidi="ar-EG"/>
        </w:rPr>
        <w:t>3</w:t>
      </w:r>
      <w:r w:rsidRPr="009E7540">
        <w:rPr>
          <w:rFonts w:hint="cs"/>
          <w:b/>
          <w:bCs/>
          <w:spacing w:val="-2"/>
          <w:rtl/>
          <w:lang w:bidi="ar-EG"/>
        </w:rPr>
        <w:t>‘</w:t>
      </w:r>
      <w:r w:rsidR="004911E7" w:rsidRPr="00643464">
        <w:rPr>
          <w:b/>
          <w:bCs/>
          <w:spacing w:val="-2"/>
          <w:rtl/>
          <w:lang w:bidi="ar-EG"/>
        </w:rPr>
        <w:tab/>
      </w:r>
      <w:r w:rsidRPr="009E7540">
        <w:rPr>
          <w:rFonts w:hint="cs"/>
          <w:b/>
          <w:bCs/>
          <w:spacing w:val="-2"/>
          <w:rtl/>
          <w:lang w:bidi="ar"/>
        </w:rPr>
        <w:t>فيما يتعلق بوتيرة الابتكار في مجال الاتصالات/تكنولوجيا المعلومات والاتصالات.</w:t>
      </w:r>
      <w:r w:rsidRPr="009E7540">
        <w:rPr>
          <w:rFonts w:hint="cs"/>
          <w:spacing w:val="-2"/>
          <w:rtl/>
          <w:lang w:bidi="ar"/>
        </w:rPr>
        <w:t xml:space="preserve"> انعقد المؤتمر العالمي للاتصالات الدولية لعام </w:t>
      </w:r>
      <w:r w:rsidRPr="009E7540">
        <w:rPr>
          <w:spacing w:val="-2"/>
          <w:lang w:bidi="ar-EG"/>
        </w:rPr>
        <w:t>2012</w:t>
      </w:r>
      <w:r w:rsidRPr="009E7540">
        <w:rPr>
          <w:rFonts w:hint="cs"/>
          <w:spacing w:val="-2"/>
          <w:rtl/>
          <w:lang w:bidi="ar"/>
        </w:rPr>
        <w:t xml:space="preserve"> بعد مضي </w:t>
      </w:r>
      <w:r w:rsidRPr="009E7540">
        <w:rPr>
          <w:spacing w:val="-2"/>
          <w:lang w:bidi="ar-EG"/>
        </w:rPr>
        <w:t>24</w:t>
      </w:r>
      <w:r w:rsidRPr="009E7540">
        <w:rPr>
          <w:rFonts w:hint="cs"/>
          <w:spacing w:val="-2"/>
          <w:rtl/>
          <w:lang w:bidi="ar"/>
        </w:rPr>
        <w:t xml:space="preserve"> عاماً على انعقاد المؤتمر الإداري العالمي للبرق والهاتف </w:t>
      </w:r>
      <w:r w:rsidRPr="009E7540">
        <w:rPr>
          <w:spacing w:val="-2"/>
          <w:lang w:bidi="ar-EG"/>
        </w:rPr>
        <w:t>(WATTC)</w:t>
      </w:r>
      <w:r w:rsidRPr="009E7540">
        <w:rPr>
          <w:rFonts w:hint="cs"/>
          <w:spacing w:val="-2"/>
          <w:rtl/>
          <w:lang w:bidi="ar"/>
        </w:rPr>
        <w:t xml:space="preserve"> لعام</w:t>
      </w:r>
      <w:r w:rsidRPr="009E7540">
        <w:rPr>
          <w:rFonts w:hint="eastAsia"/>
          <w:spacing w:val="-2"/>
          <w:rtl/>
          <w:lang w:bidi="ar"/>
        </w:rPr>
        <w:t> </w:t>
      </w:r>
      <w:r w:rsidRPr="009E7540">
        <w:rPr>
          <w:spacing w:val="-2"/>
          <w:lang w:bidi="ar-EG"/>
        </w:rPr>
        <w:t>1988</w:t>
      </w:r>
      <w:r w:rsidRPr="009E7540">
        <w:rPr>
          <w:rFonts w:hint="cs"/>
          <w:spacing w:val="-2"/>
          <w:rtl/>
          <w:lang w:bidi="ar"/>
        </w:rPr>
        <w:t xml:space="preserve">. وبدأت الدعوات الرسمية لعقد مؤتمر آخر بعد أقل من عشر سنوات من انعقاد المؤتمر العالمي </w:t>
      </w:r>
      <w:r w:rsidRPr="009E7540">
        <w:rPr>
          <w:rFonts w:hint="eastAsia"/>
          <w:spacing w:val="-2"/>
          <w:rtl/>
          <w:lang w:bidi="ar"/>
        </w:rPr>
        <w:t>للبرق</w:t>
      </w:r>
      <w:r w:rsidRPr="009E7540">
        <w:rPr>
          <w:spacing w:val="-2"/>
          <w:rtl/>
          <w:lang w:bidi="ar"/>
        </w:rPr>
        <w:t xml:space="preserve"> </w:t>
      </w:r>
      <w:r w:rsidRPr="009E7540">
        <w:rPr>
          <w:rFonts w:hint="eastAsia"/>
          <w:spacing w:val="-2"/>
          <w:rtl/>
          <w:lang w:bidi="ar"/>
        </w:rPr>
        <w:t>والهاتف</w:t>
      </w:r>
      <w:r w:rsidRPr="009E7540">
        <w:rPr>
          <w:spacing w:val="-2"/>
          <w:rtl/>
          <w:lang w:bidi="ar"/>
        </w:rPr>
        <w:t xml:space="preserve"> </w:t>
      </w:r>
      <w:r w:rsidRPr="009E7540">
        <w:rPr>
          <w:rFonts w:hint="eastAsia"/>
          <w:spacing w:val="-2"/>
          <w:rtl/>
          <w:lang w:bidi="ar"/>
        </w:rPr>
        <w:t>لعام</w:t>
      </w:r>
      <w:r w:rsidRPr="009E7540">
        <w:rPr>
          <w:rFonts w:hint="cs"/>
          <w:spacing w:val="-2"/>
          <w:rtl/>
          <w:lang w:bidi="ar"/>
        </w:rPr>
        <w:t> </w:t>
      </w:r>
      <w:r w:rsidRPr="009E7540">
        <w:rPr>
          <w:spacing w:val="-2"/>
          <w:lang w:bidi="ar-EG"/>
        </w:rPr>
        <w:t>1988</w:t>
      </w:r>
      <w:r w:rsidRPr="009E7540">
        <w:rPr>
          <w:rFonts w:hint="cs"/>
          <w:spacing w:val="-2"/>
          <w:rtl/>
          <w:lang w:bidi="ar"/>
        </w:rPr>
        <w:t xml:space="preserve">، </w:t>
      </w:r>
      <w:r w:rsidR="004911E7" w:rsidRPr="00643464">
        <w:rPr>
          <w:rFonts w:hint="cs"/>
          <w:spacing w:val="-2"/>
          <w:rtl/>
        </w:rPr>
        <w:t>ومع</w:t>
      </w:r>
      <w:r w:rsidRPr="009E7540">
        <w:rPr>
          <w:rFonts w:hint="cs"/>
          <w:spacing w:val="-2"/>
          <w:rtl/>
          <w:lang w:bidi="ar"/>
        </w:rPr>
        <w:t xml:space="preserve"> الموافقة على القرار</w:t>
      </w:r>
      <w:r w:rsidR="00643464">
        <w:rPr>
          <w:rFonts w:hint="eastAsia"/>
          <w:spacing w:val="-2"/>
          <w:rtl/>
          <w:lang w:bidi="ar"/>
        </w:rPr>
        <w:t> </w:t>
      </w:r>
      <w:r w:rsidRPr="009E7540">
        <w:rPr>
          <w:spacing w:val="-2"/>
          <w:lang w:bidi="ar-EG"/>
        </w:rPr>
        <w:t>79</w:t>
      </w:r>
      <w:r w:rsidRPr="009E7540">
        <w:rPr>
          <w:rFonts w:hint="cs"/>
          <w:spacing w:val="-2"/>
          <w:rtl/>
          <w:lang w:bidi="ar"/>
        </w:rPr>
        <w:t xml:space="preserve">، دعا مؤتمر المندوبين المفوضين لعام </w:t>
      </w:r>
      <w:r w:rsidRPr="009E7540">
        <w:rPr>
          <w:spacing w:val="-2"/>
          <w:lang w:bidi="ar-EG"/>
        </w:rPr>
        <w:t>1998</w:t>
      </w:r>
      <w:r w:rsidRPr="009E7540">
        <w:rPr>
          <w:rFonts w:hint="cs"/>
          <w:spacing w:val="-2"/>
          <w:rtl/>
          <w:lang w:bidi="ar"/>
        </w:rPr>
        <w:t xml:space="preserve"> بصفة رسمية إلى إجراء استعراض للوائح الاتصالات الدولية. واستغرق الأمر أكثر من </w:t>
      </w:r>
      <w:r w:rsidRPr="009E7540">
        <w:rPr>
          <w:spacing w:val="-2"/>
          <w:lang w:bidi="ar-EG"/>
        </w:rPr>
        <w:t>14</w:t>
      </w:r>
      <w:r w:rsidRPr="009E7540">
        <w:rPr>
          <w:rFonts w:hint="eastAsia"/>
          <w:spacing w:val="-2"/>
          <w:rtl/>
          <w:lang w:bidi="ar"/>
        </w:rPr>
        <w:t> </w:t>
      </w:r>
      <w:r w:rsidRPr="009E7540">
        <w:rPr>
          <w:rFonts w:hint="cs"/>
          <w:spacing w:val="-2"/>
          <w:rtl/>
          <w:lang w:bidi="ar"/>
        </w:rPr>
        <w:t>عاماً كي يقام المؤتمر</w:t>
      </w:r>
      <w:r w:rsidRPr="009E7540">
        <w:rPr>
          <w:rFonts w:hint="eastAsia"/>
          <w:spacing w:val="-2"/>
          <w:rtl/>
          <w:lang w:bidi="ar"/>
        </w:rPr>
        <w:t> </w:t>
      </w:r>
      <w:r w:rsidRPr="009E7540">
        <w:rPr>
          <w:rFonts w:hint="cs"/>
          <w:spacing w:val="-2"/>
          <w:rtl/>
          <w:lang w:bidi="ar"/>
        </w:rPr>
        <w:t xml:space="preserve">العالمي للاتصالات الدولية لعام </w:t>
      </w:r>
      <w:r w:rsidRPr="009E7540">
        <w:rPr>
          <w:spacing w:val="-2"/>
          <w:lang w:bidi="ar-EG"/>
        </w:rPr>
        <w:t>2012</w:t>
      </w:r>
      <w:r w:rsidRPr="009E7540">
        <w:rPr>
          <w:rFonts w:hint="cs"/>
          <w:spacing w:val="-2"/>
          <w:rtl/>
          <w:lang w:bidi="ar"/>
        </w:rPr>
        <w:t>، ولم تدخل لوائح الاتصالات الدولية الجديدة حيز النفاذ إلا في</w:t>
      </w:r>
      <w:r w:rsidR="004911E7" w:rsidRPr="00643464">
        <w:rPr>
          <w:rFonts w:hint="eastAsia"/>
          <w:spacing w:val="-2"/>
          <w:rtl/>
          <w:lang w:bidi="ar"/>
        </w:rPr>
        <w:t> </w:t>
      </w:r>
      <w:r w:rsidRPr="009E7540">
        <w:rPr>
          <w:rFonts w:hint="cs"/>
          <w:spacing w:val="-2"/>
          <w:rtl/>
          <w:lang w:bidi="ar"/>
        </w:rPr>
        <w:t>عام</w:t>
      </w:r>
      <w:r w:rsidRPr="009E7540">
        <w:rPr>
          <w:rFonts w:hint="eastAsia"/>
          <w:spacing w:val="-2"/>
          <w:rtl/>
          <w:lang w:bidi="ar"/>
        </w:rPr>
        <w:t> </w:t>
      </w:r>
      <w:r w:rsidRPr="009E7540">
        <w:rPr>
          <w:spacing w:val="-2"/>
          <w:lang w:bidi="ar-EG"/>
        </w:rPr>
        <w:t>2015</w:t>
      </w:r>
      <w:r w:rsidRPr="009E7540">
        <w:rPr>
          <w:rFonts w:hint="cs"/>
          <w:spacing w:val="-2"/>
          <w:rtl/>
          <w:lang w:bidi="ar"/>
        </w:rPr>
        <w:t xml:space="preserve"> بالنسبة إلى</w:t>
      </w:r>
      <w:r w:rsidRPr="009E7540">
        <w:rPr>
          <w:rFonts w:hint="eastAsia"/>
          <w:spacing w:val="-2"/>
          <w:rtl/>
          <w:lang w:bidi="ar"/>
        </w:rPr>
        <w:t> </w:t>
      </w:r>
      <w:r w:rsidRPr="009E7540">
        <w:rPr>
          <w:spacing w:val="-2"/>
          <w:lang w:bidi="ar-EG"/>
        </w:rPr>
        <w:t>89</w:t>
      </w:r>
      <w:r w:rsidRPr="009E7540">
        <w:rPr>
          <w:rFonts w:hint="eastAsia"/>
          <w:spacing w:val="-2"/>
          <w:rtl/>
          <w:lang w:bidi="ar"/>
        </w:rPr>
        <w:t> </w:t>
      </w:r>
      <w:r w:rsidRPr="009E7540">
        <w:rPr>
          <w:rFonts w:hint="cs"/>
          <w:spacing w:val="-2"/>
          <w:rtl/>
          <w:lang w:bidi="ar-EG"/>
        </w:rPr>
        <w:t>دولة</w:t>
      </w:r>
      <w:r w:rsidRPr="009E7540">
        <w:rPr>
          <w:rFonts w:hint="cs"/>
          <w:spacing w:val="-2"/>
          <w:rtl/>
          <w:lang w:bidi="ar"/>
        </w:rPr>
        <w:t xml:space="preserve"> موقعة. وبعبارة أخرى، تستغرق مراجعة لوائح الاتصالات الدولية وقتًا طويلاً للغاية، وعليه، فهي ليست صكاً قابلاً للتطبيق للتحكم في الخصائص الدينامية والتي تتغير بوتيرة سريعة.</w:t>
      </w:r>
    </w:p>
    <w:bookmarkEnd w:id="4"/>
    <w:p w14:paraId="4758D51D" w14:textId="3AF01FD2" w:rsidR="009E7540" w:rsidRPr="009E7540" w:rsidRDefault="009E7540" w:rsidP="009E7540">
      <w:pPr>
        <w:rPr>
          <w:lang w:bidi="ar-EG"/>
        </w:rPr>
      </w:pPr>
      <w:r w:rsidRPr="009E7540">
        <w:rPr>
          <w:rFonts w:hint="cs"/>
          <w:rtl/>
          <w:lang w:bidi="ar"/>
        </w:rPr>
        <w:t xml:space="preserve">ولكي تكون لوائح الاتصالات الدولية فعّالة، ينبغي </w:t>
      </w:r>
      <w:r w:rsidR="004911E7">
        <w:rPr>
          <w:rFonts w:hint="cs"/>
          <w:rtl/>
          <w:lang w:bidi="ar"/>
        </w:rPr>
        <w:t>لها</w:t>
      </w:r>
      <w:r w:rsidRPr="009E7540">
        <w:rPr>
          <w:rFonts w:hint="cs"/>
          <w:rtl/>
          <w:lang w:bidi="ar"/>
        </w:rPr>
        <w:t xml:space="preserve"> أن تحكم عناصر ومبادئ للاتصالات/تكنولوجيا المعلومات والاتصالات لا</w:t>
      </w:r>
      <w:r w:rsidR="00643464">
        <w:rPr>
          <w:rFonts w:hint="eastAsia"/>
          <w:rtl/>
          <w:lang w:bidi="ar"/>
        </w:rPr>
        <w:t> </w:t>
      </w:r>
      <w:r w:rsidRPr="009E7540">
        <w:rPr>
          <w:rFonts w:hint="cs"/>
          <w:rtl/>
          <w:lang w:bidi="ar"/>
        </w:rPr>
        <w:t xml:space="preserve">تتغير كثيراً بمرور الوقت، وأن تصمد </w:t>
      </w:r>
      <w:r w:rsidR="004911E7">
        <w:rPr>
          <w:rFonts w:hint="cs"/>
          <w:rtl/>
          <w:lang w:bidi="ar"/>
        </w:rPr>
        <w:t xml:space="preserve">في الفترات </w:t>
      </w:r>
      <w:r w:rsidRPr="009E7540">
        <w:rPr>
          <w:rFonts w:hint="cs"/>
          <w:rtl/>
          <w:lang w:bidi="ar"/>
        </w:rPr>
        <w:t xml:space="preserve">الزمنية الطويلة التي </w:t>
      </w:r>
      <w:r w:rsidR="004911E7">
        <w:rPr>
          <w:rFonts w:hint="cs"/>
          <w:rtl/>
          <w:lang w:bidi="ar"/>
        </w:rPr>
        <w:t xml:space="preserve">تفصل بين </w:t>
      </w:r>
      <w:r w:rsidRPr="009E7540">
        <w:rPr>
          <w:rFonts w:hint="cs"/>
          <w:rtl/>
          <w:lang w:bidi="ar"/>
        </w:rPr>
        <w:t xml:space="preserve">مؤتمرين عالميين للاتصالات الدولية. ومع ذلك، فإن مجال الاتصالات/تكنولوجيا المعلومات والاتصالات يتطور بوتيرة مذهلة، ما يخلق في كثير من الأحيان صناعات جديدة وتحديات تنظيمية جديدة. ولهذا السبب ناقش الاتحاد مؤخرًا مفهوم التنظيم التعاوني وتطويره، والذي يشمل بطبيعته أصحاب المصلحة المتعددين ويدعو إلى أن تكون اللوائح </w:t>
      </w:r>
      <w:r w:rsidRPr="009E7540">
        <w:rPr>
          <w:rFonts w:hint="cs"/>
          <w:i/>
          <w:iCs/>
          <w:rtl/>
          <w:lang w:bidi="ar"/>
        </w:rPr>
        <w:t>"(...) متكيفة ومتوازنة وتفي بالغرض."</w:t>
      </w:r>
      <w:r w:rsidRPr="009E7540">
        <w:rPr>
          <w:rStyle w:val="FootnoteReference"/>
          <w:lang w:bidi="ar-EG"/>
        </w:rPr>
        <w:footnoteReference w:id="3"/>
      </w:r>
      <w:r w:rsidRPr="009E7540">
        <w:rPr>
          <w:rFonts w:hint="cs"/>
          <w:i/>
          <w:rtl/>
        </w:rPr>
        <w:t xml:space="preserve"> </w:t>
      </w:r>
      <w:r w:rsidRPr="009E7540">
        <w:rPr>
          <w:rFonts w:hint="cs"/>
          <w:rtl/>
          <w:lang w:bidi="ar"/>
        </w:rPr>
        <w:t>وهذه هي الخصائص الأربع التي ينبغي للوائح الاتصالات الدولية أن تتسم بها إذا أ</w:t>
      </w:r>
      <w:r w:rsidR="004911E7">
        <w:rPr>
          <w:rFonts w:hint="cs"/>
          <w:rtl/>
          <w:lang w:bidi="ar"/>
        </w:rPr>
        <w:t>ريد لها</w:t>
      </w:r>
      <w:r w:rsidRPr="009E7540">
        <w:rPr>
          <w:rFonts w:hint="cs"/>
          <w:rtl/>
          <w:lang w:bidi="ar"/>
        </w:rPr>
        <w:t xml:space="preserve"> أن تكون صك</w:t>
      </w:r>
      <w:r w:rsidR="004911E7">
        <w:rPr>
          <w:rFonts w:hint="cs"/>
          <w:rtl/>
          <w:lang w:bidi="ar"/>
        </w:rPr>
        <w:t>اً</w:t>
      </w:r>
      <w:r w:rsidRPr="009E7540">
        <w:rPr>
          <w:rFonts w:hint="cs"/>
          <w:rtl/>
          <w:lang w:bidi="ar"/>
        </w:rPr>
        <w:t xml:space="preserve"> تنظيمي</w:t>
      </w:r>
      <w:r w:rsidR="004911E7">
        <w:rPr>
          <w:rFonts w:hint="cs"/>
          <w:rtl/>
          <w:lang w:bidi="ar"/>
        </w:rPr>
        <w:t>اً</w:t>
      </w:r>
      <w:r w:rsidRPr="009E7540">
        <w:rPr>
          <w:rFonts w:hint="cs"/>
          <w:rtl/>
          <w:lang w:bidi="ar"/>
        </w:rPr>
        <w:t xml:space="preserve"> فع</w:t>
      </w:r>
      <w:r w:rsidR="00066292">
        <w:rPr>
          <w:rFonts w:hint="cs"/>
          <w:rtl/>
          <w:lang w:bidi="ar"/>
        </w:rPr>
        <w:t>ّ</w:t>
      </w:r>
      <w:r w:rsidRPr="009E7540">
        <w:rPr>
          <w:rFonts w:hint="cs"/>
          <w:rtl/>
          <w:lang w:bidi="ar"/>
        </w:rPr>
        <w:t>ال</w:t>
      </w:r>
      <w:r w:rsidR="004911E7">
        <w:rPr>
          <w:rFonts w:hint="cs"/>
          <w:rtl/>
          <w:lang w:bidi="ar"/>
        </w:rPr>
        <w:t>اً</w:t>
      </w:r>
      <w:r w:rsidRPr="009E7540">
        <w:rPr>
          <w:rFonts w:hint="cs"/>
          <w:rtl/>
          <w:lang w:bidi="ar"/>
        </w:rPr>
        <w:t xml:space="preserve"> في السياق الحالي.</w:t>
      </w:r>
    </w:p>
    <w:p w14:paraId="35F4891C" w14:textId="77777777" w:rsidR="009E7540" w:rsidRPr="009E7540" w:rsidRDefault="009E7540" w:rsidP="004911E7">
      <w:pPr>
        <w:pStyle w:val="Headingb"/>
        <w:rPr>
          <w:rtl/>
        </w:rPr>
      </w:pPr>
      <w:bookmarkStart w:id="5" w:name="lt_pId066"/>
      <w:r w:rsidRPr="009E7540">
        <w:rPr>
          <w:rFonts w:hint="cs"/>
          <w:rtl/>
        </w:rPr>
        <w:t>تكلفة ومزايا عقد مؤتمر عالمي جديد للاتصالات الدولية</w:t>
      </w:r>
    </w:p>
    <w:bookmarkEnd w:id="5"/>
    <w:p w14:paraId="013CCD45" w14:textId="5A63C0FE" w:rsidR="009E7540" w:rsidRPr="009E7540" w:rsidRDefault="009E7540" w:rsidP="009E7540">
      <w:pPr>
        <w:rPr>
          <w:rtl/>
          <w:lang w:bidi="ar"/>
        </w:rPr>
      </w:pPr>
      <w:r w:rsidRPr="009E7540">
        <w:rPr>
          <w:rFonts w:hint="cs"/>
          <w:rtl/>
          <w:lang w:bidi="ar"/>
        </w:rPr>
        <w:t>كانت عملية مراجعة لوائح الاتصالات الدولية في الفترة</w:t>
      </w:r>
      <w:r w:rsidRPr="009E7540">
        <w:rPr>
          <w:rFonts w:hint="eastAsia"/>
          <w:rtl/>
          <w:lang w:bidi="ar"/>
        </w:rPr>
        <w:t> </w:t>
      </w:r>
      <w:r w:rsidRPr="009E7540">
        <w:rPr>
          <w:lang w:bidi="ar-EG"/>
        </w:rPr>
        <w:t>2012/2011</w:t>
      </w:r>
      <w:r w:rsidRPr="009E7540">
        <w:rPr>
          <w:rFonts w:hint="cs"/>
          <w:rtl/>
          <w:lang w:bidi="ar"/>
        </w:rPr>
        <w:t xml:space="preserve"> مثار جدل كبير بين الأطراف المدافعة عن الرأيين</w:t>
      </w:r>
      <w:r w:rsidRPr="009E7540">
        <w:rPr>
          <w:rFonts w:hint="eastAsia"/>
          <w:rtl/>
          <w:lang w:bidi="ar"/>
        </w:rPr>
        <w:t> </w:t>
      </w:r>
      <w:r w:rsidRPr="009E7540">
        <w:rPr>
          <w:lang w:bidi="ar-EG"/>
        </w:rPr>
        <w:t>1</w:t>
      </w:r>
      <w:r w:rsidRPr="009E7540">
        <w:rPr>
          <w:rFonts w:hint="cs"/>
          <w:rtl/>
          <w:lang w:bidi="ar-EG"/>
        </w:rPr>
        <w:t xml:space="preserve"> و</w:t>
      </w:r>
      <w:r w:rsidRPr="009E7540">
        <w:rPr>
          <w:lang w:bidi="ar-EG"/>
        </w:rPr>
        <w:t>2</w:t>
      </w:r>
      <w:r w:rsidRPr="009E7540">
        <w:rPr>
          <w:rFonts w:hint="cs"/>
          <w:rtl/>
          <w:lang w:bidi="ar"/>
        </w:rPr>
        <w:t xml:space="preserve"> الموصوفين أعلاه، بدءاً من </w:t>
      </w:r>
      <w:r w:rsidRPr="009E7540">
        <w:rPr>
          <w:rFonts w:hint="cs"/>
          <w:rtl/>
        </w:rPr>
        <w:t>ال</w:t>
      </w:r>
      <w:r w:rsidRPr="009E7540">
        <w:rPr>
          <w:rFonts w:hint="cs"/>
          <w:rtl/>
          <w:lang w:bidi="ar"/>
        </w:rPr>
        <w:t>عملية التحضيرية في فريق العمل التابع للمجلس حتى نهاية المؤتمر العالمي للاتصالات الدولية لعام</w:t>
      </w:r>
      <w:r w:rsidRPr="009E7540">
        <w:rPr>
          <w:rFonts w:hint="eastAsia"/>
          <w:rtl/>
          <w:lang w:bidi="ar"/>
        </w:rPr>
        <w:t> </w:t>
      </w:r>
      <w:r w:rsidRPr="009E7540">
        <w:rPr>
          <w:lang w:bidi="ar-EG"/>
        </w:rPr>
        <w:t>2012</w:t>
      </w:r>
      <w:r w:rsidRPr="009E7540">
        <w:rPr>
          <w:rFonts w:hint="cs"/>
          <w:rtl/>
          <w:lang w:bidi="ar"/>
        </w:rPr>
        <w:t>. ولم</w:t>
      </w:r>
      <w:r w:rsidR="00643464">
        <w:rPr>
          <w:rFonts w:hint="eastAsia"/>
          <w:rtl/>
          <w:lang w:bidi="ar"/>
        </w:rPr>
        <w:t> </w:t>
      </w:r>
      <w:r w:rsidRPr="009E7540">
        <w:rPr>
          <w:rFonts w:hint="cs"/>
          <w:rtl/>
          <w:lang w:bidi="ar"/>
        </w:rPr>
        <w:t>يتحقق توافق الآراء إلا في نقاط محددة</w:t>
      </w:r>
      <w:r w:rsidRPr="009E7540">
        <w:rPr>
          <w:rFonts w:hint="eastAsia"/>
          <w:rtl/>
          <w:lang w:bidi="ar"/>
        </w:rPr>
        <w:t xml:space="preserve"> </w:t>
      </w:r>
      <w:r w:rsidRPr="009E7540">
        <w:rPr>
          <w:rFonts w:hint="cs"/>
          <w:rtl/>
          <w:lang w:bidi="ar-EG"/>
        </w:rPr>
        <w:t>باستخدام لغة سلسة</w:t>
      </w:r>
      <w:r w:rsidRPr="009E7540">
        <w:rPr>
          <w:rtl/>
          <w:lang w:bidi="ar"/>
        </w:rPr>
        <w:t xml:space="preserve"> </w:t>
      </w:r>
      <w:r w:rsidRPr="009E7540">
        <w:rPr>
          <w:rFonts w:hint="cs"/>
          <w:rtl/>
          <w:lang w:bidi="ar"/>
        </w:rPr>
        <w:t>للمعاهدة في أهم المواد والأقسام الفرعية، مما أسفر عن أحكام اختيارية عمليا</w:t>
      </w:r>
      <w:r w:rsidR="004911E7">
        <w:rPr>
          <w:rFonts w:hint="cs"/>
          <w:rtl/>
          <w:lang w:bidi="ar"/>
        </w:rPr>
        <w:t>ً</w:t>
      </w:r>
      <w:r w:rsidRPr="009E7540">
        <w:rPr>
          <w:rFonts w:hint="cs"/>
          <w:rtl/>
          <w:lang w:bidi="ar"/>
        </w:rPr>
        <w:t xml:space="preserve"> بالنسبة إلى الموقعين. ويمثل ذلك حصيلة أو مزايا المؤتمر العالمي للاتصالات الدولية لعام</w:t>
      </w:r>
      <w:r w:rsidRPr="009E7540">
        <w:rPr>
          <w:rFonts w:hint="eastAsia"/>
          <w:rtl/>
          <w:lang w:bidi="ar"/>
        </w:rPr>
        <w:t> </w:t>
      </w:r>
      <w:r w:rsidRPr="009E7540">
        <w:rPr>
          <w:lang w:bidi="ar-EG"/>
        </w:rPr>
        <w:t>2012</w:t>
      </w:r>
      <w:r w:rsidRPr="009E7540">
        <w:rPr>
          <w:rFonts w:hint="cs"/>
          <w:rtl/>
          <w:lang w:bidi="ar"/>
        </w:rPr>
        <w:t>.</w:t>
      </w:r>
    </w:p>
    <w:p w14:paraId="149B783B" w14:textId="2EE350EF" w:rsidR="009E7540" w:rsidRPr="009E7540" w:rsidRDefault="009E7540" w:rsidP="009E7540">
      <w:pPr>
        <w:rPr>
          <w:rtl/>
          <w:lang w:bidi="ar"/>
        </w:rPr>
      </w:pPr>
      <w:bookmarkStart w:id="6" w:name="lt_pId079"/>
      <w:r w:rsidRPr="009E7540">
        <w:rPr>
          <w:rFonts w:hint="cs"/>
          <w:rtl/>
          <w:lang w:bidi="ar"/>
        </w:rPr>
        <w:t>وشارك أكثر من</w:t>
      </w:r>
      <w:r w:rsidRPr="009E7540">
        <w:rPr>
          <w:rFonts w:hint="eastAsia"/>
          <w:rtl/>
          <w:lang w:bidi="ar"/>
        </w:rPr>
        <w:t> </w:t>
      </w:r>
      <w:r w:rsidRPr="009E7540">
        <w:rPr>
          <w:lang w:bidi="ar-EG"/>
        </w:rPr>
        <w:t>2 000</w:t>
      </w:r>
      <w:r w:rsidRPr="009E7540">
        <w:rPr>
          <w:rFonts w:hint="cs"/>
          <w:rtl/>
          <w:lang w:bidi="ar"/>
        </w:rPr>
        <w:t xml:space="preserve"> مندوب في المؤتمر العالمي للاتصالات الدولية لعام</w:t>
      </w:r>
      <w:r w:rsidRPr="009E7540">
        <w:rPr>
          <w:rFonts w:hint="eastAsia"/>
          <w:rtl/>
          <w:lang w:bidi="ar"/>
        </w:rPr>
        <w:t> </w:t>
      </w:r>
      <w:r w:rsidRPr="009E7540">
        <w:rPr>
          <w:lang w:bidi="ar-EG"/>
        </w:rPr>
        <w:t>2012</w:t>
      </w:r>
      <w:r w:rsidRPr="009E7540">
        <w:rPr>
          <w:rFonts w:hint="cs"/>
          <w:rtl/>
          <w:lang w:bidi="ar"/>
        </w:rPr>
        <w:t xml:space="preserve">. وعُقدت اجتماعات لمدة </w:t>
      </w:r>
      <w:r w:rsidRPr="009E7540">
        <w:rPr>
          <w:lang w:bidi="ar-EG"/>
        </w:rPr>
        <w:t>13</w:t>
      </w:r>
      <w:r w:rsidRPr="009E7540">
        <w:rPr>
          <w:rFonts w:hint="eastAsia"/>
          <w:rtl/>
          <w:lang w:bidi="ar-EG"/>
        </w:rPr>
        <w:t> </w:t>
      </w:r>
      <w:r w:rsidRPr="009E7540">
        <w:rPr>
          <w:rFonts w:hint="cs"/>
          <w:rtl/>
          <w:lang w:bidi="ar"/>
        </w:rPr>
        <w:t>يوماً بتكلفة قدرها</w:t>
      </w:r>
      <w:r w:rsidR="004911E7">
        <w:rPr>
          <w:rFonts w:hint="eastAsia"/>
          <w:rtl/>
          <w:lang w:bidi="ar"/>
        </w:rPr>
        <w:t> </w:t>
      </w:r>
      <w:r w:rsidRPr="009E7540">
        <w:rPr>
          <w:lang w:bidi="ar-EG"/>
        </w:rPr>
        <w:t>1,9</w:t>
      </w:r>
      <w:r w:rsidRPr="009E7540">
        <w:rPr>
          <w:rFonts w:hint="eastAsia"/>
          <w:rtl/>
          <w:lang w:bidi="ar-EG"/>
        </w:rPr>
        <w:t> </w:t>
      </w:r>
      <w:r w:rsidRPr="009E7540">
        <w:rPr>
          <w:rFonts w:hint="cs"/>
          <w:rtl/>
          <w:lang w:bidi="ar"/>
        </w:rPr>
        <w:t>مليون فرنك سويسري (</w:t>
      </w:r>
      <w:r w:rsidRPr="009E7540">
        <w:rPr>
          <w:lang w:bidi="ar-EG"/>
        </w:rPr>
        <w:t>147 000</w:t>
      </w:r>
      <w:r w:rsidRPr="009E7540">
        <w:rPr>
          <w:rFonts w:hint="cs"/>
          <w:rtl/>
          <w:lang w:bidi="ar-EG"/>
        </w:rPr>
        <w:t xml:space="preserve"> </w:t>
      </w:r>
      <w:r w:rsidRPr="009E7540">
        <w:rPr>
          <w:rFonts w:hint="cs"/>
          <w:rtl/>
          <w:lang w:bidi="ar"/>
        </w:rPr>
        <w:t xml:space="preserve">فرنك سويسري في اليوم). وينبغي أن تشمل التكلفة الإجمالية للمؤتمر العالمي للاتصالات الدولية الاجتماعات التحضيرية وتكاليف ما قبل المؤتمر للبلد المضيف وتكاليف سفر جميع الوفود وجميع الأشخاص المعنيين. وكانت هناك أيضاً تكاليف كبيرة متمثلة في الفرص الضائعة على الاتحاد وجميع الأطراف المعنية (أي عدم استخدام الميزانية والوقت المخصصين للمؤتمر العالمي للاتصالات الدولية لعام </w:t>
      </w:r>
      <w:r w:rsidRPr="009E7540">
        <w:rPr>
          <w:lang w:bidi="ar-EG"/>
        </w:rPr>
        <w:t>2012</w:t>
      </w:r>
      <w:r w:rsidRPr="009E7540">
        <w:rPr>
          <w:rFonts w:hint="cs"/>
          <w:rtl/>
          <w:lang w:bidi="ar"/>
        </w:rPr>
        <w:t xml:space="preserve"> للقيام بأنشطة أخرى). وعقدت البرازيل، على سبيل المثال، اجتماعات مدتها أربع ساعات أسبوعياً لأصحاب المصلحة المتعددين لمدة سنة قبل انعقاد المؤتمر العالمي للاتصالات الدولية لعام</w:t>
      </w:r>
      <w:r w:rsidRPr="009E7540">
        <w:rPr>
          <w:rFonts w:hint="eastAsia"/>
          <w:rtl/>
          <w:lang w:bidi="ar"/>
        </w:rPr>
        <w:t> </w:t>
      </w:r>
      <w:r w:rsidRPr="009E7540">
        <w:rPr>
          <w:lang w:bidi="ar-EG"/>
        </w:rPr>
        <w:t>2012</w:t>
      </w:r>
      <w:r w:rsidRPr="009E7540">
        <w:rPr>
          <w:rFonts w:hint="cs"/>
          <w:rtl/>
          <w:lang w:bidi="ar"/>
        </w:rPr>
        <w:t xml:space="preserve"> تحضيراً للمؤتمر. ويمثل ذلك التكاليف.</w:t>
      </w:r>
    </w:p>
    <w:p w14:paraId="2B6030B3" w14:textId="77777777" w:rsidR="009E7540" w:rsidRPr="00057EBB" w:rsidRDefault="009E7540" w:rsidP="009E7540">
      <w:pPr>
        <w:rPr>
          <w:spacing w:val="4"/>
          <w:rtl/>
          <w:lang w:bidi="ar"/>
        </w:rPr>
      </w:pPr>
      <w:r w:rsidRPr="00057EBB">
        <w:rPr>
          <w:rFonts w:hint="cs"/>
          <w:spacing w:val="4"/>
          <w:rtl/>
          <w:lang w:bidi="ar"/>
        </w:rPr>
        <w:t>وينبغي ألا يُعقد مؤتمر عالمي جديد للاتصالات الدولية إلا إذا أسفرت مخرجاته عن نتائج ملموسة في سوق الاتصالات/تكنولوجيا المعلومات والاتصالات تعوض عن التكاليف المالية والفرص الضائعة التي ينطوي عليها عقد مؤتمر عالمي جديد للاتصالات الدولية.</w:t>
      </w:r>
    </w:p>
    <w:p w14:paraId="24390A06" w14:textId="77777777" w:rsidR="009E7540" w:rsidRPr="009E7540" w:rsidRDefault="009E7540" w:rsidP="00057EBB">
      <w:pPr>
        <w:pStyle w:val="Headingb"/>
      </w:pPr>
      <w:r w:rsidRPr="009E7540">
        <w:rPr>
          <w:rFonts w:hint="cs"/>
          <w:rtl/>
          <w:lang w:bidi="ar-SA"/>
        </w:rPr>
        <w:t>الآثار المترتبة فيما يتعلق ب</w:t>
      </w:r>
      <w:r w:rsidRPr="009E7540">
        <w:rPr>
          <w:rFonts w:hint="cs"/>
          <w:rtl/>
        </w:rPr>
        <w:t>التعاون الدولي وسمعة الاتحاد</w:t>
      </w:r>
    </w:p>
    <w:p w14:paraId="3B4252D9" w14:textId="77777777" w:rsidR="009E7540" w:rsidRPr="009E7540" w:rsidRDefault="009E7540" w:rsidP="00057EBB">
      <w:pPr>
        <w:keepNext/>
        <w:keepLines/>
        <w:rPr>
          <w:rtl/>
          <w:lang w:bidi="ar"/>
        </w:rPr>
      </w:pPr>
      <w:r w:rsidRPr="009E7540">
        <w:rPr>
          <w:rFonts w:hint="cs"/>
          <w:rtl/>
          <w:lang w:bidi="ar"/>
        </w:rPr>
        <w:t xml:space="preserve">وقع </w:t>
      </w:r>
      <w:r w:rsidRPr="009E7540">
        <w:rPr>
          <w:lang w:bidi="ar-EG"/>
        </w:rPr>
        <w:t>89</w:t>
      </w:r>
      <w:r w:rsidRPr="009E7540">
        <w:rPr>
          <w:rFonts w:hint="cs"/>
          <w:rtl/>
          <w:lang w:bidi="ar"/>
        </w:rPr>
        <w:t xml:space="preserve"> بلداً، بما فيها البرازيل، على الوثائق الختامية للمؤتمر العالمي للاتصالات الدولية لعام </w:t>
      </w:r>
      <w:r w:rsidRPr="009E7540">
        <w:rPr>
          <w:lang w:bidi="ar-EG"/>
        </w:rPr>
        <w:t>2012</w:t>
      </w:r>
      <w:r w:rsidRPr="009E7540">
        <w:rPr>
          <w:rFonts w:hint="cs"/>
          <w:rtl/>
          <w:lang w:bidi="ar"/>
        </w:rPr>
        <w:t xml:space="preserve">، ولكن كان هناك انقسام واضح. ففشل المؤتمر العالمي للاتصالات الدولية لعام </w:t>
      </w:r>
      <w:r w:rsidRPr="009E7540">
        <w:rPr>
          <w:lang w:bidi="ar-EG"/>
        </w:rPr>
        <w:t>2012</w:t>
      </w:r>
      <w:r w:rsidRPr="009E7540">
        <w:rPr>
          <w:rFonts w:hint="cs"/>
          <w:rtl/>
          <w:lang w:bidi="ar"/>
        </w:rPr>
        <w:t xml:space="preserve"> في بناء توافق في الآراء، وفي</w:t>
      </w:r>
      <w:r w:rsidRPr="009E7540">
        <w:rPr>
          <w:rFonts w:hint="eastAsia"/>
          <w:rtl/>
          <w:lang w:bidi="ar"/>
        </w:rPr>
        <w:t> </w:t>
      </w:r>
      <w:r w:rsidRPr="009E7540">
        <w:rPr>
          <w:rFonts w:hint="cs"/>
          <w:rtl/>
          <w:lang w:bidi="ar"/>
        </w:rPr>
        <w:t xml:space="preserve">محاولة للتوصل إلى هذا التوافق في الآراء، صاغ </w:t>
      </w:r>
      <w:r w:rsidRPr="009E7540">
        <w:rPr>
          <w:rFonts w:hint="cs"/>
          <w:rtl/>
          <w:lang w:bidi="ar"/>
        </w:rPr>
        <w:lastRenderedPageBreak/>
        <w:t xml:space="preserve">معاهدة ضئيلة التأثير من حيث النجاعة حتى بالنسبة إلى </w:t>
      </w:r>
      <w:r w:rsidRPr="009E7540">
        <w:rPr>
          <w:lang w:bidi="ar-EG"/>
        </w:rPr>
        <w:t>89</w:t>
      </w:r>
      <w:r w:rsidRPr="009E7540">
        <w:rPr>
          <w:rFonts w:hint="cs"/>
          <w:rtl/>
          <w:lang w:bidi="ar"/>
        </w:rPr>
        <w:t xml:space="preserve"> بلداً موقعاً. وقد تضررت سمعة الاتحاد الدولي للاتصالات باعتباره محفلاً فعّالاً لبناء توافق الآراء ومروجاً للتعاون الدولي. وفقد العديد من أصحاب المصلحة الرئيسيين ثقتهم في الاتحاد.</w:t>
      </w:r>
    </w:p>
    <w:p w14:paraId="7A7115AC" w14:textId="77777777" w:rsidR="009E7540" w:rsidRPr="009E7540" w:rsidRDefault="009E7540" w:rsidP="009E7540">
      <w:pPr>
        <w:rPr>
          <w:rtl/>
          <w:lang w:bidi="ar"/>
        </w:rPr>
      </w:pPr>
      <w:r w:rsidRPr="009E7540">
        <w:rPr>
          <w:rFonts w:hint="cs"/>
          <w:rtl/>
          <w:lang w:bidi="ar"/>
        </w:rPr>
        <w:t>ولا يقوى الاتحاد على المخاطرة بالإتيان بنتيجة مماثلة.</w:t>
      </w:r>
    </w:p>
    <w:p w14:paraId="5F5970E7" w14:textId="77777777" w:rsidR="009E7540" w:rsidRPr="009E7540" w:rsidRDefault="009E7540" w:rsidP="009E7540">
      <w:pPr>
        <w:rPr>
          <w:spacing w:val="-2"/>
          <w:rtl/>
          <w:lang w:bidi="ar"/>
        </w:rPr>
      </w:pPr>
      <w:r w:rsidRPr="009E7540">
        <w:rPr>
          <w:rFonts w:hint="cs"/>
          <w:spacing w:val="-2"/>
          <w:rtl/>
          <w:lang w:bidi="ar"/>
        </w:rPr>
        <w:t>وفي حال استيفاء جميع المعايير المذكورة أعلاه، سيقوم توافق واسع في الآراء بشأن إجراء مراجعة للوائح الاتصالات الدولية. وفي</w:t>
      </w:r>
      <w:r w:rsidRPr="009E7540">
        <w:rPr>
          <w:rFonts w:hint="eastAsia"/>
          <w:spacing w:val="-2"/>
          <w:rtl/>
          <w:lang w:bidi="ar"/>
        </w:rPr>
        <w:t> </w:t>
      </w:r>
      <w:r w:rsidRPr="009E7540">
        <w:rPr>
          <w:rFonts w:hint="cs"/>
          <w:spacing w:val="-2"/>
          <w:rtl/>
          <w:lang w:bidi="ar"/>
        </w:rPr>
        <w:t>هذه الحالة، ينبغي لفريق عمل محدد تابع للمجلس أن يقوم بالعملية التحضيرية بشفافية وشمولية وكفاءة ودقة. وينبغي أن تُشرك العملية التحضيرية جميع أعضاء الاتحاد على قدم المساواة، وجميع أصحاب المصلحة من خلال عملية تشاور مفتوحة وشاملة للجميع وشفافة.</w:t>
      </w:r>
    </w:p>
    <w:bookmarkEnd w:id="6"/>
    <w:p w14:paraId="054D2CDB" w14:textId="61A4A921" w:rsidR="009E7540" w:rsidRPr="009E7540" w:rsidRDefault="009E7540" w:rsidP="009E7540">
      <w:pPr>
        <w:rPr>
          <w:rtl/>
          <w:lang w:bidi="ar"/>
        </w:rPr>
      </w:pPr>
      <w:r w:rsidRPr="009E7540">
        <w:rPr>
          <w:rFonts w:hint="cs"/>
          <w:rtl/>
          <w:lang w:bidi="ar"/>
        </w:rPr>
        <w:t xml:space="preserve">وينبغي أن يتلقى المؤتمر العالمي الجديد للاتصالات الدولية من فريق العمل التابع للمجلس مقترحاً يحظى باتفاق على نطاق واسع بشأن معاهدة، وأن يقتصر نقاشه أثناء انعقاد المؤتمر على </w:t>
      </w:r>
      <w:r w:rsidRPr="009E7540">
        <w:rPr>
          <w:rFonts w:hint="eastAsia"/>
          <w:rtl/>
          <w:lang w:bidi="ar"/>
        </w:rPr>
        <w:t>التفاصيل</w:t>
      </w:r>
      <w:r w:rsidRPr="009E7540">
        <w:rPr>
          <w:rtl/>
          <w:lang w:bidi="ar"/>
        </w:rPr>
        <w:t xml:space="preserve"> </w:t>
      </w:r>
      <w:r w:rsidRPr="009E7540">
        <w:rPr>
          <w:rFonts w:hint="eastAsia"/>
          <w:rtl/>
          <w:lang w:bidi="ar"/>
        </w:rPr>
        <w:t>الدقيقة</w:t>
      </w:r>
      <w:r w:rsidRPr="009E7540">
        <w:rPr>
          <w:rFonts w:hint="cs"/>
          <w:rtl/>
          <w:lang w:bidi="ar"/>
        </w:rPr>
        <w:t>.</w:t>
      </w:r>
    </w:p>
    <w:p w14:paraId="7CBE865A" w14:textId="77777777" w:rsidR="009E7540" w:rsidRPr="009E7540" w:rsidRDefault="009E7540" w:rsidP="004911E7">
      <w:pPr>
        <w:spacing w:before="600"/>
        <w:jc w:val="center"/>
        <w:rPr>
          <w:rtl/>
          <w:lang w:bidi="ar"/>
        </w:rPr>
      </w:pPr>
      <w:r w:rsidRPr="009E7540">
        <w:rPr>
          <w:rFonts w:hint="cs"/>
          <w:rtl/>
          <w:lang w:bidi="ar"/>
        </w:rPr>
        <w:t>___________</w:t>
      </w:r>
    </w:p>
    <w:sectPr w:rsidR="009E7540" w:rsidRPr="009E754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685B" w14:textId="77777777" w:rsidR="009E7540" w:rsidRDefault="009E7540" w:rsidP="00E07379">
      <w:pPr>
        <w:spacing w:before="0" w:line="240" w:lineRule="auto"/>
      </w:pPr>
      <w:r>
        <w:separator/>
      </w:r>
    </w:p>
  </w:endnote>
  <w:endnote w:type="continuationSeparator" w:id="0">
    <w:p w14:paraId="25FF5660" w14:textId="77777777" w:rsidR="009E7540" w:rsidRDefault="009E754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7FFA" w14:textId="60D0AC6C" w:rsidR="00BD0C50" w:rsidRPr="00665956" w:rsidRDefault="00057EBB" w:rsidP="00647595">
    <w:pPr>
      <w:pStyle w:val="Footer"/>
      <w:tabs>
        <w:tab w:val="clear" w:pos="5812"/>
        <w:tab w:val="center" w:pos="5387"/>
      </w:tabs>
      <w:spacing w:before="0"/>
    </w:pPr>
    <w:r>
      <w:fldChar w:fldCharType="begin"/>
    </w:r>
    <w:r>
      <w:instrText xml:space="preserve"> FILENAME \p \* MERGEFORMAT </w:instrText>
    </w:r>
    <w:r>
      <w:fldChar w:fldCharType="separate"/>
    </w:r>
    <w:r w:rsidR="00643464">
      <w:rPr>
        <w:noProof/>
      </w:rPr>
      <w:t>P:\ARA\SG\CONSEIL\EG-ITR\EG-ITR-1\000\012A.docx</w:t>
    </w:r>
    <w:r>
      <w:rPr>
        <w:noProof/>
      </w:rPr>
      <w:fldChar w:fldCharType="end"/>
    </w:r>
    <w:proofErr w:type="gramStart"/>
    <w:r w:rsidR="00BD0C50" w:rsidRPr="00665956">
      <w:t xml:space="preserve">   (</w:t>
    </w:r>
    <w:proofErr w:type="gramEnd"/>
    <w:r w:rsidR="00643464">
      <w:t>460364</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7141A8">
      <w:rPr>
        <w:noProof/>
      </w:rPr>
      <w:t>10.09.19</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643464">
      <w:rPr>
        <w:noProof/>
      </w:rPr>
      <w:t>07.06.16</w:t>
    </w:r>
    <w:r w:rsidR="00BD0C50" w:rsidRPr="0066595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9B32" w14:textId="77777777"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E9BE6" w14:textId="77777777" w:rsidR="009E7540" w:rsidRDefault="009E7540" w:rsidP="00E07379">
      <w:pPr>
        <w:spacing w:before="0" w:line="240" w:lineRule="auto"/>
      </w:pPr>
      <w:r>
        <w:separator/>
      </w:r>
    </w:p>
  </w:footnote>
  <w:footnote w:type="continuationSeparator" w:id="0">
    <w:p w14:paraId="5ED81134" w14:textId="77777777" w:rsidR="009E7540" w:rsidRDefault="009E7540" w:rsidP="00E07379">
      <w:pPr>
        <w:spacing w:before="0" w:line="240" w:lineRule="auto"/>
      </w:pPr>
      <w:r>
        <w:continuationSeparator/>
      </w:r>
    </w:p>
  </w:footnote>
  <w:footnote w:id="1">
    <w:p w14:paraId="74E9E040" w14:textId="77777777" w:rsidR="009E7540" w:rsidRDefault="009E7540" w:rsidP="009E7540">
      <w:pPr>
        <w:pStyle w:val="FootnoteText"/>
      </w:pPr>
      <w:r>
        <w:rPr>
          <w:rStyle w:val="FootnoteReference"/>
        </w:rPr>
        <w:footnoteRef/>
      </w:r>
      <w:r>
        <w:rPr>
          <w:rtl/>
        </w:rPr>
        <w:tab/>
      </w:r>
      <w:r>
        <w:rPr>
          <w:rFonts w:hint="cs"/>
          <w:rtl/>
          <w:lang w:bidi="ar"/>
        </w:rPr>
        <w:t xml:space="preserve">كول، </w:t>
      </w:r>
      <w:proofErr w:type="spellStart"/>
      <w:r>
        <w:rPr>
          <w:rFonts w:hint="cs"/>
          <w:rtl/>
          <w:lang w:bidi="ar"/>
        </w:rPr>
        <w:t>إنج</w:t>
      </w:r>
      <w:proofErr w:type="spellEnd"/>
      <w:r>
        <w:rPr>
          <w:rFonts w:hint="eastAsia"/>
          <w:rtl/>
          <w:lang w:bidi="ar"/>
        </w:rPr>
        <w:t> </w:t>
      </w:r>
      <w:r>
        <w:rPr>
          <w:lang w:bidi="ar"/>
        </w:rPr>
        <w:t>(2013)</w:t>
      </w:r>
      <w:r w:rsidRPr="00F067C2">
        <w:rPr>
          <w:rFonts w:hint="cs"/>
          <w:rtl/>
          <w:lang w:bidi="ar"/>
        </w:rPr>
        <w:t xml:space="preserve">، "مواجهة التحديات العالمية: تقييم جاهزية </w:t>
      </w:r>
      <w:r>
        <w:rPr>
          <w:rFonts w:hint="cs"/>
          <w:rtl/>
          <w:lang w:bidi="ar"/>
        </w:rPr>
        <w:t>الإدارة</w:t>
      </w:r>
      <w:r w:rsidRPr="00F067C2">
        <w:rPr>
          <w:rFonts w:hint="cs"/>
          <w:rtl/>
          <w:lang w:bidi="ar"/>
        </w:rPr>
        <w:t xml:space="preserve">"، في مدرسة </w:t>
      </w:r>
      <w:proofErr w:type="spellStart"/>
      <w:r>
        <w:rPr>
          <w:lang w:bidi="ar"/>
        </w:rPr>
        <w:t>Hertie</w:t>
      </w:r>
      <w:proofErr w:type="spellEnd"/>
      <w:r w:rsidRPr="00F067C2">
        <w:rPr>
          <w:rFonts w:hint="cs"/>
          <w:rtl/>
          <w:lang w:bidi="ar"/>
        </w:rPr>
        <w:t xml:space="preserve"> </w:t>
      </w:r>
      <w:r>
        <w:rPr>
          <w:rFonts w:hint="cs"/>
          <w:rtl/>
          <w:lang w:bidi="ar"/>
        </w:rPr>
        <w:t>للإدارة</w:t>
      </w:r>
      <w:r w:rsidRPr="00F067C2">
        <w:rPr>
          <w:rFonts w:hint="cs"/>
          <w:rtl/>
          <w:lang w:bidi="ar"/>
        </w:rPr>
        <w:t xml:space="preserve">، </w:t>
      </w:r>
      <w:r w:rsidRPr="00434740">
        <w:rPr>
          <w:rFonts w:hint="cs"/>
          <w:i/>
          <w:iCs/>
          <w:rtl/>
          <w:lang w:bidi="ar"/>
        </w:rPr>
        <w:t>تقرير الإدارة</w:t>
      </w:r>
      <w:r w:rsidRPr="00F067C2">
        <w:rPr>
          <w:rFonts w:hint="cs"/>
          <w:rtl/>
          <w:lang w:bidi="ar"/>
        </w:rPr>
        <w:t xml:space="preserve">، أكسفورد: مطبعة جامعة أكسفورد، </w:t>
      </w:r>
      <w:r>
        <w:rPr>
          <w:lang w:bidi="ar"/>
        </w:rPr>
        <w:t>2013</w:t>
      </w:r>
      <w:r w:rsidRPr="00F067C2">
        <w:rPr>
          <w:rFonts w:hint="cs"/>
          <w:rtl/>
          <w:lang w:bidi="ar"/>
        </w:rPr>
        <w:t xml:space="preserve">، الفصل </w:t>
      </w:r>
      <w:r>
        <w:rPr>
          <w:lang w:bidi="ar"/>
        </w:rPr>
        <w:t>2</w:t>
      </w:r>
      <w:r w:rsidRPr="00F067C2">
        <w:rPr>
          <w:rFonts w:hint="cs"/>
          <w:rtl/>
          <w:lang w:bidi="ar"/>
        </w:rPr>
        <w:t>، الصفحات</w:t>
      </w:r>
      <w:r>
        <w:rPr>
          <w:rFonts w:hint="eastAsia"/>
          <w:rtl/>
          <w:lang w:bidi="ar"/>
        </w:rPr>
        <w:t> </w:t>
      </w:r>
      <w:r>
        <w:rPr>
          <w:lang w:bidi="ar"/>
        </w:rPr>
        <w:t>58-33</w:t>
      </w:r>
      <w:r w:rsidRPr="00F067C2">
        <w:rPr>
          <w:rFonts w:hint="cs"/>
          <w:rtl/>
          <w:lang w:bidi="ar"/>
        </w:rPr>
        <w:t>.</w:t>
      </w:r>
    </w:p>
  </w:footnote>
  <w:footnote w:id="2">
    <w:p w14:paraId="4B4CE70B" w14:textId="77777777" w:rsidR="009E7540" w:rsidRDefault="009E7540" w:rsidP="009E7540">
      <w:pPr>
        <w:pStyle w:val="FootnoteText"/>
        <w:rPr>
          <w:lang w:bidi="ar-SA"/>
        </w:rPr>
      </w:pPr>
      <w:r>
        <w:rPr>
          <w:rStyle w:val="FootnoteReference"/>
        </w:rPr>
        <w:footnoteRef/>
      </w:r>
      <w:r>
        <w:rPr>
          <w:rtl/>
        </w:rPr>
        <w:t xml:space="preserve"> </w:t>
      </w:r>
      <w:r>
        <w:rPr>
          <w:rtl/>
        </w:rPr>
        <w:tab/>
      </w:r>
      <w:r>
        <w:rPr>
          <w:rFonts w:hint="cs"/>
          <w:rtl/>
        </w:rPr>
        <w:t>الاتحاد الدولي للاتصالات، (الاتحاد الدولي للاتصالات</w:t>
      </w:r>
      <w:r>
        <w:rPr>
          <w:rFonts w:hint="cs"/>
          <w:rtl/>
          <w:lang w:bidi="ar-SA"/>
        </w:rPr>
        <w:t xml:space="preserve">، </w:t>
      </w:r>
      <w:r w:rsidRPr="005A76F8">
        <w:rPr>
          <w:lang w:bidi="ar-SA"/>
        </w:rPr>
        <w:t>2019</w:t>
      </w:r>
      <w:r>
        <w:rPr>
          <w:rFonts w:hint="cs"/>
          <w:rtl/>
          <w:lang w:bidi="ar-SA"/>
        </w:rPr>
        <w:t>)، الوثيقة الختامية</w:t>
      </w:r>
      <w:r w:rsidRPr="005A76F8">
        <w:rPr>
          <w:rFonts w:hint="cs"/>
          <w:rtl/>
          <w:lang w:bidi="ar-SA"/>
        </w:rPr>
        <w:t xml:space="preserve"> </w:t>
      </w:r>
      <w:r>
        <w:rPr>
          <w:rFonts w:hint="cs"/>
          <w:rtl/>
          <w:lang w:bidi="ar-SA"/>
        </w:rPr>
        <w:t>لل</w:t>
      </w:r>
      <w:r w:rsidRPr="005A76F8">
        <w:rPr>
          <w:rFonts w:hint="cs"/>
          <w:rtl/>
          <w:lang w:bidi="ar-SA"/>
        </w:rPr>
        <w:t>ندوة العالمية لمنظمي الاتصالات لعام</w:t>
      </w:r>
      <w:r w:rsidRPr="005A76F8">
        <w:rPr>
          <w:rFonts w:hint="eastAsia"/>
          <w:rtl/>
          <w:lang w:bidi="ar-SA"/>
        </w:rPr>
        <w:t> </w:t>
      </w:r>
      <w:r w:rsidRPr="005A76F8">
        <w:rPr>
          <w:lang w:bidi="ar-SA"/>
        </w:rPr>
        <w:t>2019</w:t>
      </w:r>
      <w:r>
        <w:rPr>
          <w:rFonts w:hint="cs"/>
          <w:rtl/>
          <w:lang w:bidi="ar-SA"/>
        </w:rPr>
        <w:t>،</w:t>
      </w:r>
      <w:r w:rsidRPr="005A76F8">
        <w:rPr>
          <w:rFonts w:hint="cs"/>
          <w:rtl/>
          <w:lang w:bidi="ar-SA"/>
        </w:rPr>
        <w:t xml:space="preserve"> المبادئ التوجيهية المتعلقة بأفضل الممارسات </w:t>
      </w:r>
      <w:r w:rsidRPr="00B72321">
        <w:rPr>
          <w:rFonts w:hint="cs"/>
          <w:i/>
          <w:iCs/>
          <w:rtl/>
          <w:lang w:bidi="ar-SA"/>
        </w:rPr>
        <w:t>"حثّ الخطى نحو تحقيق التوصيلية الرقمية للجميع"</w:t>
      </w:r>
      <w:r>
        <w:rPr>
          <w:rFonts w:hint="cs"/>
          <w:i/>
          <w:iCs/>
          <w:rtl/>
          <w:lang w:bidi="ar-SA"/>
        </w:rPr>
        <w:t>.</w:t>
      </w:r>
    </w:p>
  </w:footnote>
  <w:footnote w:id="3">
    <w:p w14:paraId="60486B22" w14:textId="77777777" w:rsidR="009E7540" w:rsidRPr="00D426A1" w:rsidRDefault="009E7540" w:rsidP="009E7540">
      <w:pPr>
        <w:pStyle w:val="FootnoteText"/>
        <w:rPr>
          <w:i/>
        </w:rPr>
      </w:pPr>
      <w:r>
        <w:rPr>
          <w:rStyle w:val="FootnoteReference"/>
        </w:rPr>
        <w:footnoteRef/>
      </w:r>
      <w:r>
        <w:rPr>
          <w:i/>
          <w:rtl/>
        </w:rPr>
        <w:tab/>
      </w:r>
      <w:r w:rsidRPr="00643464">
        <w:rPr>
          <w:rFonts w:hint="cs"/>
          <w:iCs/>
          <w:rtl/>
        </w:rPr>
        <w:t>المرجع نفسه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DED6" w14:textId="2EB97C02" w:rsidR="000E4FF0" w:rsidRPr="000E4FF0" w:rsidRDefault="00057EBB" w:rsidP="007B7F81">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cs="Calibri"/>
          <w:sz w:val="20"/>
          <w:szCs w:val="20"/>
          <w:lang w:eastAsia="zh-CN"/>
        </w:rPr>
        <w:id w:val="1910657968"/>
        <w:docPartObj>
          <w:docPartGallery w:val="Page Numbers (Top of Page)"/>
          <w:docPartUnique/>
        </w:docPartObj>
      </w:sdtPr>
      <w:sdtEndPr/>
      <w:sdtContent>
        <w:r w:rsidR="007B7F81" w:rsidRPr="007B7F81">
          <w:rPr>
            <w:rFonts w:eastAsiaTheme="minorEastAsia" w:cs="Calibri"/>
            <w:sz w:val="20"/>
            <w:szCs w:val="20"/>
            <w:lang w:eastAsia="zh-CN"/>
          </w:rPr>
          <w:fldChar w:fldCharType="begin"/>
        </w:r>
        <w:r w:rsidR="007B7F81" w:rsidRPr="007B7F81">
          <w:rPr>
            <w:rFonts w:eastAsiaTheme="minorEastAsia" w:cs="Calibri"/>
            <w:sz w:val="20"/>
            <w:szCs w:val="20"/>
            <w:lang w:eastAsia="zh-CN"/>
          </w:rPr>
          <w:instrText xml:space="preserve"> PAGE   \* MERGEFORMAT </w:instrText>
        </w:r>
        <w:r w:rsidR="007B7F81" w:rsidRPr="007B7F81">
          <w:rPr>
            <w:rFonts w:eastAsiaTheme="minorEastAsia" w:cs="Calibri"/>
            <w:sz w:val="20"/>
            <w:szCs w:val="20"/>
            <w:lang w:eastAsia="zh-CN"/>
          </w:rPr>
          <w:fldChar w:fldCharType="separate"/>
        </w:r>
        <w:r w:rsidR="007B7F81" w:rsidRPr="007B7F81">
          <w:rPr>
            <w:rFonts w:eastAsiaTheme="minorEastAsia" w:cs="Calibri"/>
            <w:sz w:val="20"/>
            <w:szCs w:val="20"/>
            <w:lang w:eastAsia="zh-CN"/>
          </w:rPr>
          <w:t>2</w:t>
        </w:r>
        <w:r w:rsidR="007B7F81" w:rsidRPr="007B7F81">
          <w:rPr>
            <w:rFonts w:eastAsiaTheme="minorEastAsia" w:cs="Calibri"/>
            <w:sz w:val="20"/>
            <w:szCs w:val="20"/>
            <w:lang w:eastAsia="zh-CN"/>
          </w:rPr>
          <w:fldChar w:fldCharType="end"/>
        </w:r>
        <w:r w:rsidR="007B7F81" w:rsidRPr="007B7F81">
          <w:rPr>
            <w:rFonts w:eastAsiaTheme="minorEastAsia" w:cs="Calibri"/>
            <w:sz w:val="20"/>
            <w:szCs w:val="20"/>
            <w:lang w:eastAsia="zh-CN"/>
          </w:rPr>
          <w:br/>
        </w:r>
        <w:r w:rsidR="007B7F81" w:rsidRPr="007B7F81">
          <w:rPr>
            <w:rFonts w:eastAsiaTheme="minorEastAsia" w:cs="Calibri"/>
            <w:sz w:val="20"/>
            <w:szCs w:val="20"/>
            <w:lang w:val="fr-CH" w:eastAsia="zh-CN"/>
          </w:rPr>
          <w:t>EG-ITR-1\</w:t>
        </w:r>
        <w:r w:rsidR="00647595">
          <w:rPr>
            <w:rFonts w:eastAsiaTheme="minorEastAsia" w:cs="Calibri"/>
            <w:sz w:val="20"/>
            <w:szCs w:val="20"/>
            <w:lang w:val="fr-CH" w:eastAsia="zh-CN"/>
          </w:rPr>
          <w:t>12</w:t>
        </w:r>
        <w:r w:rsidR="007B7F81" w:rsidRPr="007B7F81">
          <w:rPr>
            <w:rFonts w:eastAsiaTheme="minorEastAsia" w:cs="Calibri"/>
            <w:sz w:val="20"/>
            <w:szCs w:val="20"/>
            <w:lang w:val="fr-CH" w:eastAsia="zh-CN"/>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40"/>
    <w:rsid w:val="000124CC"/>
    <w:rsid w:val="00041F8B"/>
    <w:rsid w:val="00046444"/>
    <w:rsid w:val="00057EBB"/>
    <w:rsid w:val="0006023B"/>
    <w:rsid w:val="00066292"/>
    <w:rsid w:val="0008638B"/>
    <w:rsid w:val="00090574"/>
    <w:rsid w:val="00092FC2"/>
    <w:rsid w:val="000A1677"/>
    <w:rsid w:val="000B128B"/>
    <w:rsid w:val="000B407F"/>
    <w:rsid w:val="000C13C2"/>
    <w:rsid w:val="000D4C64"/>
    <w:rsid w:val="000E4FF0"/>
    <w:rsid w:val="000F0B1C"/>
    <w:rsid w:val="000F1D42"/>
    <w:rsid w:val="000F4D07"/>
    <w:rsid w:val="00102A03"/>
    <w:rsid w:val="001040A3"/>
    <w:rsid w:val="00173915"/>
    <w:rsid w:val="00180E41"/>
    <w:rsid w:val="001B5AC3"/>
    <w:rsid w:val="0022345D"/>
    <w:rsid w:val="00225854"/>
    <w:rsid w:val="0023283D"/>
    <w:rsid w:val="00252E0C"/>
    <w:rsid w:val="00276881"/>
    <w:rsid w:val="002916BE"/>
    <w:rsid w:val="002978F4"/>
    <w:rsid w:val="002B028D"/>
    <w:rsid w:val="002B435E"/>
    <w:rsid w:val="002C4DAE"/>
    <w:rsid w:val="002D01AA"/>
    <w:rsid w:val="002D6669"/>
    <w:rsid w:val="002E2522"/>
    <w:rsid w:val="002E6541"/>
    <w:rsid w:val="002F5560"/>
    <w:rsid w:val="00303AE3"/>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76123"/>
    <w:rsid w:val="004911E7"/>
    <w:rsid w:val="00497703"/>
    <w:rsid w:val="004F0F06"/>
    <w:rsid w:val="00501E0E"/>
    <w:rsid w:val="005204D7"/>
    <w:rsid w:val="00530420"/>
    <w:rsid w:val="00552BC5"/>
    <w:rsid w:val="0055516A"/>
    <w:rsid w:val="0056374C"/>
    <w:rsid w:val="0056614F"/>
    <w:rsid w:val="0057656F"/>
    <w:rsid w:val="00576731"/>
    <w:rsid w:val="0059285F"/>
    <w:rsid w:val="005A24B1"/>
    <w:rsid w:val="005A6551"/>
    <w:rsid w:val="005B7B8A"/>
    <w:rsid w:val="005D6476"/>
    <w:rsid w:val="005D6C0D"/>
    <w:rsid w:val="005E5283"/>
    <w:rsid w:val="005E58F5"/>
    <w:rsid w:val="00606660"/>
    <w:rsid w:val="006157A3"/>
    <w:rsid w:val="00620E60"/>
    <w:rsid w:val="0062173B"/>
    <w:rsid w:val="0063315A"/>
    <w:rsid w:val="00643464"/>
    <w:rsid w:val="00647595"/>
    <w:rsid w:val="0065591D"/>
    <w:rsid w:val="00662C5A"/>
    <w:rsid w:val="00670AF5"/>
    <w:rsid w:val="00672332"/>
    <w:rsid w:val="006C1556"/>
    <w:rsid w:val="006E154C"/>
    <w:rsid w:val="006F267F"/>
    <w:rsid w:val="006F63F7"/>
    <w:rsid w:val="006F6F03"/>
    <w:rsid w:val="00706D7A"/>
    <w:rsid w:val="007141A8"/>
    <w:rsid w:val="00726AEC"/>
    <w:rsid w:val="007530CA"/>
    <w:rsid w:val="00760E68"/>
    <w:rsid w:val="0079553D"/>
    <w:rsid w:val="007B01CC"/>
    <w:rsid w:val="007B7F81"/>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E3F92"/>
    <w:rsid w:val="00917694"/>
    <w:rsid w:val="009263CD"/>
    <w:rsid w:val="00930E6D"/>
    <w:rsid w:val="00950A5B"/>
    <w:rsid w:val="00955F61"/>
    <w:rsid w:val="00972CA2"/>
    <w:rsid w:val="00982B28"/>
    <w:rsid w:val="00984EA5"/>
    <w:rsid w:val="00992593"/>
    <w:rsid w:val="009B4F68"/>
    <w:rsid w:val="009C17E1"/>
    <w:rsid w:val="009C35ED"/>
    <w:rsid w:val="009E7540"/>
    <w:rsid w:val="009F1C12"/>
    <w:rsid w:val="00A124CB"/>
    <w:rsid w:val="00A2167A"/>
    <w:rsid w:val="00A25A43"/>
    <w:rsid w:val="00A3295B"/>
    <w:rsid w:val="00A42AE5"/>
    <w:rsid w:val="00A52B61"/>
    <w:rsid w:val="00A64820"/>
    <w:rsid w:val="00A71DD6"/>
    <w:rsid w:val="00A723C7"/>
    <w:rsid w:val="00A80E11"/>
    <w:rsid w:val="00A97F94"/>
    <w:rsid w:val="00AA1F1A"/>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63082"/>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A5BB5"/>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DC944"/>
  <w15:chartTrackingRefBased/>
  <w15:docId w15:val="{CC2F987A-D914-4C23-9238-3B7B4A6E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F81"/>
    <w:pPr>
      <w:tabs>
        <w:tab w:val="left" w:pos="567"/>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B7F81"/>
    <w:pPr>
      <w:ind w:left="1134"/>
    </w:pPr>
  </w:style>
  <w:style w:type="character" w:customStyle="1" w:styleId="enumlev2Char">
    <w:name w:val="enumlev2 Char"/>
    <w:basedOn w:val="enumlev1Char"/>
    <w:link w:val="enumlev2"/>
    <w:rsid w:val="007B7F81"/>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B7F81"/>
    <w:pPr>
      <w:spacing w:before="80"/>
      <w:ind w:left="567" w:hanging="567"/>
    </w:pPr>
  </w:style>
  <w:style w:type="character" w:customStyle="1" w:styleId="enumlev1Char">
    <w:name w:val="enumlev1 Char"/>
    <w:basedOn w:val="DefaultParagraphFont"/>
    <w:link w:val="enumlev1"/>
    <w:rsid w:val="007B7F81"/>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B7F81"/>
    <w:pPr>
      <w:tabs>
        <w:tab w:val="clear" w:pos="567"/>
      </w:tabs>
      <w:ind w:left="1701"/>
    </w:pPr>
  </w:style>
  <w:style w:type="character" w:customStyle="1" w:styleId="enumlev3Char">
    <w:name w:val="enumlev3 Char"/>
    <w:basedOn w:val="enumlev2Char"/>
    <w:link w:val="enumlev3"/>
    <w:rsid w:val="007B7F81"/>
    <w:rPr>
      <w:rFonts w:ascii="Calibri" w:eastAsia="Times New Roman" w:hAnsi="Calibri" w:cs="Traditional Arabic"/>
      <w:szCs w:val="30"/>
      <w:lang w:eastAsia="en-US"/>
    </w:rPr>
  </w:style>
  <w:style w:type="paragraph" w:customStyle="1" w:styleId="FigureNo">
    <w:name w:val="Figure_No"/>
    <w:basedOn w:val="Normal"/>
    <w:qFormat/>
    <w:rsid w:val="007E7C6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SG\PA_EG-IT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schemas.microsoft.com/office/2006/documentManagement/types"/>
    <ds:schemaRef ds:uri="996b2e75-67fd-4955-a3b0-5ab9934cb50b"/>
    <ds:schemaRef ds:uri="http://purl.org/dc/dcmitype/"/>
    <ds:schemaRef ds:uri="http://purl.org/dc/elements/1.1/"/>
    <ds:schemaRef ds:uri="http://purl.org/dc/terms/"/>
    <ds:schemaRef ds:uri="http://schemas.microsoft.com/office/infopath/2007/PartnerControls"/>
    <ds:schemaRef ds:uri="de10a323-94a9-4e93-88b4-ea964576960d"/>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4F3A4-AB89-4B8C-83D0-DD821A75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PA_EG-ITR-1.dotx</Template>
  <TotalTime>77</TotalTime>
  <Pages>4</Pages>
  <Words>1471</Words>
  <Characters>8167</Characters>
  <Application>Microsoft Office Word</Application>
  <DocSecurity>0</DocSecurity>
  <Lines>199</Lines>
  <Paragraphs>107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Tahawi, Hiba</dc:creator>
  <cp:keywords/>
  <dc:description/>
  <cp:lastModifiedBy>Awad, Samy</cp:lastModifiedBy>
  <cp:revision>14</cp:revision>
  <cp:lastPrinted>2016-06-07T13:25:00Z</cp:lastPrinted>
  <dcterms:created xsi:type="dcterms:W3CDTF">2019-09-10T12:11:00Z</dcterms:created>
  <dcterms:modified xsi:type="dcterms:W3CDTF">2019-09-10T14:23:00Z</dcterms:modified>
  <cp:category>Conference document</cp:category>
</cp:coreProperties>
</file>