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Layout w:type="fixed"/>
        <w:tblLook w:val="0000" w:firstRow="0" w:lastRow="0" w:firstColumn="0" w:lastColumn="0" w:noHBand="0" w:noVBand="0"/>
      </w:tblPr>
      <w:tblGrid>
        <w:gridCol w:w="6345"/>
        <w:gridCol w:w="3492"/>
      </w:tblGrid>
      <w:tr w:rsidR="00923A1B" w14:paraId="6E1681AE" w14:textId="77777777" w:rsidTr="002238C4">
        <w:trPr>
          <w:cantSplit/>
          <w:trHeight w:val="851"/>
        </w:trPr>
        <w:tc>
          <w:tcPr>
            <w:tcW w:w="6345" w:type="dxa"/>
            <w:vAlign w:val="center"/>
          </w:tcPr>
          <w:p w14:paraId="29D32417" w14:textId="02DA68C8" w:rsidR="00923A1B" w:rsidRPr="00CD542C" w:rsidRDefault="000854C6" w:rsidP="004D12A3">
            <w:pPr>
              <w:shd w:val="solid" w:color="FFFFFF" w:fill="FFFFFF"/>
              <w:spacing w:before="120" w:after="0"/>
              <w:rPr>
                <w:rFonts w:cs="Times"/>
                <w:b/>
                <w:lang w:val="en-US"/>
              </w:rPr>
            </w:pPr>
            <w:r w:rsidRPr="00CD542C">
              <w:rPr>
                <w:rFonts w:cs="Times"/>
                <w:b/>
                <w:sz w:val="32"/>
                <w:szCs w:val="32"/>
                <w:lang w:val="en-US"/>
              </w:rPr>
              <w:t>Expert Group on the International</w:t>
            </w:r>
            <w:r w:rsidRPr="00CD542C">
              <w:rPr>
                <w:rFonts w:cs="Times"/>
                <w:b/>
                <w:sz w:val="32"/>
                <w:szCs w:val="32"/>
                <w:lang w:val="en-US"/>
              </w:rPr>
              <w:br/>
              <w:t>Telecommunication Regulations (EG-ITRs)</w:t>
            </w:r>
          </w:p>
        </w:tc>
        <w:tc>
          <w:tcPr>
            <w:tcW w:w="3492" w:type="dxa"/>
          </w:tcPr>
          <w:p w14:paraId="241C55DB" w14:textId="785EB79F" w:rsidR="00923A1B" w:rsidRDefault="00B36E39" w:rsidP="004D12A3">
            <w:pPr>
              <w:pStyle w:val="dnum"/>
              <w:framePr w:hSpace="0" w:wrap="auto" w:vAnchor="margin" w:hAnchor="text" w:yAlign="inline"/>
              <w:spacing w:before="120" w:after="0"/>
            </w:pPr>
            <w:r>
              <w:rPr>
                <w:noProof/>
              </w:rPr>
              <w:drawing>
                <wp:inline distT="0" distB="0" distL="0" distR="0" wp14:anchorId="64B7344A" wp14:editId="212D894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23A1B" w14:paraId="42C1BC8B" w14:textId="77777777" w:rsidTr="00923A1B">
        <w:trPr>
          <w:cantSplit/>
          <w:trHeight w:val="20"/>
        </w:trPr>
        <w:tc>
          <w:tcPr>
            <w:tcW w:w="6345" w:type="dxa"/>
            <w:tcBorders>
              <w:bottom w:val="single" w:sz="12" w:space="0" w:color="auto"/>
            </w:tcBorders>
          </w:tcPr>
          <w:p w14:paraId="7079E938" w14:textId="39A32A31" w:rsidR="00923A1B" w:rsidRPr="003737DE" w:rsidRDefault="000854C6" w:rsidP="000854C6">
            <w:pPr>
              <w:shd w:val="solid" w:color="FFFFFF" w:fill="FFFFFF"/>
              <w:spacing w:after="0"/>
              <w:rPr>
                <w:rFonts w:cs="Times"/>
                <w:b/>
              </w:rPr>
            </w:pPr>
            <w:r>
              <w:rPr>
                <w:b/>
                <w:bCs/>
                <w:sz w:val="24"/>
                <w:szCs w:val="40"/>
              </w:rPr>
              <w:t xml:space="preserve">First meeting - </w:t>
            </w:r>
            <w:r w:rsidRPr="002238C4">
              <w:rPr>
                <w:b/>
                <w:bCs/>
                <w:sz w:val="24"/>
                <w:szCs w:val="40"/>
              </w:rPr>
              <w:t xml:space="preserve">Geneva, </w:t>
            </w:r>
            <w:r>
              <w:rPr>
                <w:b/>
                <w:bCs/>
                <w:sz w:val="24"/>
                <w:szCs w:val="40"/>
              </w:rPr>
              <w:t>16-17 September</w:t>
            </w:r>
            <w:r w:rsidRPr="002238C4">
              <w:rPr>
                <w:b/>
                <w:bCs/>
                <w:sz w:val="24"/>
                <w:szCs w:val="40"/>
              </w:rPr>
              <w:t xml:space="preserve"> 2019</w:t>
            </w:r>
          </w:p>
        </w:tc>
        <w:tc>
          <w:tcPr>
            <w:tcW w:w="3492" w:type="dxa"/>
            <w:tcBorders>
              <w:bottom w:val="single" w:sz="12" w:space="0" w:color="auto"/>
            </w:tcBorders>
          </w:tcPr>
          <w:p w14:paraId="0FF4F0AC" w14:textId="77777777" w:rsidR="00923A1B" w:rsidRDefault="00923A1B" w:rsidP="0025471D">
            <w:pPr>
              <w:pStyle w:val="dnum"/>
              <w:framePr w:hSpace="0" w:wrap="auto" w:vAnchor="margin" w:hAnchor="text" w:yAlign="inline"/>
              <w:spacing w:after="0"/>
              <w:rPr>
                <w:rFonts w:ascii="Verdana" w:hAnsi="Verdana"/>
              </w:rPr>
            </w:pPr>
          </w:p>
        </w:tc>
      </w:tr>
      <w:tr w:rsidR="00923A1B" w:rsidRPr="00F5094D" w14:paraId="406D6FB1" w14:textId="77777777" w:rsidTr="00923A1B">
        <w:trPr>
          <w:cantSplit/>
          <w:trHeight w:val="138"/>
        </w:trPr>
        <w:tc>
          <w:tcPr>
            <w:tcW w:w="6345" w:type="dxa"/>
            <w:tcBorders>
              <w:top w:val="single" w:sz="12" w:space="0" w:color="auto"/>
            </w:tcBorders>
          </w:tcPr>
          <w:p w14:paraId="1D6AF3F8" w14:textId="77777777" w:rsidR="00923A1B" w:rsidRDefault="00923A1B" w:rsidP="0025471D">
            <w:pPr>
              <w:shd w:val="solid" w:color="FFFFFF" w:fill="FFFFFF"/>
              <w:spacing w:after="0"/>
              <w:ind w:right="284"/>
            </w:pPr>
          </w:p>
        </w:tc>
        <w:tc>
          <w:tcPr>
            <w:tcW w:w="3492" w:type="dxa"/>
            <w:tcBorders>
              <w:top w:val="single" w:sz="12" w:space="0" w:color="auto"/>
            </w:tcBorders>
          </w:tcPr>
          <w:p w14:paraId="2B1E31E9"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C03DBE" w14:paraId="1BBCA794" w14:textId="77777777" w:rsidTr="00923A1B">
        <w:trPr>
          <w:cantSplit/>
          <w:trHeight w:val="138"/>
        </w:trPr>
        <w:tc>
          <w:tcPr>
            <w:tcW w:w="6345" w:type="dxa"/>
          </w:tcPr>
          <w:p w14:paraId="4162AE0B" w14:textId="31302F2B" w:rsidR="00923A1B" w:rsidRPr="002238C4" w:rsidRDefault="00923A1B" w:rsidP="0025471D">
            <w:pPr>
              <w:spacing w:after="0"/>
              <w:rPr>
                <w:b/>
                <w:bCs/>
                <w:sz w:val="24"/>
                <w:szCs w:val="24"/>
              </w:rPr>
            </w:pPr>
          </w:p>
        </w:tc>
        <w:tc>
          <w:tcPr>
            <w:tcW w:w="3492" w:type="dxa"/>
          </w:tcPr>
          <w:p w14:paraId="01BBC68C" w14:textId="69E4E922" w:rsidR="00923A1B" w:rsidRPr="002238C4" w:rsidRDefault="00923A1B" w:rsidP="004D12A3">
            <w:pPr>
              <w:spacing w:after="0"/>
              <w:rPr>
                <w:b/>
                <w:bCs/>
                <w:sz w:val="24"/>
                <w:szCs w:val="24"/>
                <w:lang w:val="es-ES"/>
              </w:rPr>
            </w:pPr>
            <w:proofErr w:type="spellStart"/>
            <w:r w:rsidRPr="002238C4">
              <w:rPr>
                <w:b/>
                <w:bCs/>
                <w:sz w:val="24"/>
                <w:szCs w:val="24"/>
                <w:lang w:val="es-ES"/>
              </w:rPr>
              <w:t>Document</w:t>
            </w:r>
            <w:proofErr w:type="spellEnd"/>
            <w:r w:rsidRPr="002238C4">
              <w:rPr>
                <w:b/>
                <w:bCs/>
                <w:sz w:val="24"/>
                <w:szCs w:val="24"/>
                <w:lang w:val="es-ES"/>
              </w:rPr>
              <w:t xml:space="preserve"> </w:t>
            </w:r>
            <w:r w:rsidR="000854C6">
              <w:rPr>
                <w:b/>
                <w:bCs/>
                <w:sz w:val="24"/>
                <w:szCs w:val="24"/>
                <w:lang w:val="es-ES"/>
              </w:rPr>
              <w:t>EG-ITRs</w:t>
            </w:r>
            <w:r w:rsidR="004D12A3">
              <w:rPr>
                <w:b/>
                <w:bCs/>
                <w:sz w:val="24"/>
                <w:szCs w:val="24"/>
                <w:lang w:val="es-ES"/>
              </w:rPr>
              <w:t>-1/12</w:t>
            </w:r>
            <w:r w:rsidR="000854C6">
              <w:rPr>
                <w:b/>
                <w:bCs/>
                <w:sz w:val="24"/>
                <w:szCs w:val="24"/>
                <w:lang w:val="es-ES"/>
              </w:rPr>
              <w:t>-E</w:t>
            </w:r>
          </w:p>
        </w:tc>
      </w:tr>
      <w:tr w:rsidR="00923A1B" w:rsidRPr="003737DE" w14:paraId="100AEFFF" w14:textId="77777777" w:rsidTr="00923A1B">
        <w:trPr>
          <w:cantSplit/>
          <w:trHeight w:val="138"/>
        </w:trPr>
        <w:tc>
          <w:tcPr>
            <w:tcW w:w="6345" w:type="dxa"/>
          </w:tcPr>
          <w:p w14:paraId="2F758D85" w14:textId="77777777" w:rsidR="00923A1B" w:rsidRDefault="00923A1B" w:rsidP="0025471D">
            <w:pPr>
              <w:shd w:val="solid" w:color="FFFFFF" w:fill="FFFFFF"/>
              <w:spacing w:after="0"/>
              <w:ind w:right="284"/>
              <w:rPr>
                <w:lang w:val="es-ES"/>
              </w:rPr>
            </w:pPr>
          </w:p>
        </w:tc>
        <w:tc>
          <w:tcPr>
            <w:tcW w:w="3492" w:type="dxa"/>
          </w:tcPr>
          <w:p w14:paraId="4BC2ED00" w14:textId="1AB03623" w:rsidR="00923A1B" w:rsidRPr="002238C4" w:rsidRDefault="00A17015" w:rsidP="0025471D">
            <w:pPr>
              <w:tabs>
                <w:tab w:val="left" w:pos="851"/>
              </w:tabs>
              <w:spacing w:after="0"/>
              <w:ind w:right="284"/>
              <w:rPr>
                <w:b/>
                <w:sz w:val="24"/>
                <w:szCs w:val="24"/>
              </w:rPr>
            </w:pPr>
            <w:r>
              <w:rPr>
                <w:b/>
                <w:sz w:val="24"/>
                <w:szCs w:val="24"/>
              </w:rPr>
              <w:t>2</w:t>
            </w:r>
            <w:r w:rsidR="000854C6">
              <w:rPr>
                <w:b/>
                <w:sz w:val="24"/>
                <w:szCs w:val="24"/>
              </w:rPr>
              <w:t xml:space="preserve"> September </w:t>
            </w:r>
            <w:r w:rsidR="00923A1B" w:rsidRPr="002238C4">
              <w:rPr>
                <w:b/>
                <w:sz w:val="24"/>
                <w:szCs w:val="24"/>
              </w:rPr>
              <w:t>2019</w:t>
            </w:r>
          </w:p>
        </w:tc>
      </w:tr>
      <w:tr w:rsidR="00923A1B" w:rsidRPr="003737DE" w14:paraId="71FD0A17" w14:textId="77777777" w:rsidTr="00923A1B">
        <w:trPr>
          <w:cantSplit/>
          <w:trHeight w:val="138"/>
        </w:trPr>
        <w:tc>
          <w:tcPr>
            <w:tcW w:w="6345" w:type="dxa"/>
          </w:tcPr>
          <w:p w14:paraId="0EA5B8B2" w14:textId="77777777" w:rsidR="00923A1B" w:rsidRDefault="00923A1B" w:rsidP="0025471D">
            <w:pPr>
              <w:shd w:val="solid" w:color="FFFFFF" w:fill="FFFFFF"/>
              <w:spacing w:after="0"/>
              <w:ind w:right="284"/>
            </w:pPr>
          </w:p>
        </w:tc>
        <w:tc>
          <w:tcPr>
            <w:tcW w:w="3492" w:type="dxa"/>
          </w:tcPr>
          <w:p w14:paraId="06AB3AD7" w14:textId="3A32F6E9" w:rsidR="00923A1B" w:rsidRPr="004D12A3" w:rsidRDefault="004D12A3" w:rsidP="0025471D">
            <w:pPr>
              <w:tabs>
                <w:tab w:val="left" w:pos="851"/>
              </w:tabs>
              <w:spacing w:after="0"/>
              <w:ind w:right="284"/>
              <w:rPr>
                <w:b/>
                <w:sz w:val="24"/>
                <w:szCs w:val="24"/>
              </w:rPr>
            </w:pPr>
            <w:r w:rsidRPr="004D12A3">
              <w:rPr>
                <w:b/>
                <w:sz w:val="24"/>
                <w:szCs w:val="24"/>
              </w:rPr>
              <w:t xml:space="preserve">Original: </w:t>
            </w:r>
            <w:r w:rsidR="002238C4" w:rsidRPr="004D12A3">
              <w:rPr>
                <w:b/>
                <w:sz w:val="24"/>
                <w:szCs w:val="24"/>
              </w:rPr>
              <w:t>English</w:t>
            </w:r>
          </w:p>
        </w:tc>
      </w:tr>
      <w:tr w:rsidR="000854C6" w:rsidRPr="003737DE" w14:paraId="2CF60B2A" w14:textId="77777777" w:rsidTr="00372CD6">
        <w:trPr>
          <w:cantSplit/>
          <w:trHeight w:val="138"/>
        </w:trPr>
        <w:tc>
          <w:tcPr>
            <w:tcW w:w="9837" w:type="dxa"/>
            <w:gridSpan w:val="2"/>
          </w:tcPr>
          <w:p w14:paraId="2B7E725C" w14:textId="407AC129" w:rsidR="000854C6" w:rsidRDefault="00CD542C" w:rsidP="000854C6">
            <w:pPr>
              <w:pStyle w:val="Source"/>
            </w:pPr>
            <w:r>
              <w:t>Brazil (Federative Republic of)</w:t>
            </w:r>
          </w:p>
        </w:tc>
      </w:tr>
      <w:tr w:rsidR="000854C6" w:rsidRPr="00DF6CF9" w14:paraId="27824CBA" w14:textId="77777777" w:rsidTr="00372CD6">
        <w:trPr>
          <w:cantSplit/>
          <w:trHeight w:val="138"/>
        </w:trPr>
        <w:tc>
          <w:tcPr>
            <w:tcW w:w="9837" w:type="dxa"/>
            <w:gridSpan w:val="2"/>
          </w:tcPr>
          <w:p w14:paraId="11774442" w14:textId="728612E5" w:rsidR="000854C6" w:rsidRPr="00570C28" w:rsidRDefault="00A44490" w:rsidP="000854C6">
            <w:pPr>
              <w:pStyle w:val="Title1"/>
              <w:rPr>
                <w:lang w:val="en-US"/>
              </w:rPr>
            </w:pPr>
            <w:r>
              <w:rPr>
                <w:lang w:val="en-US"/>
              </w:rPr>
              <w:t xml:space="preserve">PRINCIPLES FOR THE </w:t>
            </w:r>
            <w:r w:rsidR="00570C28" w:rsidRPr="00570C28">
              <w:rPr>
                <w:lang w:val="en-US"/>
              </w:rPr>
              <w:t>REVIEW OF THE INTERNATIONAL TELECOMMUNICATION REGULATIONS</w:t>
            </w:r>
          </w:p>
        </w:tc>
      </w:tr>
    </w:tbl>
    <w:p w14:paraId="5F55F781" w14:textId="77777777" w:rsidR="00A17015" w:rsidRPr="004D12A3" w:rsidRDefault="00A17015" w:rsidP="00EA05EC">
      <w:pPr>
        <w:snapToGrid w:val="0"/>
        <w:spacing w:before="360" w:after="120" w:line="240" w:lineRule="auto"/>
        <w:rPr>
          <w:b/>
          <w:sz w:val="24"/>
          <w:szCs w:val="24"/>
          <w:u w:val="single"/>
          <w:lang w:val="en-US"/>
        </w:rPr>
      </w:pPr>
      <w:r w:rsidRPr="004D12A3">
        <w:rPr>
          <w:b/>
          <w:sz w:val="24"/>
          <w:szCs w:val="24"/>
          <w:u w:val="single"/>
          <w:lang w:val="en-US"/>
        </w:rPr>
        <w:t>Introduction</w:t>
      </w:r>
    </w:p>
    <w:p w14:paraId="0004E91B" w14:textId="7DF44684" w:rsidR="00A17015" w:rsidRPr="004D12A3" w:rsidRDefault="00A17015" w:rsidP="00EA05EC">
      <w:pPr>
        <w:snapToGrid w:val="0"/>
        <w:spacing w:after="120" w:line="240" w:lineRule="auto"/>
        <w:rPr>
          <w:sz w:val="24"/>
          <w:szCs w:val="24"/>
          <w:lang w:val="en-US"/>
        </w:rPr>
      </w:pPr>
      <w:r w:rsidRPr="004D12A3">
        <w:rPr>
          <w:spacing w:val="-2"/>
          <w:sz w:val="24"/>
          <w:szCs w:val="24"/>
          <w:lang w:val="en-US"/>
        </w:rPr>
        <w:t>Brazil was an active supporter of the 2012 World Conference on International Telecommunications</w:t>
      </w:r>
      <w:r w:rsidRPr="004D12A3">
        <w:rPr>
          <w:sz w:val="24"/>
          <w:szCs w:val="24"/>
          <w:lang w:val="en-US"/>
        </w:rPr>
        <w:t xml:space="preserve"> (WCIT-12). We participated in all C</w:t>
      </w:r>
      <w:r w:rsidR="00E165C3" w:rsidRPr="004D12A3">
        <w:rPr>
          <w:sz w:val="24"/>
          <w:szCs w:val="24"/>
          <w:lang w:val="en-US"/>
        </w:rPr>
        <w:t xml:space="preserve">ouncil </w:t>
      </w:r>
      <w:r w:rsidRPr="004D12A3">
        <w:rPr>
          <w:sz w:val="24"/>
          <w:szCs w:val="24"/>
          <w:lang w:val="en-US"/>
        </w:rPr>
        <w:t>W</w:t>
      </w:r>
      <w:r w:rsidR="00E165C3" w:rsidRPr="004D12A3">
        <w:rPr>
          <w:sz w:val="24"/>
          <w:szCs w:val="24"/>
          <w:lang w:val="en-US"/>
        </w:rPr>
        <w:t xml:space="preserve">orking </w:t>
      </w:r>
      <w:r w:rsidRPr="004D12A3">
        <w:rPr>
          <w:sz w:val="24"/>
          <w:szCs w:val="24"/>
          <w:lang w:val="en-US"/>
        </w:rPr>
        <w:t>G</w:t>
      </w:r>
      <w:r w:rsidR="00E165C3" w:rsidRPr="004D12A3">
        <w:rPr>
          <w:sz w:val="24"/>
          <w:szCs w:val="24"/>
          <w:lang w:val="en-US"/>
        </w:rPr>
        <w:t>roup</w:t>
      </w:r>
      <w:r w:rsidRPr="004D12A3">
        <w:rPr>
          <w:sz w:val="24"/>
          <w:szCs w:val="24"/>
          <w:lang w:val="en-US"/>
        </w:rPr>
        <w:t xml:space="preserve"> </w:t>
      </w:r>
      <w:r w:rsidR="00E165C3" w:rsidRPr="004D12A3">
        <w:rPr>
          <w:sz w:val="24"/>
          <w:szCs w:val="24"/>
          <w:lang w:val="en-US"/>
        </w:rPr>
        <w:t xml:space="preserve">(CWG) </w:t>
      </w:r>
      <w:r w:rsidRPr="004D12A3">
        <w:rPr>
          <w:sz w:val="24"/>
          <w:szCs w:val="24"/>
          <w:lang w:val="en-US"/>
        </w:rPr>
        <w:t xml:space="preserve">preparatory meetings with numerous contributions. We presented 77 </w:t>
      </w:r>
      <w:r w:rsidR="00BF402F" w:rsidRPr="004D12A3">
        <w:rPr>
          <w:sz w:val="24"/>
          <w:szCs w:val="24"/>
          <w:lang w:val="en-US"/>
        </w:rPr>
        <w:t xml:space="preserve">Brazilian </w:t>
      </w:r>
      <w:r w:rsidRPr="004D12A3">
        <w:rPr>
          <w:sz w:val="24"/>
          <w:szCs w:val="24"/>
          <w:lang w:val="en-US"/>
        </w:rPr>
        <w:t>proposals to WCIT-12, and co-signed 17 CITEL proposals. We brought 40 delegates to the Conference</w:t>
      </w:r>
      <w:r w:rsidR="00BF402F" w:rsidRPr="004D12A3">
        <w:rPr>
          <w:sz w:val="24"/>
          <w:szCs w:val="24"/>
          <w:lang w:val="en-US"/>
        </w:rPr>
        <w:t xml:space="preserve"> </w:t>
      </w:r>
      <w:r w:rsidRPr="004D12A3">
        <w:rPr>
          <w:sz w:val="24"/>
          <w:szCs w:val="24"/>
          <w:lang w:val="en-US"/>
        </w:rPr>
        <w:t xml:space="preserve">and participated actively in all meetings. In the end, we signed the Final Acts of WCIT-12 without any reservations. </w:t>
      </w:r>
      <w:r w:rsidR="00544A1F" w:rsidRPr="004D12A3">
        <w:rPr>
          <w:sz w:val="24"/>
          <w:szCs w:val="24"/>
          <w:lang w:val="en-US"/>
        </w:rPr>
        <w:t xml:space="preserve">Today, </w:t>
      </w:r>
      <w:r w:rsidRPr="004D12A3">
        <w:rPr>
          <w:sz w:val="24"/>
          <w:szCs w:val="24"/>
          <w:lang w:val="en-US"/>
        </w:rPr>
        <w:t>Brazil continues to observe and comply with the 19</w:t>
      </w:r>
      <w:r w:rsidR="00544A1F" w:rsidRPr="004D12A3">
        <w:rPr>
          <w:sz w:val="24"/>
          <w:szCs w:val="24"/>
          <w:lang w:val="en-US"/>
        </w:rPr>
        <w:t>8</w:t>
      </w:r>
      <w:r w:rsidRPr="004D12A3">
        <w:rPr>
          <w:sz w:val="24"/>
          <w:szCs w:val="24"/>
          <w:lang w:val="en-US"/>
        </w:rPr>
        <w:t>8 and 2012 International Telecommunication Regulations (ITRs).</w:t>
      </w:r>
    </w:p>
    <w:p w14:paraId="576F7119" w14:textId="4CBACE86" w:rsidR="00A17015" w:rsidRPr="004D12A3" w:rsidRDefault="00A17015" w:rsidP="00EA05EC">
      <w:pPr>
        <w:snapToGrid w:val="0"/>
        <w:spacing w:after="120" w:line="240" w:lineRule="auto"/>
        <w:rPr>
          <w:sz w:val="24"/>
          <w:szCs w:val="24"/>
          <w:lang w:val="en-US"/>
        </w:rPr>
      </w:pPr>
      <w:r w:rsidRPr="004D12A3">
        <w:rPr>
          <w:sz w:val="24"/>
          <w:szCs w:val="24"/>
          <w:lang w:val="en-US"/>
        </w:rPr>
        <w:t>This document presents Brazil’s views on the ITR review process. Brazil understands that the main issues under discussion are the following:</w:t>
      </w:r>
    </w:p>
    <w:p w14:paraId="6952A013" w14:textId="77777777" w:rsidR="00A17015" w:rsidRPr="004D12A3" w:rsidRDefault="00A17015" w:rsidP="00EA05EC">
      <w:pPr>
        <w:pStyle w:val="ListParagraph"/>
        <w:numPr>
          <w:ilvl w:val="0"/>
          <w:numId w:val="21"/>
        </w:numPr>
        <w:overflowPunct w:val="0"/>
        <w:autoSpaceDE w:val="0"/>
        <w:autoSpaceDN w:val="0"/>
        <w:adjustRightInd w:val="0"/>
        <w:snapToGrid w:val="0"/>
        <w:spacing w:before="120" w:after="120" w:line="240" w:lineRule="auto"/>
        <w:contextualSpacing w:val="0"/>
        <w:textAlignment w:val="baseline"/>
        <w:rPr>
          <w:sz w:val="24"/>
          <w:szCs w:val="24"/>
          <w:lang w:val="en-US"/>
        </w:rPr>
      </w:pPr>
      <w:r w:rsidRPr="004D12A3">
        <w:rPr>
          <w:sz w:val="24"/>
          <w:szCs w:val="24"/>
          <w:lang w:val="en-US"/>
        </w:rPr>
        <w:t>applicability of the provisions of the ITRs in fostering the provision and development of international telecommunication/ICT services and networks;</w:t>
      </w:r>
    </w:p>
    <w:p w14:paraId="21D3F85C" w14:textId="14C728F0" w:rsidR="00A17015" w:rsidRPr="004D12A3" w:rsidRDefault="00A17015" w:rsidP="00EA05EC">
      <w:pPr>
        <w:pStyle w:val="ListParagraph"/>
        <w:numPr>
          <w:ilvl w:val="0"/>
          <w:numId w:val="21"/>
        </w:numPr>
        <w:overflowPunct w:val="0"/>
        <w:autoSpaceDE w:val="0"/>
        <w:autoSpaceDN w:val="0"/>
        <w:adjustRightInd w:val="0"/>
        <w:snapToGrid w:val="0"/>
        <w:spacing w:before="120" w:after="120" w:line="240" w:lineRule="auto"/>
        <w:contextualSpacing w:val="0"/>
        <w:textAlignment w:val="baseline"/>
        <w:rPr>
          <w:sz w:val="24"/>
          <w:szCs w:val="24"/>
          <w:lang w:val="en-US"/>
        </w:rPr>
      </w:pPr>
      <w:r w:rsidRPr="004D12A3">
        <w:rPr>
          <w:sz w:val="24"/>
          <w:szCs w:val="24"/>
          <w:lang w:val="en-US"/>
        </w:rPr>
        <w:t xml:space="preserve">flexibility of, or lack thereof, the provisions of the ITRs to accommodate new trends and emerging issues in international telecommunications/ICT environment; </w:t>
      </w:r>
    </w:p>
    <w:p w14:paraId="7790EF2A" w14:textId="5AC81442" w:rsidR="00A17015" w:rsidRPr="004D12A3" w:rsidRDefault="00A17015" w:rsidP="00EA05EC">
      <w:pPr>
        <w:pStyle w:val="ListParagraph"/>
        <w:numPr>
          <w:ilvl w:val="0"/>
          <w:numId w:val="21"/>
        </w:numPr>
        <w:overflowPunct w:val="0"/>
        <w:autoSpaceDE w:val="0"/>
        <w:autoSpaceDN w:val="0"/>
        <w:adjustRightInd w:val="0"/>
        <w:snapToGrid w:val="0"/>
        <w:spacing w:before="120" w:after="120" w:line="240" w:lineRule="auto"/>
        <w:contextualSpacing w:val="0"/>
        <w:textAlignment w:val="baseline"/>
        <w:rPr>
          <w:sz w:val="24"/>
          <w:szCs w:val="24"/>
          <w:lang w:val="en-US"/>
        </w:rPr>
      </w:pPr>
      <w:r w:rsidRPr="004D12A3">
        <w:rPr>
          <w:sz w:val="24"/>
          <w:szCs w:val="24"/>
          <w:lang w:val="en-US"/>
        </w:rPr>
        <w:t>the costs of holding a new WCIT;</w:t>
      </w:r>
    </w:p>
    <w:p w14:paraId="0E340F1A" w14:textId="77777777" w:rsidR="00A17015" w:rsidRPr="004D12A3" w:rsidRDefault="00A17015" w:rsidP="00EA05EC">
      <w:pPr>
        <w:pStyle w:val="ListParagraph"/>
        <w:numPr>
          <w:ilvl w:val="0"/>
          <w:numId w:val="21"/>
        </w:numPr>
        <w:overflowPunct w:val="0"/>
        <w:autoSpaceDE w:val="0"/>
        <w:autoSpaceDN w:val="0"/>
        <w:adjustRightInd w:val="0"/>
        <w:snapToGrid w:val="0"/>
        <w:spacing w:before="120" w:after="120" w:line="240" w:lineRule="auto"/>
        <w:contextualSpacing w:val="0"/>
        <w:textAlignment w:val="baseline"/>
        <w:rPr>
          <w:sz w:val="24"/>
          <w:szCs w:val="24"/>
          <w:lang w:val="en-US"/>
        </w:rPr>
      </w:pPr>
      <w:proofErr w:type="gramStart"/>
      <w:r w:rsidRPr="004D12A3">
        <w:rPr>
          <w:sz w:val="24"/>
          <w:szCs w:val="24"/>
          <w:lang w:val="en-US"/>
        </w:rPr>
        <w:t>the</w:t>
      </w:r>
      <w:proofErr w:type="gramEnd"/>
      <w:r w:rsidRPr="004D12A3">
        <w:rPr>
          <w:sz w:val="24"/>
          <w:szCs w:val="24"/>
          <w:lang w:val="en-US"/>
        </w:rPr>
        <w:t xml:space="preserve"> impacts on international cooperation and ITU's reputation.</w:t>
      </w:r>
    </w:p>
    <w:p w14:paraId="01A306A1" w14:textId="7E385799" w:rsidR="00D54552" w:rsidRPr="004D12A3" w:rsidRDefault="00C05AB8" w:rsidP="00EA05EC">
      <w:pPr>
        <w:tabs>
          <w:tab w:val="left" w:pos="8595"/>
        </w:tabs>
        <w:snapToGrid w:val="0"/>
        <w:spacing w:before="360" w:after="120" w:line="240" w:lineRule="auto"/>
        <w:rPr>
          <w:b/>
          <w:sz w:val="24"/>
          <w:szCs w:val="24"/>
          <w:u w:val="single"/>
          <w:lang w:val="en-US"/>
        </w:rPr>
      </w:pPr>
      <w:r w:rsidRPr="004D12A3">
        <w:rPr>
          <w:b/>
          <w:sz w:val="24"/>
          <w:szCs w:val="24"/>
          <w:u w:val="single"/>
          <w:lang w:val="en-US"/>
        </w:rPr>
        <w:t>A</w:t>
      </w:r>
      <w:r w:rsidR="00A17015" w:rsidRPr="004D12A3">
        <w:rPr>
          <w:b/>
          <w:sz w:val="24"/>
          <w:szCs w:val="24"/>
          <w:u w:val="single"/>
          <w:lang w:val="en-US"/>
        </w:rPr>
        <w:t xml:space="preserve">pplicability </w:t>
      </w:r>
      <w:r w:rsidR="00D54552" w:rsidRPr="004D12A3">
        <w:rPr>
          <w:b/>
          <w:sz w:val="24"/>
          <w:szCs w:val="24"/>
          <w:u w:val="single"/>
          <w:lang w:val="en-US"/>
        </w:rPr>
        <w:t xml:space="preserve">and flexibility </w:t>
      </w:r>
      <w:r w:rsidR="00A17015" w:rsidRPr="004D12A3">
        <w:rPr>
          <w:b/>
          <w:sz w:val="24"/>
          <w:szCs w:val="24"/>
          <w:u w:val="single"/>
          <w:lang w:val="en-US"/>
        </w:rPr>
        <w:t>of the</w:t>
      </w:r>
      <w:r w:rsidR="004D0217" w:rsidRPr="004D12A3">
        <w:rPr>
          <w:b/>
          <w:sz w:val="24"/>
          <w:szCs w:val="24"/>
          <w:u w:val="single"/>
          <w:lang w:val="en-US"/>
        </w:rPr>
        <w:t xml:space="preserve"> </w:t>
      </w:r>
      <w:r w:rsidR="00A17015" w:rsidRPr="004D12A3">
        <w:rPr>
          <w:b/>
          <w:sz w:val="24"/>
          <w:szCs w:val="24"/>
          <w:u w:val="single"/>
          <w:lang w:val="en-US"/>
        </w:rPr>
        <w:t>ITRs</w:t>
      </w:r>
      <w:r w:rsidR="00D54552" w:rsidRPr="004D12A3">
        <w:rPr>
          <w:b/>
          <w:sz w:val="24"/>
          <w:szCs w:val="24"/>
          <w:u w:val="single"/>
          <w:lang w:val="en-US"/>
        </w:rPr>
        <w:t xml:space="preserve"> in accommodating new trends and emerging issues in telecommunication/ICTs</w:t>
      </w:r>
    </w:p>
    <w:p w14:paraId="1A9243FE" w14:textId="2858E4CF" w:rsidR="00195360" w:rsidRPr="004D12A3" w:rsidRDefault="00195360" w:rsidP="00EA05EC">
      <w:pPr>
        <w:snapToGrid w:val="0"/>
        <w:spacing w:after="120" w:line="240" w:lineRule="auto"/>
        <w:rPr>
          <w:sz w:val="24"/>
          <w:szCs w:val="24"/>
          <w:lang w:val="en-US"/>
        </w:rPr>
      </w:pPr>
      <w:r w:rsidRPr="004D12A3">
        <w:rPr>
          <w:sz w:val="24"/>
          <w:szCs w:val="24"/>
          <w:lang w:val="en-US"/>
        </w:rPr>
        <w:lastRenderedPageBreak/>
        <w:t xml:space="preserve">The applicability </w:t>
      </w:r>
      <w:r w:rsidR="00D54552" w:rsidRPr="004D12A3">
        <w:rPr>
          <w:sz w:val="24"/>
          <w:szCs w:val="24"/>
          <w:lang w:val="en-US"/>
        </w:rPr>
        <w:t xml:space="preserve">and flexibility </w:t>
      </w:r>
      <w:r w:rsidRPr="004D12A3">
        <w:rPr>
          <w:sz w:val="24"/>
          <w:szCs w:val="24"/>
          <w:lang w:val="en-US"/>
        </w:rPr>
        <w:t>of the ITRs can be examined based</w:t>
      </w:r>
      <w:r w:rsidR="004D0217" w:rsidRPr="004D12A3">
        <w:rPr>
          <w:sz w:val="24"/>
          <w:szCs w:val="24"/>
          <w:lang w:val="en-US"/>
        </w:rPr>
        <w:t>: (</w:t>
      </w:r>
      <w:proofErr w:type="spellStart"/>
      <w:r w:rsidR="004D0217" w:rsidRPr="004D12A3">
        <w:rPr>
          <w:sz w:val="24"/>
          <w:szCs w:val="24"/>
          <w:lang w:val="en-US"/>
        </w:rPr>
        <w:t>i</w:t>
      </w:r>
      <w:proofErr w:type="spellEnd"/>
      <w:r w:rsidR="004D0217" w:rsidRPr="004D12A3">
        <w:rPr>
          <w:sz w:val="24"/>
          <w:szCs w:val="24"/>
          <w:lang w:val="en-US"/>
        </w:rPr>
        <w:t xml:space="preserve">) </w:t>
      </w:r>
      <w:r w:rsidRPr="004D12A3">
        <w:rPr>
          <w:sz w:val="24"/>
          <w:szCs w:val="24"/>
          <w:lang w:val="en-US"/>
        </w:rPr>
        <w:t xml:space="preserve">on the viewpoints </w:t>
      </w:r>
      <w:r w:rsidR="00CF2785" w:rsidRPr="004D12A3">
        <w:rPr>
          <w:sz w:val="24"/>
          <w:szCs w:val="24"/>
          <w:lang w:val="en-US"/>
        </w:rPr>
        <w:t>of each Member State</w:t>
      </w:r>
      <w:r w:rsidR="007C6AC7" w:rsidRPr="004D12A3">
        <w:rPr>
          <w:sz w:val="24"/>
          <w:szCs w:val="24"/>
          <w:lang w:val="en-US"/>
        </w:rPr>
        <w:t xml:space="preserve"> on</w:t>
      </w:r>
      <w:r w:rsidR="00CF2785" w:rsidRPr="004D12A3">
        <w:rPr>
          <w:sz w:val="24"/>
          <w:szCs w:val="24"/>
          <w:lang w:val="en-US"/>
        </w:rPr>
        <w:t xml:space="preserve"> the need for ITRs, </w:t>
      </w:r>
      <w:r w:rsidR="004D0217" w:rsidRPr="004D12A3">
        <w:rPr>
          <w:sz w:val="24"/>
          <w:szCs w:val="24"/>
          <w:lang w:val="en-US"/>
        </w:rPr>
        <w:t xml:space="preserve">(ii) </w:t>
      </w:r>
      <w:r w:rsidR="00CF2785" w:rsidRPr="004D12A3">
        <w:rPr>
          <w:sz w:val="24"/>
          <w:szCs w:val="24"/>
          <w:lang w:val="en-US"/>
        </w:rPr>
        <w:t>on the scope of the ITRs</w:t>
      </w:r>
      <w:r w:rsidR="00D54552" w:rsidRPr="004D12A3">
        <w:rPr>
          <w:sz w:val="24"/>
          <w:szCs w:val="24"/>
          <w:lang w:val="en-US"/>
        </w:rPr>
        <w:t>,</w:t>
      </w:r>
      <w:r w:rsidR="00CF2785" w:rsidRPr="004D12A3">
        <w:rPr>
          <w:sz w:val="24"/>
          <w:szCs w:val="24"/>
          <w:lang w:val="en-US"/>
        </w:rPr>
        <w:t xml:space="preserve"> and </w:t>
      </w:r>
      <w:r w:rsidR="004D0217" w:rsidRPr="004D12A3">
        <w:rPr>
          <w:sz w:val="24"/>
          <w:szCs w:val="24"/>
          <w:lang w:val="en-US"/>
        </w:rPr>
        <w:t xml:space="preserve">(iii) </w:t>
      </w:r>
      <w:r w:rsidR="00CF2785" w:rsidRPr="004D12A3">
        <w:rPr>
          <w:sz w:val="24"/>
          <w:szCs w:val="24"/>
          <w:lang w:val="en-US"/>
        </w:rPr>
        <w:t>on the pace and innovation of telecommunication/ICTs.</w:t>
      </w:r>
    </w:p>
    <w:p w14:paraId="30EA89AE" w14:textId="584C053A" w:rsidR="00A17015" w:rsidRPr="004D12A3" w:rsidRDefault="00C05AB8" w:rsidP="00EA05EC">
      <w:pPr>
        <w:snapToGrid w:val="0"/>
        <w:spacing w:after="120" w:line="240" w:lineRule="auto"/>
        <w:rPr>
          <w:sz w:val="24"/>
          <w:szCs w:val="24"/>
          <w:lang w:val="en-US"/>
        </w:rPr>
      </w:pPr>
      <w:r w:rsidRPr="004D12A3">
        <w:rPr>
          <w:b/>
          <w:sz w:val="24"/>
          <w:szCs w:val="24"/>
          <w:lang w:val="en-US"/>
        </w:rPr>
        <w:t>(</w:t>
      </w:r>
      <w:proofErr w:type="spellStart"/>
      <w:r w:rsidRPr="004D12A3">
        <w:rPr>
          <w:b/>
          <w:sz w:val="24"/>
          <w:szCs w:val="24"/>
          <w:lang w:val="en-US"/>
        </w:rPr>
        <w:t>i</w:t>
      </w:r>
      <w:proofErr w:type="spellEnd"/>
      <w:r w:rsidRPr="004D12A3">
        <w:rPr>
          <w:b/>
          <w:sz w:val="24"/>
          <w:szCs w:val="24"/>
          <w:lang w:val="en-US"/>
        </w:rPr>
        <w:t>)</w:t>
      </w:r>
      <w:r w:rsidR="004D12A3">
        <w:rPr>
          <w:b/>
          <w:sz w:val="24"/>
          <w:szCs w:val="24"/>
          <w:lang w:val="en-US"/>
        </w:rPr>
        <w:tab/>
      </w:r>
      <w:r w:rsidRPr="004D12A3">
        <w:rPr>
          <w:b/>
          <w:sz w:val="24"/>
          <w:szCs w:val="24"/>
          <w:lang w:val="en-US"/>
        </w:rPr>
        <w:t>On</w:t>
      </w:r>
      <w:r w:rsidR="00270D95" w:rsidRPr="004D12A3">
        <w:rPr>
          <w:b/>
          <w:sz w:val="24"/>
          <w:szCs w:val="24"/>
          <w:lang w:val="en-US"/>
        </w:rPr>
        <w:t xml:space="preserve"> the viewpoints on the ITRs.</w:t>
      </w:r>
      <w:r w:rsidR="00270D95" w:rsidRPr="004D12A3">
        <w:rPr>
          <w:sz w:val="24"/>
          <w:szCs w:val="24"/>
          <w:lang w:val="en-US"/>
        </w:rPr>
        <w:t xml:space="preserve"> </w:t>
      </w:r>
      <w:r w:rsidR="00A17015" w:rsidRPr="004D12A3">
        <w:rPr>
          <w:sz w:val="24"/>
          <w:szCs w:val="24"/>
          <w:lang w:val="en-US"/>
        </w:rPr>
        <w:t>There are two predominant viewpoints on the ITRs:</w:t>
      </w:r>
    </w:p>
    <w:p w14:paraId="30B09E45" w14:textId="0835C090" w:rsidR="00A17015" w:rsidRPr="004D12A3" w:rsidRDefault="00A17015" w:rsidP="00EA05EC">
      <w:pPr>
        <w:pStyle w:val="ListParagraph"/>
        <w:numPr>
          <w:ilvl w:val="0"/>
          <w:numId w:val="22"/>
        </w:numPr>
        <w:overflowPunct w:val="0"/>
        <w:autoSpaceDE w:val="0"/>
        <w:autoSpaceDN w:val="0"/>
        <w:adjustRightInd w:val="0"/>
        <w:snapToGrid w:val="0"/>
        <w:spacing w:before="120" w:after="120" w:line="240" w:lineRule="auto"/>
        <w:contextualSpacing w:val="0"/>
        <w:textAlignment w:val="baseline"/>
        <w:rPr>
          <w:sz w:val="24"/>
          <w:szCs w:val="24"/>
          <w:lang w:val="en-US"/>
        </w:rPr>
      </w:pPr>
      <w:r w:rsidRPr="004D12A3">
        <w:rPr>
          <w:sz w:val="24"/>
          <w:szCs w:val="24"/>
          <w:lang w:val="en-US"/>
        </w:rPr>
        <w:t>“View 1”: the ITRs are unnecessary because market competition, national regulatory policies, and</w:t>
      </w:r>
      <w:r w:rsidR="009E54AF" w:rsidRPr="004D12A3">
        <w:rPr>
          <w:sz w:val="24"/>
          <w:szCs w:val="24"/>
          <w:lang w:val="en-US"/>
        </w:rPr>
        <w:t xml:space="preserve"> </w:t>
      </w:r>
      <w:r w:rsidRPr="004D12A3">
        <w:rPr>
          <w:sz w:val="24"/>
          <w:szCs w:val="24"/>
          <w:lang w:val="en-US"/>
        </w:rPr>
        <w:t xml:space="preserve">bilateral agreements are </w:t>
      </w:r>
      <w:r w:rsidR="003B039A" w:rsidRPr="004D12A3">
        <w:rPr>
          <w:sz w:val="24"/>
          <w:szCs w:val="24"/>
          <w:lang w:val="en-US"/>
        </w:rPr>
        <w:t>enough</w:t>
      </w:r>
      <w:r w:rsidRPr="004D12A3">
        <w:rPr>
          <w:sz w:val="24"/>
          <w:szCs w:val="24"/>
          <w:lang w:val="en-US"/>
        </w:rPr>
        <w:t xml:space="preserve"> to optimize the global provision of telecommunication/ICTs;</w:t>
      </w:r>
    </w:p>
    <w:p w14:paraId="02B4908A" w14:textId="17E858AD" w:rsidR="00A17015" w:rsidRPr="004D12A3" w:rsidRDefault="00A17015" w:rsidP="00EA05EC">
      <w:pPr>
        <w:pStyle w:val="ListParagraph"/>
        <w:numPr>
          <w:ilvl w:val="0"/>
          <w:numId w:val="22"/>
        </w:numPr>
        <w:overflowPunct w:val="0"/>
        <w:autoSpaceDE w:val="0"/>
        <w:autoSpaceDN w:val="0"/>
        <w:adjustRightInd w:val="0"/>
        <w:snapToGrid w:val="0"/>
        <w:spacing w:before="120" w:after="120" w:line="240" w:lineRule="auto"/>
        <w:contextualSpacing w:val="0"/>
        <w:textAlignment w:val="baseline"/>
        <w:rPr>
          <w:sz w:val="24"/>
          <w:szCs w:val="24"/>
          <w:lang w:val="en-US"/>
        </w:rPr>
      </w:pPr>
      <w:r w:rsidRPr="004D12A3">
        <w:rPr>
          <w:sz w:val="24"/>
          <w:szCs w:val="24"/>
          <w:lang w:val="en-US"/>
        </w:rPr>
        <w:t xml:space="preserve">“View 2”: the ITRs are necessary because they establish common principles that </w:t>
      </w:r>
      <w:r w:rsidR="003B039A" w:rsidRPr="004D12A3">
        <w:rPr>
          <w:sz w:val="24"/>
          <w:szCs w:val="24"/>
          <w:lang w:val="en-US"/>
        </w:rPr>
        <w:t xml:space="preserve">enable and </w:t>
      </w:r>
      <w:r w:rsidRPr="004D12A3">
        <w:rPr>
          <w:sz w:val="24"/>
          <w:szCs w:val="24"/>
          <w:lang w:val="en-US"/>
        </w:rPr>
        <w:t>optimize the global provision of telecommunication/ICTs.</w:t>
      </w:r>
    </w:p>
    <w:p w14:paraId="4ABF2853" w14:textId="69B4EE1D" w:rsidR="00A17015" w:rsidRPr="004D12A3" w:rsidRDefault="00A17015" w:rsidP="00EA05EC">
      <w:pPr>
        <w:snapToGrid w:val="0"/>
        <w:spacing w:after="120" w:line="240" w:lineRule="auto"/>
        <w:rPr>
          <w:sz w:val="24"/>
          <w:szCs w:val="24"/>
          <w:lang w:val="en-US"/>
        </w:rPr>
      </w:pPr>
      <w:r w:rsidRPr="004D12A3">
        <w:rPr>
          <w:sz w:val="24"/>
          <w:szCs w:val="24"/>
          <w:lang w:val="en-US"/>
        </w:rPr>
        <w:t xml:space="preserve">Views 1 and 2 are </w:t>
      </w:r>
      <w:r w:rsidR="00D23E39" w:rsidRPr="004D12A3">
        <w:rPr>
          <w:sz w:val="24"/>
          <w:szCs w:val="24"/>
          <w:lang w:val="en-US"/>
        </w:rPr>
        <w:t xml:space="preserve">polar </w:t>
      </w:r>
      <w:r w:rsidR="00C9708D" w:rsidRPr="004D12A3">
        <w:rPr>
          <w:sz w:val="24"/>
          <w:szCs w:val="24"/>
          <w:lang w:val="en-US"/>
        </w:rPr>
        <w:t>opposites</w:t>
      </w:r>
      <w:r w:rsidRPr="004D12A3">
        <w:rPr>
          <w:sz w:val="24"/>
          <w:szCs w:val="24"/>
          <w:lang w:val="en-US"/>
        </w:rPr>
        <w:t xml:space="preserve"> of each other. Since acceding to the ITRs is optional, if the views on the applicability of the ITRs continue to be polarized, a new WCIT would produce the same outcomes of WCIT-12: no consensus and a rift among Member States. Even among signatory countries, there are no higher bodies to oversee and enforce compliance to the ITRs, and therefore the effectiveness and applicability of the ITRs fundamentally depend on a proactive, voluntary commitment to collaborate to solve common problems in the global provision of telecommunication/ICTs. </w:t>
      </w:r>
    </w:p>
    <w:p w14:paraId="227AE3E7" w14:textId="5D5F0F01" w:rsidR="00A17015" w:rsidRPr="004D12A3" w:rsidRDefault="00A17015" w:rsidP="00EA05EC">
      <w:pPr>
        <w:snapToGrid w:val="0"/>
        <w:spacing w:after="120" w:line="240" w:lineRule="auto"/>
        <w:rPr>
          <w:sz w:val="24"/>
          <w:szCs w:val="24"/>
          <w:lang w:val="en-US"/>
        </w:rPr>
      </w:pPr>
      <w:r w:rsidRPr="004D12A3">
        <w:rPr>
          <w:sz w:val="24"/>
          <w:szCs w:val="24"/>
          <w:lang w:val="en-US"/>
        </w:rPr>
        <w:t xml:space="preserve">The decision to revise the ITRs and hold a new WCIT depends on a total or a large majority consensus that the ITRs are important </w:t>
      </w:r>
      <w:r w:rsidR="003A6D9F" w:rsidRPr="004D12A3">
        <w:rPr>
          <w:sz w:val="24"/>
          <w:szCs w:val="24"/>
          <w:lang w:val="en-US"/>
        </w:rPr>
        <w:t xml:space="preserve">to optimize and enable </w:t>
      </w:r>
      <w:r w:rsidRPr="004D12A3">
        <w:rPr>
          <w:sz w:val="24"/>
          <w:szCs w:val="24"/>
          <w:lang w:val="en-US"/>
        </w:rPr>
        <w:t>cross-border telecommunication/ICTs. In other words, there should be an almost total convergence to View 2 before such a decision is taken.</w:t>
      </w:r>
    </w:p>
    <w:p w14:paraId="5F85D009" w14:textId="6D3672DA" w:rsidR="00A17015" w:rsidRPr="004D12A3" w:rsidRDefault="004D0217" w:rsidP="00EA05EC">
      <w:pPr>
        <w:snapToGrid w:val="0"/>
        <w:spacing w:after="120" w:line="240" w:lineRule="auto"/>
        <w:rPr>
          <w:sz w:val="24"/>
          <w:szCs w:val="24"/>
          <w:lang w:val="en-US"/>
        </w:rPr>
      </w:pPr>
      <w:r w:rsidRPr="004D12A3">
        <w:rPr>
          <w:b/>
          <w:sz w:val="24"/>
          <w:szCs w:val="24"/>
          <w:lang w:val="en-US"/>
        </w:rPr>
        <w:t xml:space="preserve">(ii) </w:t>
      </w:r>
      <w:r w:rsidR="00C05AB8" w:rsidRPr="004D12A3">
        <w:rPr>
          <w:b/>
          <w:sz w:val="24"/>
          <w:szCs w:val="24"/>
          <w:lang w:val="en-US"/>
        </w:rPr>
        <w:t>On</w:t>
      </w:r>
      <w:r w:rsidR="00A17015" w:rsidRPr="004D12A3">
        <w:rPr>
          <w:b/>
          <w:sz w:val="24"/>
          <w:szCs w:val="24"/>
          <w:lang w:val="en-US"/>
        </w:rPr>
        <w:t xml:space="preserve"> the scope of the ITRs.</w:t>
      </w:r>
      <w:r w:rsidR="00A17015" w:rsidRPr="004D12A3">
        <w:rPr>
          <w:sz w:val="24"/>
          <w:szCs w:val="24"/>
          <w:lang w:val="en-US"/>
        </w:rPr>
        <w:t xml:space="preserve"> Each of the 193 ITU Member States face unique regulatory challenges depending on context, the level of technical/economic development of each national market, the need for intervention/regulation</w:t>
      </w:r>
      <w:r w:rsidR="00F57728" w:rsidRPr="004D12A3">
        <w:rPr>
          <w:sz w:val="24"/>
          <w:szCs w:val="24"/>
          <w:lang w:val="en-US"/>
        </w:rPr>
        <w:t xml:space="preserve">, and the </w:t>
      </w:r>
      <w:r w:rsidR="00592C87" w:rsidRPr="004D12A3">
        <w:rPr>
          <w:sz w:val="24"/>
          <w:szCs w:val="24"/>
          <w:lang w:val="en-US"/>
        </w:rPr>
        <w:t xml:space="preserve">relevant </w:t>
      </w:r>
      <w:r w:rsidR="00F57728" w:rsidRPr="004D12A3">
        <w:rPr>
          <w:sz w:val="24"/>
          <w:szCs w:val="24"/>
          <w:lang w:val="en-US"/>
        </w:rPr>
        <w:t>stakeholders involved</w:t>
      </w:r>
      <w:r w:rsidR="00A17015" w:rsidRPr="004D12A3">
        <w:rPr>
          <w:sz w:val="24"/>
          <w:szCs w:val="24"/>
          <w:lang w:val="en-US"/>
        </w:rPr>
        <w:t>. The ITRs are not effective to solve problems that have a limited scope and affect only some countries. The ITRs should determine common rules to manage the interdependence among all nations in the provision of telecommunication/ICTs, and should reflect these three commitments by signatories</w:t>
      </w:r>
      <w:r w:rsidR="00A17015" w:rsidRPr="004D12A3">
        <w:rPr>
          <w:rStyle w:val="FootnoteReference"/>
          <w:sz w:val="24"/>
          <w:szCs w:val="24"/>
          <w:lang w:val="en-US"/>
        </w:rPr>
        <w:footnoteReference w:id="1"/>
      </w:r>
      <w:r w:rsidR="00A17015" w:rsidRPr="004D12A3">
        <w:rPr>
          <w:sz w:val="24"/>
          <w:szCs w:val="24"/>
          <w:lang w:val="en-US"/>
        </w:rPr>
        <w:t>:</w:t>
      </w:r>
    </w:p>
    <w:p w14:paraId="2B8ACF2C" w14:textId="377A40E7" w:rsidR="00A17015" w:rsidRPr="004D12A3" w:rsidRDefault="00A17015" w:rsidP="00EA05EC">
      <w:pPr>
        <w:pStyle w:val="ListParagraph"/>
        <w:numPr>
          <w:ilvl w:val="0"/>
          <w:numId w:val="23"/>
        </w:numPr>
        <w:overflowPunct w:val="0"/>
        <w:autoSpaceDE w:val="0"/>
        <w:autoSpaceDN w:val="0"/>
        <w:adjustRightInd w:val="0"/>
        <w:snapToGrid w:val="0"/>
        <w:spacing w:before="120" w:after="120" w:line="240" w:lineRule="auto"/>
        <w:contextualSpacing w:val="0"/>
        <w:textAlignment w:val="baseline"/>
        <w:rPr>
          <w:sz w:val="24"/>
          <w:szCs w:val="24"/>
          <w:lang w:val="en-US"/>
        </w:rPr>
      </w:pPr>
      <w:r w:rsidRPr="004D12A3">
        <w:rPr>
          <w:sz w:val="24"/>
          <w:szCs w:val="24"/>
          <w:lang w:val="en-US"/>
        </w:rPr>
        <w:t>to strengthen national-level management of cross-border spillovers;</w:t>
      </w:r>
    </w:p>
    <w:p w14:paraId="073AA607" w14:textId="13466D94" w:rsidR="00A17015" w:rsidRPr="004D12A3" w:rsidRDefault="00A17015" w:rsidP="00EA05EC">
      <w:pPr>
        <w:pStyle w:val="ListParagraph"/>
        <w:numPr>
          <w:ilvl w:val="0"/>
          <w:numId w:val="23"/>
        </w:numPr>
        <w:overflowPunct w:val="0"/>
        <w:autoSpaceDE w:val="0"/>
        <w:autoSpaceDN w:val="0"/>
        <w:adjustRightInd w:val="0"/>
        <w:snapToGrid w:val="0"/>
        <w:spacing w:before="120" w:after="120" w:line="240" w:lineRule="auto"/>
        <w:contextualSpacing w:val="0"/>
        <w:textAlignment w:val="baseline"/>
        <w:rPr>
          <w:sz w:val="24"/>
          <w:szCs w:val="24"/>
          <w:lang w:val="en-US"/>
        </w:rPr>
      </w:pPr>
      <w:r w:rsidRPr="004D12A3">
        <w:rPr>
          <w:sz w:val="24"/>
          <w:szCs w:val="24"/>
          <w:lang w:val="en-US"/>
        </w:rPr>
        <w:t>to protect any state’s sovereignty if it comes under attack;</w:t>
      </w:r>
    </w:p>
    <w:p w14:paraId="70000241" w14:textId="0FE68F73" w:rsidR="00A17015" w:rsidRPr="004D12A3" w:rsidRDefault="00A17015" w:rsidP="00EA05EC">
      <w:pPr>
        <w:pStyle w:val="ListParagraph"/>
        <w:numPr>
          <w:ilvl w:val="0"/>
          <w:numId w:val="23"/>
        </w:numPr>
        <w:overflowPunct w:val="0"/>
        <w:autoSpaceDE w:val="0"/>
        <w:autoSpaceDN w:val="0"/>
        <w:adjustRightInd w:val="0"/>
        <w:snapToGrid w:val="0"/>
        <w:spacing w:before="120" w:after="120" w:line="240" w:lineRule="auto"/>
        <w:contextualSpacing w:val="0"/>
        <w:textAlignment w:val="baseline"/>
        <w:rPr>
          <w:sz w:val="24"/>
          <w:szCs w:val="24"/>
          <w:lang w:val="en-US"/>
        </w:rPr>
      </w:pPr>
      <w:proofErr w:type="gramStart"/>
      <w:r w:rsidRPr="004D12A3">
        <w:rPr>
          <w:sz w:val="24"/>
          <w:szCs w:val="24"/>
          <w:lang w:val="en-US"/>
        </w:rPr>
        <w:t>to</w:t>
      </w:r>
      <w:proofErr w:type="gramEnd"/>
      <w:r w:rsidRPr="004D12A3">
        <w:rPr>
          <w:sz w:val="24"/>
          <w:szCs w:val="24"/>
          <w:lang w:val="en-US"/>
        </w:rPr>
        <w:t xml:space="preserve"> cooperate in mitigating global system risks.</w:t>
      </w:r>
    </w:p>
    <w:p w14:paraId="4B635BCB" w14:textId="5E83B1ED" w:rsidR="00A17015" w:rsidRPr="004D12A3" w:rsidRDefault="00A17015" w:rsidP="00EA05EC">
      <w:pPr>
        <w:snapToGrid w:val="0"/>
        <w:spacing w:after="120" w:line="240" w:lineRule="auto"/>
        <w:rPr>
          <w:sz w:val="24"/>
          <w:szCs w:val="24"/>
          <w:lang w:val="en-US"/>
        </w:rPr>
      </w:pPr>
      <w:r w:rsidRPr="004D12A3">
        <w:rPr>
          <w:sz w:val="24"/>
          <w:szCs w:val="24"/>
          <w:lang w:val="en-US"/>
        </w:rPr>
        <w:lastRenderedPageBreak/>
        <w:t xml:space="preserve">For the ITRs to be applicable, </w:t>
      </w:r>
      <w:r w:rsidR="0003534F" w:rsidRPr="004D12A3">
        <w:rPr>
          <w:sz w:val="24"/>
          <w:szCs w:val="24"/>
          <w:lang w:val="en-US"/>
        </w:rPr>
        <w:t xml:space="preserve">all </w:t>
      </w:r>
      <w:r w:rsidRPr="004D12A3">
        <w:rPr>
          <w:sz w:val="24"/>
          <w:szCs w:val="24"/>
          <w:lang w:val="en-US"/>
        </w:rPr>
        <w:t xml:space="preserve">Member States should be willing to </w:t>
      </w:r>
      <w:r w:rsidR="00065FAC" w:rsidRPr="004D12A3">
        <w:rPr>
          <w:sz w:val="24"/>
          <w:szCs w:val="24"/>
          <w:lang w:val="en-US"/>
        </w:rPr>
        <w:t xml:space="preserve">strongly </w:t>
      </w:r>
      <w:r w:rsidRPr="004D12A3">
        <w:rPr>
          <w:sz w:val="24"/>
          <w:szCs w:val="24"/>
          <w:lang w:val="en-US"/>
        </w:rPr>
        <w:t>commit to these three objectives of international cooperation.</w:t>
      </w:r>
      <w:r w:rsidR="00321E8F" w:rsidRPr="004D12A3">
        <w:rPr>
          <w:sz w:val="24"/>
          <w:szCs w:val="24"/>
          <w:lang w:val="en-US"/>
        </w:rPr>
        <w:t xml:space="preserve"> This is one of the </w:t>
      </w:r>
      <w:r w:rsidR="00961292" w:rsidRPr="004D12A3">
        <w:rPr>
          <w:sz w:val="24"/>
          <w:szCs w:val="24"/>
          <w:lang w:val="en-US"/>
        </w:rPr>
        <w:t xml:space="preserve">two main </w:t>
      </w:r>
      <w:r w:rsidR="0064146F" w:rsidRPr="004D12A3">
        <w:rPr>
          <w:sz w:val="24"/>
          <w:szCs w:val="24"/>
          <w:lang w:val="en-US"/>
        </w:rPr>
        <w:t>problems</w:t>
      </w:r>
      <w:r w:rsidR="00321E8F" w:rsidRPr="004D12A3">
        <w:rPr>
          <w:sz w:val="24"/>
          <w:szCs w:val="24"/>
          <w:lang w:val="en-US"/>
        </w:rPr>
        <w:t xml:space="preserve"> </w:t>
      </w:r>
      <w:r w:rsidR="0064146F" w:rsidRPr="004D12A3">
        <w:rPr>
          <w:sz w:val="24"/>
          <w:szCs w:val="24"/>
          <w:lang w:val="en-US"/>
        </w:rPr>
        <w:t>in discussing</w:t>
      </w:r>
      <w:r w:rsidR="00321E8F" w:rsidRPr="004D12A3">
        <w:rPr>
          <w:sz w:val="24"/>
          <w:szCs w:val="24"/>
          <w:lang w:val="en-US"/>
        </w:rPr>
        <w:t xml:space="preserve"> ITRs nowadays:</w:t>
      </w:r>
      <w:r w:rsidR="0064146F" w:rsidRPr="004D12A3">
        <w:rPr>
          <w:sz w:val="24"/>
          <w:szCs w:val="24"/>
          <w:lang w:val="en-US"/>
        </w:rPr>
        <w:t xml:space="preserve"> Member States differ widely in terms of how to treat these </w:t>
      </w:r>
      <w:r w:rsidR="002472F7" w:rsidRPr="004D12A3">
        <w:rPr>
          <w:sz w:val="24"/>
          <w:szCs w:val="24"/>
          <w:lang w:val="en-US"/>
        </w:rPr>
        <w:t>commitments</w:t>
      </w:r>
      <w:r w:rsidR="0064146F" w:rsidRPr="004D12A3">
        <w:rPr>
          <w:sz w:val="24"/>
          <w:szCs w:val="24"/>
          <w:lang w:val="en-US"/>
        </w:rPr>
        <w:t>.</w:t>
      </w:r>
      <w:r w:rsidR="00526DD9" w:rsidRPr="004D12A3">
        <w:rPr>
          <w:sz w:val="24"/>
          <w:szCs w:val="24"/>
          <w:lang w:val="en-US"/>
        </w:rPr>
        <w:t xml:space="preserve"> Some Member States enter into bilateral or regional agreements with other Member States. Other Member States </w:t>
      </w:r>
      <w:r w:rsidR="009E1D8D" w:rsidRPr="004D12A3">
        <w:rPr>
          <w:sz w:val="24"/>
          <w:szCs w:val="24"/>
          <w:lang w:val="en-US"/>
        </w:rPr>
        <w:t>seek for an international overarching agreement</w:t>
      </w:r>
      <w:r w:rsidR="00B75ED2" w:rsidRPr="004D12A3">
        <w:rPr>
          <w:sz w:val="24"/>
          <w:szCs w:val="24"/>
          <w:lang w:val="en-US"/>
        </w:rPr>
        <w:t>, such as the ITRs. Other</w:t>
      </w:r>
      <w:r w:rsidR="006B010D" w:rsidRPr="004D12A3">
        <w:rPr>
          <w:sz w:val="24"/>
          <w:szCs w:val="24"/>
          <w:lang w:val="en-US"/>
        </w:rPr>
        <w:t xml:space="preserve"> Member States</w:t>
      </w:r>
      <w:r w:rsidR="00B75ED2" w:rsidRPr="004D12A3">
        <w:rPr>
          <w:sz w:val="24"/>
          <w:szCs w:val="24"/>
          <w:lang w:val="en-US"/>
        </w:rPr>
        <w:t xml:space="preserve"> </w:t>
      </w:r>
      <w:r w:rsidR="000A3C49" w:rsidRPr="004D12A3">
        <w:rPr>
          <w:sz w:val="24"/>
          <w:szCs w:val="24"/>
          <w:lang w:val="en-US"/>
        </w:rPr>
        <w:t>prioritize</w:t>
      </w:r>
      <w:r w:rsidR="00B75ED2" w:rsidRPr="004D12A3">
        <w:rPr>
          <w:sz w:val="24"/>
          <w:szCs w:val="24"/>
          <w:lang w:val="en-US"/>
        </w:rPr>
        <w:t xml:space="preserve"> their sovereignty </w:t>
      </w:r>
      <w:r w:rsidR="000A3C49" w:rsidRPr="004D12A3">
        <w:rPr>
          <w:sz w:val="24"/>
          <w:szCs w:val="24"/>
          <w:lang w:val="en-US"/>
        </w:rPr>
        <w:t xml:space="preserve">and employ national policies </w:t>
      </w:r>
      <w:r w:rsidR="00B75ED2" w:rsidRPr="004D12A3">
        <w:rPr>
          <w:sz w:val="24"/>
          <w:szCs w:val="24"/>
          <w:lang w:val="en-US"/>
        </w:rPr>
        <w:t xml:space="preserve">to </w:t>
      </w:r>
      <w:r w:rsidR="00A83FC1" w:rsidRPr="004D12A3">
        <w:rPr>
          <w:sz w:val="24"/>
          <w:szCs w:val="24"/>
          <w:lang w:val="en-US"/>
        </w:rPr>
        <w:t xml:space="preserve">address </w:t>
      </w:r>
      <w:r w:rsidR="00B75ED2" w:rsidRPr="004D12A3">
        <w:rPr>
          <w:sz w:val="24"/>
          <w:szCs w:val="24"/>
          <w:lang w:val="en-US"/>
        </w:rPr>
        <w:t>cross-borders issues</w:t>
      </w:r>
      <w:r w:rsidR="002472F7" w:rsidRPr="004D12A3">
        <w:rPr>
          <w:sz w:val="24"/>
          <w:szCs w:val="24"/>
          <w:lang w:val="en-US"/>
        </w:rPr>
        <w:t>.</w:t>
      </w:r>
      <w:r w:rsidR="00C97CE8" w:rsidRPr="004D12A3">
        <w:rPr>
          <w:sz w:val="24"/>
          <w:szCs w:val="24"/>
          <w:lang w:val="en-US"/>
        </w:rPr>
        <w:t xml:space="preserve"> In reality, the mentioned actions by Member States are not necessarily competing; they could be complementary, and this could be a guideline for the ITRs to seek.</w:t>
      </w:r>
    </w:p>
    <w:p w14:paraId="06740611" w14:textId="27923F5B" w:rsidR="005A6C26" w:rsidRPr="004D12A3" w:rsidRDefault="00814B9F" w:rsidP="00EA05EC">
      <w:pPr>
        <w:snapToGrid w:val="0"/>
        <w:spacing w:after="120" w:line="240" w:lineRule="auto"/>
        <w:rPr>
          <w:sz w:val="24"/>
          <w:szCs w:val="24"/>
          <w:lang w:val="en-US"/>
        </w:rPr>
      </w:pPr>
      <w:r w:rsidRPr="004D12A3">
        <w:rPr>
          <w:sz w:val="24"/>
          <w:szCs w:val="24"/>
          <w:lang w:val="en-US"/>
        </w:rPr>
        <w:t xml:space="preserve">The second main problem is the number and nature of stakeholders involved. </w:t>
      </w:r>
      <w:r w:rsidR="0035322E" w:rsidRPr="004D12A3">
        <w:rPr>
          <w:sz w:val="24"/>
          <w:szCs w:val="24"/>
          <w:lang w:val="en-US"/>
        </w:rPr>
        <w:t>When the ITRs were</w:t>
      </w:r>
      <w:r w:rsidR="00F747B1" w:rsidRPr="004D12A3">
        <w:rPr>
          <w:sz w:val="24"/>
          <w:szCs w:val="24"/>
          <w:lang w:val="en-US"/>
        </w:rPr>
        <w:t xml:space="preserve"> first </w:t>
      </w:r>
      <w:r w:rsidR="0035322E" w:rsidRPr="004D12A3">
        <w:rPr>
          <w:sz w:val="24"/>
          <w:szCs w:val="24"/>
          <w:lang w:val="en-US"/>
        </w:rPr>
        <w:t xml:space="preserve">approved in 1988, telecommunication/ICTs were provided mostly by </w:t>
      </w:r>
      <w:r w:rsidR="00F747B1" w:rsidRPr="004D12A3">
        <w:rPr>
          <w:sz w:val="24"/>
          <w:szCs w:val="24"/>
          <w:lang w:val="en-US"/>
        </w:rPr>
        <w:t>S</w:t>
      </w:r>
      <w:r w:rsidR="0035322E" w:rsidRPr="004D12A3">
        <w:rPr>
          <w:sz w:val="24"/>
          <w:szCs w:val="24"/>
          <w:lang w:val="en-US"/>
        </w:rPr>
        <w:t>tate-owned companies</w:t>
      </w:r>
      <w:r w:rsidR="005046A4" w:rsidRPr="004D12A3">
        <w:rPr>
          <w:sz w:val="24"/>
          <w:szCs w:val="24"/>
          <w:lang w:val="en-US"/>
        </w:rPr>
        <w:t>, thus</w:t>
      </w:r>
      <w:r w:rsidR="0035322E" w:rsidRPr="004D12A3">
        <w:rPr>
          <w:sz w:val="24"/>
          <w:szCs w:val="24"/>
          <w:lang w:val="en-US"/>
        </w:rPr>
        <w:t xml:space="preserve"> governments </w:t>
      </w:r>
      <w:r w:rsidR="006950C5" w:rsidRPr="004D12A3">
        <w:rPr>
          <w:sz w:val="24"/>
          <w:szCs w:val="24"/>
          <w:lang w:val="en-US"/>
        </w:rPr>
        <w:t>were the primary stake</w:t>
      </w:r>
      <w:r w:rsidR="005A6C26" w:rsidRPr="004D12A3">
        <w:rPr>
          <w:sz w:val="24"/>
          <w:szCs w:val="24"/>
          <w:lang w:val="en-US"/>
        </w:rPr>
        <w:t>holders as the providers of services, enforcers of agreements, and</w:t>
      </w:r>
      <w:r w:rsidR="002C5D5F" w:rsidRPr="004D12A3">
        <w:rPr>
          <w:sz w:val="24"/>
          <w:szCs w:val="24"/>
          <w:lang w:val="en-US"/>
        </w:rPr>
        <w:t xml:space="preserve"> main “</w:t>
      </w:r>
      <w:r w:rsidR="005A6C26" w:rsidRPr="004D12A3">
        <w:rPr>
          <w:sz w:val="24"/>
          <w:szCs w:val="24"/>
          <w:lang w:val="en-US"/>
        </w:rPr>
        <w:t>representatives</w:t>
      </w:r>
      <w:r w:rsidR="002C5D5F" w:rsidRPr="004D12A3">
        <w:rPr>
          <w:sz w:val="24"/>
          <w:szCs w:val="24"/>
          <w:lang w:val="en-US"/>
        </w:rPr>
        <w:t>”</w:t>
      </w:r>
      <w:r w:rsidR="005A6C26" w:rsidRPr="004D12A3">
        <w:rPr>
          <w:sz w:val="24"/>
          <w:szCs w:val="24"/>
          <w:lang w:val="en-US"/>
        </w:rPr>
        <w:t xml:space="preserve"> of society. </w:t>
      </w:r>
      <w:r w:rsidR="00AD3BE9" w:rsidRPr="004D12A3">
        <w:rPr>
          <w:sz w:val="24"/>
          <w:szCs w:val="24"/>
          <w:lang w:val="en-US"/>
        </w:rPr>
        <w:t>Nowadays, the provision of telecommunication/ICT ha</w:t>
      </w:r>
      <w:r w:rsidR="00A12C99" w:rsidRPr="004D12A3">
        <w:rPr>
          <w:sz w:val="24"/>
          <w:szCs w:val="24"/>
          <w:lang w:val="en-US"/>
        </w:rPr>
        <w:t>s</w:t>
      </w:r>
      <w:r w:rsidR="00AD3BE9" w:rsidRPr="004D12A3">
        <w:rPr>
          <w:sz w:val="24"/>
          <w:szCs w:val="24"/>
          <w:lang w:val="en-US"/>
        </w:rPr>
        <w:t xml:space="preserve"> been privatized</w:t>
      </w:r>
      <w:r w:rsidR="00C97CE8" w:rsidRPr="004D12A3">
        <w:rPr>
          <w:sz w:val="24"/>
          <w:szCs w:val="24"/>
          <w:lang w:val="en-US"/>
        </w:rPr>
        <w:t xml:space="preserve"> in different levels and scope</w:t>
      </w:r>
      <w:r w:rsidR="00AA6A07" w:rsidRPr="004D12A3">
        <w:rPr>
          <w:sz w:val="24"/>
          <w:szCs w:val="24"/>
          <w:lang w:val="en-US"/>
        </w:rPr>
        <w:t>s</w:t>
      </w:r>
      <w:r w:rsidR="00AD3BE9" w:rsidRPr="004D12A3">
        <w:rPr>
          <w:sz w:val="24"/>
          <w:szCs w:val="24"/>
          <w:lang w:val="en-US"/>
        </w:rPr>
        <w:t xml:space="preserve"> in most countries</w:t>
      </w:r>
      <w:r w:rsidR="00CE3D43" w:rsidRPr="004D12A3">
        <w:rPr>
          <w:sz w:val="24"/>
          <w:szCs w:val="24"/>
          <w:lang w:val="en-US"/>
        </w:rPr>
        <w:t xml:space="preserve">, </w:t>
      </w:r>
      <w:r w:rsidR="00A531E3" w:rsidRPr="004D12A3">
        <w:rPr>
          <w:sz w:val="24"/>
          <w:szCs w:val="24"/>
          <w:lang w:val="en-US"/>
        </w:rPr>
        <w:t xml:space="preserve">the dissemination of the Internet and social media gives everyone an active voice, </w:t>
      </w:r>
      <w:r w:rsidR="00CE3D43" w:rsidRPr="004D12A3">
        <w:rPr>
          <w:sz w:val="24"/>
          <w:szCs w:val="24"/>
          <w:lang w:val="en-US"/>
        </w:rPr>
        <w:t xml:space="preserve">and regulation has been shifting to a </w:t>
      </w:r>
      <w:proofErr w:type="spellStart"/>
      <w:r w:rsidR="00CE3D43" w:rsidRPr="004D12A3">
        <w:rPr>
          <w:sz w:val="24"/>
          <w:szCs w:val="24"/>
          <w:lang w:val="en-US"/>
        </w:rPr>
        <w:t>multistakeholder</w:t>
      </w:r>
      <w:proofErr w:type="spellEnd"/>
      <w:r w:rsidR="00CE3D43" w:rsidRPr="004D12A3">
        <w:rPr>
          <w:sz w:val="24"/>
          <w:szCs w:val="24"/>
          <w:lang w:val="en-US"/>
        </w:rPr>
        <w:t xml:space="preserve"> collaborative process, given the speed of </w:t>
      </w:r>
      <w:r w:rsidR="001839B1" w:rsidRPr="004D12A3">
        <w:rPr>
          <w:sz w:val="24"/>
          <w:szCs w:val="24"/>
          <w:lang w:val="en-US"/>
        </w:rPr>
        <w:t xml:space="preserve">development and adoption </w:t>
      </w:r>
      <w:r w:rsidR="00CE3D43" w:rsidRPr="004D12A3">
        <w:rPr>
          <w:sz w:val="24"/>
          <w:szCs w:val="24"/>
          <w:lang w:val="en-US"/>
        </w:rPr>
        <w:t>of new telecommunication/ICTs</w:t>
      </w:r>
      <w:r w:rsidR="00BE5928" w:rsidRPr="004D12A3">
        <w:rPr>
          <w:sz w:val="24"/>
          <w:szCs w:val="24"/>
          <w:lang w:val="en-US"/>
        </w:rPr>
        <w:t>. T</w:t>
      </w:r>
      <w:r w:rsidR="001839B1" w:rsidRPr="004D12A3">
        <w:rPr>
          <w:sz w:val="24"/>
          <w:szCs w:val="24"/>
          <w:lang w:val="en-US"/>
        </w:rPr>
        <w:t>he private sector</w:t>
      </w:r>
      <w:r w:rsidR="005F54BF" w:rsidRPr="004D12A3">
        <w:rPr>
          <w:sz w:val="24"/>
          <w:szCs w:val="24"/>
          <w:lang w:val="en-US"/>
        </w:rPr>
        <w:t>,</w:t>
      </w:r>
      <w:r w:rsidR="001839B1" w:rsidRPr="004D12A3">
        <w:rPr>
          <w:sz w:val="24"/>
          <w:szCs w:val="24"/>
          <w:lang w:val="en-US"/>
        </w:rPr>
        <w:t xml:space="preserve"> civil society </w:t>
      </w:r>
      <w:r w:rsidR="005F54BF" w:rsidRPr="004D12A3">
        <w:rPr>
          <w:sz w:val="24"/>
          <w:szCs w:val="24"/>
          <w:lang w:val="en-US"/>
        </w:rPr>
        <w:t xml:space="preserve">and the technical community </w:t>
      </w:r>
      <w:r w:rsidR="00BE5928" w:rsidRPr="004D12A3">
        <w:rPr>
          <w:sz w:val="24"/>
          <w:szCs w:val="24"/>
          <w:lang w:val="en-US"/>
        </w:rPr>
        <w:t xml:space="preserve">have been empowered in </w:t>
      </w:r>
      <w:r w:rsidR="001839B1" w:rsidRPr="004D12A3">
        <w:rPr>
          <w:sz w:val="24"/>
          <w:szCs w:val="24"/>
          <w:lang w:val="en-US"/>
        </w:rPr>
        <w:t>the governance process</w:t>
      </w:r>
      <w:r w:rsidR="00BE5928" w:rsidRPr="004D12A3">
        <w:rPr>
          <w:sz w:val="24"/>
          <w:szCs w:val="24"/>
          <w:lang w:val="en-US"/>
        </w:rPr>
        <w:t xml:space="preserve">, and the consequence is </w:t>
      </w:r>
      <w:r w:rsidR="00FE0434" w:rsidRPr="004D12A3">
        <w:rPr>
          <w:sz w:val="24"/>
          <w:szCs w:val="24"/>
          <w:lang w:val="en-US"/>
        </w:rPr>
        <w:t xml:space="preserve">the </w:t>
      </w:r>
      <w:r w:rsidR="005269B7" w:rsidRPr="004D12A3">
        <w:rPr>
          <w:sz w:val="24"/>
          <w:szCs w:val="24"/>
          <w:lang w:val="en-US"/>
        </w:rPr>
        <w:t>“exponential”</w:t>
      </w:r>
      <w:r w:rsidR="00FE0434" w:rsidRPr="004D12A3">
        <w:rPr>
          <w:sz w:val="24"/>
          <w:szCs w:val="24"/>
          <w:lang w:val="en-US"/>
        </w:rPr>
        <w:t xml:space="preserve"> </w:t>
      </w:r>
      <w:r w:rsidR="005269B7" w:rsidRPr="004D12A3">
        <w:rPr>
          <w:sz w:val="24"/>
          <w:szCs w:val="24"/>
          <w:lang w:val="en-US"/>
        </w:rPr>
        <w:t xml:space="preserve">growth </w:t>
      </w:r>
      <w:r w:rsidR="00FE0434" w:rsidRPr="004D12A3">
        <w:rPr>
          <w:sz w:val="24"/>
          <w:szCs w:val="24"/>
          <w:lang w:val="en-US"/>
        </w:rPr>
        <w:t xml:space="preserve">of </w:t>
      </w:r>
      <w:r w:rsidR="00125B86" w:rsidRPr="004D12A3">
        <w:rPr>
          <w:sz w:val="24"/>
          <w:szCs w:val="24"/>
          <w:lang w:val="en-US"/>
        </w:rPr>
        <w:t>non-governmental</w:t>
      </w:r>
      <w:r w:rsidR="00FE0434" w:rsidRPr="004D12A3">
        <w:rPr>
          <w:sz w:val="24"/>
          <w:szCs w:val="24"/>
          <w:lang w:val="en-US"/>
        </w:rPr>
        <w:t xml:space="preserve"> stakeholders that need to be involved in a WCIT process.</w:t>
      </w:r>
      <w:r w:rsidR="006E1428" w:rsidRPr="004D12A3">
        <w:rPr>
          <w:rStyle w:val="FootnoteReference"/>
          <w:sz w:val="24"/>
          <w:szCs w:val="24"/>
          <w:lang w:val="en-US"/>
        </w:rPr>
        <w:footnoteReference w:id="2"/>
      </w:r>
    </w:p>
    <w:p w14:paraId="557619BC" w14:textId="5F1EE9FD" w:rsidR="00A17015" w:rsidRPr="004D12A3" w:rsidRDefault="004D0217" w:rsidP="00EA05EC">
      <w:pPr>
        <w:snapToGrid w:val="0"/>
        <w:spacing w:after="120" w:line="240" w:lineRule="auto"/>
        <w:rPr>
          <w:sz w:val="24"/>
          <w:szCs w:val="24"/>
          <w:lang w:val="en-US"/>
        </w:rPr>
      </w:pPr>
      <w:r w:rsidRPr="004D12A3">
        <w:rPr>
          <w:b/>
          <w:sz w:val="24"/>
          <w:szCs w:val="24"/>
          <w:lang w:val="en-US"/>
        </w:rPr>
        <w:t xml:space="preserve">(iii) </w:t>
      </w:r>
      <w:r w:rsidR="00C05AB8" w:rsidRPr="004D12A3">
        <w:rPr>
          <w:b/>
          <w:sz w:val="24"/>
          <w:szCs w:val="24"/>
          <w:lang w:val="en-US"/>
        </w:rPr>
        <w:t>On</w:t>
      </w:r>
      <w:r w:rsidR="00A17015" w:rsidRPr="004D12A3">
        <w:rPr>
          <w:b/>
          <w:sz w:val="24"/>
          <w:szCs w:val="24"/>
          <w:lang w:val="en-US"/>
        </w:rPr>
        <w:t xml:space="preserve"> the pace of innovation of telecommunication/ICTs.</w:t>
      </w:r>
      <w:r w:rsidR="00A17015" w:rsidRPr="004D12A3">
        <w:rPr>
          <w:sz w:val="24"/>
          <w:szCs w:val="24"/>
          <w:lang w:val="en-US"/>
        </w:rPr>
        <w:t xml:space="preserve"> WCIT-12 was held 24 years after WATTC-88. Official calls for another Conference started less than ten years after WAT</w:t>
      </w:r>
      <w:r w:rsidR="00DD4D70" w:rsidRPr="004D12A3">
        <w:rPr>
          <w:sz w:val="24"/>
          <w:szCs w:val="24"/>
          <w:lang w:val="en-US"/>
        </w:rPr>
        <w:t>T</w:t>
      </w:r>
      <w:r w:rsidR="00A17015" w:rsidRPr="004D12A3">
        <w:rPr>
          <w:sz w:val="24"/>
          <w:szCs w:val="24"/>
          <w:lang w:val="en-US"/>
        </w:rPr>
        <w:t xml:space="preserve">C-88, and </w:t>
      </w:r>
      <w:r w:rsidR="000D584F" w:rsidRPr="004D12A3">
        <w:rPr>
          <w:sz w:val="24"/>
          <w:szCs w:val="24"/>
          <w:lang w:val="en-US"/>
        </w:rPr>
        <w:t>with the approval of Resolution 79</w:t>
      </w:r>
      <w:r w:rsidR="000E0611" w:rsidRPr="004D12A3">
        <w:rPr>
          <w:sz w:val="24"/>
          <w:szCs w:val="24"/>
          <w:lang w:val="en-US"/>
        </w:rPr>
        <w:t xml:space="preserve"> </w:t>
      </w:r>
      <w:r w:rsidR="00A17015" w:rsidRPr="004D12A3">
        <w:rPr>
          <w:sz w:val="24"/>
          <w:szCs w:val="24"/>
          <w:lang w:val="en-US"/>
        </w:rPr>
        <w:t xml:space="preserve">PP-98 </w:t>
      </w:r>
      <w:r w:rsidR="007879D9" w:rsidRPr="004D12A3">
        <w:rPr>
          <w:sz w:val="24"/>
          <w:szCs w:val="24"/>
          <w:lang w:val="en-US"/>
        </w:rPr>
        <w:t xml:space="preserve">officially called for a </w:t>
      </w:r>
      <w:r w:rsidR="000D584F" w:rsidRPr="004D12A3">
        <w:rPr>
          <w:sz w:val="24"/>
          <w:szCs w:val="24"/>
          <w:lang w:val="en-US"/>
        </w:rPr>
        <w:t>review</w:t>
      </w:r>
      <w:r w:rsidR="007879D9" w:rsidRPr="004D12A3">
        <w:rPr>
          <w:sz w:val="24"/>
          <w:szCs w:val="24"/>
          <w:lang w:val="en-US"/>
        </w:rPr>
        <w:t xml:space="preserve"> of the ITRs</w:t>
      </w:r>
      <w:r w:rsidR="00A17015" w:rsidRPr="004D12A3">
        <w:rPr>
          <w:sz w:val="24"/>
          <w:szCs w:val="24"/>
          <w:lang w:val="en-US"/>
        </w:rPr>
        <w:t>. It then took more than 14 years for WCIT-12 to take place, and the new ITRs only entered into force in 2015 for the 89 signatories.</w:t>
      </w:r>
      <w:r w:rsidR="00E24FF3" w:rsidRPr="004D12A3">
        <w:rPr>
          <w:sz w:val="24"/>
          <w:szCs w:val="24"/>
          <w:lang w:val="en-US"/>
        </w:rPr>
        <w:t xml:space="preserve"> </w:t>
      </w:r>
      <w:r w:rsidR="005B1778" w:rsidRPr="004D12A3">
        <w:rPr>
          <w:sz w:val="24"/>
          <w:szCs w:val="24"/>
          <w:lang w:val="en-US"/>
        </w:rPr>
        <w:t>I</w:t>
      </w:r>
      <w:r w:rsidR="009C7A16" w:rsidRPr="004D12A3">
        <w:rPr>
          <w:sz w:val="24"/>
          <w:szCs w:val="24"/>
          <w:lang w:val="en-US"/>
        </w:rPr>
        <w:t xml:space="preserve">n other words, </w:t>
      </w:r>
      <w:r w:rsidR="005B1778" w:rsidRPr="004D12A3">
        <w:rPr>
          <w:sz w:val="24"/>
          <w:szCs w:val="24"/>
          <w:lang w:val="en-US"/>
        </w:rPr>
        <w:t xml:space="preserve">the ITRs take a very long time to be revised, and thus </w:t>
      </w:r>
      <w:r w:rsidR="009C7A16" w:rsidRPr="004D12A3">
        <w:rPr>
          <w:sz w:val="24"/>
          <w:szCs w:val="24"/>
          <w:lang w:val="en-US"/>
        </w:rPr>
        <w:t xml:space="preserve">are not an applicable instrument to govern </w:t>
      </w:r>
      <w:r w:rsidR="00CA6D47" w:rsidRPr="004D12A3">
        <w:rPr>
          <w:sz w:val="24"/>
          <w:szCs w:val="24"/>
          <w:lang w:val="en-US"/>
        </w:rPr>
        <w:t>features</w:t>
      </w:r>
      <w:r w:rsidR="009C7A16" w:rsidRPr="004D12A3">
        <w:rPr>
          <w:sz w:val="24"/>
          <w:szCs w:val="24"/>
          <w:lang w:val="en-US"/>
        </w:rPr>
        <w:t xml:space="preserve"> that are dynamic and change in a fast pace.</w:t>
      </w:r>
    </w:p>
    <w:p w14:paraId="2EC618BD" w14:textId="07823495" w:rsidR="00A17015" w:rsidRPr="004D12A3" w:rsidRDefault="00A17015" w:rsidP="00EA05EC">
      <w:pPr>
        <w:snapToGrid w:val="0"/>
        <w:spacing w:after="120" w:line="240" w:lineRule="auto"/>
        <w:rPr>
          <w:sz w:val="24"/>
          <w:szCs w:val="24"/>
          <w:lang w:val="en-US"/>
        </w:rPr>
      </w:pPr>
      <w:r w:rsidRPr="004D12A3">
        <w:rPr>
          <w:sz w:val="24"/>
          <w:szCs w:val="24"/>
          <w:lang w:val="en-US"/>
        </w:rPr>
        <w:t xml:space="preserve">For the ITRs to be effective, they </w:t>
      </w:r>
      <w:r w:rsidR="00904478" w:rsidRPr="004D12A3">
        <w:rPr>
          <w:sz w:val="24"/>
          <w:szCs w:val="24"/>
          <w:lang w:val="en-US"/>
        </w:rPr>
        <w:t>should</w:t>
      </w:r>
      <w:r w:rsidRPr="004D12A3">
        <w:rPr>
          <w:sz w:val="24"/>
          <w:szCs w:val="24"/>
          <w:lang w:val="en-US"/>
        </w:rPr>
        <w:t xml:space="preserve"> </w:t>
      </w:r>
      <w:r w:rsidR="006B7341" w:rsidRPr="004D12A3">
        <w:rPr>
          <w:sz w:val="24"/>
          <w:szCs w:val="24"/>
          <w:lang w:val="en-US"/>
        </w:rPr>
        <w:t xml:space="preserve">govern elements and principles of telecommunications/ICTs that do not change so much over time </w:t>
      </w:r>
      <w:r w:rsidR="00CE3D75" w:rsidRPr="004D12A3">
        <w:rPr>
          <w:sz w:val="24"/>
          <w:szCs w:val="24"/>
          <w:lang w:val="en-US"/>
        </w:rPr>
        <w:t xml:space="preserve">and </w:t>
      </w:r>
      <w:r w:rsidR="0085527C" w:rsidRPr="004D12A3">
        <w:rPr>
          <w:sz w:val="24"/>
          <w:szCs w:val="24"/>
          <w:lang w:val="en-US"/>
        </w:rPr>
        <w:t xml:space="preserve">that </w:t>
      </w:r>
      <w:r w:rsidRPr="004D12A3">
        <w:rPr>
          <w:sz w:val="24"/>
          <w:szCs w:val="24"/>
          <w:lang w:val="en-US"/>
        </w:rPr>
        <w:t>endure the long gap between WCITs.</w:t>
      </w:r>
      <w:r w:rsidR="00CE3D75" w:rsidRPr="004D12A3">
        <w:rPr>
          <w:sz w:val="24"/>
          <w:szCs w:val="24"/>
          <w:lang w:val="en-US"/>
        </w:rPr>
        <w:t xml:space="preserve"> </w:t>
      </w:r>
      <w:r w:rsidR="0085527C" w:rsidRPr="004D12A3">
        <w:rPr>
          <w:sz w:val="24"/>
          <w:szCs w:val="24"/>
          <w:lang w:val="en-US"/>
        </w:rPr>
        <w:t xml:space="preserve">However, telecommunication/ICTs evolve at an incredible pace, and this evolution is frequently creating new industries and new regulatory challenges. </w:t>
      </w:r>
      <w:r w:rsidR="00675EAE" w:rsidRPr="004D12A3">
        <w:rPr>
          <w:sz w:val="24"/>
          <w:szCs w:val="24"/>
          <w:lang w:val="en-US"/>
        </w:rPr>
        <w:t xml:space="preserve">That is why </w:t>
      </w:r>
      <w:r w:rsidR="00CE3D75" w:rsidRPr="004D12A3">
        <w:rPr>
          <w:sz w:val="24"/>
          <w:szCs w:val="24"/>
          <w:lang w:val="en-US"/>
        </w:rPr>
        <w:t xml:space="preserve">the ITU has been recently </w:t>
      </w:r>
      <w:r w:rsidR="00C212C0" w:rsidRPr="004D12A3">
        <w:rPr>
          <w:sz w:val="24"/>
          <w:szCs w:val="24"/>
          <w:lang w:val="en-US"/>
        </w:rPr>
        <w:t xml:space="preserve">discussing </w:t>
      </w:r>
      <w:r w:rsidR="00675EAE" w:rsidRPr="004D12A3">
        <w:rPr>
          <w:sz w:val="24"/>
          <w:szCs w:val="24"/>
          <w:lang w:val="en-US"/>
        </w:rPr>
        <w:t xml:space="preserve">and developing </w:t>
      </w:r>
      <w:r w:rsidR="00C212C0" w:rsidRPr="004D12A3">
        <w:rPr>
          <w:sz w:val="24"/>
          <w:szCs w:val="24"/>
          <w:lang w:val="en-US"/>
        </w:rPr>
        <w:t>the concept</w:t>
      </w:r>
      <w:r w:rsidR="00CE3D75" w:rsidRPr="004D12A3">
        <w:rPr>
          <w:sz w:val="24"/>
          <w:szCs w:val="24"/>
          <w:lang w:val="en-US"/>
        </w:rPr>
        <w:t xml:space="preserve"> of collaborative regulation</w:t>
      </w:r>
      <w:r w:rsidR="0086520E" w:rsidRPr="004D12A3">
        <w:rPr>
          <w:sz w:val="24"/>
          <w:szCs w:val="24"/>
          <w:lang w:val="en-US"/>
        </w:rPr>
        <w:t>,</w:t>
      </w:r>
      <w:r w:rsidR="004912AF" w:rsidRPr="004D12A3">
        <w:rPr>
          <w:sz w:val="24"/>
          <w:szCs w:val="24"/>
          <w:lang w:val="en-US"/>
        </w:rPr>
        <w:t xml:space="preserve"> </w:t>
      </w:r>
      <w:r w:rsidR="0086520E" w:rsidRPr="004D12A3">
        <w:rPr>
          <w:sz w:val="24"/>
          <w:szCs w:val="24"/>
          <w:lang w:val="en-US"/>
        </w:rPr>
        <w:t>which</w:t>
      </w:r>
      <w:r w:rsidR="004912AF" w:rsidRPr="004D12A3">
        <w:rPr>
          <w:sz w:val="24"/>
          <w:szCs w:val="24"/>
          <w:lang w:val="en-US"/>
        </w:rPr>
        <w:t xml:space="preserve"> </w:t>
      </w:r>
      <w:r w:rsidR="00490636" w:rsidRPr="004D12A3">
        <w:rPr>
          <w:sz w:val="24"/>
          <w:szCs w:val="24"/>
          <w:lang w:val="en-US"/>
        </w:rPr>
        <w:t xml:space="preserve">is inherently </w:t>
      </w:r>
      <w:proofErr w:type="spellStart"/>
      <w:r w:rsidR="00490636" w:rsidRPr="004D12A3">
        <w:rPr>
          <w:sz w:val="24"/>
          <w:szCs w:val="24"/>
          <w:lang w:val="en-US"/>
        </w:rPr>
        <w:t>multistakeholder</w:t>
      </w:r>
      <w:proofErr w:type="spellEnd"/>
      <w:r w:rsidR="00490636" w:rsidRPr="004D12A3">
        <w:rPr>
          <w:sz w:val="24"/>
          <w:szCs w:val="24"/>
          <w:lang w:val="en-US"/>
        </w:rPr>
        <w:t xml:space="preserve"> and </w:t>
      </w:r>
      <w:r w:rsidR="004912AF" w:rsidRPr="004D12A3">
        <w:rPr>
          <w:sz w:val="24"/>
          <w:szCs w:val="24"/>
          <w:lang w:val="en-US"/>
        </w:rPr>
        <w:t xml:space="preserve">calls regulations to be </w:t>
      </w:r>
      <w:r w:rsidR="004912AF" w:rsidRPr="004D12A3">
        <w:rPr>
          <w:i/>
          <w:sz w:val="24"/>
          <w:szCs w:val="24"/>
          <w:lang w:val="en-US"/>
        </w:rPr>
        <w:t>“</w:t>
      </w:r>
      <w:r w:rsidR="009E43AF" w:rsidRPr="004D12A3">
        <w:rPr>
          <w:i/>
          <w:sz w:val="24"/>
          <w:szCs w:val="24"/>
          <w:lang w:val="en-US"/>
        </w:rPr>
        <w:t xml:space="preserve">(…) adaptive, balanced and fit for </w:t>
      </w:r>
      <w:r w:rsidR="009E43AF" w:rsidRPr="004D12A3">
        <w:rPr>
          <w:i/>
          <w:sz w:val="24"/>
          <w:szCs w:val="24"/>
          <w:lang w:val="en-US"/>
        </w:rPr>
        <w:lastRenderedPageBreak/>
        <w:t>purpose.”</w:t>
      </w:r>
      <w:r w:rsidR="00D426A1" w:rsidRPr="004D12A3">
        <w:rPr>
          <w:rStyle w:val="FootnoteReference"/>
          <w:i/>
          <w:sz w:val="24"/>
          <w:szCs w:val="24"/>
          <w:lang w:val="en-US"/>
        </w:rPr>
        <w:footnoteReference w:id="3"/>
      </w:r>
      <w:r w:rsidR="003707EF" w:rsidRPr="004D12A3">
        <w:rPr>
          <w:sz w:val="24"/>
          <w:szCs w:val="24"/>
          <w:lang w:val="en-US"/>
        </w:rPr>
        <w:t xml:space="preserve"> These are </w:t>
      </w:r>
      <w:r w:rsidR="005428D1" w:rsidRPr="004D12A3">
        <w:rPr>
          <w:sz w:val="24"/>
          <w:szCs w:val="24"/>
          <w:lang w:val="en-US"/>
        </w:rPr>
        <w:t>four</w:t>
      </w:r>
      <w:r w:rsidR="003707EF" w:rsidRPr="004D12A3">
        <w:rPr>
          <w:sz w:val="24"/>
          <w:szCs w:val="24"/>
          <w:lang w:val="en-US"/>
        </w:rPr>
        <w:t xml:space="preserve"> characteristics that the ITRs </w:t>
      </w:r>
      <w:r w:rsidR="0082499C" w:rsidRPr="004D12A3">
        <w:rPr>
          <w:sz w:val="24"/>
          <w:szCs w:val="24"/>
          <w:lang w:val="en-US"/>
        </w:rPr>
        <w:t>should present if they are to be an effective regulation instrument in today’s context</w:t>
      </w:r>
      <w:r w:rsidR="003707EF" w:rsidRPr="004D12A3">
        <w:rPr>
          <w:sz w:val="24"/>
          <w:szCs w:val="24"/>
          <w:lang w:val="en-US"/>
        </w:rPr>
        <w:t>.</w:t>
      </w:r>
    </w:p>
    <w:p w14:paraId="706D177B" w14:textId="60884062" w:rsidR="00A17015" w:rsidRPr="004D12A3" w:rsidRDefault="00C05AB8" w:rsidP="00EA05EC">
      <w:pPr>
        <w:snapToGrid w:val="0"/>
        <w:spacing w:before="360" w:after="120" w:line="240" w:lineRule="auto"/>
        <w:rPr>
          <w:b/>
          <w:sz w:val="24"/>
          <w:szCs w:val="24"/>
          <w:u w:val="single"/>
          <w:lang w:val="en-US"/>
        </w:rPr>
      </w:pPr>
      <w:r w:rsidRPr="004D12A3">
        <w:rPr>
          <w:b/>
          <w:sz w:val="24"/>
          <w:szCs w:val="24"/>
          <w:u w:val="single"/>
          <w:lang w:val="en-US"/>
        </w:rPr>
        <w:t>C</w:t>
      </w:r>
      <w:r w:rsidR="00A17015" w:rsidRPr="004D12A3">
        <w:rPr>
          <w:b/>
          <w:sz w:val="24"/>
          <w:szCs w:val="24"/>
          <w:u w:val="single"/>
          <w:lang w:val="en-US"/>
        </w:rPr>
        <w:t>ost-benefits of holding a new WCIT</w:t>
      </w:r>
    </w:p>
    <w:p w14:paraId="242ACCE3" w14:textId="21995504" w:rsidR="00A17015" w:rsidRPr="004D12A3" w:rsidRDefault="00A17015" w:rsidP="00EA05EC">
      <w:pPr>
        <w:snapToGrid w:val="0"/>
        <w:spacing w:after="120" w:line="240" w:lineRule="auto"/>
        <w:rPr>
          <w:sz w:val="24"/>
          <w:szCs w:val="24"/>
          <w:lang w:val="en-US"/>
        </w:rPr>
      </w:pPr>
      <w:r w:rsidRPr="004D12A3">
        <w:rPr>
          <w:sz w:val="24"/>
          <w:szCs w:val="24"/>
          <w:lang w:val="en-US"/>
        </w:rPr>
        <w:t>The process of revising the ITRs in 2011/2012 was highly contentious among the parties defending Views 1 and 2 described above, from the preparat</w:t>
      </w:r>
      <w:r w:rsidR="00E468B8" w:rsidRPr="004D12A3">
        <w:rPr>
          <w:sz w:val="24"/>
          <w:szCs w:val="24"/>
          <w:lang w:val="en-US"/>
        </w:rPr>
        <w:t>ory</w:t>
      </w:r>
      <w:r w:rsidRPr="004D12A3">
        <w:rPr>
          <w:sz w:val="24"/>
          <w:szCs w:val="24"/>
          <w:lang w:val="en-US"/>
        </w:rPr>
        <w:t xml:space="preserve"> process in the </w:t>
      </w:r>
      <w:r w:rsidR="0008786B" w:rsidRPr="004D12A3">
        <w:rPr>
          <w:sz w:val="24"/>
          <w:szCs w:val="24"/>
          <w:lang w:val="en-US"/>
        </w:rPr>
        <w:t>CWG</w:t>
      </w:r>
      <w:r w:rsidRPr="004D12A3">
        <w:rPr>
          <w:sz w:val="24"/>
          <w:szCs w:val="24"/>
          <w:lang w:val="en-US"/>
        </w:rPr>
        <w:t xml:space="preserve"> </w:t>
      </w:r>
      <w:r w:rsidR="00E468B8" w:rsidRPr="004D12A3">
        <w:rPr>
          <w:sz w:val="24"/>
          <w:szCs w:val="24"/>
          <w:lang w:val="en-US"/>
        </w:rPr>
        <w:t>until</w:t>
      </w:r>
      <w:r w:rsidRPr="004D12A3">
        <w:rPr>
          <w:sz w:val="24"/>
          <w:szCs w:val="24"/>
          <w:lang w:val="en-US"/>
        </w:rPr>
        <w:t xml:space="preserve"> the end of WCIT-12. Consensus was only achieved in specific points by softening the treaty language in the most crucial articles and subsections, resulting in provisions that are practically optional to the signatories. This represents the outcomes, or the benefits of WCIT-12.</w:t>
      </w:r>
    </w:p>
    <w:p w14:paraId="1902D60B" w14:textId="60F10BC7" w:rsidR="00A17015" w:rsidRPr="004D12A3" w:rsidRDefault="00A17015" w:rsidP="00EA05EC">
      <w:pPr>
        <w:snapToGrid w:val="0"/>
        <w:spacing w:after="120" w:line="240" w:lineRule="auto"/>
        <w:rPr>
          <w:sz w:val="24"/>
          <w:szCs w:val="24"/>
          <w:lang w:val="en-US"/>
        </w:rPr>
      </w:pPr>
      <w:r w:rsidRPr="004D12A3">
        <w:rPr>
          <w:sz w:val="24"/>
          <w:szCs w:val="24"/>
          <w:lang w:val="en-US"/>
        </w:rPr>
        <w:t xml:space="preserve">More than 2,000 delegates participated in WCIT-12. It held 13 days of meetings at a cost of CHF 1.9 million (CHF 147,000 per day). The total cost of WCIT should include the preparatory meetings, the pre-WCIT costs of the host country, and the travel costs of all delegations and all people involved. There were also significant opportunity costs for the ITU and all parties involved (i.e., not using the budget and time allocated to WCIT-12 for other activities). Brazil, for example, held weekly </w:t>
      </w:r>
      <w:r w:rsidR="00DF6CF9" w:rsidRPr="004D12A3">
        <w:rPr>
          <w:sz w:val="24"/>
          <w:szCs w:val="24"/>
          <w:lang w:val="en-US"/>
        </w:rPr>
        <w:t>four</w:t>
      </w:r>
      <w:r w:rsidRPr="004D12A3">
        <w:rPr>
          <w:sz w:val="24"/>
          <w:szCs w:val="24"/>
          <w:lang w:val="en-US"/>
        </w:rPr>
        <w:t xml:space="preserve">-hour </w:t>
      </w:r>
      <w:proofErr w:type="spellStart"/>
      <w:r w:rsidRPr="004D12A3">
        <w:rPr>
          <w:sz w:val="24"/>
          <w:szCs w:val="24"/>
          <w:lang w:val="en-US"/>
        </w:rPr>
        <w:t>multistakeholder</w:t>
      </w:r>
      <w:proofErr w:type="spellEnd"/>
      <w:r w:rsidRPr="004D12A3">
        <w:rPr>
          <w:sz w:val="24"/>
          <w:szCs w:val="24"/>
          <w:lang w:val="en-US"/>
        </w:rPr>
        <w:t xml:space="preserve"> meetings for one year prior to WCIT-12 in preparation for the Conference. This represents the costs.</w:t>
      </w:r>
    </w:p>
    <w:p w14:paraId="1CDA129B" w14:textId="77777777" w:rsidR="00A17015" w:rsidRPr="004D12A3" w:rsidRDefault="00A17015" w:rsidP="00EA05EC">
      <w:pPr>
        <w:snapToGrid w:val="0"/>
        <w:spacing w:after="120" w:line="240" w:lineRule="auto"/>
        <w:rPr>
          <w:sz w:val="24"/>
          <w:szCs w:val="24"/>
          <w:lang w:val="en-US"/>
        </w:rPr>
      </w:pPr>
      <w:r w:rsidRPr="004D12A3">
        <w:rPr>
          <w:sz w:val="24"/>
          <w:szCs w:val="24"/>
          <w:lang w:val="en-US"/>
        </w:rPr>
        <w:t>A new WCIT should only be held if its outcomes produce concrete results in the telecommunication/ICT market that compensate for the financial and opportunity costs of holding a new WCIT.</w:t>
      </w:r>
    </w:p>
    <w:p w14:paraId="75087708" w14:textId="73CFA84C" w:rsidR="00A17015" w:rsidRPr="004D12A3" w:rsidRDefault="00C05AB8" w:rsidP="00EA05EC">
      <w:pPr>
        <w:snapToGrid w:val="0"/>
        <w:spacing w:before="360" w:after="120" w:line="240" w:lineRule="auto"/>
        <w:rPr>
          <w:b/>
          <w:sz w:val="24"/>
          <w:szCs w:val="24"/>
          <w:u w:val="single"/>
          <w:lang w:val="en-US"/>
        </w:rPr>
      </w:pPr>
      <w:r w:rsidRPr="004D12A3">
        <w:rPr>
          <w:b/>
          <w:sz w:val="24"/>
          <w:szCs w:val="24"/>
          <w:u w:val="single"/>
          <w:lang w:val="en-US"/>
        </w:rPr>
        <w:t>I</w:t>
      </w:r>
      <w:r w:rsidR="00A17015" w:rsidRPr="004D12A3">
        <w:rPr>
          <w:b/>
          <w:sz w:val="24"/>
          <w:szCs w:val="24"/>
          <w:u w:val="single"/>
          <w:lang w:val="en-US"/>
        </w:rPr>
        <w:t>mpacts on international cooperation and ITU's reputation</w:t>
      </w:r>
    </w:p>
    <w:p w14:paraId="60CB6CFC" w14:textId="10DC52EE" w:rsidR="00A17015" w:rsidRPr="004D12A3" w:rsidRDefault="00A17015" w:rsidP="00EA05EC">
      <w:pPr>
        <w:snapToGrid w:val="0"/>
        <w:spacing w:after="120" w:line="240" w:lineRule="auto"/>
        <w:rPr>
          <w:sz w:val="24"/>
          <w:szCs w:val="24"/>
          <w:lang w:val="en-US"/>
        </w:rPr>
      </w:pPr>
      <w:r w:rsidRPr="004D12A3">
        <w:rPr>
          <w:sz w:val="24"/>
          <w:szCs w:val="24"/>
          <w:lang w:val="en-US"/>
        </w:rPr>
        <w:t xml:space="preserve">89 countries signed the final acts of WCIT-12, including Brazil, but there was a clear polarization. WCIT-12 failed to build consensus, and in an attempt to reach such a consensus, drafted a treaty with little effective impact even for the 89 signatories. The reputation of the ITU as an effective </w:t>
      </w:r>
      <w:bookmarkStart w:id="0" w:name="_GoBack"/>
      <w:bookmarkEnd w:id="0"/>
      <w:r w:rsidR="00863B7A" w:rsidRPr="004D12A3">
        <w:rPr>
          <w:sz w:val="24"/>
          <w:szCs w:val="24"/>
          <w:lang w:val="en-US"/>
        </w:rPr>
        <w:t>builder</w:t>
      </w:r>
      <w:r w:rsidRPr="004D12A3">
        <w:rPr>
          <w:sz w:val="24"/>
          <w:szCs w:val="24"/>
          <w:lang w:val="en-US"/>
        </w:rPr>
        <w:t xml:space="preserve"> of consensus and promoter of international cooperation was damaged. Many key stakeholders lost their trust in the ITU.</w:t>
      </w:r>
    </w:p>
    <w:p w14:paraId="7720DBC8" w14:textId="77777777" w:rsidR="00A17015" w:rsidRPr="004D12A3" w:rsidRDefault="00A17015" w:rsidP="00EA05EC">
      <w:pPr>
        <w:snapToGrid w:val="0"/>
        <w:spacing w:after="120" w:line="240" w:lineRule="auto"/>
        <w:rPr>
          <w:sz w:val="24"/>
          <w:szCs w:val="24"/>
          <w:lang w:val="en-US"/>
        </w:rPr>
      </w:pPr>
      <w:r w:rsidRPr="004D12A3">
        <w:rPr>
          <w:sz w:val="24"/>
          <w:szCs w:val="24"/>
          <w:lang w:val="en-US"/>
        </w:rPr>
        <w:t>The ITU cannot risk attaining a similar result.</w:t>
      </w:r>
    </w:p>
    <w:p w14:paraId="39F8114F" w14:textId="3CBD8426" w:rsidR="008512AA" w:rsidRPr="004D12A3" w:rsidRDefault="00A17015" w:rsidP="00EA05EC">
      <w:pPr>
        <w:snapToGrid w:val="0"/>
        <w:spacing w:after="120" w:line="240" w:lineRule="auto"/>
        <w:rPr>
          <w:sz w:val="24"/>
          <w:szCs w:val="24"/>
          <w:lang w:val="en-US"/>
        </w:rPr>
      </w:pPr>
      <w:r w:rsidRPr="004D12A3">
        <w:rPr>
          <w:sz w:val="24"/>
          <w:szCs w:val="24"/>
          <w:lang w:val="en-US"/>
        </w:rPr>
        <w:t xml:space="preserve">If all the criteria described above are met, there will be ample consensus on holding a revision of the ITRs. In that case, a specific </w:t>
      </w:r>
      <w:r w:rsidR="00E37DD7" w:rsidRPr="004D12A3">
        <w:rPr>
          <w:sz w:val="24"/>
          <w:szCs w:val="24"/>
          <w:lang w:val="en-US"/>
        </w:rPr>
        <w:t>CWG</w:t>
      </w:r>
      <w:r w:rsidRPr="004D12A3">
        <w:rPr>
          <w:sz w:val="24"/>
          <w:szCs w:val="24"/>
          <w:lang w:val="en-US"/>
        </w:rPr>
        <w:t xml:space="preserve"> should conduct the preparatory process with transparency, inclusiveness, efficiency, </w:t>
      </w:r>
      <w:r w:rsidRPr="004D12A3">
        <w:rPr>
          <w:sz w:val="24"/>
          <w:szCs w:val="24"/>
          <w:lang w:val="en-US"/>
        </w:rPr>
        <w:lastRenderedPageBreak/>
        <w:t>and thoroughness. The preparatory process should involve all ITU members on an equal footing, and all stakeholders th</w:t>
      </w:r>
      <w:r w:rsidR="00C97CE8" w:rsidRPr="004D12A3">
        <w:rPr>
          <w:sz w:val="24"/>
          <w:szCs w:val="24"/>
          <w:lang w:val="en-US"/>
        </w:rPr>
        <w:t>r</w:t>
      </w:r>
      <w:r w:rsidRPr="004D12A3">
        <w:rPr>
          <w:sz w:val="24"/>
          <w:szCs w:val="24"/>
          <w:lang w:val="en-US"/>
        </w:rPr>
        <w:t>ough an open, inclusive and transparent consultation process.</w:t>
      </w:r>
      <w:r w:rsidR="008512AA" w:rsidRPr="004D12A3">
        <w:rPr>
          <w:sz w:val="24"/>
          <w:szCs w:val="24"/>
          <w:lang w:val="en-US"/>
        </w:rPr>
        <w:t xml:space="preserve"> </w:t>
      </w:r>
    </w:p>
    <w:p w14:paraId="7EDDEC2F" w14:textId="2AB6D0C8" w:rsidR="00ED7364" w:rsidRPr="004D12A3" w:rsidRDefault="00A17015" w:rsidP="00EA05EC">
      <w:pPr>
        <w:snapToGrid w:val="0"/>
        <w:spacing w:after="120" w:line="240" w:lineRule="auto"/>
        <w:rPr>
          <w:sz w:val="24"/>
          <w:szCs w:val="24"/>
          <w:lang w:val="en-US"/>
        </w:rPr>
      </w:pPr>
      <w:r w:rsidRPr="004D12A3">
        <w:rPr>
          <w:sz w:val="24"/>
          <w:szCs w:val="24"/>
          <w:lang w:val="en-US"/>
        </w:rPr>
        <w:t>A new WCIT should receive from the CWG a widely agreed proposal for a treaty, and discuss only minutiae during the Conference.</w:t>
      </w:r>
    </w:p>
    <w:p w14:paraId="42744EF0" w14:textId="77777777" w:rsidR="00E203C1" w:rsidRPr="004D12A3" w:rsidRDefault="00E203C1" w:rsidP="00EA05EC">
      <w:pPr>
        <w:snapToGrid w:val="0"/>
        <w:spacing w:after="120" w:line="240" w:lineRule="auto"/>
        <w:rPr>
          <w:sz w:val="24"/>
          <w:szCs w:val="24"/>
          <w:lang w:val="en-US"/>
        </w:rPr>
      </w:pPr>
    </w:p>
    <w:p w14:paraId="67EB18E0" w14:textId="0C4C11F0" w:rsidR="00AB2815" w:rsidRPr="004A29FF" w:rsidRDefault="00AB2815" w:rsidP="00EA05EC">
      <w:pPr>
        <w:snapToGrid w:val="0"/>
        <w:spacing w:after="120" w:line="240" w:lineRule="auto"/>
        <w:jc w:val="center"/>
        <w:rPr>
          <w:sz w:val="24"/>
          <w:szCs w:val="24"/>
        </w:rPr>
      </w:pPr>
      <w:r w:rsidRPr="004A29FF">
        <w:rPr>
          <w:sz w:val="24"/>
          <w:szCs w:val="24"/>
        </w:rPr>
        <w:t>____________________</w:t>
      </w:r>
    </w:p>
    <w:sectPr w:rsidR="00AB2815" w:rsidRPr="004A29FF"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4EAF9" w14:textId="77777777" w:rsidR="00B05272" w:rsidRDefault="00B05272">
      <w:r>
        <w:separator/>
      </w:r>
    </w:p>
  </w:endnote>
  <w:endnote w:type="continuationSeparator" w:id="0">
    <w:p w14:paraId="4D6E158D" w14:textId="77777777" w:rsidR="00B05272" w:rsidRDefault="00B0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A4228" w14:textId="77777777" w:rsidR="00B05272" w:rsidRDefault="00B05272">
      <w:r>
        <w:t>____________________</w:t>
      </w:r>
    </w:p>
  </w:footnote>
  <w:footnote w:type="continuationSeparator" w:id="0">
    <w:p w14:paraId="6789053E" w14:textId="77777777" w:rsidR="00B05272" w:rsidRDefault="00B05272">
      <w:r>
        <w:continuationSeparator/>
      </w:r>
    </w:p>
  </w:footnote>
  <w:footnote w:id="1">
    <w:p w14:paraId="0DCF98C4" w14:textId="77777777" w:rsidR="00A17015" w:rsidRPr="00BB6F50" w:rsidRDefault="00A17015" w:rsidP="00A17015">
      <w:pPr>
        <w:pStyle w:val="FootnoteText"/>
        <w:rPr>
          <w:lang w:val="en-US"/>
        </w:rPr>
      </w:pPr>
      <w:r>
        <w:rPr>
          <w:rStyle w:val="FootnoteReference"/>
        </w:rPr>
        <w:footnoteRef/>
      </w:r>
      <w:r w:rsidRPr="00A17015">
        <w:rPr>
          <w:lang w:val="en-US"/>
        </w:rPr>
        <w:t xml:space="preserve"> </w:t>
      </w:r>
      <w:r w:rsidRPr="00A17015">
        <w:rPr>
          <w:szCs w:val="23"/>
          <w:lang w:val="en-US"/>
        </w:rPr>
        <w:t xml:space="preserve">Kaul, Inge (2013), “Meeting Global Challenges: Assessing Governance Readiness”, in </w:t>
      </w:r>
      <w:proofErr w:type="spellStart"/>
      <w:r w:rsidRPr="00A17015">
        <w:rPr>
          <w:szCs w:val="23"/>
          <w:lang w:val="en-US"/>
        </w:rPr>
        <w:t>Hertie</w:t>
      </w:r>
      <w:proofErr w:type="spellEnd"/>
      <w:r w:rsidRPr="00A17015">
        <w:rPr>
          <w:szCs w:val="23"/>
          <w:lang w:val="en-US"/>
        </w:rPr>
        <w:t xml:space="preserve"> School of Governance, </w:t>
      </w:r>
      <w:r w:rsidRPr="00A17015">
        <w:rPr>
          <w:i/>
          <w:iCs/>
          <w:szCs w:val="23"/>
          <w:lang w:val="en-US"/>
        </w:rPr>
        <w:t>The Governance Report</w:t>
      </w:r>
      <w:r w:rsidRPr="00A17015">
        <w:rPr>
          <w:szCs w:val="23"/>
          <w:lang w:val="en-US"/>
        </w:rPr>
        <w:t>, Oxford: Oxford University Press, 2013, chapter 2, pp. 33-58.</w:t>
      </w:r>
    </w:p>
  </w:footnote>
  <w:footnote w:id="2">
    <w:p w14:paraId="15D783BA" w14:textId="268C2C4F" w:rsidR="006E1428" w:rsidRPr="009177E3" w:rsidRDefault="006E1428">
      <w:pPr>
        <w:pStyle w:val="FootnoteText"/>
        <w:rPr>
          <w:lang w:val="en-US"/>
        </w:rPr>
      </w:pPr>
      <w:r>
        <w:rPr>
          <w:rStyle w:val="FootnoteReference"/>
        </w:rPr>
        <w:footnoteRef/>
      </w:r>
      <w:r w:rsidRPr="009177E3">
        <w:rPr>
          <w:lang w:val="en-US"/>
        </w:rPr>
        <w:t xml:space="preserve"> </w:t>
      </w:r>
      <w:r w:rsidR="009177E3">
        <w:rPr>
          <w:lang w:val="en-US"/>
        </w:rPr>
        <w:t>International Telecommunication Union</w:t>
      </w:r>
      <w:r w:rsidR="009177E3" w:rsidRPr="009177E3">
        <w:rPr>
          <w:lang w:val="en-US"/>
        </w:rPr>
        <w:t xml:space="preserve"> (</w:t>
      </w:r>
      <w:r w:rsidR="00D426A1">
        <w:rPr>
          <w:lang w:val="en-US"/>
        </w:rPr>
        <w:t xml:space="preserve">ITU, </w:t>
      </w:r>
      <w:r w:rsidR="009177E3" w:rsidRPr="009177E3">
        <w:rPr>
          <w:lang w:val="en-US"/>
        </w:rPr>
        <w:t xml:space="preserve">2019), Global Symposium for Regulators (GSR) 2019 </w:t>
      </w:r>
      <w:r w:rsidR="00FB7FD9">
        <w:rPr>
          <w:lang w:val="en-US"/>
        </w:rPr>
        <w:t xml:space="preserve">outcome document, </w:t>
      </w:r>
      <w:r w:rsidR="009177E3" w:rsidRPr="00FB7FD9">
        <w:rPr>
          <w:i/>
          <w:lang w:val="en-US"/>
        </w:rPr>
        <w:t>Best Practice Guidelines “</w:t>
      </w:r>
      <w:r w:rsidR="006B5AB4" w:rsidRPr="00FB7FD9">
        <w:rPr>
          <w:i/>
          <w:lang w:val="en-US"/>
        </w:rPr>
        <w:t>Fast forward digital connectivity for all</w:t>
      </w:r>
      <w:r w:rsidR="009177E3" w:rsidRPr="00FB7FD9">
        <w:rPr>
          <w:i/>
          <w:lang w:val="en-US"/>
        </w:rPr>
        <w:t>”</w:t>
      </w:r>
      <w:r w:rsidR="006B5AB4">
        <w:rPr>
          <w:lang w:val="en-US"/>
        </w:rPr>
        <w:t>.</w:t>
      </w:r>
    </w:p>
  </w:footnote>
  <w:footnote w:id="3">
    <w:p w14:paraId="228E1449" w14:textId="6934D9C2" w:rsidR="00D426A1" w:rsidRPr="00D426A1" w:rsidRDefault="00D426A1">
      <w:pPr>
        <w:pStyle w:val="FootnoteText"/>
        <w:rPr>
          <w:i/>
        </w:rPr>
      </w:pPr>
      <w:r>
        <w:rPr>
          <w:rStyle w:val="FootnoteReference"/>
        </w:rPr>
        <w:footnoteRef/>
      </w:r>
      <w:r>
        <w:t xml:space="preserve"> </w:t>
      </w:r>
      <w:r>
        <w:rPr>
          <w:i/>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0970D" w14:textId="7588CE41" w:rsidR="00542BAB" w:rsidRDefault="00542BAB" w:rsidP="004D12A3">
    <w:pPr>
      <w:pStyle w:val="Header"/>
      <w:spacing w:after="120"/>
    </w:pPr>
    <w:r>
      <w:fldChar w:fldCharType="begin"/>
    </w:r>
    <w:r>
      <w:instrText xml:space="preserve"> PAGE   \* MERGEFORMAT </w:instrText>
    </w:r>
    <w:r>
      <w:fldChar w:fldCharType="separate"/>
    </w:r>
    <w:r w:rsidR="00EA05EC">
      <w:rPr>
        <w:noProof/>
      </w:rPr>
      <w:t>3</w:t>
    </w:r>
    <w:r>
      <w:rPr>
        <w:noProof/>
      </w:rPr>
      <w:fldChar w:fldCharType="end"/>
    </w:r>
    <w:r>
      <w:rPr>
        <w:noProof/>
      </w:rPr>
      <w:br/>
    </w:r>
    <w:r w:rsidR="000854C6">
      <w:rPr>
        <w:noProof/>
      </w:rPr>
      <w:t>EG-ITRs\</w:t>
    </w:r>
    <w:r w:rsidR="004D12A3">
      <w:rPr>
        <w:noProof/>
      </w:rPr>
      <w:t>12</w:t>
    </w:r>
    <w:r>
      <w:rPr>
        <w:noProof/>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41B2A"/>
    <w:multiLevelType w:val="hybridMultilevel"/>
    <w:tmpl w:val="8A7AFE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9E1A97"/>
    <w:multiLevelType w:val="hybridMultilevel"/>
    <w:tmpl w:val="844486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1EC429B"/>
    <w:multiLevelType w:val="hybridMultilevel"/>
    <w:tmpl w:val="EA92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12"/>
  </w:num>
  <w:num w:numId="4">
    <w:abstractNumId w:val="16"/>
  </w:num>
  <w:num w:numId="5">
    <w:abstractNumId w:val="22"/>
  </w:num>
  <w:num w:numId="6">
    <w:abstractNumId w:val="14"/>
  </w:num>
  <w:num w:numId="7">
    <w:abstractNumId w:val="21"/>
  </w:num>
  <w:num w:numId="8">
    <w:abstractNumId w:val="18"/>
  </w:num>
  <w:num w:numId="9">
    <w:abstractNumId w:val="15"/>
  </w:num>
  <w:num w:numId="10">
    <w:abstractNumId w:val="11"/>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19"/>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0609D"/>
    <w:rsid w:val="00030247"/>
    <w:rsid w:val="0003420F"/>
    <w:rsid w:val="0003534F"/>
    <w:rsid w:val="0005540C"/>
    <w:rsid w:val="00063016"/>
    <w:rsid w:val="00065FAC"/>
    <w:rsid w:val="00066DF5"/>
    <w:rsid w:val="00076AF6"/>
    <w:rsid w:val="00083635"/>
    <w:rsid w:val="000854C6"/>
    <w:rsid w:val="00085CF2"/>
    <w:rsid w:val="0008786B"/>
    <w:rsid w:val="000915E5"/>
    <w:rsid w:val="000A2792"/>
    <w:rsid w:val="000A3C49"/>
    <w:rsid w:val="000B1705"/>
    <w:rsid w:val="000B7E1F"/>
    <w:rsid w:val="000C0529"/>
    <w:rsid w:val="000C2903"/>
    <w:rsid w:val="000C2F74"/>
    <w:rsid w:val="000C37C9"/>
    <w:rsid w:val="000D337E"/>
    <w:rsid w:val="000D584F"/>
    <w:rsid w:val="000D75B2"/>
    <w:rsid w:val="000E0611"/>
    <w:rsid w:val="001121F5"/>
    <w:rsid w:val="00112CEE"/>
    <w:rsid w:val="001145D4"/>
    <w:rsid w:val="001150C6"/>
    <w:rsid w:val="00125B86"/>
    <w:rsid w:val="00140CE1"/>
    <w:rsid w:val="00143690"/>
    <w:rsid w:val="00144165"/>
    <w:rsid w:val="0014532C"/>
    <w:rsid w:val="0016020C"/>
    <w:rsid w:val="00171F42"/>
    <w:rsid w:val="0017539C"/>
    <w:rsid w:val="00175AC2"/>
    <w:rsid w:val="0017609F"/>
    <w:rsid w:val="001839B1"/>
    <w:rsid w:val="00195328"/>
    <w:rsid w:val="00195360"/>
    <w:rsid w:val="001C628E"/>
    <w:rsid w:val="001D0AE4"/>
    <w:rsid w:val="001E0F7B"/>
    <w:rsid w:val="001F4FF7"/>
    <w:rsid w:val="002119FD"/>
    <w:rsid w:val="002130E0"/>
    <w:rsid w:val="00221C8F"/>
    <w:rsid w:val="002238C4"/>
    <w:rsid w:val="002472F7"/>
    <w:rsid w:val="0025471D"/>
    <w:rsid w:val="00256D0F"/>
    <w:rsid w:val="00257BDE"/>
    <w:rsid w:val="00265875"/>
    <w:rsid w:val="002667C5"/>
    <w:rsid w:val="00270D95"/>
    <w:rsid w:val="0027303B"/>
    <w:rsid w:val="00274498"/>
    <w:rsid w:val="0028109B"/>
    <w:rsid w:val="00281188"/>
    <w:rsid w:val="00293DE5"/>
    <w:rsid w:val="00295397"/>
    <w:rsid w:val="002B1870"/>
    <w:rsid w:val="002B1F58"/>
    <w:rsid w:val="002C1C7A"/>
    <w:rsid w:val="002C5285"/>
    <w:rsid w:val="002C5D5F"/>
    <w:rsid w:val="002D1E7F"/>
    <w:rsid w:val="002D494F"/>
    <w:rsid w:val="0030160F"/>
    <w:rsid w:val="003046A7"/>
    <w:rsid w:val="0032195E"/>
    <w:rsid w:val="00321E8F"/>
    <w:rsid w:val="00322D0D"/>
    <w:rsid w:val="00326D48"/>
    <w:rsid w:val="0033276E"/>
    <w:rsid w:val="003374D4"/>
    <w:rsid w:val="00337854"/>
    <w:rsid w:val="00337CE2"/>
    <w:rsid w:val="003439CB"/>
    <w:rsid w:val="0035322E"/>
    <w:rsid w:val="003662CE"/>
    <w:rsid w:val="003707EF"/>
    <w:rsid w:val="003735DF"/>
    <w:rsid w:val="0037461E"/>
    <w:rsid w:val="00375F3C"/>
    <w:rsid w:val="0038108D"/>
    <w:rsid w:val="003833A9"/>
    <w:rsid w:val="00384DD6"/>
    <w:rsid w:val="0039110F"/>
    <w:rsid w:val="003914A7"/>
    <w:rsid w:val="003942D4"/>
    <w:rsid w:val="003958A8"/>
    <w:rsid w:val="003A6D9F"/>
    <w:rsid w:val="003A71C2"/>
    <w:rsid w:val="003B039A"/>
    <w:rsid w:val="003C0228"/>
    <w:rsid w:val="003C2533"/>
    <w:rsid w:val="003D15D8"/>
    <w:rsid w:val="003D6F32"/>
    <w:rsid w:val="003E10DE"/>
    <w:rsid w:val="0040435A"/>
    <w:rsid w:val="00404B55"/>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636"/>
    <w:rsid w:val="00490E72"/>
    <w:rsid w:val="004912AF"/>
    <w:rsid w:val="004921C8"/>
    <w:rsid w:val="0049335F"/>
    <w:rsid w:val="004A29FF"/>
    <w:rsid w:val="004A45DD"/>
    <w:rsid w:val="004B5D1C"/>
    <w:rsid w:val="004D0217"/>
    <w:rsid w:val="004D0B58"/>
    <w:rsid w:val="004D0C40"/>
    <w:rsid w:val="004D12A3"/>
    <w:rsid w:val="004D1851"/>
    <w:rsid w:val="004D599D"/>
    <w:rsid w:val="004E2EA5"/>
    <w:rsid w:val="004E3AEB"/>
    <w:rsid w:val="004F5921"/>
    <w:rsid w:val="00500C7D"/>
    <w:rsid w:val="00501014"/>
    <w:rsid w:val="0050223C"/>
    <w:rsid w:val="005046A4"/>
    <w:rsid w:val="005243FF"/>
    <w:rsid w:val="005269B7"/>
    <w:rsid w:val="00526DD9"/>
    <w:rsid w:val="005428D1"/>
    <w:rsid w:val="00542AE7"/>
    <w:rsid w:val="00542BAB"/>
    <w:rsid w:val="00544A1F"/>
    <w:rsid w:val="00544CA6"/>
    <w:rsid w:val="005467AE"/>
    <w:rsid w:val="005471D2"/>
    <w:rsid w:val="00564FBC"/>
    <w:rsid w:val="00570C28"/>
    <w:rsid w:val="0057569B"/>
    <w:rsid w:val="00582442"/>
    <w:rsid w:val="0058499C"/>
    <w:rsid w:val="00592C87"/>
    <w:rsid w:val="005A3B8A"/>
    <w:rsid w:val="005A6C26"/>
    <w:rsid w:val="005B1778"/>
    <w:rsid w:val="005B4351"/>
    <w:rsid w:val="005B4625"/>
    <w:rsid w:val="005C37A0"/>
    <w:rsid w:val="005D32DC"/>
    <w:rsid w:val="005D6131"/>
    <w:rsid w:val="005F04C7"/>
    <w:rsid w:val="005F2D25"/>
    <w:rsid w:val="005F40A4"/>
    <w:rsid w:val="005F54BF"/>
    <w:rsid w:val="00605347"/>
    <w:rsid w:val="0064146F"/>
    <w:rsid w:val="006535F1"/>
    <w:rsid w:val="0065557D"/>
    <w:rsid w:val="00662984"/>
    <w:rsid w:val="0066396F"/>
    <w:rsid w:val="006716BB"/>
    <w:rsid w:val="00675EAE"/>
    <w:rsid w:val="006771E7"/>
    <w:rsid w:val="00680A23"/>
    <w:rsid w:val="006950C5"/>
    <w:rsid w:val="006B010D"/>
    <w:rsid w:val="006B4ADC"/>
    <w:rsid w:val="006B5AB4"/>
    <w:rsid w:val="006B6DCC"/>
    <w:rsid w:val="006B7318"/>
    <w:rsid w:val="006B7341"/>
    <w:rsid w:val="006D3B24"/>
    <w:rsid w:val="006D3B29"/>
    <w:rsid w:val="006E1428"/>
    <w:rsid w:val="00723B97"/>
    <w:rsid w:val="00732C52"/>
    <w:rsid w:val="00733B71"/>
    <w:rsid w:val="00741793"/>
    <w:rsid w:val="007433BB"/>
    <w:rsid w:val="0075051B"/>
    <w:rsid w:val="00763E73"/>
    <w:rsid w:val="00782C0B"/>
    <w:rsid w:val="007879D9"/>
    <w:rsid w:val="00790142"/>
    <w:rsid w:val="007901DA"/>
    <w:rsid w:val="00794D34"/>
    <w:rsid w:val="007A34B1"/>
    <w:rsid w:val="007C116C"/>
    <w:rsid w:val="007C2E8B"/>
    <w:rsid w:val="007C6AC7"/>
    <w:rsid w:val="007D134F"/>
    <w:rsid w:val="007D7FD5"/>
    <w:rsid w:val="00813E5E"/>
    <w:rsid w:val="00814B9F"/>
    <w:rsid w:val="0081547A"/>
    <w:rsid w:val="00820AFC"/>
    <w:rsid w:val="00820BAF"/>
    <w:rsid w:val="0082499C"/>
    <w:rsid w:val="00826897"/>
    <w:rsid w:val="0083581B"/>
    <w:rsid w:val="008512AA"/>
    <w:rsid w:val="0085527C"/>
    <w:rsid w:val="00855BA7"/>
    <w:rsid w:val="00863B7A"/>
    <w:rsid w:val="00864AFF"/>
    <w:rsid w:val="0086520E"/>
    <w:rsid w:val="008662BD"/>
    <w:rsid w:val="0088538A"/>
    <w:rsid w:val="008911FB"/>
    <w:rsid w:val="0089474C"/>
    <w:rsid w:val="008A16A8"/>
    <w:rsid w:val="008B4A6A"/>
    <w:rsid w:val="008C7E27"/>
    <w:rsid w:val="008E3733"/>
    <w:rsid w:val="008F1108"/>
    <w:rsid w:val="008F3912"/>
    <w:rsid w:val="00904478"/>
    <w:rsid w:val="00915A48"/>
    <w:rsid w:val="00917052"/>
    <w:rsid w:val="009173EF"/>
    <w:rsid w:val="009177E3"/>
    <w:rsid w:val="00923A1B"/>
    <w:rsid w:val="00926B92"/>
    <w:rsid w:val="00932906"/>
    <w:rsid w:val="00933CC0"/>
    <w:rsid w:val="00944BC2"/>
    <w:rsid w:val="00961292"/>
    <w:rsid w:val="00961B0B"/>
    <w:rsid w:val="00965E02"/>
    <w:rsid w:val="00987D95"/>
    <w:rsid w:val="00996E42"/>
    <w:rsid w:val="009A4E24"/>
    <w:rsid w:val="009A56C8"/>
    <w:rsid w:val="009B38C3"/>
    <w:rsid w:val="009C6A0F"/>
    <w:rsid w:val="009C7A16"/>
    <w:rsid w:val="009D629C"/>
    <w:rsid w:val="009E17BD"/>
    <w:rsid w:val="009E1D8D"/>
    <w:rsid w:val="009E43AF"/>
    <w:rsid w:val="009E54AF"/>
    <w:rsid w:val="00A04CEC"/>
    <w:rsid w:val="00A12C99"/>
    <w:rsid w:val="00A165FA"/>
    <w:rsid w:val="00A17015"/>
    <w:rsid w:val="00A27F92"/>
    <w:rsid w:val="00A302B6"/>
    <w:rsid w:val="00A30574"/>
    <w:rsid w:val="00A32257"/>
    <w:rsid w:val="00A36066"/>
    <w:rsid w:val="00A36D20"/>
    <w:rsid w:val="00A44490"/>
    <w:rsid w:val="00A462B5"/>
    <w:rsid w:val="00A531E3"/>
    <w:rsid w:val="00A54FD8"/>
    <w:rsid w:val="00A550D1"/>
    <w:rsid w:val="00A55622"/>
    <w:rsid w:val="00A56000"/>
    <w:rsid w:val="00A620DA"/>
    <w:rsid w:val="00A83502"/>
    <w:rsid w:val="00A83FC1"/>
    <w:rsid w:val="00AA6A07"/>
    <w:rsid w:val="00AB2815"/>
    <w:rsid w:val="00AB393C"/>
    <w:rsid w:val="00AC393D"/>
    <w:rsid w:val="00AD3BE9"/>
    <w:rsid w:val="00AF6E49"/>
    <w:rsid w:val="00B04A67"/>
    <w:rsid w:val="00B05272"/>
    <w:rsid w:val="00B0583C"/>
    <w:rsid w:val="00B3183C"/>
    <w:rsid w:val="00B36E39"/>
    <w:rsid w:val="00B40A81"/>
    <w:rsid w:val="00B447F3"/>
    <w:rsid w:val="00B44910"/>
    <w:rsid w:val="00B47B8F"/>
    <w:rsid w:val="00B61278"/>
    <w:rsid w:val="00B71F52"/>
    <w:rsid w:val="00B72267"/>
    <w:rsid w:val="00B75ED2"/>
    <w:rsid w:val="00B769F8"/>
    <w:rsid w:val="00B76EB6"/>
    <w:rsid w:val="00B824C8"/>
    <w:rsid w:val="00B85905"/>
    <w:rsid w:val="00BA37C1"/>
    <w:rsid w:val="00BA74C0"/>
    <w:rsid w:val="00BB1653"/>
    <w:rsid w:val="00BC251A"/>
    <w:rsid w:val="00BD032B"/>
    <w:rsid w:val="00BD6810"/>
    <w:rsid w:val="00BE2640"/>
    <w:rsid w:val="00BE30A1"/>
    <w:rsid w:val="00BE5928"/>
    <w:rsid w:val="00BF27F0"/>
    <w:rsid w:val="00BF402F"/>
    <w:rsid w:val="00C01189"/>
    <w:rsid w:val="00C03DBE"/>
    <w:rsid w:val="00C05AB8"/>
    <w:rsid w:val="00C10E06"/>
    <w:rsid w:val="00C11946"/>
    <w:rsid w:val="00C212C0"/>
    <w:rsid w:val="00C374DE"/>
    <w:rsid w:val="00C37D85"/>
    <w:rsid w:val="00C413A2"/>
    <w:rsid w:val="00C47AD4"/>
    <w:rsid w:val="00C52D81"/>
    <w:rsid w:val="00C55198"/>
    <w:rsid w:val="00C664FA"/>
    <w:rsid w:val="00C70BB9"/>
    <w:rsid w:val="00C70F49"/>
    <w:rsid w:val="00C72B6C"/>
    <w:rsid w:val="00C8040F"/>
    <w:rsid w:val="00C91E53"/>
    <w:rsid w:val="00C92B98"/>
    <w:rsid w:val="00C9708D"/>
    <w:rsid w:val="00C97CE8"/>
    <w:rsid w:val="00CA6393"/>
    <w:rsid w:val="00CA6D47"/>
    <w:rsid w:val="00CB18FF"/>
    <w:rsid w:val="00CC5EF0"/>
    <w:rsid w:val="00CD0C08"/>
    <w:rsid w:val="00CD542C"/>
    <w:rsid w:val="00CE03FB"/>
    <w:rsid w:val="00CE3D43"/>
    <w:rsid w:val="00CE3D75"/>
    <w:rsid w:val="00CE433C"/>
    <w:rsid w:val="00CF0033"/>
    <w:rsid w:val="00CF2785"/>
    <w:rsid w:val="00CF33F3"/>
    <w:rsid w:val="00D00FA2"/>
    <w:rsid w:val="00D0338D"/>
    <w:rsid w:val="00D06183"/>
    <w:rsid w:val="00D22C42"/>
    <w:rsid w:val="00D23B7C"/>
    <w:rsid w:val="00D23E39"/>
    <w:rsid w:val="00D3608E"/>
    <w:rsid w:val="00D426A1"/>
    <w:rsid w:val="00D54552"/>
    <w:rsid w:val="00D65041"/>
    <w:rsid w:val="00D901DB"/>
    <w:rsid w:val="00D9148E"/>
    <w:rsid w:val="00D945E6"/>
    <w:rsid w:val="00DA51F3"/>
    <w:rsid w:val="00DA6E55"/>
    <w:rsid w:val="00DD4D70"/>
    <w:rsid w:val="00DE2B20"/>
    <w:rsid w:val="00DF0F5D"/>
    <w:rsid w:val="00DF6CF9"/>
    <w:rsid w:val="00E00F7D"/>
    <w:rsid w:val="00E10E80"/>
    <w:rsid w:val="00E124F0"/>
    <w:rsid w:val="00E165C3"/>
    <w:rsid w:val="00E203C1"/>
    <w:rsid w:val="00E24FF3"/>
    <w:rsid w:val="00E378C5"/>
    <w:rsid w:val="00E37DD7"/>
    <w:rsid w:val="00E468B8"/>
    <w:rsid w:val="00E60F04"/>
    <w:rsid w:val="00E75F94"/>
    <w:rsid w:val="00E8113B"/>
    <w:rsid w:val="00E84CF9"/>
    <w:rsid w:val="00E9013A"/>
    <w:rsid w:val="00EA05EC"/>
    <w:rsid w:val="00EA48F9"/>
    <w:rsid w:val="00EB0D6F"/>
    <w:rsid w:val="00EB2232"/>
    <w:rsid w:val="00EB52A2"/>
    <w:rsid w:val="00EC1A42"/>
    <w:rsid w:val="00EC5337"/>
    <w:rsid w:val="00ED7364"/>
    <w:rsid w:val="00EE2A3B"/>
    <w:rsid w:val="00F2150A"/>
    <w:rsid w:val="00F231D8"/>
    <w:rsid w:val="00F44ED7"/>
    <w:rsid w:val="00F46C5F"/>
    <w:rsid w:val="00F54A63"/>
    <w:rsid w:val="00F56D59"/>
    <w:rsid w:val="00F57728"/>
    <w:rsid w:val="00F6306F"/>
    <w:rsid w:val="00F70098"/>
    <w:rsid w:val="00F747B1"/>
    <w:rsid w:val="00F856EC"/>
    <w:rsid w:val="00F94A63"/>
    <w:rsid w:val="00F96CA1"/>
    <w:rsid w:val="00FB7596"/>
    <w:rsid w:val="00FB7FD9"/>
    <w:rsid w:val="00FC08D9"/>
    <w:rsid w:val="00FD60B3"/>
    <w:rsid w:val="00FD7F34"/>
    <w:rsid w:val="00FE0434"/>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2A3"/>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4D12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12A3"/>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25471D"/>
    <w:pPr>
      <w:spacing w:before="48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1">
    <w:name w:val="Data1"/>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1E5A0CCEF9A3444852E399E1B2811B4" ma:contentTypeVersion="11" ma:contentTypeDescription="Crie um novo documento." ma:contentTypeScope="" ma:versionID="e2dcf7cf3d32ac340b29b14a04093fc0">
  <xsd:schema xmlns:xsd="http://www.w3.org/2001/XMLSchema" xmlns:xs="http://www.w3.org/2001/XMLSchema" xmlns:p="http://schemas.microsoft.com/office/2006/metadata/properties" xmlns:ns3="1e6eac8e-04da-45f0-8b57-07b655440725" xmlns:ns4="88fb43ac-c11c-4a9a-83c5-985e33a5263d" targetNamespace="http://schemas.microsoft.com/office/2006/metadata/properties" ma:root="true" ma:fieldsID="7f9fda53273e46f4f783a48cafa8eef1" ns3:_="" ns4:_="">
    <xsd:import namespace="1e6eac8e-04da-45f0-8b57-07b655440725"/>
    <xsd:import namespace="88fb43ac-c11c-4a9a-83c5-985e33a526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ac8e-04da-45f0-8b57-07b655440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b43ac-c11c-4a9a-83c5-985e33a5263d"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B736-356C-4BED-8811-AD6E31395FD9}">
  <ds:schemaRefs>
    <ds:schemaRef ds:uri="http://schemas.microsoft.com/sharepoint/v3/contenttype/forms"/>
  </ds:schemaRefs>
</ds:datastoreItem>
</file>

<file path=customXml/itemProps2.xml><?xml version="1.0" encoding="utf-8"?>
<ds:datastoreItem xmlns:ds="http://schemas.openxmlformats.org/officeDocument/2006/customXml" ds:itemID="{F4D84C6C-5031-40AB-9213-A31CC110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eac8e-04da-45f0-8b57-07b655440725"/>
    <ds:schemaRef ds:uri="88fb43ac-c11c-4a9a-83c5-985e33a52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FD361-57E9-4D14-9E91-2CAEBE4DDBF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88fb43ac-c11c-4a9a-83c5-985e33a5263d"/>
    <ds:schemaRef ds:uri="1e6eac8e-04da-45f0-8b57-07b655440725"/>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A1D3AAC-8B30-4BA1-A25D-2B702DFB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1381</Words>
  <Characters>7713</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 1379 - ITRs</vt:lpstr>
      <vt:lpstr>R 1379 - ITRs</vt:lpstr>
    </vt:vector>
  </TitlesOfParts>
  <Manager>General Secretariat - Pool</Manager>
  <Company>International Telecommunication Union (ITU)</Company>
  <LinksUpToDate>false</LinksUpToDate>
  <CharactersWithSpaces>9076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1379 - ITRs</dc:title>
  <dc:subject>Council 2016</dc:subject>
  <dc:creator>Brouard, Ricarda</dc:creator>
  <cp:keywords>C2019, C19</cp:keywords>
  <dc:description/>
  <cp:lastModifiedBy>Janin, Patricia</cp:lastModifiedBy>
  <cp:revision>3</cp:revision>
  <cp:lastPrinted>2000-07-18T13:30:00Z</cp:lastPrinted>
  <dcterms:created xsi:type="dcterms:W3CDTF">2019-09-03T06:41:00Z</dcterms:created>
  <dcterms:modified xsi:type="dcterms:W3CDTF">2019-09-03T06:43:00Z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0x01010081E5A0CCEF9A3444852E399E1B2811B4</vt:lpwstr>
  </property>
</Properties>
</file>