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3404C2" w:rsidRPr="00B26E5B" w14:paraId="18A04671" w14:textId="77777777" w:rsidTr="00CA7F1F">
        <w:trPr>
          <w:cantSplit/>
        </w:trPr>
        <w:tc>
          <w:tcPr>
            <w:tcW w:w="6521" w:type="dxa"/>
            <w:vAlign w:val="center"/>
          </w:tcPr>
          <w:p w14:paraId="69B34F40" w14:textId="7A1C8A44" w:rsidR="003404C2" w:rsidRPr="00B26E5B" w:rsidRDefault="003404C2" w:rsidP="008531C5">
            <w:pPr>
              <w:spacing w:before="360" w:after="48" w:line="240" w:lineRule="atLeast"/>
              <w:rPr>
                <w:rFonts w:cs="Calibri"/>
                <w:b/>
                <w:bCs/>
                <w:position w:val="6"/>
                <w:szCs w:val="24"/>
              </w:rPr>
            </w:pPr>
            <w:r w:rsidRPr="00B26E5B">
              <w:rPr>
                <w:rFonts w:cs="Calibri"/>
                <w:b/>
                <w:bCs/>
                <w:position w:val="6"/>
                <w:sz w:val="30"/>
                <w:szCs w:val="30"/>
              </w:rPr>
              <w:t>Council Working Group on International Internet Related Public Policy issues (CWG-Internet)</w:t>
            </w:r>
            <w:r w:rsidRPr="00B26E5B">
              <w:rPr>
                <w:rFonts w:cs="Times"/>
                <w:b/>
                <w:position w:val="6"/>
                <w:szCs w:val="24"/>
              </w:rPr>
              <w:br/>
            </w:r>
            <w:r w:rsidR="008531C5" w:rsidRPr="00B26E5B">
              <w:rPr>
                <w:rFonts w:cs="Calibri"/>
                <w:b/>
                <w:bCs/>
                <w:position w:val="6"/>
                <w:szCs w:val="24"/>
              </w:rPr>
              <w:t xml:space="preserve">Twelfth </w:t>
            </w:r>
            <w:r w:rsidRPr="00B26E5B">
              <w:rPr>
                <w:rFonts w:cs="Calibri"/>
                <w:b/>
                <w:bCs/>
                <w:position w:val="6"/>
                <w:szCs w:val="24"/>
              </w:rPr>
              <w:t xml:space="preserve">meeting – Geneva, </w:t>
            </w:r>
            <w:r w:rsidR="008531C5" w:rsidRPr="00B26E5B">
              <w:rPr>
                <w:rFonts w:cs="Calibri"/>
                <w:b/>
                <w:bCs/>
                <w:position w:val="6"/>
                <w:szCs w:val="24"/>
              </w:rPr>
              <w:t>1 February</w:t>
            </w:r>
            <w:r w:rsidRPr="00B26E5B">
              <w:rPr>
                <w:rFonts w:cs="Calibri"/>
                <w:b/>
                <w:bCs/>
                <w:position w:val="6"/>
                <w:szCs w:val="24"/>
              </w:rPr>
              <w:t xml:space="preserve"> </w:t>
            </w:r>
            <w:r w:rsidR="008531C5" w:rsidRPr="00B26E5B">
              <w:rPr>
                <w:rFonts w:cs="Calibri"/>
                <w:b/>
                <w:bCs/>
                <w:position w:val="6"/>
                <w:szCs w:val="24"/>
              </w:rPr>
              <w:t>2019</w:t>
            </w:r>
          </w:p>
        </w:tc>
        <w:tc>
          <w:tcPr>
            <w:tcW w:w="3510" w:type="dxa"/>
          </w:tcPr>
          <w:p w14:paraId="1EF42E48" w14:textId="77777777" w:rsidR="003404C2" w:rsidRPr="00B26E5B" w:rsidRDefault="003404C2" w:rsidP="003404C2">
            <w:pPr>
              <w:spacing w:before="0" w:line="240" w:lineRule="atLeast"/>
              <w:jc w:val="right"/>
            </w:pPr>
            <w:bookmarkStart w:id="0" w:name="ditulogo"/>
            <w:bookmarkEnd w:id="0"/>
            <w:r w:rsidRPr="00B26E5B">
              <w:rPr>
                <w:noProof/>
                <w:szCs w:val="24"/>
                <w:lang w:val="en-US" w:eastAsia="zh-CN"/>
              </w:rPr>
              <w:drawing>
                <wp:inline distT="0" distB="0" distL="0" distR="0" wp14:anchorId="7F273BAE" wp14:editId="1F297E5F">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404C2" w:rsidRPr="00B26E5B" w14:paraId="5BFD70A8" w14:textId="77777777" w:rsidTr="0018430E">
        <w:trPr>
          <w:cantSplit/>
        </w:trPr>
        <w:tc>
          <w:tcPr>
            <w:tcW w:w="6521" w:type="dxa"/>
            <w:tcBorders>
              <w:top w:val="single" w:sz="12" w:space="0" w:color="auto"/>
            </w:tcBorders>
          </w:tcPr>
          <w:p w14:paraId="57BB1F10" w14:textId="77777777" w:rsidR="003404C2" w:rsidRPr="00B26E5B" w:rsidRDefault="003404C2" w:rsidP="003404C2">
            <w:pPr>
              <w:spacing w:before="0" w:after="48" w:line="240" w:lineRule="atLeast"/>
              <w:rPr>
                <w:b/>
                <w:smallCaps/>
                <w:szCs w:val="24"/>
              </w:rPr>
            </w:pPr>
          </w:p>
        </w:tc>
        <w:tc>
          <w:tcPr>
            <w:tcW w:w="3510" w:type="dxa"/>
            <w:tcBorders>
              <w:top w:val="single" w:sz="12" w:space="0" w:color="auto"/>
            </w:tcBorders>
          </w:tcPr>
          <w:p w14:paraId="40A383A0" w14:textId="77777777" w:rsidR="003404C2" w:rsidRPr="00B26E5B" w:rsidRDefault="003404C2" w:rsidP="003404C2">
            <w:pPr>
              <w:spacing w:before="0" w:line="240" w:lineRule="atLeast"/>
              <w:rPr>
                <w:szCs w:val="24"/>
              </w:rPr>
            </w:pPr>
          </w:p>
        </w:tc>
      </w:tr>
      <w:tr w:rsidR="003404C2" w:rsidRPr="00B26E5B" w14:paraId="55EE19D5" w14:textId="77777777" w:rsidTr="0018430E">
        <w:trPr>
          <w:cantSplit/>
        </w:trPr>
        <w:tc>
          <w:tcPr>
            <w:tcW w:w="6521" w:type="dxa"/>
          </w:tcPr>
          <w:p w14:paraId="24D7CD93" w14:textId="77777777" w:rsidR="003404C2" w:rsidRPr="00B26E5B" w:rsidRDefault="003404C2" w:rsidP="003404C2">
            <w:pPr>
              <w:spacing w:before="0" w:after="48" w:line="240" w:lineRule="atLeast"/>
              <w:rPr>
                <w:b/>
                <w:smallCaps/>
                <w:szCs w:val="24"/>
              </w:rPr>
            </w:pPr>
          </w:p>
        </w:tc>
        <w:tc>
          <w:tcPr>
            <w:tcW w:w="3510" w:type="dxa"/>
          </w:tcPr>
          <w:p w14:paraId="05F65380" w14:textId="77777777" w:rsidR="003404C2" w:rsidRPr="00B26E5B" w:rsidRDefault="003404C2" w:rsidP="003404C2">
            <w:pPr>
              <w:spacing w:before="0" w:line="240" w:lineRule="atLeast"/>
              <w:rPr>
                <w:szCs w:val="24"/>
              </w:rPr>
            </w:pPr>
            <w:r w:rsidRPr="00B26E5B">
              <w:rPr>
                <w:b/>
                <w:szCs w:val="24"/>
              </w:rPr>
              <w:t>Document WG-Internet 12/2-E</w:t>
            </w:r>
          </w:p>
        </w:tc>
      </w:tr>
      <w:tr w:rsidR="003404C2" w:rsidRPr="00B26E5B" w14:paraId="6CE382D2" w14:textId="77777777" w:rsidTr="00B74489">
        <w:trPr>
          <w:cantSplit/>
          <w:trHeight w:val="70"/>
        </w:trPr>
        <w:tc>
          <w:tcPr>
            <w:tcW w:w="6521" w:type="dxa"/>
            <w:vMerge w:val="restart"/>
          </w:tcPr>
          <w:p w14:paraId="2A61F365" w14:textId="77777777" w:rsidR="003404C2" w:rsidRPr="00B26E5B" w:rsidRDefault="003404C2" w:rsidP="003404C2">
            <w:pPr>
              <w:tabs>
                <w:tab w:val="left" w:pos="851"/>
              </w:tabs>
              <w:spacing w:before="0" w:line="240" w:lineRule="atLeast"/>
              <w:rPr>
                <w:b/>
              </w:rPr>
            </w:pPr>
            <w:bookmarkStart w:id="1" w:name="dmeeting" w:colFirst="0" w:colLast="0"/>
            <w:bookmarkStart w:id="2" w:name="dnum" w:colFirst="1" w:colLast="1"/>
          </w:p>
          <w:p w14:paraId="0AC33C91" w14:textId="77777777" w:rsidR="003404C2" w:rsidRPr="00B26E5B" w:rsidRDefault="003404C2" w:rsidP="003404C2">
            <w:pPr>
              <w:tabs>
                <w:tab w:val="left" w:pos="851"/>
              </w:tabs>
              <w:spacing w:before="0" w:line="240" w:lineRule="atLeast"/>
              <w:rPr>
                <w:b/>
              </w:rPr>
            </w:pPr>
          </w:p>
        </w:tc>
        <w:tc>
          <w:tcPr>
            <w:tcW w:w="3510" w:type="dxa"/>
            <w:shd w:val="clear" w:color="auto" w:fill="auto"/>
          </w:tcPr>
          <w:p w14:paraId="7EF7361A" w14:textId="27043D5C" w:rsidR="003404C2" w:rsidRPr="00B26E5B" w:rsidRDefault="003404C2" w:rsidP="008531C5">
            <w:pPr>
              <w:tabs>
                <w:tab w:val="left" w:pos="851"/>
              </w:tabs>
              <w:spacing w:before="0" w:line="240" w:lineRule="atLeast"/>
              <w:rPr>
                <w:b/>
              </w:rPr>
            </w:pPr>
            <w:r w:rsidRPr="00B26E5B">
              <w:rPr>
                <w:b/>
                <w:szCs w:val="24"/>
              </w:rPr>
              <w:t>1</w:t>
            </w:r>
            <w:r w:rsidR="008531C5" w:rsidRPr="00B26E5B">
              <w:rPr>
                <w:b/>
                <w:szCs w:val="24"/>
              </w:rPr>
              <w:t>0</w:t>
            </w:r>
            <w:r w:rsidRPr="00B26E5B">
              <w:rPr>
                <w:b/>
                <w:szCs w:val="24"/>
              </w:rPr>
              <w:t xml:space="preserve"> </w:t>
            </w:r>
            <w:r w:rsidR="008531C5" w:rsidRPr="00B26E5B">
              <w:rPr>
                <w:b/>
                <w:szCs w:val="24"/>
              </w:rPr>
              <w:t>January</w:t>
            </w:r>
            <w:r w:rsidRPr="00B26E5B">
              <w:rPr>
                <w:b/>
                <w:szCs w:val="24"/>
              </w:rPr>
              <w:t xml:space="preserve"> 201</w:t>
            </w:r>
            <w:r w:rsidR="008531C5" w:rsidRPr="00B26E5B">
              <w:rPr>
                <w:b/>
                <w:szCs w:val="24"/>
              </w:rPr>
              <w:t>9</w:t>
            </w:r>
          </w:p>
        </w:tc>
      </w:tr>
      <w:tr w:rsidR="003404C2" w:rsidRPr="00B26E5B" w14:paraId="5B05EB8E" w14:textId="77777777" w:rsidTr="00A21DCB">
        <w:trPr>
          <w:cantSplit/>
          <w:trHeight w:val="586"/>
        </w:trPr>
        <w:tc>
          <w:tcPr>
            <w:tcW w:w="6521" w:type="dxa"/>
            <w:vMerge/>
          </w:tcPr>
          <w:p w14:paraId="6F1EAA66" w14:textId="77777777" w:rsidR="003404C2" w:rsidRPr="00B26E5B" w:rsidRDefault="003404C2" w:rsidP="003404C2">
            <w:pPr>
              <w:tabs>
                <w:tab w:val="left" w:pos="851"/>
              </w:tabs>
              <w:spacing w:line="240" w:lineRule="atLeast"/>
              <w:rPr>
                <w:b/>
                <w:bCs/>
              </w:rPr>
            </w:pPr>
            <w:bookmarkStart w:id="3" w:name="ddate" w:colFirst="1" w:colLast="1"/>
            <w:bookmarkEnd w:id="1"/>
            <w:bookmarkEnd w:id="2"/>
          </w:p>
        </w:tc>
        <w:tc>
          <w:tcPr>
            <w:tcW w:w="3510" w:type="dxa"/>
          </w:tcPr>
          <w:p w14:paraId="067BEB7E" w14:textId="77777777" w:rsidR="003404C2" w:rsidRPr="00B26E5B" w:rsidRDefault="003404C2" w:rsidP="003404C2">
            <w:pPr>
              <w:tabs>
                <w:tab w:val="left" w:pos="993"/>
              </w:tabs>
              <w:spacing w:before="0"/>
              <w:rPr>
                <w:b/>
                <w:bCs/>
              </w:rPr>
            </w:pPr>
            <w:r w:rsidRPr="00B26E5B">
              <w:rPr>
                <w:b/>
                <w:szCs w:val="24"/>
              </w:rPr>
              <w:t>English only</w:t>
            </w:r>
          </w:p>
        </w:tc>
      </w:tr>
      <w:tr w:rsidR="0018430E" w:rsidRPr="00B26E5B" w14:paraId="1648A955" w14:textId="77777777">
        <w:trPr>
          <w:cantSplit/>
        </w:trPr>
        <w:tc>
          <w:tcPr>
            <w:tcW w:w="10031" w:type="dxa"/>
            <w:gridSpan w:val="2"/>
          </w:tcPr>
          <w:p w14:paraId="0D2A9BED" w14:textId="77777777" w:rsidR="0018430E" w:rsidRPr="00B26E5B" w:rsidRDefault="0018430E" w:rsidP="008E22C0">
            <w:pPr>
              <w:pStyle w:val="Source"/>
              <w:framePr w:hSpace="0" w:wrap="auto" w:hAnchor="text" w:yAlign="inline"/>
              <w:spacing w:before="240"/>
            </w:pPr>
            <w:bookmarkStart w:id="4" w:name="dsource" w:colFirst="0" w:colLast="0"/>
            <w:bookmarkEnd w:id="3"/>
            <w:r w:rsidRPr="00B26E5B">
              <w:t>Report by the Secretary-General</w:t>
            </w:r>
          </w:p>
          <w:p w14:paraId="36AC97CF" w14:textId="77777777" w:rsidR="0018430E" w:rsidRPr="00B26E5B" w:rsidRDefault="0018430E" w:rsidP="00843092">
            <w:pPr>
              <w:pStyle w:val="Title1"/>
              <w:framePr w:hSpace="0" w:wrap="auto" w:hAnchor="text" w:yAlign="inline"/>
            </w:pPr>
            <w:r w:rsidRPr="00B26E5B">
              <w:t>ITU INTERNET ACTIVITIES: RESOLUTIONS 101, 102, 133 &amp; 180</w:t>
            </w:r>
          </w:p>
        </w:tc>
      </w:tr>
    </w:tbl>
    <w:tbl>
      <w:tblPr>
        <w:tblW w:w="850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2E2753" w:rsidRPr="00B26E5B" w14:paraId="2F96F3C8" w14:textId="77777777" w:rsidTr="008E22C0">
        <w:trPr>
          <w:trHeight w:val="3372"/>
        </w:trPr>
        <w:tc>
          <w:tcPr>
            <w:tcW w:w="8505" w:type="dxa"/>
            <w:tcBorders>
              <w:top w:val="single" w:sz="12" w:space="0" w:color="auto"/>
              <w:left w:val="single" w:sz="12" w:space="0" w:color="auto"/>
              <w:bottom w:val="single" w:sz="12" w:space="0" w:color="auto"/>
              <w:right w:val="single" w:sz="12" w:space="0" w:color="auto"/>
            </w:tcBorders>
          </w:tcPr>
          <w:bookmarkEnd w:id="4"/>
          <w:p w14:paraId="7C94E024" w14:textId="77777777" w:rsidR="002E2753" w:rsidRPr="00B26E5B" w:rsidRDefault="00B57A5E" w:rsidP="008E22C0">
            <w:pPr>
              <w:pStyle w:val="Headingb"/>
              <w:keepNext w:val="0"/>
              <w:keepLines w:val="0"/>
              <w:spacing w:before="120"/>
            </w:pPr>
            <w:r w:rsidRPr="00B26E5B">
              <w:t>S</w:t>
            </w:r>
            <w:r w:rsidR="002E2753" w:rsidRPr="00B26E5B">
              <w:t>ummary</w:t>
            </w:r>
          </w:p>
          <w:p w14:paraId="7667C31B" w14:textId="77777777" w:rsidR="002E2753" w:rsidRPr="00B26E5B" w:rsidRDefault="002E2753" w:rsidP="00B70213">
            <w:pPr>
              <w:jc w:val="both"/>
            </w:pPr>
            <w:r w:rsidRPr="00B26E5B">
              <w:t>This report summarizes ITU</w:t>
            </w:r>
            <w:r w:rsidR="002F451F" w:rsidRPr="00B26E5B">
              <w:t>’</w:t>
            </w:r>
            <w:r w:rsidR="00691F93" w:rsidRPr="00B26E5B">
              <w:t xml:space="preserve">s activities </w:t>
            </w:r>
            <w:r w:rsidRPr="00B26E5B">
              <w:t xml:space="preserve">related to Plenipotentiary Conference (PP) Resolution 101 (Rev. </w:t>
            </w:r>
            <w:r w:rsidR="00B70213" w:rsidRPr="00B26E5B">
              <w:t>Dubai</w:t>
            </w:r>
            <w:r w:rsidRPr="00B26E5B">
              <w:t>, 201</w:t>
            </w:r>
            <w:r w:rsidR="00B70213" w:rsidRPr="00B26E5B">
              <w:t>8</w:t>
            </w:r>
            <w:r w:rsidRPr="00B26E5B">
              <w:t xml:space="preserve">), </w:t>
            </w:r>
            <w:r w:rsidR="002F451F" w:rsidRPr="00B26E5B">
              <w:t>“</w:t>
            </w:r>
            <w:r w:rsidRPr="00B26E5B">
              <w:t>Internet Protocol-based networks</w:t>
            </w:r>
            <w:r w:rsidR="002F451F" w:rsidRPr="00B26E5B">
              <w:t>”</w:t>
            </w:r>
            <w:r w:rsidR="00642A51" w:rsidRPr="00B26E5B">
              <w:t>; Resolution </w:t>
            </w:r>
            <w:r w:rsidRPr="00B26E5B">
              <w:t xml:space="preserve">102 </w:t>
            </w:r>
            <w:r w:rsidR="00B70213" w:rsidRPr="00B26E5B">
              <w:t>(Rev. Dubai, 2018)</w:t>
            </w:r>
            <w:r w:rsidRPr="00B26E5B">
              <w:t xml:space="preserve">, </w:t>
            </w:r>
            <w:r w:rsidR="002F451F" w:rsidRPr="00B26E5B">
              <w:t>“</w:t>
            </w:r>
            <w:r w:rsidRPr="00B26E5B">
              <w:t>ITU</w:t>
            </w:r>
            <w:r w:rsidR="002F451F" w:rsidRPr="00B26E5B">
              <w:t>’</w:t>
            </w:r>
            <w:r w:rsidRPr="00B26E5B">
              <w:t>s role with regard to international public policy issues pertaining to the Internet and the management of Internet resources, including domain names and addresses</w:t>
            </w:r>
            <w:r w:rsidR="002F451F" w:rsidRPr="00B26E5B">
              <w:t>”</w:t>
            </w:r>
            <w:r w:rsidRPr="00B26E5B">
              <w:t xml:space="preserve">; Resolution 133 </w:t>
            </w:r>
            <w:r w:rsidR="00B70213" w:rsidRPr="00B26E5B">
              <w:t>(Rev. Dubai, 2018)</w:t>
            </w:r>
            <w:r w:rsidRPr="00B26E5B">
              <w:t xml:space="preserve">, </w:t>
            </w:r>
            <w:r w:rsidR="002F451F" w:rsidRPr="00B26E5B">
              <w:t>“</w:t>
            </w:r>
            <w:r w:rsidRPr="00B26E5B">
              <w:t>Roles of administrations of Member States in the management of Internationalized (multilingual) domain names</w:t>
            </w:r>
            <w:r w:rsidR="002F451F" w:rsidRPr="00B26E5B">
              <w:t>”</w:t>
            </w:r>
            <w:r w:rsidRPr="00B26E5B">
              <w:t xml:space="preserve">; and Resolution 180 </w:t>
            </w:r>
            <w:r w:rsidR="00B70213" w:rsidRPr="00B26E5B">
              <w:t>(Rev. Dubai, 2018)</w:t>
            </w:r>
            <w:r w:rsidRPr="00B26E5B">
              <w:t xml:space="preserve">, </w:t>
            </w:r>
            <w:r w:rsidR="002F451F" w:rsidRPr="00B26E5B">
              <w:t>“</w:t>
            </w:r>
            <w:r w:rsidRPr="00B26E5B">
              <w:t>Facilitating the transition from IPv4 to IPv6</w:t>
            </w:r>
            <w:r w:rsidR="002F451F" w:rsidRPr="00B26E5B">
              <w:t>”</w:t>
            </w:r>
            <w:r w:rsidRPr="00B26E5B">
              <w:t>.</w:t>
            </w:r>
          </w:p>
          <w:p w14:paraId="05B4D0BB" w14:textId="77777777" w:rsidR="002E2753" w:rsidRPr="00B26E5B" w:rsidRDefault="002E2753" w:rsidP="008E22C0">
            <w:pPr>
              <w:pStyle w:val="Headingb"/>
              <w:keepNext w:val="0"/>
              <w:keepLines w:val="0"/>
              <w:spacing w:before="120"/>
            </w:pPr>
            <w:r w:rsidRPr="00B26E5B">
              <w:t>References</w:t>
            </w:r>
          </w:p>
          <w:p w14:paraId="04B85B65" w14:textId="77777777" w:rsidR="002E2753" w:rsidRPr="00B26E5B" w:rsidRDefault="002E2753" w:rsidP="00B70213">
            <w:pPr>
              <w:rPr>
                <w:i/>
                <w:iCs/>
              </w:rPr>
            </w:pPr>
            <w:r w:rsidRPr="00B26E5B">
              <w:rPr>
                <w:rFonts w:cstheme="minorHAnsi"/>
                <w:i/>
                <w:iCs/>
                <w:spacing w:val="-2"/>
                <w:szCs w:val="24"/>
                <w:lang w:val="en-US"/>
              </w:rPr>
              <w:t xml:space="preserve">Plenipotentiary Resolutions </w:t>
            </w:r>
            <w:hyperlink r:id="rId12" w:history="1">
              <w:r w:rsidRPr="00B26E5B">
                <w:rPr>
                  <w:rStyle w:val="Hyperlink"/>
                  <w:rFonts w:cstheme="minorHAnsi"/>
                  <w:i/>
                  <w:iCs/>
                  <w:spacing w:val="-2"/>
                  <w:szCs w:val="24"/>
                  <w:lang w:val="en-US"/>
                </w:rPr>
                <w:t>101</w:t>
              </w:r>
            </w:hyperlink>
            <w:r w:rsidRPr="00B26E5B">
              <w:rPr>
                <w:rFonts w:cstheme="minorHAnsi"/>
                <w:i/>
                <w:iCs/>
                <w:spacing w:val="-2"/>
                <w:szCs w:val="24"/>
                <w:lang w:val="en-US"/>
              </w:rPr>
              <w:t xml:space="preserve">, </w:t>
            </w:r>
            <w:hyperlink r:id="rId13" w:history="1">
              <w:r w:rsidRPr="00B26E5B">
                <w:rPr>
                  <w:rStyle w:val="Hyperlink"/>
                  <w:rFonts w:cstheme="minorHAnsi"/>
                  <w:i/>
                  <w:iCs/>
                  <w:spacing w:val="-2"/>
                  <w:szCs w:val="24"/>
                  <w:lang w:val="en-US"/>
                </w:rPr>
                <w:t>102</w:t>
              </w:r>
            </w:hyperlink>
            <w:r w:rsidRPr="00B26E5B">
              <w:rPr>
                <w:rFonts w:cstheme="minorHAnsi"/>
                <w:i/>
                <w:iCs/>
                <w:spacing w:val="-2"/>
                <w:szCs w:val="24"/>
                <w:lang w:val="en-US"/>
              </w:rPr>
              <w:t xml:space="preserve">, </w:t>
            </w:r>
            <w:hyperlink r:id="rId14" w:history="1">
              <w:r w:rsidRPr="00B26E5B">
                <w:rPr>
                  <w:rStyle w:val="Hyperlink"/>
                  <w:rFonts w:cstheme="minorHAnsi"/>
                  <w:i/>
                  <w:iCs/>
                  <w:spacing w:val="-2"/>
                  <w:szCs w:val="24"/>
                  <w:lang w:val="en-US"/>
                </w:rPr>
                <w:t>133</w:t>
              </w:r>
            </w:hyperlink>
            <w:r w:rsidRPr="00B26E5B">
              <w:rPr>
                <w:rFonts w:cstheme="minorHAnsi"/>
                <w:i/>
                <w:iCs/>
                <w:spacing w:val="-2"/>
                <w:szCs w:val="24"/>
                <w:lang w:val="en-US"/>
              </w:rPr>
              <w:t xml:space="preserve">, </w:t>
            </w:r>
            <w:hyperlink r:id="rId15" w:history="1">
              <w:r w:rsidRPr="00B26E5B">
                <w:rPr>
                  <w:rStyle w:val="Hyperlink"/>
                  <w:rFonts w:cstheme="minorHAnsi"/>
                  <w:i/>
                  <w:iCs/>
                  <w:spacing w:val="-2"/>
                  <w:szCs w:val="24"/>
                  <w:lang w:val="en-US"/>
                </w:rPr>
                <w:t>180</w:t>
              </w:r>
            </w:hyperlink>
            <w:r w:rsidRPr="00B26E5B">
              <w:rPr>
                <w:rFonts w:cstheme="minorHAnsi"/>
                <w:i/>
                <w:iCs/>
                <w:spacing w:val="-2"/>
                <w:szCs w:val="24"/>
                <w:lang w:val="en-US"/>
              </w:rPr>
              <w:t xml:space="preserve"> (Rev. </w:t>
            </w:r>
            <w:r w:rsidR="00B70213" w:rsidRPr="00B26E5B">
              <w:rPr>
                <w:rFonts w:cstheme="minorHAnsi"/>
                <w:i/>
                <w:iCs/>
                <w:spacing w:val="-2"/>
                <w:szCs w:val="24"/>
                <w:lang w:val="en-US"/>
              </w:rPr>
              <w:t>Dubai</w:t>
            </w:r>
            <w:r w:rsidRPr="00B26E5B">
              <w:rPr>
                <w:rFonts w:cstheme="minorHAnsi"/>
                <w:i/>
                <w:iCs/>
                <w:spacing w:val="-2"/>
                <w:szCs w:val="24"/>
                <w:lang w:val="en-US"/>
              </w:rPr>
              <w:t>, 2014)</w:t>
            </w:r>
            <w:r w:rsidRPr="00B26E5B">
              <w:rPr>
                <w:i/>
                <w:iCs/>
                <w:szCs w:val="24"/>
                <w:lang w:val="en-US"/>
              </w:rPr>
              <w:t>;</w:t>
            </w:r>
            <w:r w:rsidRPr="00B26E5B">
              <w:rPr>
                <w:rFonts w:cstheme="minorHAnsi"/>
                <w:i/>
                <w:iCs/>
                <w:spacing w:val="-2"/>
                <w:szCs w:val="24"/>
                <w:lang w:val="en-US"/>
              </w:rPr>
              <w:t xml:space="preserve"> </w:t>
            </w:r>
            <w:r w:rsidRPr="00B26E5B">
              <w:rPr>
                <w:rFonts w:cstheme="minorHAnsi"/>
                <w:i/>
                <w:iCs/>
                <w:szCs w:val="24"/>
                <w:lang w:val="en-US"/>
              </w:rPr>
              <w:t xml:space="preserve">Council Resolutions </w:t>
            </w:r>
            <w:hyperlink r:id="rId16" w:history="1">
              <w:r w:rsidRPr="00B26E5B">
                <w:rPr>
                  <w:rStyle w:val="Hyperlink"/>
                  <w:rFonts w:cstheme="minorHAnsi"/>
                  <w:i/>
                  <w:iCs/>
                  <w:szCs w:val="24"/>
                  <w:lang w:val="en-US"/>
                </w:rPr>
                <w:t>1305</w:t>
              </w:r>
            </w:hyperlink>
            <w:r w:rsidRPr="00B26E5B">
              <w:rPr>
                <w:rFonts w:cstheme="minorHAnsi"/>
                <w:i/>
                <w:iCs/>
                <w:szCs w:val="24"/>
                <w:lang w:val="en-US"/>
              </w:rPr>
              <w:t xml:space="preserve"> (2009), </w:t>
            </w:r>
            <w:hyperlink r:id="rId17" w:history="1">
              <w:r w:rsidRPr="00B26E5B">
                <w:rPr>
                  <w:rStyle w:val="Hyperlink"/>
                  <w:rFonts w:cstheme="minorHAnsi"/>
                  <w:i/>
                  <w:iCs/>
                  <w:szCs w:val="24"/>
                  <w:lang w:val="en-US"/>
                </w:rPr>
                <w:t>1336</w:t>
              </w:r>
            </w:hyperlink>
            <w:r w:rsidRPr="00B26E5B">
              <w:rPr>
                <w:rFonts w:cstheme="minorHAnsi"/>
                <w:i/>
                <w:iCs/>
                <w:szCs w:val="24"/>
                <w:lang w:val="en-US"/>
              </w:rPr>
              <w:t xml:space="preserve"> (mod 2015), </w:t>
            </w:r>
            <w:hyperlink r:id="rId18" w:history="1">
              <w:r w:rsidRPr="00B26E5B">
                <w:rPr>
                  <w:rStyle w:val="Hyperlink"/>
                  <w:rFonts w:cstheme="minorHAnsi"/>
                  <w:i/>
                  <w:iCs/>
                  <w:szCs w:val="24"/>
                  <w:lang w:val="en-US"/>
                </w:rPr>
                <w:t>1344</w:t>
              </w:r>
            </w:hyperlink>
            <w:r w:rsidRPr="00B26E5B">
              <w:rPr>
                <w:rFonts w:cstheme="minorHAnsi"/>
                <w:i/>
                <w:iCs/>
                <w:szCs w:val="24"/>
                <w:lang w:val="en-US"/>
              </w:rPr>
              <w:t xml:space="preserve"> (mod </w:t>
            </w:r>
            <w:r w:rsidRPr="00B26E5B">
              <w:rPr>
                <w:rFonts w:cstheme="minorHAnsi"/>
                <w:i/>
                <w:iCs/>
                <w:spacing w:val="4"/>
                <w:szCs w:val="24"/>
                <w:lang w:val="en-US"/>
              </w:rPr>
              <w:t xml:space="preserve">2015); WTSA Resolutions </w:t>
            </w:r>
            <w:hyperlink r:id="rId19" w:history="1">
              <w:r w:rsidRPr="00B26E5B">
                <w:rPr>
                  <w:rStyle w:val="Hyperlink"/>
                  <w:rFonts w:cstheme="minorHAnsi"/>
                  <w:i/>
                  <w:iCs/>
                  <w:spacing w:val="4"/>
                  <w:szCs w:val="24"/>
                  <w:lang w:val="en-US"/>
                </w:rPr>
                <w:t>47</w:t>
              </w:r>
            </w:hyperlink>
            <w:r w:rsidRPr="00B26E5B">
              <w:rPr>
                <w:rFonts w:cstheme="minorHAnsi"/>
                <w:i/>
                <w:iCs/>
                <w:spacing w:val="4"/>
                <w:szCs w:val="24"/>
                <w:lang w:val="en-US"/>
              </w:rPr>
              <w:t xml:space="preserve">, </w:t>
            </w:r>
            <w:hyperlink r:id="rId20" w:history="1">
              <w:r w:rsidRPr="00B26E5B">
                <w:rPr>
                  <w:rStyle w:val="Hyperlink"/>
                  <w:rFonts w:cstheme="minorHAnsi"/>
                  <w:i/>
                  <w:iCs/>
                  <w:spacing w:val="4"/>
                  <w:szCs w:val="24"/>
                  <w:lang w:val="en-US"/>
                </w:rPr>
                <w:t>48</w:t>
              </w:r>
            </w:hyperlink>
            <w:r w:rsidRPr="00B26E5B">
              <w:rPr>
                <w:lang w:val="en-US"/>
              </w:rPr>
              <w:t xml:space="preserve"> </w:t>
            </w:r>
            <w:r w:rsidRPr="00B26E5B">
              <w:rPr>
                <w:rFonts w:cstheme="minorHAnsi"/>
                <w:i/>
                <w:iCs/>
                <w:spacing w:val="4"/>
                <w:szCs w:val="24"/>
                <w:lang w:val="en-US"/>
              </w:rPr>
              <w:t xml:space="preserve">(Rev. Dubai, 2012) </w:t>
            </w:r>
            <w:hyperlink r:id="rId21" w:history="1">
              <w:r w:rsidRPr="00B26E5B">
                <w:rPr>
                  <w:rStyle w:val="Hyperlink"/>
                  <w:rFonts w:cstheme="minorHAnsi"/>
                  <w:i/>
                  <w:iCs/>
                  <w:spacing w:val="4"/>
                  <w:szCs w:val="24"/>
                  <w:lang w:val="en-US"/>
                </w:rPr>
                <w:t>49</w:t>
              </w:r>
            </w:hyperlink>
            <w:r w:rsidRPr="00B26E5B">
              <w:rPr>
                <w:rFonts w:cstheme="minorHAnsi"/>
                <w:i/>
                <w:iCs/>
                <w:spacing w:val="4"/>
                <w:szCs w:val="24"/>
                <w:lang w:val="en-US"/>
              </w:rPr>
              <w:t xml:space="preserve">, </w:t>
            </w:r>
            <w:hyperlink r:id="rId22" w:history="1">
              <w:r w:rsidRPr="00B26E5B">
                <w:rPr>
                  <w:rStyle w:val="Hyperlink"/>
                  <w:rFonts w:cstheme="minorHAnsi"/>
                  <w:i/>
                  <w:iCs/>
                  <w:spacing w:val="4"/>
                  <w:szCs w:val="24"/>
                  <w:lang w:val="en-US"/>
                </w:rPr>
                <w:t>50</w:t>
              </w:r>
            </w:hyperlink>
            <w:r w:rsidRPr="00B26E5B">
              <w:rPr>
                <w:rFonts w:cstheme="minorHAnsi"/>
                <w:i/>
                <w:iCs/>
                <w:spacing w:val="4"/>
                <w:szCs w:val="24"/>
                <w:lang w:val="en-US"/>
              </w:rPr>
              <w:t xml:space="preserve">, </w:t>
            </w:r>
            <w:hyperlink r:id="rId23" w:history="1">
              <w:r w:rsidRPr="00B26E5B">
                <w:rPr>
                  <w:rStyle w:val="Hyperlink"/>
                  <w:rFonts w:cstheme="minorHAnsi"/>
                  <w:i/>
                  <w:iCs/>
                  <w:spacing w:val="4"/>
                  <w:szCs w:val="24"/>
                  <w:lang w:val="en-US"/>
                </w:rPr>
                <w:t>52</w:t>
              </w:r>
            </w:hyperlink>
            <w:r w:rsidRPr="00B26E5B">
              <w:rPr>
                <w:rStyle w:val="Hyperlink"/>
                <w:rFonts w:cstheme="minorHAnsi"/>
                <w:i/>
                <w:iCs/>
                <w:spacing w:val="4"/>
                <w:szCs w:val="24"/>
                <w:lang w:val="en-US"/>
              </w:rPr>
              <w:t xml:space="preserve"> </w:t>
            </w:r>
            <w:r w:rsidRPr="00B26E5B">
              <w:rPr>
                <w:rFonts w:cstheme="minorHAnsi"/>
                <w:i/>
                <w:iCs/>
                <w:spacing w:val="4"/>
                <w:szCs w:val="24"/>
                <w:lang w:val="en-US"/>
              </w:rPr>
              <w:t xml:space="preserve">(Rev. </w:t>
            </w:r>
            <w:proofErr w:type="spellStart"/>
            <w:r w:rsidRPr="00B26E5B">
              <w:rPr>
                <w:rFonts w:cstheme="minorHAnsi"/>
                <w:i/>
                <w:iCs/>
                <w:spacing w:val="4"/>
                <w:szCs w:val="24"/>
                <w:lang w:val="en-US"/>
              </w:rPr>
              <w:t>Hammamet</w:t>
            </w:r>
            <w:proofErr w:type="spellEnd"/>
            <w:r w:rsidRPr="00B26E5B">
              <w:rPr>
                <w:rFonts w:cstheme="minorHAnsi"/>
                <w:i/>
                <w:iCs/>
                <w:spacing w:val="4"/>
                <w:szCs w:val="24"/>
                <w:lang w:val="en-US"/>
              </w:rPr>
              <w:t xml:space="preserve">, 2016), </w:t>
            </w:r>
            <w:hyperlink r:id="rId24" w:history="1">
              <w:r w:rsidRPr="00B26E5B">
                <w:rPr>
                  <w:rStyle w:val="Hyperlink"/>
                  <w:rFonts w:cstheme="minorHAnsi"/>
                  <w:i/>
                  <w:iCs/>
                  <w:spacing w:val="4"/>
                  <w:szCs w:val="24"/>
                  <w:lang w:val="en-US"/>
                </w:rPr>
                <w:t>58</w:t>
              </w:r>
            </w:hyperlink>
            <w:r w:rsidRPr="00B26E5B">
              <w:rPr>
                <w:rStyle w:val="Hyperlink"/>
                <w:rFonts w:cstheme="minorHAnsi"/>
                <w:i/>
                <w:iCs/>
                <w:color w:val="auto"/>
                <w:spacing w:val="4"/>
                <w:szCs w:val="24"/>
                <w:u w:val="none"/>
                <w:lang w:val="en-US"/>
              </w:rPr>
              <w:t xml:space="preserve">, </w:t>
            </w:r>
            <w:hyperlink r:id="rId25" w:history="1">
              <w:r w:rsidRPr="00B26E5B">
                <w:rPr>
                  <w:rStyle w:val="Hyperlink"/>
                  <w:rFonts w:cstheme="minorHAnsi"/>
                  <w:i/>
                  <w:iCs/>
                  <w:spacing w:val="4"/>
                  <w:szCs w:val="24"/>
                  <w:lang w:val="en-US"/>
                </w:rPr>
                <w:t>60</w:t>
              </w:r>
            </w:hyperlink>
            <w:r w:rsidRPr="00B26E5B">
              <w:rPr>
                <w:rStyle w:val="Hyperlink"/>
                <w:rFonts w:cstheme="minorHAnsi"/>
                <w:i/>
                <w:iCs/>
                <w:spacing w:val="4"/>
                <w:szCs w:val="24"/>
                <w:u w:val="none"/>
                <w:lang w:val="en-US"/>
              </w:rPr>
              <w:t xml:space="preserve"> </w:t>
            </w:r>
            <w:r w:rsidRPr="00B26E5B">
              <w:rPr>
                <w:rStyle w:val="Hyperlink"/>
                <w:rFonts w:cstheme="minorHAnsi"/>
                <w:i/>
                <w:iCs/>
                <w:color w:val="auto"/>
                <w:spacing w:val="4"/>
                <w:szCs w:val="24"/>
                <w:u w:val="none"/>
                <w:lang w:val="en-US"/>
              </w:rPr>
              <w:t>(Rev. Dubai, 2012)</w:t>
            </w:r>
            <w:r w:rsidRPr="00B26E5B">
              <w:rPr>
                <w:rFonts w:cstheme="minorHAnsi"/>
                <w:i/>
                <w:iCs/>
                <w:spacing w:val="4"/>
                <w:szCs w:val="24"/>
                <w:lang w:val="en-US"/>
              </w:rPr>
              <w:t xml:space="preserve">, </w:t>
            </w:r>
            <w:hyperlink r:id="rId26" w:history="1">
              <w:r w:rsidRPr="00B26E5B">
                <w:rPr>
                  <w:rStyle w:val="Hyperlink"/>
                  <w:rFonts w:cstheme="minorHAnsi"/>
                  <w:i/>
                  <w:iCs/>
                  <w:spacing w:val="4"/>
                  <w:szCs w:val="24"/>
                  <w:lang w:val="en-US"/>
                </w:rPr>
                <w:t>64</w:t>
              </w:r>
            </w:hyperlink>
            <w:r w:rsidRPr="00B26E5B">
              <w:rPr>
                <w:rFonts w:cstheme="minorHAnsi"/>
                <w:i/>
                <w:iCs/>
                <w:spacing w:val="4"/>
                <w:szCs w:val="24"/>
                <w:lang w:val="en-US"/>
              </w:rPr>
              <w:t xml:space="preserve">, </w:t>
            </w:r>
            <w:hyperlink r:id="rId27" w:history="1">
              <w:r w:rsidRPr="00B26E5B">
                <w:rPr>
                  <w:rStyle w:val="Hyperlink"/>
                  <w:rFonts w:cstheme="minorHAnsi"/>
                  <w:i/>
                  <w:iCs/>
                  <w:spacing w:val="4"/>
                  <w:szCs w:val="24"/>
                  <w:lang w:val="en-US"/>
                </w:rPr>
                <w:t>69</w:t>
              </w:r>
            </w:hyperlink>
            <w:r w:rsidRPr="00B26E5B">
              <w:rPr>
                <w:rFonts w:cstheme="minorHAnsi"/>
                <w:i/>
                <w:iCs/>
                <w:spacing w:val="4"/>
                <w:szCs w:val="24"/>
                <w:lang w:val="en-US"/>
              </w:rPr>
              <w:t xml:space="preserve">, </w:t>
            </w:r>
            <w:hyperlink r:id="rId28" w:history="1">
              <w:r w:rsidRPr="00B26E5B">
                <w:rPr>
                  <w:rStyle w:val="Hyperlink"/>
                  <w:rFonts w:cstheme="minorHAnsi"/>
                  <w:i/>
                  <w:iCs/>
                  <w:spacing w:val="4"/>
                  <w:szCs w:val="24"/>
                  <w:lang w:val="en-US"/>
                </w:rPr>
                <w:t>75</w:t>
              </w:r>
            </w:hyperlink>
            <w:r w:rsidRPr="00B26E5B">
              <w:rPr>
                <w:rStyle w:val="Hyperlink"/>
                <w:rFonts w:cstheme="minorHAnsi"/>
                <w:i/>
                <w:iCs/>
                <w:spacing w:val="4"/>
                <w:szCs w:val="24"/>
                <w:lang w:val="en-US"/>
              </w:rPr>
              <w:t xml:space="preserve"> </w:t>
            </w:r>
            <w:r w:rsidRPr="00B26E5B">
              <w:rPr>
                <w:rFonts w:cstheme="minorHAnsi"/>
                <w:i/>
                <w:iCs/>
                <w:spacing w:val="4"/>
                <w:szCs w:val="24"/>
                <w:lang w:val="en-US"/>
              </w:rPr>
              <w:t xml:space="preserve">(Rev. </w:t>
            </w:r>
            <w:proofErr w:type="spellStart"/>
            <w:r w:rsidRPr="00B26E5B">
              <w:rPr>
                <w:rFonts w:cstheme="minorHAnsi"/>
                <w:i/>
                <w:iCs/>
                <w:spacing w:val="4"/>
                <w:szCs w:val="24"/>
                <w:lang w:val="en-US"/>
              </w:rPr>
              <w:t>Hammamet</w:t>
            </w:r>
            <w:proofErr w:type="spellEnd"/>
            <w:r w:rsidRPr="00B26E5B">
              <w:rPr>
                <w:rFonts w:cstheme="minorHAnsi"/>
                <w:i/>
                <w:iCs/>
                <w:spacing w:val="4"/>
                <w:szCs w:val="24"/>
                <w:lang w:val="en-US"/>
              </w:rPr>
              <w:t xml:space="preserve">, 2016), </w:t>
            </w:r>
            <w:hyperlink r:id="rId29" w:history="1">
              <w:r w:rsidRPr="00B26E5B">
                <w:rPr>
                  <w:rStyle w:val="Hyperlink"/>
                  <w:rFonts w:cstheme="minorHAnsi"/>
                  <w:i/>
                  <w:iCs/>
                  <w:spacing w:val="4"/>
                  <w:szCs w:val="24"/>
                  <w:lang w:val="en-US"/>
                </w:rPr>
                <w:t>98</w:t>
              </w:r>
            </w:hyperlink>
            <w:r w:rsidRPr="00B26E5B">
              <w:rPr>
                <w:rFonts w:cstheme="minorHAnsi"/>
                <w:i/>
                <w:iCs/>
                <w:spacing w:val="4"/>
                <w:szCs w:val="24"/>
                <w:lang w:val="en-US"/>
              </w:rPr>
              <w:t xml:space="preserve"> (</w:t>
            </w:r>
            <w:proofErr w:type="spellStart"/>
            <w:r w:rsidRPr="00B26E5B">
              <w:rPr>
                <w:rFonts w:cstheme="minorHAnsi"/>
                <w:i/>
                <w:iCs/>
                <w:spacing w:val="4"/>
                <w:szCs w:val="24"/>
                <w:lang w:val="en-US"/>
              </w:rPr>
              <w:t>Hammamet</w:t>
            </w:r>
            <w:proofErr w:type="spellEnd"/>
            <w:r w:rsidRPr="00B26E5B">
              <w:rPr>
                <w:rFonts w:cstheme="minorHAnsi"/>
                <w:i/>
                <w:iCs/>
                <w:spacing w:val="4"/>
                <w:szCs w:val="24"/>
                <w:lang w:val="en-US"/>
              </w:rPr>
              <w:t xml:space="preserve">, </w:t>
            </w:r>
            <w:r w:rsidR="00D5279E" w:rsidRPr="00B26E5B">
              <w:rPr>
                <w:rFonts w:cstheme="minorHAnsi"/>
                <w:i/>
                <w:iCs/>
                <w:spacing w:val="4"/>
                <w:szCs w:val="24"/>
                <w:lang w:val="en-US"/>
              </w:rPr>
              <w:t>2</w:t>
            </w:r>
            <w:r w:rsidRPr="00B26E5B">
              <w:rPr>
                <w:rFonts w:cstheme="minorHAnsi"/>
                <w:i/>
                <w:iCs/>
                <w:spacing w:val="4"/>
                <w:szCs w:val="24"/>
                <w:lang w:val="en-US"/>
              </w:rPr>
              <w:t>016);</w:t>
            </w:r>
            <w:r w:rsidR="00D5279E" w:rsidRPr="00B26E5B">
              <w:rPr>
                <w:rFonts w:cstheme="minorHAnsi"/>
                <w:i/>
                <w:iCs/>
                <w:spacing w:val="4"/>
                <w:szCs w:val="24"/>
                <w:lang w:val="en-US"/>
              </w:rPr>
              <w:t xml:space="preserve"> </w:t>
            </w:r>
            <w:hyperlink r:id="rId30" w:history="1">
              <w:r w:rsidR="00835B90" w:rsidRPr="00B26E5B">
                <w:rPr>
                  <w:rStyle w:val="Hyperlink"/>
                  <w:i/>
                  <w:iCs/>
                  <w:lang w:val="en-US"/>
                </w:rPr>
                <w:t>WTDC</w:t>
              </w:r>
              <w:r w:rsidR="00053D61" w:rsidRPr="00B26E5B">
                <w:rPr>
                  <w:rStyle w:val="Hyperlink"/>
                  <w:i/>
                  <w:iCs/>
                  <w:lang w:val="en-US"/>
                </w:rPr>
                <w:t>-</w:t>
              </w:r>
              <w:r w:rsidR="00835B90" w:rsidRPr="00B26E5B">
                <w:rPr>
                  <w:rStyle w:val="Hyperlink"/>
                  <w:i/>
                  <w:iCs/>
                  <w:lang w:val="en-US"/>
                </w:rPr>
                <w:t xml:space="preserve">17/Buenos </w:t>
              </w:r>
              <w:proofErr w:type="spellStart"/>
              <w:r w:rsidR="00835B90" w:rsidRPr="00B26E5B">
                <w:rPr>
                  <w:rStyle w:val="Hyperlink"/>
                  <w:i/>
                  <w:iCs/>
                  <w:lang w:val="en-US"/>
                </w:rPr>
                <w:t>Aire</w:t>
              </w:r>
              <w:proofErr w:type="spellEnd"/>
              <w:r w:rsidR="00835B90" w:rsidRPr="00B26E5B">
                <w:rPr>
                  <w:rStyle w:val="Hyperlink"/>
                  <w:i/>
                  <w:iCs/>
                </w:rPr>
                <w:t>s Action Plan Objective 3/Out</w:t>
              </w:r>
              <w:r w:rsidR="00A70918" w:rsidRPr="00B26E5B">
                <w:rPr>
                  <w:rStyle w:val="Hyperlink"/>
                  <w:i/>
                  <w:iCs/>
                </w:rPr>
                <w:t>put</w:t>
              </w:r>
              <w:r w:rsidR="00835B90" w:rsidRPr="00B26E5B">
                <w:rPr>
                  <w:rStyle w:val="Hyperlink"/>
                  <w:i/>
                  <w:iCs/>
                </w:rPr>
                <w:t xml:space="preserve"> 3.3</w:t>
              </w:r>
            </w:hyperlink>
            <w:r w:rsidR="00EF2C9C" w:rsidRPr="00B26E5B">
              <w:rPr>
                <w:lang w:val="en-US"/>
              </w:rPr>
              <w:t xml:space="preserve"> </w:t>
            </w:r>
            <w:r w:rsidRPr="00B26E5B">
              <w:rPr>
                <w:rStyle w:val="apple-style-span"/>
                <w:rFonts w:eastAsiaTheme="majorEastAsia" w:cstheme="minorHAnsi"/>
                <w:i/>
                <w:iCs/>
                <w:color w:val="000000"/>
                <w:spacing w:val="-2"/>
                <w:szCs w:val="24"/>
                <w:lang w:val="en-US"/>
              </w:rPr>
              <w:t xml:space="preserve">, WTDC </w:t>
            </w:r>
            <w:r w:rsidRPr="00B26E5B">
              <w:rPr>
                <w:rFonts w:eastAsiaTheme="majorEastAsia" w:cstheme="minorHAnsi"/>
                <w:i/>
                <w:iCs/>
                <w:spacing w:val="-2"/>
                <w:szCs w:val="24"/>
                <w:lang w:val="en-US"/>
              </w:rPr>
              <w:t xml:space="preserve">Resolutions </w:t>
            </w:r>
            <w:hyperlink r:id="rId31" w:history="1">
              <w:r w:rsidRPr="00B26E5B">
                <w:rPr>
                  <w:rStyle w:val="Hyperlink"/>
                  <w:rFonts w:cstheme="minorHAnsi"/>
                  <w:i/>
                  <w:iCs/>
                  <w:spacing w:val="-2"/>
                  <w:szCs w:val="24"/>
                  <w:lang w:val="en-US"/>
                </w:rPr>
                <w:t>20</w:t>
              </w:r>
              <w:r w:rsidR="00C15598" w:rsidRPr="00B26E5B">
                <w:rPr>
                  <w:rStyle w:val="Hyperlink"/>
                  <w:rFonts w:cstheme="minorHAnsi"/>
                  <w:i/>
                  <w:iCs/>
                  <w:spacing w:val="-2"/>
                  <w:szCs w:val="24"/>
                  <w:lang w:val="en-US"/>
                </w:rPr>
                <w:t>, 30</w:t>
              </w:r>
              <w:r w:rsidRPr="00B26E5B">
                <w:rPr>
                  <w:rStyle w:val="Hyperlink"/>
                  <w:rFonts w:cstheme="minorHAnsi"/>
                  <w:i/>
                  <w:iCs/>
                  <w:spacing w:val="-2"/>
                  <w:szCs w:val="24"/>
                  <w:lang w:val="en-US"/>
                </w:rPr>
                <w:t xml:space="preserve"> </w:t>
              </w:r>
              <w:r w:rsidR="00835B90" w:rsidRPr="00B26E5B">
                <w:rPr>
                  <w:rStyle w:val="Hyperlink"/>
                  <w:rFonts w:cstheme="minorHAnsi"/>
                  <w:i/>
                  <w:iCs/>
                  <w:spacing w:val="-2"/>
                  <w:szCs w:val="24"/>
                  <w:lang w:val="en-US"/>
                </w:rPr>
                <w:t xml:space="preserve">, 63 </w:t>
              </w:r>
              <w:r w:rsidRPr="00B26E5B">
                <w:rPr>
                  <w:rStyle w:val="Hyperlink"/>
                  <w:rFonts w:cstheme="minorHAnsi"/>
                  <w:i/>
                  <w:iCs/>
                  <w:spacing w:val="-2"/>
                  <w:szCs w:val="24"/>
                  <w:lang w:val="en-US"/>
                </w:rPr>
                <w:t xml:space="preserve">(Rev. </w:t>
              </w:r>
              <w:r w:rsidR="00C15598" w:rsidRPr="00B26E5B">
                <w:rPr>
                  <w:rStyle w:val="Hyperlink"/>
                  <w:rFonts w:cstheme="minorHAnsi"/>
                  <w:i/>
                  <w:iCs/>
                  <w:spacing w:val="-2"/>
                  <w:szCs w:val="24"/>
                  <w:lang w:val="en-US"/>
                </w:rPr>
                <w:t>Buenos Aires</w:t>
              </w:r>
              <w:r w:rsidRPr="00B26E5B">
                <w:rPr>
                  <w:rStyle w:val="Hyperlink"/>
                  <w:rFonts w:cstheme="minorHAnsi"/>
                  <w:i/>
                  <w:iCs/>
                  <w:spacing w:val="-2"/>
                  <w:szCs w:val="24"/>
                  <w:lang w:val="en-US"/>
                </w:rPr>
                <w:t>, 201</w:t>
              </w:r>
              <w:r w:rsidR="00C15598" w:rsidRPr="00B26E5B">
                <w:rPr>
                  <w:rStyle w:val="Hyperlink"/>
                  <w:rFonts w:cstheme="minorHAnsi"/>
                  <w:i/>
                  <w:iCs/>
                  <w:spacing w:val="-2"/>
                  <w:szCs w:val="24"/>
                  <w:lang w:val="en-US"/>
                </w:rPr>
                <w:t>7</w:t>
              </w:r>
            </w:hyperlink>
            <w:r w:rsidRPr="00B26E5B">
              <w:rPr>
                <w:rStyle w:val="Hyperlink"/>
                <w:rFonts w:cstheme="minorHAnsi"/>
                <w:i/>
                <w:iCs/>
                <w:spacing w:val="-2"/>
                <w:szCs w:val="24"/>
                <w:lang w:val="en-US"/>
              </w:rPr>
              <w:t>)</w:t>
            </w:r>
            <w:r w:rsidRPr="00B26E5B">
              <w:rPr>
                <w:rFonts w:cstheme="minorHAnsi"/>
                <w:i/>
                <w:iCs/>
                <w:spacing w:val="-2"/>
                <w:szCs w:val="24"/>
                <w:lang w:val="en-US"/>
              </w:rPr>
              <w:t xml:space="preserve">, </w:t>
            </w:r>
            <w:r w:rsidR="00835B90" w:rsidRPr="00B26E5B">
              <w:rPr>
                <w:rFonts w:cstheme="minorHAnsi"/>
                <w:i/>
                <w:iCs/>
                <w:spacing w:val="-2"/>
                <w:szCs w:val="24"/>
                <w:lang w:val="en-US"/>
              </w:rPr>
              <w:t xml:space="preserve">and </w:t>
            </w:r>
            <w:hyperlink r:id="rId32" w:history="1">
              <w:r w:rsidRPr="00B26E5B">
                <w:rPr>
                  <w:rStyle w:val="Hyperlink"/>
                  <w:rFonts w:cstheme="minorHAnsi"/>
                  <w:i/>
                  <w:iCs/>
                  <w:spacing w:val="-2"/>
                  <w:szCs w:val="24"/>
                  <w:lang w:val="en-US"/>
                </w:rPr>
                <w:t>45</w:t>
              </w:r>
            </w:hyperlink>
            <w:r w:rsidRPr="00B26E5B">
              <w:rPr>
                <w:rStyle w:val="Hyperlink"/>
                <w:rFonts w:cstheme="minorHAnsi"/>
                <w:color w:val="auto"/>
                <w:spacing w:val="-2"/>
                <w:szCs w:val="24"/>
                <w:u w:val="none"/>
                <w:lang w:val="en-US"/>
              </w:rPr>
              <w:t> </w:t>
            </w:r>
            <w:r w:rsidRPr="00B26E5B">
              <w:rPr>
                <w:rStyle w:val="apple-style-span"/>
                <w:rFonts w:eastAsiaTheme="majorEastAsia" w:cstheme="minorHAnsi"/>
                <w:i/>
                <w:iCs/>
                <w:color w:val="000000"/>
                <w:spacing w:val="-2"/>
                <w:szCs w:val="24"/>
                <w:lang w:val="en-US"/>
              </w:rPr>
              <w:t xml:space="preserve"> (Rev. Dubai, 2014); </w:t>
            </w:r>
            <w:r w:rsidRPr="00B26E5B">
              <w:rPr>
                <w:rFonts w:cstheme="minorHAnsi"/>
                <w:i/>
                <w:iCs/>
                <w:szCs w:val="24"/>
                <w:lang w:val="en-US"/>
              </w:rPr>
              <w:t xml:space="preserve">Council Documents </w:t>
            </w:r>
            <w:hyperlink r:id="rId33" w:history="1">
              <w:r w:rsidRPr="00B26E5B">
                <w:rPr>
                  <w:rStyle w:val="Hyperlink"/>
                  <w:rFonts w:cstheme="minorHAnsi"/>
                  <w:i/>
                  <w:iCs/>
                  <w:szCs w:val="24"/>
                  <w:lang w:val="en-US"/>
                </w:rPr>
                <w:t>C14/40</w:t>
              </w:r>
            </w:hyperlink>
            <w:r w:rsidRPr="00B26E5B">
              <w:rPr>
                <w:rStyle w:val="Hyperlink"/>
                <w:rFonts w:cstheme="minorHAnsi"/>
                <w:i/>
                <w:iCs/>
                <w:color w:val="auto"/>
                <w:szCs w:val="24"/>
                <w:u w:val="none"/>
                <w:lang w:val="en-US"/>
              </w:rPr>
              <w:t xml:space="preserve">, </w:t>
            </w:r>
            <w:hyperlink r:id="rId34" w:history="1">
              <w:r w:rsidRPr="00B26E5B">
                <w:rPr>
                  <w:rStyle w:val="Hyperlink"/>
                  <w:rFonts w:cstheme="minorHAnsi"/>
                  <w:i/>
                  <w:iCs/>
                  <w:szCs w:val="24"/>
                  <w:lang w:val="en-US"/>
                </w:rPr>
                <w:t>C15/33</w:t>
              </w:r>
            </w:hyperlink>
            <w:r w:rsidRPr="00B26E5B">
              <w:rPr>
                <w:rStyle w:val="Hyperlink"/>
                <w:rFonts w:cstheme="minorHAnsi"/>
                <w:i/>
                <w:iCs/>
                <w:color w:val="auto"/>
                <w:szCs w:val="24"/>
                <w:u w:val="none"/>
                <w:lang w:val="en-US"/>
              </w:rPr>
              <w:t>,</w:t>
            </w:r>
            <w:r w:rsidR="00642A51" w:rsidRPr="00B26E5B">
              <w:rPr>
                <w:rStyle w:val="Hyperlink"/>
                <w:rFonts w:cstheme="minorHAnsi"/>
                <w:i/>
                <w:iCs/>
                <w:color w:val="auto"/>
                <w:szCs w:val="24"/>
                <w:u w:val="none"/>
                <w:lang w:val="en-US"/>
              </w:rPr>
              <w:t xml:space="preserve"> </w:t>
            </w:r>
            <w:hyperlink r:id="rId35" w:history="1">
              <w:r w:rsidRPr="00B26E5B">
                <w:rPr>
                  <w:rStyle w:val="Hyperlink"/>
                  <w:rFonts w:cstheme="minorHAnsi"/>
                  <w:i/>
                  <w:iCs/>
                  <w:szCs w:val="24"/>
                  <w:lang w:val="en-US"/>
                </w:rPr>
                <w:t>C16/33</w:t>
              </w:r>
            </w:hyperlink>
            <w:r w:rsidR="00F37731" w:rsidRPr="00B26E5B">
              <w:rPr>
                <w:rStyle w:val="Hyperlink"/>
                <w:rFonts w:cstheme="minorHAnsi"/>
                <w:i/>
                <w:iCs/>
                <w:szCs w:val="24"/>
                <w:u w:val="none"/>
                <w:lang w:val="en-US"/>
              </w:rPr>
              <w:t xml:space="preserve">, </w:t>
            </w:r>
            <w:hyperlink r:id="rId36" w:history="1">
              <w:r w:rsidR="00F37731" w:rsidRPr="00B26E5B">
                <w:rPr>
                  <w:rStyle w:val="Hyperlink"/>
                  <w:rFonts w:cstheme="minorHAnsi"/>
                  <w:i/>
                  <w:iCs/>
                  <w:szCs w:val="24"/>
                  <w:lang w:val="en-US"/>
                </w:rPr>
                <w:t>C17/</w:t>
              </w:r>
              <w:r w:rsidR="002D4FAA" w:rsidRPr="00B26E5B">
                <w:rPr>
                  <w:rStyle w:val="Hyperlink"/>
                  <w:rFonts w:cstheme="minorHAnsi"/>
                  <w:i/>
                  <w:iCs/>
                  <w:szCs w:val="24"/>
                  <w:lang w:val="en-US"/>
                </w:rPr>
                <w:t>33</w:t>
              </w:r>
            </w:hyperlink>
            <w:r w:rsidR="00B70213" w:rsidRPr="00B26E5B">
              <w:rPr>
                <w:rStyle w:val="Hyperlink"/>
                <w:rFonts w:cstheme="minorHAnsi"/>
                <w:i/>
                <w:iCs/>
                <w:szCs w:val="24"/>
                <w:lang w:val="en-US"/>
              </w:rPr>
              <w:t>,</w:t>
            </w:r>
            <w:hyperlink r:id="rId37" w:history="1">
              <w:r w:rsidR="00B70213" w:rsidRPr="00B26E5B">
                <w:rPr>
                  <w:rStyle w:val="Hyperlink"/>
                  <w:rFonts w:cstheme="minorHAnsi"/>
                  <w:i/>
                  <w:iCs/>
                  <w:szCs w:val="24"/>
                  <w:lang w:val="en-US"/>
                </w:rPr>
                <w:t xml:space="preserve"> C18/33</w:t>
              </w:r>
            </w:hyperlink>
            <w:r w:rsidRPr="00B26E5B">
              <w:rPr>
                <w:rStyle w:val="Hyperlink"/>
                <w:rFonts w:cstheme="minorHAnsi"/>
                <w:i/>
                <w:iCs/>
                <w:color w:val="auto"/>
                <w:szCs w:val="24"/>
                <w:u w:val="none"/>
                <w:lang w:val="en-US"/>
              </w:rPr>
              <w:t>.</w:t>
            </w:r>
          </w:p>
        </w:tc>
        <w:bookmarkStart w:id="5" w:name="_GoBack"/>
        <w:bookmarkEnd w:id="5"/>
      </w:tr>
    </w:tbl>
    <w:p w14:paraId="4D12FB13" w14:textId="77777777" w:rsidR="00516220" w:rsidRPr="00B26E5B" w:rsidRDefault="002E2753" w:rsidP="008E22C0">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lang w:val="en-US"/>
        </w:rPr>
      </w:pPr>
      <w:bookmarkStart w:id="6" w:name="dstart"/>
      <w:bookmarkStart w:id="7" w:name="dbreak"/>
      <w:bookmarkEnd w:id="6"/>
      <w:bookmarkEnd w:id="7"/>
      <w:r w:rsidRPr="00B26E5B">
        <w:rPr>
          <w:rFonts w:asciiTheme="minorHAnsi" w:hAnsiTheme="minorHAnsi" w:cstheme="minorHAnsi"/>
          <w:sz w:val="24"/>
          <w:szCs w:val="24"/>
          <w:lang w:val="en-US"/>
        </w:rPr>
        <w:t>1.</w:t>
      </w:r>
      <w:r w:rsidRPr="00B26E5B">
        <w:rPr>
          <w:rFonts w:asciiTheme="minorHAnsi" w:hAnsiTheme="minorHAnsi" w:cstheme="minorHAnsi"/>
          <w:sz w:val="24"/>
          <w:szCs w:val="24"/>
          <w:lang w:val="en-US"/>
        </w:rPr>
        <w:tab/>
        <w:t>Introduction</w:t>
      </w:r>
    </w:p>
    <w:p w14:paraId="6C36E350" w14:textId="77777777" w:rsidR="002E2753" w:rsidRPr="00B26E5B" w:rsidRDefault="002E2753" w:rsidP="00B7021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szCs w:val="24"/>
          <w:lang w:val="en-US"/>
        </w:rPr>
        <w:t>This report describes ITU</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 xml:space="preserve">s </w:t>
      </w:r>
      <w:bookmarkStart w:id="8" w:name="_Hlt239152104"/>
      <w:bookmarkStart w:id="9" w:name="_Hlt239152105"/>
      <w:r w:rsidRPr="00B26E5B">
        <w:rPr>
          <w:rFonts w:asciiTheme="minorHAnsi" w:hAnsiTheme="minorHAnsi" w:cstheme="minorHAnsi"/>
          <w:szCs w:val="24"/>
          <w:lang w:val="en-US"/>
        </w:rPr>
        <w:t>a</w:t>
      </w:r>
      <w:bookmarkStart w:id="10" w:name="_Hlt239151886"/>
      <w:bookmarkStart w:id="11" w:name="_Hlt239151887"/>
      <w:bookmarkStart w:id="12" w:name="_Hlt239152106"/>
      <w:bookmarkStart w:id="13" w:name="_Hlt239152114"/>
      <w:bookmarkEnd w:id="8"/>
      <w:bookmarkEnd w:id="9"/>
      <w:r w:rsidRPr="00B26E5B">
        <w:rPr>
          <w:rFonts w:asciiTheme="minorHAnsi" w:hAnsiTheme="minorHAnsi" w:cstheme="minorHAnsi"/>
          <w:szCs w:val="24"/>
          <w:lang w:val="en-US"/>
        </w:rPr>
        <w:t>c</w:t>
      </w:r>
      <w:bookmarkEnd w:id="10"/>
      <w:bookmarkEnd w:id="11"/>
      <w:bookmarkEnd w:id="12"/>
      <w:bookmarkEnd w:id="13"/>
      <w:r w:rsidRPr="00B26E5B">
        <w:rPr>
          <w:rFonts w:asciiTheme="minorHAnsi" w:hAnsiTheme="minorHAnsi" w:cstheme="minorHAnsi"/>
          <w:szCs w:val="24"/>
          <w:lang w:val="en-US"/>
        </w:rPr>
        <w:t>tiv</w:t>
      </w:r>
      <w:bookmarkStart w:id="14" w:name="_Hlt239153440"/>
      <w:bookmarkStart w:id="15" w:name="_Hlt239153441"/>
      <w:r w:rsidRPr="00B26E5B">
        <w:rPr>
          <w:rFonts w:asciiTheme="minorHAnsi" w:hAnsiTheme="minorHAnsi" w:cstheme="minorHAnsi"/>
          <w:szCs w:val="24"/>
          <w:lang w:val="en-US"/>
        </w:rPr>
        <w:t>i</w:t>
      </w:r>
      <w:bookmarkEnd w:id="14"/>
      <w:bookmarkEnd w:id="15"/>
      <w:r w:rsidRPr="00B26E5B">
        <w:rPr>
          <w:rFonts w:asciiTheme="minorHAnsi" w:hAnsiTheme="minorHAnsi" w:cstheme="minorHAnsi"/>
          <w:szCs w:val="24"/>
          <w:lang w:val="en-US"/>
        </w:rPr>
        <w:t>ties related to the Plenipotentiary Conference Resolutions 101, 102, 133, and 180</w:t>
      </w:r>
      <w:r w:rsidR="004E089C" w:rsidRPr="00B26E5B">
        <w:rPr>
          <w:rFonts w:asciiTheme="minorHAnsi" w:hAnsiTheme="minorHAnsi" w:cstheme="minorHAnsi"/>
          <w:szCs w:val="24"/>
          <w:lang w:val="en-US"/>
        </w:rPr>
        <w:t xml:space="preserve"> </w:t>
      </w:r>
      <w:r w:rsidR="007E6947" w:rsidRPr="00B26E5B">
        <w:rPr>
          <w:rFonts w:asciiTheme="minorHAnsi" w:hAnsiTheme="minorHAnsi" w:cstheme="minorHAnsi"/>
          <w:szCs w:val="24"/>
          <w:lang w:val="en-US"/>
        </w:rPr>
        <w:t>for the reporting period from Council 201</w:t>
      </w:r>
      <w:r w:rsidR="00B70213" w:rsidRPr="00B26E5B">
        <w:rPr>
          <w:rFonts w:asciiTheme="minorHAnsi" w:hAnsiTheme="minorHAnsi" w:cstheme="minorHAnsi"/>
          <w:szCs w:val="24"/>
          <w:lang w:val="en-US"/>
        </w:rPr>
        <w:t>8</w:t>
      </w:r>
      <w:r w:rsidR="007E6947" w:rsidRPr="00B26E5B">
        <w:rPr>
          <w:rFonts w:asciiTheme="minorHAnsi" w:hAnsiTheme="minorHAnsi" w:cstheme="minorHAnsi"/>
          <w:szCs w:val="24"/>
          <w:lang w:val="en-US"/>
        </w:rPr>
        <w:t xml:space="preserve"> till date</w:t>
      </w:r>
      <w:r w:rsidR="00E27781" w:rsidRPr="00B26E5B">
        <w:rPr>
          <w:rFonts w:asciiTheme="minorHAnsi" w:hAnsiTheme="minorHAnsi" w:cstheme="minorHAnsi"/>
          <w:szCs w:val="24"/>
          <w:lang w:val="en-US"/>
        </w:rPr>
        <w:t>.</w:t>
      </w:r>
    </w:p>
    <w:p w14:paraId="253D334D" w14:textId="2EA4DC48" w:rsidR="00117C98" w:rsidRPr="00B26E5B" w:rsidRDefault="002B1749" w:rsidP="00512971">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szCs w:val="24"/>
          <w:lang w:val="en-US"/>
        </w:rPr>
        <w:t>1.1</w:t>
      </w:r>
      <w:r w:rsidRPr="00B26E5B">
        <w:rPr>
          <w:rFonts w:asciiTheme="minorHAnsi" w:hAnsiTheme="minorHAnsi" w:cstheme="minorHAnsi"/>
          <w:szCs w:val="24"/>
          <w:lang w:val="en-US"/>
        </w:rPr>
        <w:tab/>
      </w:r>
      <w:r w:rsidR="00117C98" w:rsidRPr="00B26E5B">
        <w:rPr>
          <w:rFonts w:asciiTheme="minorHAnsi" w:hAnsiTheme="minorHAnsi" w:cstheme="minorHAnsi"/>
          <w:szCs w:val="24"/>
          <w:lang w:val="en-US"/>
        </w:rPr>
        <w:t>The 2018 ITU Plenipotentiary Conference, held recently from 29 October – 16 November 2018 in Dubai, UAE, revised its Resolutions 101, 102, 133 and 180.</w:t>
      </w:r>
      <w:r w:rsidRPr="00B26E5B">
        <w:rPr>
          <w:rFonts w:asciiTheme="minorHAnsi" w:hAnsiTheme="minorHAnsi" w:cstheme="minorHAnsi"/>
          <w:szCs w:val="24"/>
          <w:lang w:val="en-US"/>
        </w:rPr>
        <w:t xml:space="preserve"> The effort included more than 80 hours of discussions in the Internet </w:t>
      </w:r>
      <w:proofErr w:type="spellStart"/>
      <w:r w:rsidRPr="00B26E5B">
        <w:rPr>
          <w:rFonts w:asciiTheme="minorHAnsi" w:hAnsiTheme="minorHAnsi" w:cstheme="minorHAnsi"/>
          <w:szCs w:val="24"/>
          <w:lang w:val="en-US"/>
        </w:rPr>
        <w:t>adhoc</w:t>
      </w:r>
      <w:proofErr w:type="spellEnd"/>
      <w:r w:rsidRPr="00B26E5B">
        <w:rPr>
          <w:rFonts w:asciiTheme="minorHAnsi" w:hAnsiTheme="minorHAnsi" w:cstheme="minorHAnsi"/>
          <w:szCs w:val="24"/>
          <w:lang w:val="en-US"/>
        </w:rPr>
        <w:t xml:space="preserve"> group and plenary sessions, not counting the </w:t>
      </w:r>
      <w:r w:rsidR="00512971" w:rsidRPr="00B26E5B">
        <w:rPr>
          <w:rFonts w:asciiTheme="minorHAnsi" w:hAnsiTheme="minorHAnsi" w:cstheme="minorHAnsi"/>
          <w:szCs w:val="24"/>
          <w:lang w:val="en-US"/>
        </w:rPr>
        <w:t>numerous</w:t>
      </w:r>
      <w:r w:rsidRPr="00B26E5B">
        <w:rPr>
          <w:rFonts w:asciiTheme="minorHAnsi" w:hAnsiTheme="minorHAnsi" w:cstheme="minorHAnsi"/>
          <w:szCs w:val="24"/>
          <w:lang w:val="en-US"/>
        </w:rPr>
        <w:t xml:space="preserve"> </w:t>
      </w:r>
      <w:proofErr w:type="gramStart"/>
      <w:r w:rsidRPr="00B26E5B">
        <w:rPr>
          <w:rFonts w:asciiTheme="minorHAnsi" w:hAnsiTheme="minorHAnsi" w:cstheme="minorHAnsi"/>
          <w:szCs w:val="24"/>
          <w:lang w:val="en-US"/>
        </w:rPr>
        <w:t>informal</w:t>
      </w:r>
      <w:proofErr w:type="gramEnd"/>
      <w:r w:rsidRPr="00B26E5B">
        <w:rPr>
          <w:rFonts w:asciiTheme="minorHAnsi" w:hAnsiTheme="minorHAnsi" w:cstheme="minorHAnsi"/>
          <w:szCs w:val="24"/>
          <w:lang w:val="en-US"/>
        </w:rPr>
        <w:t xml:space="preserve"> discussions. </w:t>
      </w:r>
      <w:r w:rsidR="00117C98" w:rsidRPr="00B26E5B">
        <w:rPr>
          <w:rFonts w:asciiTheme="minorHAnsi" w:hAnsiTheme="minorHAnsi" w:cstheme="minorHAnsi"/>
          <w:szCs w:val="24"/>
          <w:lang w:val="en-US"/>
        </w:rPr>
        <w:t xml:space="preserve"> </w:t>
      </w:r>
    </w:p>
    <w:p w14:paraId="37E5CFB0" w14:textId="77777777" w:rsidR="00117C98" w:rsidRPr="00B26E5B" w:rsidRDefault="00117C98" w:rsidP="00B7021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p>
    <w:p w14:paraId="10BB64FC" w14:textId="77777777" w:rsidR="002E2753" w:rsidRPr="00B26E5B" w:rsidRDefault="002E2753" w:rsidP="00AA6A64">
      <w:pPr>
        <w:pStyle w:val="Heading1"/>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4"/>
          <w:szCs w:val="24"/>
          <w:lang w:val="en-US"/>
        </w:rPr>
      </w:pPr>
      <w:r w:rsidRPr="00B26E5B">
        <w:rPr>
          <w:rFonts w:asciiTheme="minorHAnsi" w:hAnsiTheme="minorHAnsi" w:cstheme="minorHAnsi"/>
          <w:sz w:val="24"/>
          <w:szCs w:val="24"/>
          <w:lang w:val="en-US"/>
        </w:rPr>
        <w:lastRenderedPageBreak/>
        <w:t>2.</w:t>
      </w:r>
      <w:r w:rsidRPr="00B26E5B">
        <w:rPr>
          <w:rFonts w:asciiTheme="minorHAnsi" w:hAnsiTheme="minorHAnsi" w:cstheme="minorHAnsi"/>
          <w:sz w:val="24"/>
          <w:szCs w:val="24"/>
          <w:lang w:val="en-US"/>
        </w:rPr>
        <w:tab/>
        <w:t>Activities related to Internet Protocol (IP) networks, the development of next-generation networks (NGN) and future Internet, including policy and regulatory challenges</w:t>
      </w:r>
    </w:p>
    <w:p w14:paraId="001DC0D6" w14:textId="77777777" w:rsidR="00F13AC1" w:rsidRPr="00B26E5B" w:rsidRDefault="00F13AC1" w:rsidP="00AA6A6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B26E5B">
        <w:rPr>
          <w:rFonts w:asciiTheme="minorHAnsi" w:hAnsiTheme="minorHAnsi" w:cstheme="minorHAnsi"/>
          <w:bCs/>
          <w:szCs w:val="24"/>
        </w:rPr>
        <w:t>2.1</w:t>
      </w:r>
      <w:r w:rsidRPr="00B26E5B">
        <w:rPr>
          <w:rFonts w:asciiTheme="minorHAnsi" w:hAnsiTheme="minorHAnsi" w:cstheme="minorHAnsi"/>
          <w:bCs/>
          <w:szCs w:val="24"/>
        </w:rPr>
        <w:tab/>
        <w:t>All ITU-T study groups continue their work in different areas of</w:t>
      </w:r>
      <w:r w:rsidRPr="00B26E5B">
        <w:rPr>
          <w:rFonts w:asciiTheme="minorHAnsi" w:hAnsiTheme="minorHAnsi" w:cstheme="minorHAnsi"/>
          <w:bCs/>
          <w:iCs/>
          <w:szCs w:val="24"/>
        </w:rPr>
        <w:t xml:space="preserve"> Internet, IPv4/IPv6-based</w:t>
      </w:r>
      <w:r w:rsidRPr="00B26E5B">
        <w:rPr>
          <w:rFonts w:asciiTheme="minorHAnsi" w:hAnsiTheme="minorHAnsi" w:cstheme="minorHAnsi"/>
          <w:iCs/>
          <w:szCs w:val="24"/>
        </w:rPr>
        <w:t xml:space="preserve"> networks, Internet-of-things, Internet naming and addressing, </w:t>
      </w:r>
      <w:r w:rsidRPr="00B26E5B">
        <w:rPr>
          <w:rFonts w:asciiTheme="minorHAnsi" w:hAnsiTheme="minorHAnsi" w:cstheme="minorHAnsi"/>
          <w:szCs w:val="24"/>
        </w:rPr>
        <w:t xml:space="preserve">NGNs and their evolution, future network (FN), cloud computing, </w:t>
      </w:r>
      <w:proofErr w:type="spellStart"/>
      <w:r w:rsidRPr="00B26E5B">
        <w:rPr>
          <w:rFonts w:asciiTheme="minorHAnsi" w:hAnsiTheme="minorHAnsi" w:cstheme="minorHAnsi"/>
          <w:szCs w:val="24"/>
        </w:rPr>
        <w:t>QoS</w:t>
      </w:r>
      <w:proofErr w:type="spellEnd"/>
      <w:r w:rsidRPr="00B26E5B">
        <w:rPr>
          <w:rFonts w:asciiTheme="minorHAnsi" w:hAnsiTheme="minorHAnsi" w:cstheme="minorHAnsi"/>
          <w:szCs w:val="24"/>
        </w:rPr>
        <w:t>, IPTV, and IP-based applications, uncertainty of origin, and international connectivity.</w:t>
      </w:r>
    </w:p>
    <w:p w14:paraId="107B8871" w14:textId="45198A65" w:rsidR="005458AA" w:rsidRPr="00B26E5B" w:rsidRDefault="00152D7A" w:rsidP="00152D7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B26E5B">
        <w:rPr>
          <w:rFonts w:asciiTheme="minorHAnsi" w:hAnsiTheme="minorHAnsi" w:cstheme="minorHAnsi"/>
          <w:szCs w:val="24"/>
        </w:rPr>
        <w:t xml:space="preserve">Till date, </w:t>
      </w:r>
      <w:r w:rsidR="00E36C26" w:rsidRPr="00B26E5B">
        <w:rPr>
          <w:rFonts w:asciiTheme="minorHAnsi" w:hAnsiTheme="minorHAnsi" w:cstheme="minorHAnsi"/>
          <w:szCs w:val="24"/>
        </w:rPr>
        <w:t>more than</w:t>
      </w:r>
      <w:r w:rsidR="00F13AC1" w:rsidRPr="00B26E5B">
        <w:rPr>
          <w:rFonts w:asciiTheme="minorHAnsi" w:hAnsiTheme="minorHAnsi" w:cstheme="minorHAnsi"/>
          <w:szCs w:val="24"/>
        </w:rPr>
        <w:t xml:space="preserve"> </w:t>
      </w:r>
      <w:r w:rsidR="00B0187A" w:rsidRPr="00B26E5B">
        <w:rPr>
          <w:rFonts w:asciiTheme="minorHAnsi" w:hAnsiTheme="minorHAnsi" w:cstheme="minorHAnsi"/>
          <w:szCs w:val="24"/>
        </w:rPr>
        <w:t xml:space="preserve">323 </w:t>
      </w:r>
      <w:r w:rsidR="00F13AC1" w:rsidRPr="00B26E5B">
        <w:rPr>
          <w:rFonts w:asciiTheme="minorHAnsi" w:hAnsiTheme="minorHAnsi" w:cstheme="minorHAnsi"/>
          <w:szCs w:val="24"/>
        </w:rPr>
        <w:t xml:space="preserve">new/revised ITU-T Recommendations and other texts </w:t>
      </w:r>
      <w:r w:rsidR="002264F4" w:rsidRPr="00B26E5B">
        <w:rPr>
          <w:rFonts w:asciiTheme="minorHAnsi" w:hAnsiTheme="minorHAnsi" w:cstheme="minorHAnsi"/>
          <w:szCs w:val="24"/>
        </w:rPr>
        <w:t>have been approved</w:t>
      </w:r>
      <w:r w:rsidRPr="00B26E5B">
        <w:rPr>
          <w:rFonts w:asciiTheme="minorHAnsi" w:hAnsiTheme="minorHAnsi" w:cstheme="minorHAnsi"/>
          <w:szCs w:val="24"/>
        </w:rPr>
        <w:t xml:space="preserve"> </w:t>
      </w:r>
      <w:r w:rsidR="00B0187A" w:rsidRPr="00B26E5B">
        <w:rPr>
          <w:rFonts w:asciiTheme="minorHAnsi" w:hAnsiTheme="minorHAnsi" w:cstheme="minorHAnsi"/>
          <w:szCs w:val="24"/>
        </w:rPr>
        <w:t xml:space="preserve">(1 Feb - 31 Dec 2018) </w:t>
      </w:r>
      <w:r w:rsidRPr="00B26E5B">
        <w:rPr>
          <w:rFonts w:asciiTheme="minorHAnsi" w:hAnsiTheme="minorHAnsi" w:cstheme="minorHAnsi"/>
          <w:szCs w:val="24"/>
        </w:rPr>
        <w:t>since the last reporting period</w:t>
      </w:r>
      <w:r w:rsidR="00F13AC1" w:rsidRPr="00B26E5B">
        <w:rPr>
          <w:rFonts w:asciiTheme="minorHAnsi" w:hAnsiTheme="minorHAnsi" w:cstheme="minorHAnsi"/>
          <w:szCs w:val="24"/>
        </w:rPr>
        <w:t>.</w:t>
      </w:r>
      <w:r w:rsidR="00885EA3" w:rsidRPr="00B26E5B">
        <w:rPr>
          <w:rFonts w:asciiTheme="minorHAnsi" w:hAnsiTheme="minorHAnsi" w:cstheme="minorHAnsi"/>
          <w:szCs w:val="24"/>
        </w:rPr>
        <w:t xml:space="preserve"> Relevant recommendations can be found under </w:t>
      </w:r>
      <w:r w:rsidR="002264F4" w:rsidRPr="00B26E5B">
        <w:rPr>
          <w:rFonts w:asciiTheme="minorHAnsi" w:hAnsiTheme="minorHAnsi" w:cstheme="minorHAnsi"/>
          <w:szCs w:val="24"/>
        </w:rPr>
        <w:t xml:space="preserve">the different </w:t>
      </w:r>
      <w:r w:rsidR="00885EA3" w:rsidRPr="00B26E5B">
        <w:rPr>
          <w:rFonts w:asciiTheme="minorHAnsi" w:hAnsiTheme="minorHAnsi" w:cstheme="minorHAnsi"/>
          <w:szCs w:val="24"/>
        </w:rPr>
        <w:t xml:space="preserve">ITU-T </w:t>
      </w:r>
      <w:r w:rsidR="002264F4" w:rsidRPr="00B26E5B">
        <w:rPr>
          <w:rFonts w:asciiTheme="minorHAnsi" w:hAnsiTheme="minorHAnsi" w:cstheme="minorHAnsi"/>
          <w:szCs w:val="24"/>
        </w:rPr>
        <w:t xml:space="preserve">Study Groups </w:t>
      </w:r>
      <w:r w:rsidR="00EF749E" w:rsidRPr="00B26E5B">
        <w:rPr>
          <w:rFonts w:asciiTheme="minorHAnsi" w:hAnsiTheme="minorHAnsi" w:cstheme="minorHAnsi"/>
          <w:szCs w:val="24"/>
        </w:rPr>
        <w:t xml:space="preserve">(see </w:t>
      </w:r>
      <w:hyperlink r:id="rId38" w:history="1">
        <w:r w:rsidR="00EF749E" w:rsidRPr="00B26E5B">
          <w:rPr>
            <w:rStyle w:val="Hyperlink"/>
            <w:rFonts w:asciiTheme="minorHAnsi" w:hAnsiTheme="minorHAnsi" w:cstheme="minorHAnsi"/>
            <w:szCs w:val="24"/>
          </w:rPr>
          <w:t>detailed list</w:t>
        </w:r>
      </w:hyperlink>
      <w:r w:rsidR="00EF749E" w:rsidRPr="00B26E5B">
        <w:rPr>
          <w:rFonts w:asciiTheme="minorHAnsi" w:hAnsiTheme="minorHAnsi" w:cstheme="minorHAnsi"/>
          <w:szCs w:val="24"/>
        </w:rPr>
        <w:t>).</w:t>
      </w:r>
    </w:p>
    <w:p w14:paraId="4057276B" w14:textId="17D497E0" w:rsidR="00A759BB" w:rsidRPr="00B26E5B" w:rsidRDefault="00A759BB" w:rsidP="00323F9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2.2</w:t>
      </w:r>
      <w:r w:rsidRPr="00B26E5B">
        <w:rPr>
          <w:rFonts w:asciiTheme="minorHAnsi" w:hAnsiTheme="minorHAnsi" w:cstheme="minorHAnsi"/>
          <w:bCs/>
          <w:szCs w:val="24"/>
        </w:rPr>
        <w:tab/>
        <w:t xml:space="preserve">An estimated 95 per cent of international traffic runs over optical transport networks built in conformance with ITU standards. New ITU standards </w:t>
      </w:r>
      <w:r w:rsidR="00323F9B" w:rsidRPr="00B26E5B">
        <w:rPr>
          <w:rFonts w:asciiTheme="minorHAnsi" w:hAnsiTheme="minorHAnsi" w:cstheme="minorHAnsi"/>
          <w:bCs/>
          <w:szCs w:val="24"/>
        </w:rPr>
        <w:t xml:space="preserve">were approved </w:t>
      </w:r>
      <w:r w:rsidRPr="00B26E5B">
        <w:rPr>
          <w:rFonts w:asciiTheme="minorHAnsi" w:hAnsiTheme="minorHAnsi" w:cstheme="minorHAnsi"/>
          <w:bCs/>
          <w:szCs w:val="24"/>
        </w:rPr>
        <w:t xml:space="preserve">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6A9019FF" w14:textId="77777777" w:rsidR="00A759BB" w:rsidRPr="00B26E5B" w:rsidRDefault="00E307EB" w:rsidP="00A759BB">
      <w:pPr>
        <w:numPr>
          <w:ilvl w:val="0"/>
          <w:numId w:val="26"/>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39" w:history="1">
        <w:r w:rsidR="00A759BB" w:rsidRPr="00B26E5B">
          <w:rPr>
            <w:rStyle w:val="Hyperlink"/>
            <w:rFonts w:asciiTheme="minorHAnsi" w:hAnsiTheme="minorHAnsi" w:cstheme="minorHAnsi"/>
            <w:bCs/>
            <w:szCs w:val="24"/>
          </w:rPr>
          <w:t>Progress update on ITU standardization for transport, access and home</w:t>
        </w:r>
      </w:hyperlink>
    </w:p>
    <w:p w14:paraId="35423B95" w14:textId="2C685522" w:rsidR="00A759BB" w:rsidRPr="00B26E5B" w:rsidRDefault="00A759BB" w:rsidP="00323F9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2.3</w:t>
      </w:r>
      <w:r w:rsidRPr="00B26E5B">
        <w:rPr>
          <w:rFonts w:asciiTheme="minorHAnsi" w:hAnsiTheme="minorHAnsi" w:cstheme="minorHAnsi"/>
          <w:bCs/>
          <w:szCs w:val="24"/>
        </w:rPr>
        <w:tab/>
        <w:t xml:space="preserve">Video will account for over 80 per cent of all Internet traffic by 2020. This collaborative video work of IEC, ISO and ITU has been honoured with two Primetime Emmy Awards, the first in 2008 in recognition of ITU H.264 'Advanced Video Coding' and the second in 2017 in recognition of ITU H.265 'High Efficiency Video Coding'. The new Versatile Video Coding projects </w:t>
      </w:r>
      <w:r w:rsidR="00323F9B" w:rsidRPr="00B26E5B">
        <w:rPr>
          <w:rFonts w:asciiTheme="minorHAnsi" w:hAnsiTheme="minorHAnsi" w:cstheme="minorHAnsi"/>
          <w:bCs/>
          <w:szCs w:val="24"/>
        </w:rPr>
        <w:t>are</w:t>
      </w:r>
      <w:r w:rsidRPr="00B26E5B">
        <w:rPr>
          <w:rFonts w:asciiTheme="minorHAnsi" w:hAnsiTheme="minorHAnsi" w:cstheme="minorHAnsi"/>
          <w:bCs/>
          <w:szCs w:val="24"/>
        </w:rPr>
        <w:t xml:space="preserve"> reporting strong progress. </w:t>
      </w:r>
    </w:p>
    <w:p w14:paraId="48F484D7" w14:textId="77777777" w:rsidR="00A759BB" w:rsidRPr="00B26E5B" w:rsidRDefault="00E307EB" w:rsidP="00A759BB">
      <w:pPr>
        <w:numPr>
          <w:ilvl w:val="0"/>
          <w:numId w:val="2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0" w:history="1">
        <w:r w:rsidR="00A759BB" w:rsidRPr="00B26E5B">
          <w:rPr>
            <w:rStyle w:val="Hyperlink"/>
            <w:rFonts w:asciiTheme="minorHAnsi" w:hAnsiTheme="minorHAnsi" w:cstheme="minorHAnsi"/>
            <w:bCs/>
            <w:szCs w:val="24"/>
          </w:rPr>
          <w:t>Beyond HEVC: Versatile Video Coding project starts strongly</w:t>
        </w:r>
      </w:hyperlink>
      <w:r w:rsidR="00A759BB" w:rsidRPr="00B26E5B">
        <w:rPr>
          <w:rFonts w:asciiTheme="minorHAnsi" w:hAnsiTheme="minorHAnsi" w:cstheme="minorHAnsi"/>
          <w:bCs/>
          <w:szCs w:val="24"/>
        </w:rPr>
        <w:t xml:space="preserve"> </w:t>
      </w:r>
    </w:p>
    <w:p w14:paraId="67991168" w14:textId="7961F046"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2.4</w:t>
      </w:r>
      <w:r w:rsidRPr="00B26E5B">
        <w:rPr>
          <w:rFonts w:asciiTheme="minorHAnsi" w:hAnsiTheme="minorHAnsi" w:cstheme="minorHAnsi"/>
          <w:bCs/>
          <w:szCs w:val="24"/>
        </w:rPr>
        <w:tab/>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763DB2CC" w14:textId="77777777" w:rsidR="00A759BB" w:rsidRPr="00B26E5B" w:rsidRDefault="00E307EB" w:rsidP="00A759BB">
      <w:pPr>
        <w:numPr>
          <w:ilvl w:val="0"/>
          <w:numId w:val="24"/>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1" w:history="1">
        <w:r w:rsidR="00A759BB" w:rsidRPr="00B26E5B">
          <w:rPr>
            <w:rStyle w:val="Hyperlink"/>
            <w:rFonts w:asciiTheme="minorHAnsi" w:hAnsiTheme="minorHAnsi" w:cstheme="minorHAnsi"/>
            <w:bCs/>
            <w:szCs w:val="24"/>
          </w:rPr>
          <w:t>ITU-T Study Group 15 accelerates work on 5G transport</w:t>
        </w:r>
      </w:hyperlink>
    </w:p>
    <w:p w14:paraId="38012B27" w14:textId="3EB884F4"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2.5</w:t>
      </w:r>
      <w:r w:rsidRPr="00B26E5B">
        <w:rPr>
          <w:rFonts w:asciiTheme="minorHAnsi" w:hAnsiTheme="minorHAnsi" w:cstheme="minorHAnsi"/>
          <w:bCs/>
          <w:szCs w:val="24"/>
        </w:rPr>
        <w:tab/>
        <w:t>ITU-T standardization work for the Internet of Things (</w:t>
      </w:r>
      <w:proofErr w:type="spellStart"/>
      <w:r w:rsidRPr="00B26E5B">
        <w:rPr>
          <w:rFonts w:asciiTheme="minorHAnsi" w:hAnsiTheme="minorHAnsi" w:cstheme="minorHAnsi"/>
          <w:bCs/>
          <w:szCs w:val="24"/>
        </w:rPr>
        <w:t>IoT</w:t>
      </w:r>
      <w:proofErr w:type="spellEnd"/>
      <w:r w:rsidRPr="00B26E5B">
        <w:rPr>
          <w:rFonts w:asciiTheme="minorHAnsi" w:hAnsiTheme="minorHAnsi" w:cstheme="minorHAnsi"/>
          <w:bCs/>
          <w:szCs w:val="24"/>
        </w:rPr>
        <w:t xml:space="preserve">) and smart cities aims to support interoperability and efficient data processing and management. The standardization of </w:t>
      </w:r>
      <w:proofErr w:type="spellStart"/>
      <w:r w:rsidRPr="00B26E5B">
        <w:rPr>
          <w:rFonts w:asciiTheme="minorHAnsi" w:hAnsiTheme="minorHAnsi" w:cstheme="minorHAnsi"/>
          <w:bCs/>
          <w:szCs w:val="24"/>
        </w:rPr>
        <w:t>IoT</w:t>
      </w:r>
      <w:proofErr w:type="spellEnd"/>
      <w:r w:rsidRPr="00B26E5B">
        <w:rPr>
          <w:rFonts w:asciiTheme="minorHAnsi" w:hAnsiTheme="minorHAnsi" w:cstheme="minorHAnsi"/>
          <w:bCs/>
          <w:szCs w:val="24"/>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1FE15881" w14:textId="77777777" w:rsidR="00A759BB" w:rsidRPr="00B26E5B" w:rsidRDefault="00E307EB" w:rsidP="00A759BB">
      <w:pPr>
        <w:numPr>
          <w:ilvl w:val="0"/>
          <w:numId w:val="23"/>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2" w:history="1">
        <w:r w:rsidR="00A759BB" w:rsidRPr="00B26E5B">
          <w:rPr>
            <w:rStyle w:val="Hyperlink"/>
            <w:rFonts w:asciiTheme="minorHAnsi" w:hAnsiTheme="minorHAnsi" w:cstheme="minorHAnsi"/>
            <w:bCs/>
            <w:szCs w:val="24"/>
          </w:rPr>
          <w:t>New ITU case study maps the Moscow ‘smart city’ journey</w:t>
        </w:r>
      </w:hyperlink>
    </w:p>
    <w:p w14:paraId="230CFE78" w14:textId="53E82BA5"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2.6</w:t>
      </w:r>
      <w:r w:rsidRPr="00B26E5B">
        <w:rPr>
          <w:rFonts w:asciiTheme="minorHAnsi" w:hAnsiTheme="minorHAnsi" w:cstheme="minorHAnsi"/>
          <w:bCs/>
          <w:szCs w:val="24"/>
        </w:rPr>
        <w:tab/>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B26E5B">
        <w:rPr>
          <w:rFonts w:asciiTheme="minorHAnsi" w:hAnsiTheme="minorHAnsi" w:cstheme="minorHAnsi"/>
          <w:bCs/>
          <w:i/>
          <w:iCs/>
          <w:szCs w:val="24"/>
        </w:rPr>
        <w:t>Calls for Proposals</w:t>
      </w:r>
      <w:r w:rsidRPr="00B26E5B">
        <w:rPr>
          <w:rFonts w:asciiTheme="minorHAnsi" w:hAnsiTheme="minorHAnsi" w:cstheme="minorHAnsi"/>
          <w:bCs/>
          <w:szCs w:val="24"/>
        </w:rPr>
        <w:t xml:space="preserve"> will guide the Focus Group’s development of evaluation methods to assess the degree to which ‘AI for Health’ use cases have achieved Proof of Concept.</w:t>
      </w:r>
    </w:p>
    <w:p w14:paraId="448AFE83" w14:textId="77777777" w:rsidR="00A759BB" w:rsidRPr="00B26E5B" w:rsidRDefault="00E307EB" w:rsidP="00A759BB">
      <w:pPr>
        <w:numPr>
          <w:ilvl w:val="0"/>
          <w:numId w:val="2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3" w:history="1">
        <w:r w:rsidR="00A759BB" w:rsidRPr="00B26E5B">
          <w:rPr>
            <w:rStyle w:val="Hyperlink"/>
            <w:rFonts w:asciiTheme="minorHAnsi" w:hAnsiTheme="minorHAnsi" w:cstheme="minorHAnsi"/>
            <w:bCs/>
            <w:szCs w:val="24"/>
          </w:rPr>
          <w:t>Artificial Intelligence for Health: ITU and WHO call for proposals</w:t>
        </w:r>
      </w:hyperlink>
    </w:p>
    <w:p w14:paraId="2352B4EB" w14:textId="22B2A83C"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lastRenderedPageBreak/>
        <w:t>2.7</w:t>
      </w:r>
      <w:r w:rsidRPr="00B26E5B">
        <w:rPr>
          <w:rFonts w:asciiTheme="minorHAnsi" w:hAnsiTheme="minorHAnsi" w:cstheme="minorHAnsi"/>
          <w:bCs/>
          <w:szCs w:val="24"/>
        </w:rPr>
        <w:tab/>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36F3603B" w14:textId="77777777" w:rsidR="00A759BB" w:rsidRPr="00B26E5B" w:rsidRDefault="00E307EB" w:rsidP="00A759BB">
      <w:pPr>
        <w:numPr>
          <w:ilvl w:val="0"/>
          <w:numId w:val="2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4" w:history="1">
        <w:r w:rsidR="00A759BB" w:rsidRPr="00B26E5B">
          <w:rPr>
            <w:rStyle w:val="Hyperlink"/>
            <w:rFonts w:asciiTheme="minorHAnsi" w:hAnsiTheme="minorHAnsi" w:cstheme="minorHAnsi"/>
            <w:bCs/>
            <w:szCs w:val="24"/>
          </w:rPr>
          <w:t>Listen responsibly: New ITU standard to prevent audio devices from causing hearing loss</w:t>
        </w:r>
      </w:hyperlink>
    </w:p>
    <w:p w14:paraId="31BF8E80" w14:textId="11CCE444"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2.8</w:t>
      </w:r>
      <w:r w:rsidRPr="00B26E5B">
        <w:rPr>
          <w:rFonts w:asciiTheme="minorHAnsi" w:hAnsiTheme="minorHAnsi" w:cstheme="minorHAnsi"/>
          <w:bCs/>
          <w:szCs w:val="24"/>
        </w:rPr>
        <w:tab/>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14:paraId="1CCAA0E4" w14:textId="77777777" w:rsidR="00A759BB" w:rsidRPr="00B26E5B" w:rsidRDefault="00E307EB" w:rsidP="00A759BB">
      <w:pPr>
        <w:numPr>
          <w:ilvl w:val="0"/>
          <w:numId w:val="20"/>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5" w:history="1">
        <w:r w:rsidR="00A759BB" w:rsidRPr="00B26E5B">
          <w:rPr>
            <w:rStyle w:val="Hyperlink"/>
            <w:rFonts w:asciiTheme="minorHAnsi" w:hAnsiTheme="minorHAnsi" w:cstheme="minorHAnsi"/>
            <w:bCs/>
            <w:szCs w:val="24"/>
          </w:rPr>
          <w:t>Progress update on ITU standardization for e-health</w:t>
        </w:r>
      </w:hyperlink>
      <w:r w:rsidR="00A759BB" w:rsidRPr="00B26E5B">
        <w:rPr>
          <w:rFonts w:asciiTheme="minorHAnsi" w:hAnsiTheme="minorHAnsi" w:cstheme="minorHAnsi"/>
          <w:bCs/>
          <w:szCs w:val="24"/>
        </w:rPr>
        <w:t xml:space="preserve"> </w:t>
      </w:r>
    </w:p>
    <w:p w14:paraId="248AFCE2" w14:textId="4B25CBBF"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2.9</w:t>
      </w:r>
      <w:r w:rsidRPr="00B26E5B">
        <w:rPr>
          <w:rFonts w:asciiTheme="minorHAnsi" w:hAnsiTheme="minorHAnsi" w:cstheme="minorHAnsi"/>
          <w:bCs/>
          <w:szCs w:val="24"/>
        </w:rPr>
        <w:tab/>
        <w:t>ITU-T work on performance, quality of service (</w:t>
      </w:r>
      <w:proofErr w:type="spellStart"/>
      <w:r w:rsidRPr="00B26E5B">
        <w:rPr>
          <w:rFonts w:asciiTheme="minorHAnsi" w:hAnsiTheme="minorHAnsi" w:cstheme="minorHAnsi"/>
          <w:bCs/>
          <w:szCs w:val="24"/>
        </w:rPr>
        <w:t>QoS</w:t>
      </w:r>
      <w:proofErr w:type="spellEnd"/>
      <w:r w:rsidRPr="00B26E5B">
        <w:rPr>
          <w:rFonts w:asciiTheme="minorHAnsi" w:hAnsiTheme="minorHAnsi" w:cstheme="minorHAnsi"/>
          <w:bCs/>
          <w:szCs w:val="24"/>
        </w:rPr>
        <w:t>) and quality of experience (</w:t>
      </w:r>
      <w:proofErr w:type="spellStart"/>
      <w:r w:rsidRPr="00B26E5B">
        <w:rPr>
          <w:rFonts w:asciiTheme="minorHAnsi" w:hAnsiTheme="minorHAnsi" w:cstheme="minorHAnsi"/>
          <w:bCs/>
          <w:szCs w:val="24"/>
        </w:rPr>
        <w:t>QoE</w:t>
      </w:r>
      <w:proofErr w:type="spellEnd"/>
      <w:r w:rsidRPr="00B26E5B">
        <w:rPr>
          <w:rFonts w:asciiTheme="minorHAnsi" w:hAnsiTheme="minorHAnsi" w:cstheme="minorHAnsi"/>
          <w:bCs/>
          <w:szCs w:val="24"/>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B26E5B">
        <w:rPr>
          <w:rFonts w:asciiTheme="minorHAnsi" w:hAnsiTheme="minorHAnsi" w:cstheme="minorHAnsi"/>
          <w:bCs/>
          <w:szCs w:val="24"/>
        </w:rPr>
        <w:t>QoS</w:t>
      </w:r>
      <w:proofErr w:type="spellEnd"/>
      <w:r w:rsidRPr="00B26E5B">
        <w:rPr>
          <w:rFonts w:asciiTheme="minorHAnsi" w:hAnsiTheme="minorHAnsi" w:cstheme="minorHAnsi"/>
          <w:bCs/>
          <w:szCs w:val="24"/>
        </w:rPr>
        <w:t xml:space="preserve"> is gaining a progressively larger share of the ITU standardization work programme.</w:t>
      </w:r>
    </w:p>
    <w:p w14:paraId="03142A78" w14:textId="77777777" w:rsidR="00A759BB" w:rsidRPr="00B26E5B" w:rsidRDefault="00E307EB" w:rsidP="00A759BB">
      <w:pPr>
        <w:numPr>
          <w:ilvl w:val="0"/>
          <w:numId w:val="19"/>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6" w:history="1">
        <w:r w:rsidR="00A759BB" w:rsidRPr="00B26E5B">
          <w:rPr>
            <w:rStyle w:val="Hyperlink"/>
            <w:rFonts w:asciiTheme="minorHAnsi" w:hAnsiTheme="minorHAnsi" w:cstheme="minorHAnsi"/>
            <w:bCs/>
            <w:szCs w:val="24"/>
          </w:rPr>
          <w:t>ITU workshop on Quality of Service regulation</w:t>
        </w:r>
      </w:hyperlink>
    </w:p>
    <w:p w14:paraId="37ADF232" w14:textId="2FB4EEDB"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2.10</w:t>
      </w:r>
      <w:r w:rsidRPr="00B26E5B">
        <w:rPr>
          <w:rFonts w:asciiTheme="minorHAnsi" w:hAnsiTheme="minorHAnsi" w:cstheme="minorHAnsi"/>
          <w:bCs/>
          <w:szCs w:val="24"/>
        </w:rPr>
        <w:tab/>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27312F46" w14:textId="77777777" w:rsidR="00A759BB" w:rsidRPr="00B26E5B" w:rsidRDefault="00E307EB" w:rsidP="00A759BB">
      <w:pPr>
        <w:numPr>
          <w:ilvl w:val="0"/>
          <w:numId w:val="18"/>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7" w:history="1">
        <w:r w:rsidR="00A759BB" w:rsidRPr="00B26E5B">
          <w:rPr>
            <w:rStyle w:val="Hyperlink"/>
            <w:rFonts w:asciiTheme="minorHAnsi" w:hAnsiTheme="minorHAnsi" w:cstheme="minorHAnsi"/>
            <w:bCs/>
            <w:szCs w:val="24"/>
          </w:rPr>
          <w:t>Progress update on ITU standardization for economic and policy issues</w:t>
        </w:r>
      </w:hyperlink>
    </w:p>
    <w:p w14:paraId="24EF695F" w14:textId="576F8256"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2.11</w:t>
      </w:r>
      <w:r w:rsidRPr="00B26E5B">
        <w:rPr>
          <w:rFonts w:asciiTheme="minorHAnsi" w:hAnsiTheme="minorHAnsi" w:cstheme="minorHAnsi"/>
          <w:bCs/>
          <w:szCs w:val="24"/>
        </w:rPr>
        <w:tab/>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0FAA2C4B" w14:textId="77777777" w:rsidR="00A759BB" w:rsidRPr="00B26E5B" w:rsidRDefault="00E307EB" w:rsidP="00A759BB">
      <w:pPr>
        <w:numPr>
          <w:ilvl w:val="0"/>
          <w:numId w:val="1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8" w:history="1">
        <w:r w:rsidR="00A759BB" w:rsidRPr="00B26E5B">
          <w:rPr>
            <w:rStyle w:val="Hyperlink"/>
            <w:rFonts w:asciiTheme="minorHAnsi" w:hAnsiTheme="minorHAnsi" w:cstheme="minorHAnsi"/>
            <w:bCs/>
            <w:szCs w:val="24"/>
          </w:rPr>
          <w:t>Combating counterfeit and stolen ICT devices: ITU workshop renews international commitment</w:t>
        </w:r>
      </w:hyperlink>
    </w:p>
    <w:p w14:paraId="0E71F75D" w14:textId="2C12B6AB"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2.12</w:t>
      </w:r>
      <w:r w:rsidRPr="00B26E5B">
        <w:rPr>
          <w:rFonts w:asciiTheme="minorHAnsi" w:hAnsiTheme="minorHAnsi" w:cstheme="minorHAnsi"/>
          <w:bCs/>
          <w:szCs w:val="24"/>
        </w:rPr>
        <w:tab/>
        <w:t xml:space="preserve">The span of ITU-T work on </w:t>
      </w:r>
      <w:proofErr w:type="spellStart"/>
      <w:r w:rsidRPr="00B26E5B">
        <w:rPr>
          <w:rFonts w:asciiTheme="minorHAnsi" w:hAnsiTheme="minorHAnsi" w:cstheme="minorHAnsi"/>
          <w:bCs/>
          <w:szCs w:val="24"/>
        </w:rPr>
        <w:t>VoLTE</w:t>
      </w:r>
      <w:proofErr w:type="spellEnd"/>
      <w:r w:rsidRPr="00B26E5B">
        <w:rPr>
          <w:rFonts w:asciiTheme="minorHAnsi" w:hAnsiTheme="minorHAnsi" w:cstheme="minorHAnsi"/>
          <w:bCs/>
          <w:szCs w:val="24"/>
        </w:rPr>
        <w:t>/</w:t>
      </w:r>
      <w:proofErr w:type="spellStart"/>
      <w:r w:rsidRPr="00B26E5B">
        <w:rPr>
          <w:rFonts w:asciiTheme="minorHAnsi" w:hAnsiTheme="minorHAnsi" w:cstheme="minorHAnsi"/>
          <w:bCs/>
          <w:szCs w:val="24"/>
        </w:rPr>
        <w:t>ViLTE</w:t>
      </w:r>
      <w:proofErr w:type="spellEnd"/>
      <w:r w:rsidRPr="00B26E5B">
        <w:rPr>
          <w:rFonts w:asciiTheme="minorHAnsi" w:hAnsiTheme="minorHAnsi" w:cstheme="minorHAnsi"/>
          <w:bCs/>
          <w:szCs w:val="24"/>
        </w:rPr>
        <w:t xml:space="preserve"> includes the deployment of signalling protocols for </w:t>
      </w:r>
      <w:proofErr w:type="spellStart"/>
      <w:r w:rsidRPr="00B26E5B">
        <w:rPr>
          <w:rFonts w:asciiTheme="minorHAnsi" w:hAnsiTheme="minorHAnsi" w:cstheme="minorHAnsi"/>
          <w:bCs/>
          <w:szCs w:val="24"/>
        </w:rPr>
        <w:t>VoLTE</w:t>
      </w:r>
      <w:proofErr w:type="spellEnd"/>
      <w:r w:rsidRPr="00B26E5B">
        <w:rPr>
          <w:rFonts w:asciiTheme="minorHAnsi" w:hAnsiTheme="minorHAnsi" w:cstheme="minorHAnsi"/>
          <w:bCs/>
          <w:szCs w:val="24"/>
        </w:rPr>
        <w:t xml:space="preserve"> interconnection, relevant numbering issues, </w:t>
      </w:r>
      <w:proofErr w:type="spellStart"/>
      <w:r w:rsidRPr="00B26E5B">
        <w:rPr>
          <w:rFonts w:asciiTheme="minorHAnsi" w:hAnsiTheme="minorHAnsi" w:cstheme="minorHAnsi"/>
          <w:bCs/>
          <w:szCs w:val="24"/>
        </w:rPr>
        <w:t>QoS</w:t>
      </w:r>
      <w:proofErr w:type="spellEnd"/>
      <w:r w:rsidRPr="00B26E5B">
        <w:rPr>
          <w:rFonts w:asciiTheme="minorHAnsi" w:hAnsiTheme="minorHAnsi" w:cstheme="minorHAnsi"/>
          <w:bCs/>
          <w:szCs w:val="24"/>
        </w:rPr>
        <w:t xml:space="preserve"> considerations, and emergency calls on </w:t>
      </w:r>
      <w:proofErr w:type="spellStart"/>
      <w:r w:rsidRPr="00B26E5B">
        <w:rPr>
          <w:rFonts w:asciiTheme="minorHAnsi" w:hAnsiTheme="minorHAnsi" w:cstheme="minorHAnsi"/>
          <w:bCs/>
          <w:szCs w:val="24"/>
        </w:rPr>
        <w:t>VoLTE</w:t>
      </w:r>
      <w:proofErr w:type="spellEnd"/>
      <w:r w:rsidRPr="00B26E5B">
        <w:rPr>
          <w:rFonts w:asciiTheme="minorHAnsi" w:hAnsiTheme="minorHAnsi" w:cstheme="minorHAnsi"/>
          <w:bCs/>
          <w:szCs w:val="24"/>
        </w:rPr>
        <w:t xml:space="preserve">-based networks. New ITU standards address the interconnection of </w:t>
      </w:r>
      <w:proofErr w:type="spellStart"/>
      <w:r w:rsidRPr="00B26E5B">
        <w:rPr>
          <w:rFonts w:asciiTheme="minorHAnsi" w:hAnsiTheme="minorHAnsi" w:cstheme="minorHAnsi"/>
          <w:bCs/>
          <w:szCs w:val="24"/>
        </w:rPr>
        <w:t>VoLTE</w:t>
      </w:r>
      <w:proofErr w:type="spellEnd"/>
      <w:r w:rsidRPr="00B26E5B">
        <w:rPr>
          <w:rFonts w:asciiTheme="minorHAnsi" w:hAnsiTheme="minorHAnsi" w:cstheme="minorHAnsi"/>
          <w:bCs/>
          <w:szCs w:val="24"/>
        </w:rPr>
        <w:t>/</w:t>
      </w:r>
      <w:proofErr w:type="spellStart"/>
      <w:r w:rsidRPr="00B26E5B">
        <w:rPr>
          <w:rFonts w:asciiTheme="minorHAnsi" w:hAnsiTheme="minorHAnsi" w:cstheme="minorHAnsi"/>
          <w:bCs/>
          <w:szCs w:val="24"/>
        </w:rPr>
        <w:t>ViLTE</w:t>
      </w:r>
      <w:proofErr w:type="spellEnd"/>
      <w:r w:rsidRPr="00B26E5B">
        <w:rPr>
          <w:rFonts w:asciiTheme="minorHAnsi" w:hAnsiTheme="minorHAnsi" w:cstheme="minorHAnsi"/>
          <w:bCs/>
          <w:szCs w:val="24"/>
        </w:rPr>
        <w:t xml:space="preserve">-based networks and </w:t>
      </w:r>
      <w:proofErr w:type="spellStart"/>
      <w:r w:rsidRPr="00B26E5B">
        <w:rPr>
          <w:rFonts w:asciiTheme="minorHAnsi" w:hAnsiTheme="minorHAnsi" w:cstheme="minorHAnsi"/>
          <w:bCs/>
          <w:szCs w:val="24"/>
        </w:rPr>
        <w:t>VoLTE</w:t>
      </w:r>
      <w:proofErr w:type="spellEnd"/>
      <w:r w:rsidRPr="00B26E5B">
        <w:rPr>
          <w:rFonts w:asciiTheme="minorHAnsi" w:hAnsiTheme="minorHAnsi" w:cstheme="minorHAnsi"/>
          <w:bCs/>
          <w:szCs w:val="24"/>
        </w:rPr>
        <w:t>/</w:t>
      </w:r>
      <w:proofErr w:type="spellStart"/>
      <w:r w:rsidRPr="00B26E5B">
        <w:rPr>
          <w:rFonts w:asciiTheme="minorHAnsi" w:hAnsiTheme="minorHAnsi" w:cstheme="minorHAnsi"/>
          <w:bCs/>
          <w:szCs w:val="24"/>
        </w:rPr>
        <w:t>ViLTE</w:t>
      </w:r>
      <w:proofErr w:type="spellEnd"/>
      <w:r w:rsidRPr="00B26E5B">
        <w:rPr>
          <w:rFonts w:asciiTheme="minorHAnsi" w:hAnsiTheme="minorHAnsi" w:cstheme="minorHAnsi"/>
          <w:bCs/>
          <w:szCs w:val="24"/>
        </w:rPr>
        <w:t xml:space="preserve"> interconnection testing for interworking and roaming scenarios. </w:t>
      </w:r>
    </w:p>
    <w:p w14:paraId="452B7484" w14:textId="77777777" w:rsidR="00A759BB" w:rsidRPr="00B26E5B" w:rsidRDefault="00E307EB" w:rsidP="00A759BB">
      <w:pPr>
        <w:numPr>
          <w:ilvl w:val="0"/>
          <w:numId w:val="16"/>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hyperlink r:id="rId49" w:history="1">
        <w:r w:rsidR="00A759BB" w:rsidRPr="00B26E5B">
          <w:rPr>
            <w:rStyle w:val="Hyperlink"/>
            <w:rFonts w:asciiTheme="minorHAnsi" w:hAnsiTheme="minorHAnsi" w:cstheme="minorHAnsi"/>
            <w:bCs/>
            <w:szCs w:val="24"/>
          </w:rPr>
          <w:t xml:space="preserve">Progress update on ITU standardization for </w:t>
        </w:r>
        <w:proofErr w:type="spellStart"/>
        <w:r w:rsidR="00A759BB" w:rsidRPr="00B26E5B">
          <w:rPr>
            <w:rStyle w:val="Hyperlink"/>
            <w:rFonts w:asciiTheme="minorHAnsi" w:hAnsiTheme="minorHAnsi" w:cstheme="minorHAnsi"/>
            <w:bCs/>
            <w:szCs w:val="24"/>
          </w:rPr>
          <w:t>VoLTE</w:t>
        </w:r>
        <w:proofErr w:type="spellEnd"/>
        <w:r w:rsidR="00A759BB" w:rsidRPr="00B26E5B">
          <w:rPr>
            <w:rStyle w:val="Hyperlink"/>
            <w:rFonts w:asciiTheme="minorHAnsi" w:hAnsiTheme="minorHAnsi" w:cstheme="minorHAnsi"/>
            <w:bCs/>
            <w:szCs w:val="24"/>
          </w:rPr>
          <w:t>/</w:t>
        </w:r>
        <w:proofErr w:type="spellStart"/>
        <w:r w:rsidR="00A759BB" w:rsidRPr="00B26E5B">
          <w:rPr>
            <w:rStyle w:val="Hyperlink"/>
            <w:rFonts w:asciiTheme="minorHAnsi" w:hAnsiTheme="minorHAnsi" w:cstheme="minorHAnsi"/>
            <w:bCs/>
            <w:szCs w:val="24"/>
          </w:rPr>
          <w:t>ViLTE</w:t>
        </w:r>
        <w:proofErr w:type="spellEnd"/>
      </w:hyperlink>
    </w:p>
    <w:p w14:paraId="2F21BB9A" w14:textId="65DF996E" w:rsidR="00A759BB" w:rsidRPr="00B26E5B" w:rsidRDefault="00A759BB" w:rsidP="006B559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2.13</w:t>
      </w:r>
      <w:r w:rsidRPr="00B26E5B">
        <w:rPr>
          <w:rFonts w:asciiTheme="minorHAnsi" w:hAnsiTheme="minorHAnsi" w:cstheme="minorHAnsi"/>
          <w:bCs/>
          <w:szCs w:val="24"/>
        </w:rPr>
        <w:tab/>
        <w:t xml:space="preserve">The growth in the number of contributions and new work items in ITU-T SG17 (“Security”) is </w:t>
      </w:r>
      <w:r w:rsidR="006B559D" w:rsidRPr="00B26E5B">
        <w:rPr>
          <w:rFonts w:asciiTheme="minorHAnsi" w:hAnsiTheme="minorHAnsi" w:cstheme="minorHAnsi"/>
          <w:bCs/>
          <w:szCs w:val="24"/>
        </w:rPr>
        <w:t>significant</w:t>
      </w:r>
      <w:r w:rsidRPr="00B26E5B">
        <w:rPr>
          <w:rFonts w:asciiTheme="minorHAnsi" w:hAnsiTheme="minorHAnsi" w:cstheme="minorHAnsi"/>
          <w:bCs/>
          <w:szCs w:val="24"/>
        </w:rPr>
        <w:t xml:space="preserve"> (30% increase from September 2018 vs March 2018; 150 work items in ITU-T SG17 out of 800 work items of all study groups). Two new international standards </w:t>
      </w:r>
      <w:r w:rsidR="006B559D" w:rsidRPr="00B26E5B">
        <w:rPr>
          <w:rFonts w:asciiTheme="minorHAnsi" w:hAnsiTheme="minorHAnsi" w:cstheme="minorHAnsi"/>
          <w:bCs/>
          <w:szCs w:val="24"/>
        </w:rPr>
        <w:t xml:space="preserve">were </w:t>
      </w:r>
      <w:r w:rsidRPr="00B26E5B">
        <w:rPr>
          <w:rFonts w:asciiTheme="minorHAnsi" w:hAnsiTheme="minorHAnsi" w:cstheme="minorHAnsi"/>
          <w:bCs/>
          <w:szCs w:val="24"/>
        </w:rPr>
        <w:t xml:space="preserve">submitted by the FIDO Alliance (‘Fast Identity Online’) to overcome the security limitations of passwords, addressing biometric authentication on mobile devices and the use of external authenticators, such as mobile </w:t>
      </w:r>
      <w:r w:rsidRPr="00B26E5B">
        <w:rPr>
          <w:rFonts w:asciiTheme="minorHAnsi" w:hAnsiTheme="minorHAnsi" w:cstheme="minorHAnsi"/>
          <w:bCs/>
          <w:szCs w:val="24"/>
        </w:rPr>
        <w:lastRenderedPageBreak/>
        <w:t xml:space="preserve">devices, to authenticate Web users:  FIDO UAF 1.1 (Universal Authenticator Framework 1.1) – standardized as ITU X.1277 – supports advanced biometric authentication on mobile devices; and CTAP (Client-to-Authenticator Protocol) – standardized as ITU X.1278 – enables the use of external authenticators such as FIDO security keys and mobile devices to authenticate Web users over USB (Universal Serial Bus), NFC (Near-field communication) and BLE (Bluetooth® Low Energy). </w:t>
      </w:r>
    </w:p>
    <w:p w14:paraId="44CCBFC9" w14:textId="77777777" w:rsidR="00A759BB" w:rsidRPr="00B26E5B" w:rsidRDefault="00A759BB" w:rsidP="00A759B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B26E5B">
        <w:rPr>
          <w:rFonts w:asciiTheme="minorHAnsi" w:hAnsiTheme="minorHAnsi" w:cstheme="minorHAnsi"/>
          <w:bCs/>
          <w:szCs w:val="24"/>
        </w:rPr>
        <w:t>Quantum safe communications and quantum key distribution are new study areas being tackled by ITU Study Group 13 and ITU-T Study Group 17, where also new members have joined ITU-T.</w:t>
      </w:r>
    </w:p>
    <w:p w14:paraId="417EBB17" w14:textId="613EE2B5" w:rsidR="00E52E05" w:rsidRPr="00B26E5B" w:rsidRDefault="00E52E05" w:rsidP="0030150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B26E5B">
        <w:rPr>
          <w:rFonts w:asciiTheme="minorHAnsi" w:hAnsiTheme="minorHAnsi" w:cstheme="minorHAnsi"/>
          <w:bCs/>
          <w:szCs w:val="24"/>
          <w:lang w:val="en-US"/>
        </w:rPr>
        <w:t>2.</w:t>
      </w:r>
      <w:r w:rsidR="00A759BB" w:rsidRPr="00B26E5B">
        <w:rPr>
          <w:rFonts w:asciiTheme="minorHAnsi" w:hAnsiTheme="minorHAnsi" w:cstheme="minorHAnsi"/>
          <w:bCs/>
          <w:szCs w:val="24"/>
          <w:lang w:val="en-US"/>
        </w:rPr>
        <w:t>14</w:t>
      </w:r>
      <w:r w:rsidRPr="00B26E5B">
        <w:rPr>
          <w:rFonts w:asciiTheme="minorHAnsi" w:hAnsiTheme="minorHAnsi" w:cstheme="minorHAnsi"/>
          <w:szCs w:val="24"/>
          <w:lang w:val="en-US"/>
        </w:rPr>
        <w:tab/>
        <w:t>TSB has not received feedback concerning any reported incidents</w:t>
      </w:r>
      <w:r w:rsidR="0037727E" w:rsidRPr="00B26E5B">
        <w:rPr>
          <w:rFonts w:asciiTheme="minorHAnsi" w:hAnsiTheme="minorHAnsi" w:cstheme="minorHAnsi"/>
          <w:szCs w:val="24"/>
          <w:lang w:val="en-US"/>
        </w:rPr>
        <w:t xml:space="preserve"> </w:t>
      </w:r>
      <w:r w:rsidR="002264F4" w:rsidRPr="00B26E5B">
        <w:rPr>
          <w:rFonts w:asciiTheme="minorHAnsi" w:hAnsiTheme="minorHAnsi" w:cstheme="minorHAnsi"/>
          <w:szCs w:val="24"/>
          <w:lang w:val="en-US"/>
        </w:rPr>
        <w:t xml:space="preserve">with regard to </w:t>
      </w:r>
      <w:hyperlink r:id="rId50" w:history="1">
        <w:r w:rsidR="0037727E" w:rsidRPr="00B26E5B">
          <w:rPr>
            <w:rStyle w:val="Hyperlink"/>
            <w:rFonts w:asciiTheme="minorHAnsi" w:hAnsiTheme="minorHAnsi" w:cstheme="minorHAnsi"/>
            <w:szCs w:val="24"/>
            <w:lang w:val="en-US"/>
          </w:rPr>
          <w:t>WTSA Resolution 69</w:t>
        </w:r>
      </w:hyperlink>
      <w:r w:rsidR="00C34A9B" w:rsidRPr="00B26E5B">
        <w:rPr>
          <w:rFonts w:asciiTheme="minorHAnsi" w:hAnsiTheme="minorHAnsi" w:cstheme="minorHAnsi"/>
          <w:szCs w:val="24"/>
          <w:lang w:val="en-US"/>
        </w:rPr>
        <w:t xml:space="preserve"> on </w:t>
      </w:r>
      <w:r w:rsidR="002F451F" w:rsidRPr="00B26E5B">
        <w:rPr>
          <w:rFonts w:asciiTheme="minorHAnsi" w:hAnsiTheme="minorHAnsi" w:cstheme="minorHAnsi"/>
          <w:szCs w:val="24"/>
          <w:lang w:val="en-US"/>
        </w:rPr>
        <w:t>“</w:t>
      </w:r>
      <w:proofErr w:type="spellStart"/>
      <w:r w:rsidR="0037727E" w:rsidRPr="00B26E5B">
        <w:rPr>
          <w:rFonts w:asciiTheme="minorHAnsi" w:hAnsiTheme="minorHAnsi" w:cstheme="minorHAnsi"/>
          <w:szCs w:val="24"/>
          <w:lang w:val="en-US"/>
        </w:rPr>
        <w:t>Non discriminatory</w:t>
      </w:r>
      <w:proofErr w:type="spellEnd"/>
      <w:r w:rsidR="0037727E" w:rsidRPr="00B26E5B">
        <w:rPr>
          <w:rFonts w:asciiTheme="minorHAnsi" w:hAnsiTheme="minorHAnsi" w:cstheme="minorHAnsi"/>
          <w:szCs w:val="24"/>
          <w:lang w:val="en-US"/>
        </w:rPr>
        <w:t xml:space="preserve"> access and use of Internet resources</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 xml:space="preserve"> (so far there have been 37</w:t>
      </w:r>
      <w:r w:rsidR="0030150D" w:rsidRPr="00B26E5B">
        <w:rPr>
          <w:rFonts w:asciiTheme="minorHAnsi" w:hAnsiTheme="minorHAnsi" w:cstheme="minorHAnsi"/>
          <w:szCs w:val="24"/>
          <w:lang w:val="en-US"/>
        </w:rPr>
        <w:t> </w:t>
      </w:r>
      <w:r w:rsidR="0037727E" w:rsidRPr="00B26E5B">
        <w:rPr>
          <w:rFonts w:asciiTheme="minorHAnsi" w:hAnsiTheme="minorHAnsi" w:cstheme="minorHAnsi"/>
          <w:szCs w:val="24"/>
          <w:lang w:val="en-US"/>
        </w:rPr>
        <w:t xml:space="preserve">incidents </w:t>
      </w:r>
      <w:r w:rsidRPr="00B26E5B">
        <w:rPr>
          <w:rFonts w:asciiTheme="minorHAnsi" w:hAnsiTheme="minorHAnsi" w:cstheme="minorHAnsi"/>
          <w:szCs w:val="24"/>
          <w:lang w:val="en-US"/>
        </w:rPr>
        <w:t xml:space="preserve">since 2009, see all related </w:t>
      </w:r>
      <w:hyperlink r:id="rId51" w:history="1">
        <w:r w:rsidRPr="00B26E5B">
          <w:rPr>
            <w:rStyle w:val="Hyperlink"/>
            <w:rFonts w:asciiTheme="minorHAnsi" w:hAnsiTheme="minorHAnsi" w:cstheme="minorHAnsi"/>
            <w:szCs w:val="24"/>
            <w:lang w:val="en-US"/>
          </w:rPr>
          <w:t>reports</w:t>
        </w:r>
      </w:hyperlink>
      <w:r w:rsidR="0037727E" w:rsidRPr="00B26E5B">
        <w:rPr>
          <w:rStyle w:val="Hyperlink"/>
          <w:rFonts w:asciiTheme="minorHAnsi" w:hAnsiTheme="minorHAnsi" w:cstheme="minorHAnsi"/>
          <w:szCs w:val="24"/>
          <w:lang w:val="en-US"/>
        </w:rPr>
        <w:t>)</w:t>
      </w:r>
      <w:r w:rsidRPr="00B26E5B">
        <w:rPr>
          <w:rFonts w:asciiTheme="minorHAnsi" w:hAnsiTheme="minorHAnsi" w:cstheme="minorHAnsi"/>
          <w:szCs w:val="24"/>
          <w:lang w:val="en-US"/>
        </w:rPr>
        <w:t>.</w:t>
      </w:r>
    </w:p>
    <w:p w14:paraId="35DC3713" w14:textId="514AE3AE" w:rsidR="007F63DE" w:rsidRPr="00B26E5B" w:rsidRDefault="002E2753"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bookmarkStart w:id="16" w:name="a353677d2-7347-4cd3-8301-15d8ee365aeb"/>
      <w:bookmarkStart w:id="17" w:name="_Hlk500492095"/>
      <w:bookmarkEnd w:id="16"/>
      <w:r w:rsidRPr="00B26E5B">
        <w:rPr>
          <w:rFonts w:asciiTheme="minorHAnsi" w:hAnsiTheme="minorHAnsi" w:cstheme="minorHAnsi"/>
          <w:bCs/>
          <w:szCs w:val="24"/>
          <w:lang w:val="en-US"/>
        </w:rPr>
        <w:t>2.</w:t>
      </w:r>
      <w:r w:rsidR="00C45FB2" w:rsidRPr="00B26E5B">
        <w:rPr>
          <w:rFonts w:asciiTheme="minorHAnsi" w:hAnsiTheme="minorHAnsi" w:cstheme="minorHAnsi"/>
          <w:bCs/>
          <w:szCs w:val="24"/>
          <w:lang w:val="en-US"/>
        </w:rPr>
        <w:t>15</w:t>
      </w:r>
      <w:r w:rsidR="00AF598B" w:rsidRPr="00B26E5B">
        <w:rPr>
          <w:rFonts w:asciiTheme="minorHAnsi" w:hAnsiTheme="minorHAnsi" w:cstheme="minorHAnsi"/>
          <w:szCs w:val="24"/>
          <w:lang w:val="en-US"/>
        </w:rPr>
        <w:tab/>
      </w:r>
      <w:r w:rsidR="00733685" w:rsidRPr="00B26E5B">
        <w:rPr>
          <w:rFonts w:asciiTheme="minorHAnsi" w:hAnsiTheme="minorHAnsi" w:cstheme="minorHAnsi"/>
          <w:szCs w:val="24"/>
          <w:lang w:val="en-US"/>
        </w:rPr>
        <w:t xml:space="preserve">ITU-D </w:t>
      </w:r>
      <w:r w:rsidR="005E0C50" w:rsidRPr="00B26E5B">
        <w:rPr>
          <w:rFonts w:asciiTheme="minorHAnsi" w:hAnsiTheme="minorHAnsi" w:cstheme="minorHAnsi"/>
          <w:szCs w:val="24"/>
          <w:lang w:val="en-US"/>
        </w:rPr>
        <w:t>SG</w:t>
      </w:r>
      <w:r w:rsidR="00733685" w:rsidRPr="00B26E5B">
        <w:rPr>
          <w:rFonts w:asciiTheme="minorHAnsi" w:hAnsiTheme="minorHAnsi" w:cstheme="minorHAnsi"/>
          <w:szCs w:val="24"/>
          <w:lang w:val="en-US"/>
        </w:rPr>
        <w:t xml:space="preserve"> 1 and </w:t>
      </w:r>
      <w:r w:rsidR="005E0C50" w:rsidRPr="00B26E5B">
        <w:rPr>
          <w:rFonts w:asciiTheme="minorHAnsi" w:hAnsiTheme="minorHAnsi" w:cstheme="minorHAnsi"/>
          <w:szCs w:val="24"/>
          <w:lang w:val="en-US"/>
        </w:rPr>
        <w:t>SG</w:t>
      </w:r>
      <w:r w:rsidR="00733685" w:rsidRPr="00B26E5B">
        <w:rPr>
          <w:rFonts w:asciiTheme="minorHAnsi" w:hAnsiTheme="minorHAnsi" w:cstheme="minorHAnsi"/>
          <w:szCs w:val="24"/>
          <w:lang w:val="en-US"/>
        </w:rPr>
        <w:t xml:space="preserve"> 2 </w:t>
      </w:r>
      <w:r w:rsidR="005E0C50" w:rsidRPr="00B26E5B">
        <w:rPr>
          <w:rFonts w:asciiTheme="minorHAnsi" w:hAnsiTheme="minorHAnsi" w:cstheme="minorHAnsi"/>
          <w:szCs w:val="24"/>
          <w:lang w:val="en-US"/>
        </w:rPr>
        <w:t>concluded their</w:t>
      </w:r>
      <w:r w:rsidR="00733685" w:rsidRPr="00B26E5B">
        <w:rPr>
          <w:rFonts w:asciiTheme="minorHAnsi" w:hAnsiTheme="minorHAnsi" w:cstheme="minorHAnsi"/>
          <w:szCs w:val="24"/>
          <w:lang w:val="en-US"/>
        </w:rPr>
        <w:t xml:space="preserve"> </w:t>
      </w:r>
      <w:hyperlink r:id="rId52" w:history="1">
        <w:r w:rsidR="00733685" w:rsidRPr="00B26E5B">
          <w:rPr>
            <w:rStyle w:val="Hyperlink"/>
            <w:rFonts w:asciiTheme="minorHAnsi" w:hAnsiTheme="minorHAnsi" w:cstheme="minorHAnsi"/>
            <w:szCs w:val="24"/>
            <w:lang w:val="en-US"/>
          </w:rPr>
          <w:t>2014-2017 study period</w:t>
        </w:r>
      </w:hyperlink>
      <w:r w:rsidR="006A1823" w:rsidRPr="00B26E5B">
        <w:rPr>
          <w:rFonts w:asciiTheme="minorHAnsi" w:hAnsiTheme="minorHAnsi" w:cstheme="minorHAnsi"/>
          <w:szCs w:val="24"/>
          <w:lang w:val="en-US"/>
        </w:rPr>
        <w:t xml:space="preserve"> and released a number of Internet-related reports and guideline</w:t>
      </w:r>
      <w:r w:rsidR="00540EE6" w:rsidRPr="00B26E5B">
        <w:rPr>
          <w:rFonts w:asciiTheme="minorHAnsi" w:hAnsiTheme="minorHAnsi" w:cstheme="minorHAnsi"/>
          <w:szCs w:val="24"/>
          <w:lang w:val="en-US"/>
        </w:rPr>
        <w:t>s</w:t>
      </w:r>
      <w:r w:rsidR="00D15FED" w:rsidRPr="00B26E5B">
        <w:rPr>
          <w:rFonts w:asciiTheme="minorHAnsi" w:hAnsiTheme="minorHAnsi" w:cstheme="minorHAnsi"/>
          <w:szCs w:val="24"/>
          <w:lang w:val="en-US"/>
        </w:rPr>
        <w:t>, particularly</w:t>
      </w:r>
      <w:r w:rsidR="00540EE6" w:rsidRPr="00B26E5B">
        <w:rPr>
          <w:rFonts w:asciiTheme="minorHAnsi" w:hAnsiTheme="minorHAnsi" w:cstheme="minorHAnsi"/>
          <w:szCs w:val="24"/>
          <w:lang w:val="en-US"/>
        </w:rPr>
        <w:t xml:space="preserve"> on Questions 1/1, 2/1, 3/1, 4/1, 5/1 and 1/2</w:t>
      </w:r>
      <w:r w:rsidR="00B310EA" w:rsidRPr="00B26E5B">
        <w:rPr>
          <w:rFonts w:asciiTheme="minorHAnsi" w:hAnsiTheme="minorHAnsi" w:cstheme="minorHAnsi"/>
          <w:szCs w:val="24"/>
          <w:lang w:val="en-US"/>
        </w:rPr>
        <w:t xml:space="preserve"> (See </w:t>
      </w:r>
      <w:hyperlink r:id="rId53" w:history="1">
        <w:r w:rsidR="006A1823" w:rsidRPr="00B26E5B">
          <w:rPr>
            <w:rStyle w:val="Hyperlink"/>
            <w:rFonts w:asciiTheme="minorHAnsi" w:hAnsiTheme="minorHAnsi" w:cstheme="minorHAnsi"/>
            <w:szCs w:val="24"/>
          </w:rPr>
          <w:t>ITU-D SG1</w:t>
        </w:r>
      </w:hyperlink>
      <w:r w:rsidR="006A1823" w:rsidRPr="00B26E5B">
        <w:rPr>
          <w:rFonts w:asciiTheme="minorHAnsi" w:hAnsiTheme="minorHAnsi" w:cstheme="minorHAnsi"/>
          <w:szCs w:val="24"/>
          <w:lang w:val="en-US"/>
        </w:rPr>
        <w:t xml:space="preserve"> </w:t>
      </w:r>
      <w:r w:rsidR="00B310EA" w:rsidRPr="00B26E5B">
        <w:rPr>
          <w:rFonts w:asciiTheme="minorHAnsi" w:hAnsiTheme="minorHAnsi" w:cstheme="minorHAnsi"/>
          <w:szCs w:val="24"/>
          <w:lang w:val="en-US"/>
        </w:rPr>
        <w:t xml:space="preserve">and </w:t>
      </w:r>
      <w:hyperlink r:id="rId54" w:history="1">
        <w:r w:rsidR="006A1823" w:rsidRPr="00B26E5B">
          <w:rPr>
            <w:rStyle w:val="Hyperlink"/>
            <w:rFonts w:asciiTheme="minorHAnsi" w:hAnsiTheme="minorHAnsi" w:cstheme="minorHAnsi"/>
            <w:szCs w:val="24"/>
          </w:rPr>
          <w:t>ITU-D SG2</w:t>
        </w:r>
      </w:hyperlink>
      <w:r w:rsidR="006A1823" w:rsidRPr="00B26E5B">
        <w:rPr>
          <w:rFonts w:asciiTheme="minorHAnsi" w:hAnsiTheme="minorHAnsi" w:cstheme="minorHAnsi"/>
          <w:szCs w:val="24"/>
        </w:rPr>
        <w:t xml:space="preserve"> </w:t>
      </w:r>
      <w:r w:rsidR="00B310EA" w:rsidRPr="00B26E5B">
        <w:rPr>
          <w:rFonts w:asciiTheme="minorHAnsi" w:hAnsiTheme="minorHAnsi" w:cstheme="minorHAnsi"/>
          <w:szCs w:val="24"/>
        </w:rPr>
        <w:t xml:space="preserve">reports). </w:t>
      </w:r>
      <w:r w:rsidR="00B310EA" w:rsidRPr="00B26E5B">
        <w:rPr>
          <w:rFonts w:asciiTheme="minorHAnsi" w:hAnsiTheme="minorHAnsi" w:cstheme="minorHAnsi"/>
          <w:szCs w:val="24"/>
          <w:lang w:val="en-US"/>
        </w:rPr>
        <w:t xml:space="preserve">Following WTDC-17, work will continue on IP-related issues such as NGN interconnection, VoIP, cloud services, and strategies, policies, and technologies for the deployment of broadband. The groups will explore the </w:t>
      </w:r>
      <w:r w:rsidR="00B310EA" w:rsidRPr="00B26E5B">
        <w:rPr>
          <w:rFonts w:asciiTheme="minorHAnsi" w:hAnsiTheme="minorHAnsi" w:cstheme="minorHAnsi"/>
          <w:szCs w:val="24"/>
        </w:rPr>
        <w:t xml:space="preserve">transition from narrowband to high-speed, high-quality broadband networks (including transition to IMT-2020 networks), taking into account interconnection and interoperability features. </w:t>
      </w:r>
      <w:r w:rsidR="00867EA4" w:rsidRPr="00B26E5B">
        <w:rPr>
          <w:rFonts w:asciiTheme="minorHAnsi" w:hAnsiTheme="minorHAnsi" w:cstheme="minorHAnsi"/>
          <w:szCs w:val="24"/>
        </w:rPr>
        <w:t>N</w:t>
      </w:r>
      <w:r w:rsidR="00FA705F" w:rsidRPr="00B26E5B">
        <w:rPr>
          <w:rFonts w:asciiTheme="minorHAnsi" w:hAnsiTheme="minorHAnsi" w:cstheme="minorHAnsi"/>
          <w:szCs w:val="24"/>
        </w:rPr>
        <w:t xml:space="preserve">ew </w:t>
      </w:r>
      <w:r w:rsidR="00540EE6" w:rsidRPr="00B26E5B">
        <w:rPr>
          <w:rFonts w:asciiTheme="minorHAnsi" w:hAnsiTheme="minorHAnsi" w:cstheme="minorHAnsi"/>
          <w:szCs w:val="24"/>
        </w:rPr>
        <w:t xml:space="preserve">Q1/1 will work on </w:t>
      </w:r>
      <w:r w:rsidR="002F451F" w:rsidRPr="00B26E5B">
        <w:rPr>
          <w:rFonts w:asciiTheme="minorHAnsi" w:hAnsiTheme="minorHAnsi" w:cstheme="minorHAnsi"/>
          <w:szCs w:val="24"/>
        </w:rPr>
        <w:t>“</w:t>
      </w:r>
      <w:r w:rsidR="00540EE6" w:rsidRPr="00B26E5B">
        <w:rPr>
          <w:rFonts w:asciiTheme="minorHAnsi" w:hAnsiTheme="minorHAnsi" w:cstheme="minorHAnsi"/>
          <w:szCs w:val="24"/>
        </w:rPr>
        <w:t>Strategies and policies for the deployment of broadband in developing countries</w:t>
      </w:r>
      <w:r w:rsidR="002F451F" w:rsidRPr="00B26E5B">
        <w:rPr>
          <w:rFonts w:asciiTheme="minorHAnsi" w:hAnsiTheme="minorHAnsi" w:cstheme="minorHAnsi"/>
          <w:szCs w:val="24"/>
        </w:rPr>
        <w:t>”</w:t>
      </w:r>
      <w:r w:rsidR="00540EE6" w:rsidRPr="00B26E5B">
        <w:rPr>
          <w:rFonts w:asciiTheme="minorHAnsi" w:hAnsiTheme="minorHAnsi" w:cstheme="minorHAnsi"/>
          <w:szCs w:val="24"/>
        </w:rPr>
        <w:t xml:space="preserve"> (</w:t>
      </w:r>
      <w:r w:rsidR="00B310EA" w:rsidRPr="00B26E5B">
        <w:rPr>
          <w:rFonts w:asciiTheme="minorHAnsi" w:hAnsiTheme="minorHAnsi" w:cstheme="minorHAnsi"/>
          <w:szCs w:val="24"/>
        </w:rPr>
        <w:t xml:space="preserve">merging </w:t>
      </w:r>
      <w:r w:rsidR="00540EE6" w:rsidRPr="00B26E5B">
        <w:rPr>
          <w:rFonts w:asciiTheme="minorHAnsi" w:hAnsiTheme="minorHAnsi" w:cstheme="minorHAnsi"/>
          <w:szCs w:val="24"/>
        </w:rPr>
        <w:t xml:space="preserve">former Q1/1 and </w:t>
      </w:r>
      <w:r w:rsidR="00390281" w:rsidRPr="00B26E5B">
        <w:rPr>
          <w:rFonts w:asciiTheme="minorHAnsi" w:hAnsiTheme="minorHAnsi" w:cstheme="minorHAnsi"/>
          <w:szCs w:val="24"/>
        </w:rPr>
        <w:t>Q</w:t>
      </w:r>
      <w:r w:rsidR="00540EE6" w:rsidRPr="00B26E5B">
        <w:rPr>
          <w:rFonts w:asciiTheme="minorHAnsi" w:hAnsiTheme="minorHAnsi" w:cstheme="minorHAnsi"/>
          <w:szCs w:val="24"/>
        </w:rPr>
        <w:t>2/1)</w:t>
      </w:r>
      <w:r w:rsidR="00B310EA" w:rsidRPr="00B26E5B">
        <w:rPr>
          <w:rFonts w:asciiTheme="minorHAnsi" w:hAnsiTheme="minorHAnsi" w:cstheme="minorHAnsi"/>
          <w:szCs w:val="24"/>
        </w:rPr>
        <w:t xml:space="preserve">. New Q3/1 will work on </w:t>
      </w:r>
      <w:r w:rsidR="002F451F" w:rsidRPr="00B26E5B">
        <w:rPr>
          <w:rFonts w:asciiTheme="minorHAnsi" w:hAnsiTheme="minorHAnsi" w:cstheme="minorHAnsi"/>
          <w:szCs w:val="24"/>
        </w:rPr>
        <w:t>“</w:t>
      </w:r>
      <w:r w:rsidR="00B310EA" w:rsidRPr="00B26E5B">
        <w:rPr>
          <w:rFonts w:asciiTheme="minorHAnsi" w:hAnsiTheme="minorHAnsi" w:cstheme="minorHAnsi"/>
          <w:szCs w:val="24"/>
        </w:rPr>
        <w:t>Emerging technologies, including cloud computing, m-services and OTTs: Challenges and opportunities, economic and policy impact for developing countries</w:t>
      </w:r>
      <w:r w:rsidR="002F451F" w:rsidRPr="00B26E5B">
        <w:rPr>
          <w:rFonts w:asciiTheme="minorHAnsi" w:hAnsiTheme="minorHAnsi" w:cstheme="minorHAnsi"/>
          <w:szCs w:val="24"/>
        </w:rPr>
        <w:t>”</w:t>
      </w:r>
      <w:r w:rsidR="00B310EA" w:rsidRPr="00B26E5B">
        <w:rPr>
          <w:rFonts w:asciiTheme="minorHAnsi" w:hAnsiTheme="minorHAnsi" w:cstheme="minorHAnsi"/>
          <w:szCs w:val="24"/>
        </w:rPr>
        <w:t xml:space="preserve"> (merging former Q1/1 and </w:t>
      </w:r>
      <w:r w:rsidR="00390281" w:rsidRPr="00B26E5B">
        <w:rPr>
          <w:rFonts w:asciiTheme="minorHAnsi" w:hAnsiTheme="minorHAnsi" w:cstheme="minorHAnsi"/>
          <w:szCs w:val="24"/>
        </w:rPr>
        <w:t>Q</w:t>
      </w:r>
      <w:r w:rsidR="00B310EA" w:rsidRPr="00B26E5B">
        <w:rPr>
          <w:rFonts w:asciiTheme="minorHAnsi" w:hAnsiTheme="minorHAnsi" w:cstheme="minorHAnsi"/>
          <w:szCs w:val="24"/>
        </w:rPr>
        <w:t xml:space="preserve">3/1). Questions 4/1, 5/1 and 1/2 will continue </w:t>
      </w:r>
      <w:r w:rsidR="00FA705F" w:rsidRPr="00B26E5B">
        <w:rPr>
          <w:rFonts w:asciiTheme="minorHAnsi" w:hAnsiTheme="minorHAnsi" w:cstheme="minorHAnsi"/>
          <w:szCs w:val="24"/>
        </w:rPr>
        <w:t xml:space="preserve">their </w:t>
      </w:r>
      <w:r w:rsidR="00B310EA" w:rsidRPr="00B26E5B">
        <w:rPr>
          <w:rFonts w:asciiTheme="minorHAnsi" w:hAnsiTheme="minorHAnsi" w:cstheme="minorHAnsi"/>
          <w:szCs w:val="24"/>
        </w:rPr>
        <w:t xml:space="preserve">work </w:t>
      </w:r>
      <w:r w:rsidR="005865F9" w:rsidRPr="00B26E5B">
        <w:rPr>
          <w:rFonts w:asciiTheme="minorHAnsi" w:hAnsiTheme="minorHAnsi" w:cstheme="minorHAnsi"/>
          <w:szCs w:val="24"/>
        </w:rPr>
        <w:t>from the previous study period</w:t>
      </w:r>
      <w:r w:rsidR="00152D7A" w:rsidRPr="00B26E5B">
        <w:rPr>
          <w:rFonts w:asciiTheme="minorHAnsi" w:hAnsiTheme="minorHAnsi" w:cstheme="minorHAnsi"/>
          <w:szCs w:val="24"/>
        </w:rPr>
        <w:t xml:space="preserve"> with emphasis on the need to employ ICTs for sustainable social and economic development</w:t>
      </w:r>
      <w:r w:rsidR="00B310EA" w:rsidRPr="00B26E5B">
        <w:rPr>
          <w:rFonts w:asciiTheme="minorHAnsi" w:hAnsiTheme="minorHAnsi" w:cstheme="minorHAnsi"/>
          <w:szCs w:val="24"/>
        </w:rPr>
        <w:t>.</w:t>
      </w:r>
    </w:p>
    <w:bookmarkEnd w:id="17"/>
    <w:p w14:paraId="2AA03126" w14:textId="1CE80BF9" w:rsidR="002E2753" w:rsidRPr="00B26E5B" w:rsidRDefault="002E2753"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t>2.</w:t>
      </w:r>
      <w:r w:rsidR="00C45FB2" w:rsidRPr="00B26E5B">
        <w:rPr>
          <w:rFonts w:asciiTheme="minorHAnsi" w:hAnsiTheme="minorHAnsi" w:cstheme="minorHAnsi"/>
          <w:bCs/>
          <w:szCs w:val="24"/>
          <w:lang w:val="en-US"/>
        </w:rPr>
        <w:t>16</w:t>
      </w:r>
      <w:r w:rsidR="00AF598B" w:rsidRPr="00B26E5B">
        <w:rPr>
          <w:rFonts w:asciiTheme="minorHAnsi" w:hAnsiTheme="minorHAnsi" w:cstheme="minorHAnsi"/>
          <w:szCs w:val="24"/>
          <w:lang w:val="en-US"/>
        </w:rPr>
        <w:tab/>
      </w:r>
      <w:r w:rsidR="00E0552C" w:rsidRPr="00B26E5B">
        <w:rPr>
          <w:rFonts w:asciiTheme="minorHAnsi" w:hAnsiTheme="minorHAnsi" w:cstheme="minorHAnsi"/>
          <w:szCs w:val="24"/>
          <w:lang w:val="en-US"/>
        </w:rPr>
        <w:t>ITU-D</w:t>
      </w:r>
      <w:r w:rsidRPr="00B26E5B">
        <w:rPr>
          <w:rFonts w:asciiTheme="minorHAnsi" w:hAnsiTheme="minorHAnsi" w:cstheme="minorHAnsi"/>
          <w:szCs w:val="24"/>
          <w:lang w:val="en-US"/>
        </w:rPr>
        <w:t xml:space="preserve">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w:t>
      </w:r>
      <w:r w:rsidR="003600C5" w:rsidRPr="00B26E5B">
        <w:rPr>
          <w:rFonts w:asciiTheme="minorHAnsi" w:hAnsiTheme="minorHAnsi" w:cstheme="minorHAnsi"/>
          <w:szCs w:val="24"/>
          <w:lang w:val="en-US"/>
        </w:rPr>
        <w:t xml:space="preserve">Rwanda, </w:t>
      </w:r>
      <w:r w:rsidR="006C7104" w:rsidRPr="00B26E5B">
        <w:rPr>
          <w:rFonts w:asciiTheme="minorHAnsi" w:hAnsiTheme="minorHAnsi" w:cstheme="minorHAnsi"/>
          <w:szCs w:val="24"/>
          <w:lang w:val="en-US"/>
        </w:rPr>
        <w:t>Eswatini</w:t>
      </w:r>
      <w:r w:rsidR="006707BF" w:rsidRPr="00B26E5B">
        <w:rPr>
          <w:rFonts w:asciiTheme="minorHAnsi" w:hAnsiTheme="minorHAnsi" w:cstheme="minorHAnsi"/>
          <w:szCs w:val="24"/>
          <w:lang w:val="en-US"/>
        </w:rPr>
        <w:t>,</w:t>
      </w:r>
      <w:r w:rsidRPr="00B26E5B">
        <w:rPr>
          <w:rFonts w:asciiTheme="minorHAnsi" w:hAnsiTheme="minorHAnsi" w:cstheme="minorHAnsi"/>
          <w:szCs w:val="24"/>
          <w:lang w:val="en-US"/>
        </w:rPr>
        <w:t xml:space="preserve"> </w:t>
      </w:r>
      <w:r w:rsidR="00867EA4" w:rsidRPr="00B26E5B">
        <w:rPr>
          <w:rFonts w:asciiTheme="minorHAnsi" w:hAnsiTheme="minorHAnsi" w:cstheme="minorHAnsi"/>
          <w:szCs w:val="24"/>
          <w:lang w:val="en-US"/>
        </w:rPr>
        <w:t>Antigua &amp; Barbuda and St. Kitts &amp; Nevis etc.).</w:t>
      </w:r>
    </w:p>
    <w:p w14:paraId="30E77116" w14:textId="3273C7C1" w:rsidR="003600C5" w:rsidRPr="00B26E5B" w:rsidRDefault="006B559D" w:rsidP="003600C5">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szCs w:val="24"/>
          <w:lang w:val="en-US"/>
        </w:rPr>
        <w:t xml:space="preserve">The </w:t>
      </w:r>
      <w:r w:rsidR="003600C5" w:rsidRPr="00B26E5B">
        <w:rPr>
          <w:rFonts w:asciiTheme="minorHAnsi" w:hAnsiTheme="minorHAnsi" w:cstheme="minorHAnsi"/>
          <w:szCs w:val="24"/>
          <w:lang w:val="en-US"/>
        </w:rPr>
        <w:t xml:space="preserve">Publication on “Setting the </w:t>
      </w:r>
      <w:r w:rsidRPr="00B26E5B">
        <w:rPr>
          <w:rFonts w:asciiTheme="minorHAnsi" w:hAnsiTheme="minorHAnsi" w:cstheme="minorHAnsi"/>
          <w:szCs w:val="24"/>
          <w:lang w:val="en-US"/>
        </w:rPr>
        <w:t>scene</w:t>
      </w:r>
      <w:r w:rsidR="003600C5" w:rsidRPr="00B26E5B">
        <w:rPr>
          <w:rFonts w:asciiTheme="minorHAnsi" w:hAnsiTheme="minorHAnsi" w:cstheme="minorHAnsi"/>
          <w:szCs w:val="24"/>
          <w:lang w:val="en-US"/>
        </w:rPr>
        <w:t xml:space="preserve"> for 5G: Opportunities &amp; Challenges</w:t>
      </w:r>
      <w:r w:rsidRPr="00B26E5B">
        <w:rPr>
          <w:rFonts w:asciiTheme="minorHAnsi" w:hAnsiTheme="minorHAnsi" w:cstheme="minorHAnsi"/>
          <w:szCs w:val="24"/>
          <w:lang w:val="en-US"/>
        </w:rPr>
        <w:t>”</w:t>
      </w:r>
      <w:r w:rsidR="003600C5" w:rsidRPr="00B26E5B">
        <w:rPr>
          <w:rFonts w:asciiTheme="minorHAnsi" w:hAnsiTheme="minorHAnsi" w:cstheme="minorHAnsi"/>
          <w:szCs w:val="24"/>
          <w:lang w:val="en-US"/>
        </w:rPr>
        <w:t xml:space="preserve"> was published to assist developing countries with Broadband tools for their plans and Infrastructure developments.  </w:t>
      </w:r>
    </w:p>
    <w:p w14:paraId="5E8A386C" w14:textId="4E94528B" w:rsidR="002E2753" w:rsidRPr="00B26E5B" w:rsidRDefault="002E2753"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t>2.</w:t>
      </w:r>
      <w:r w:rsidR="00C45FB2" w:rsidRPr="00B26E5B">
        <w:rPr>
          <w:rFonts w:asciiTheme="minorHAnsi" w:hAnsiTheme="minorHAnsi" w:cstheme="minorHAnsi"/>
          <w:bCs/>
          <w:szCs w:val="24"/>
          <w:lang w:val="en-US"/>
        </w:rPr>
        <w:t>17</w:t>
      </w:r>
      <w:r w:rsidR="00AF598B" w:rsidRPr="00B26E5B">
        <w:rPr>
          <w:rFonts w:asciiTheme="minorHAnsi" w:hAnsiTheme="minorHAnsi" w:cstheme="minorHAnsi"/>
          <w:szCs w:val="24"/>
          <w:lang w:val="en-US"/>
        </w:rPr>
        <w:tab/>
      </w:r>
      <w:r w:rsidRPr="00B26E5B">
        <w:rPr>
          <w:rFonts w:asciiTheme="minorHAnsi" w:hAnsiTheme="minorHAnsi" w:cstheme="minorHAnsi"/>
          <w:szCs w:val="24"/>
          <w:lang w:val="en-US"/>
        </w:rPr>
        <w:t>ITU-R approved Recommendation ITU-R M.2083</w:t>
      </w:r>
      <w:r w:rsidR="00150D29" w:rsidRPr="00B26E5B">
        <w:rPr>
          <w:rFonts w:asciiTheme="minorHAnsi" w:hAnsiTheme="minorHAnsi" w:cstheme="minorHAnsi"/>
          <w:szCs w:val="24"/>
          <w:lang w:val="en-US"/>
        </w:rPr>
        <w:t>-0</w:t>
      </w:r>
      <w:r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IMT Vision – Framework and overall objectives of the future development of IMT for 2020 and beyond</w:t>
      </w:r>
      <w:r w:rsidR="002F451F" w:rsidRPr="00B26E5B">
        <w:rPr>
          <w:rFonts w:asciiTheme="minorHAnsi" w:hAnsiTheme="minorHAnsi" w:cstheme="minorHAnsi"/>
          <w:szCs w:val="24"/>
          <w:lang w:val="en-US"/>
        </w:rPr>
        <w:t>”</w:t>
      </w:r>
      <w:r w:rsidR="006707BF" w:rsidRPr="00B26E5B">
        <w:rPr>
          <w:rFonts w:asciiTheme="minorHAnsi" w:hAnsiTheme="minorHAnsi" w:cstheme="minorHAnsi"/>
          <w:szCs w:val="24"/>
          <w:lang w:val="en-US"/>
        </w:rPr>
        <w:t>,</w:t>
      </w:r>
      <w:r w:rsidRPr="00B26E5B">
        <w:rPr>
          <w:rFonts w:asciiTheme="minorHAnsi" w:hAnsiTheme="minorHAnsi" w:cstheme="minorHAnsi"/>
          <w:szCs w:val="24"/>
          <w:lang w:val="en-US"/>
        </w:rPr>
        <w:t xml:space="preserve"> Resolutions ITU-R 65 </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Principles for the process of future development of IMT for 2020 and beyond</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 xml:space="preserve"> and ITU-R 66 </w:t>
      </w:r>
      <w:r w:rsidR="002F451F" w:rsidRPr="00B26E5B">
        <w:rPr>
          <w:rFonts w:asciiTheme="minorHAnsi" w:hAnsiTheme="minorHAnsi" w:cstheme="minorHAnsi"/>
          <w:szCs w:val="24"/>
          <w:lang w:val="en-US"/>
        </w:rPr>
        <w:t>“</w:t>
      </w:r>
      <w:r w:rsidRPr="00B26E5B">
        <w:rPr>
          <w:rFonts w:asciiTheme="minorHAnsi" w:hAnsiTheme="minorHAnsi" w:cstheme="minorHAnsi"/>
          <w:szCs w:val="24"/>
          <w:lang w:val="en-US"/>
        </w:rPr>
        <w:t>Studies related to wireless systems and applications for the development of the Internet of Things</w:t>
      </w:r>
      <w:r w:rsidR="002F451F" w:rsidRPr="00B26E5B">
        <w:rPr>
          <w:rFonts w:asciiTheme="minorHAnsi" w:hAnsiTheme="minorHAnsi" w:cstheme="minorHAnsi"/>
          <w:szCs w:val="24"/>
          <w:lang w:val="en-US"/>
        </w:rPr>
        <w:t>”</w:t>
      </w:r>
      <w:r w:rsidR="00150D29" w:rsidRPr="00B26E5B">
        <w:rPr>
          <w:rFonts w:asciiTheme="minorHAnsi" w:hAnsiTheme="minorHAnsi" w:cstheme="minorHAnsi"/>
          <w:szCs w:val="24"/>
          <w:lang w:val="en-US"/>
        </w:rPr>
        <w:t>, and Report ITU-R M.2440-0 “The use of the terrestrial component of International Mobile Telecommunications for narrowband and broadband machine-type communications”</w:t>
      </w:r>
      <w:r w:rsidRPr="00B26E5B">
        <w:rPr>
          <w:rFonts w:asciiTheme="minorHAnsi" w:hAnsiTheme="minorHAnsi" w:cstheme="minorHAnsi"/>
          <w:szCs w:val="24"/>
          <w:lang w:val="en-US"/>
        </w:rPr>
        <w:t>.</w:t>
      </w:r>
    </w:p>
    <w:p w14:paraId="77A37B38" w14:textId="5A39099B" w:rsidR="000029A5" w:rsidRPr="00B26E5B" w:rsidRDefault="002E2753"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t>2.</w:t>
      </w:r>
      <w:r w:rsidR="00C45FB2" w:rsidRPr="00B26E5B">
        <w:rPr>
          <w:rFonts w:asciiTheme="minorHAnsi" w:hAnsiTheme="minorHAnsi" w:cstheme="minorHAnsi"/>
          <w:bCs/>
          <w:szCs w:val="24"/>
          <w:lang w:val="en-US"/>
        </w:rPr>
        <w:t>18</w:t>
      </w:r>
      <w:r w:rsidR="00C34A92" w:rsidRPr="00B26E5B">
        <w:rPr>
          <w:rFonts w:asciiTheme="minorHAnsi" w:hAnsiTheme="minorHAnsi" w:cstheme="minorHAnsi"/>
          <w:szCs w:val="24"/>
          <w:lang w:val="en-US"/>
        </w:rPr>
        <w:tab/>
      </w:r>
      <w:r w:rsidRPr="00B26E5B">
        <w:rPr>
          <w:rFonts w:asciiTheme="minorHAnsi" w:hAnsiTheme="minorHAnsi" w:cstheme="minorHAnsi"/>
          <w:szCs w:val="24"/>
          <w:lang w:val="en-US"/>
        </w:rPr>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r w:rsidR="000029A5" w:rsidRPr="00B26E5B">
        <w:rPr>
          <w:rFonts w:asciiTheme="minorHAnsi" w:hAnsiTheme="minorHAnsi" w:cstheme="minorHAnsi"/>
          <w:szCs w:val="24"/>
          <w:lang w:val="en-US"/>
        </w:rPr>
        <w:t>.</w:t>
      </w:r>
    </w:p>
    <w:p w14:paraId="55BB1A70" w14:textId="7F614CA2" w:rsidR="00AA6A64" w:rsidRPr="00B26E5B" w:rsidRDefault="00D16F70"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szCs w:val="24"/>
          <w:lang w:val="en-US"/>
        </w:rPr>
        <w:t>2.</w:t>
      </w:r>
      <w:r w:rsidR="00C45FB2" w:rsidRPr="00B26E5B">
        <w:rPr>
          <w:rFonts w:asciiTheme="minorHAnsi" w:hAnsiTheme="minorHAnsi" w:cstheme="minorHAnsi"/>
          <w:szCs w:val="24"/>
          <w:lang w:val="en-US"/>
        </w:rPr>
        <w:t>19</w:t>
      </w:r>
      <w:r w:rsidRPr="00B26E5B">
        <w:rPr>
          <w:rFonts w:asciiTheme="minorHAnsi" w:hAnsiTheme="minorHAnsi" w:cstheme="minorHAnsi"/>
          <w:szCs w:val="24"/>
          <w:lang w:val="en-US"/>
        </w:rPr>
        <w:tab/>
        <w:t>Several trainings</w:t>
      </w:r>
      <w:r w:rsidR="00D13EAE" w:rsidRPr="00B26E5B">
        <w:rPr>
          <w:rFonts w:asciiTheme="minorHAnsi" w:hAnsiTheme="minorHAnsi" w:cstheme="minorHAnsi"/>
          <w:szCs w:val="24"/>
          <w:lang w:val="en-US"/>
        </w:rPr>
        <w:t xml:space="preserve"> were provided</w:t>
      </w:r>
      <w:r w:rsidRPr="00B26E5B">
        <w:rPr>
          <w:rFonts w:asciiTheme="minorHAnsi" w:hAnsiTheme="minorHAnsi" w:cstheme="minorHAnsi"/>
          <w:szCs w:val="24"/>
          <w:lang w:val="en-US"/>
        </w:rPr>
        <w:t xml:space="preserve"> through </w:t>
      </w:r>
      <w:hyperlink r:id="rId55" w:history="1">
        <w:r w:rsidRPr="00B26E5B">
          <w:rPr>
            <w:rStyle w:val="Hyperlink"/>
            <w:rFonts w:asciiTheme="minorHAnsi" w:hAnsiTheme="minorHAnsi" w:cstheme="minorHAnsi"/>
            <w:szCs w:val="24"/>
            <w:lang w:val="en-US"/>
          </w:rPr>
          <w:t>ITU Academy</w:t>
        </w:r>
      </w:hyperlink>
      <w:r w:rsidR="00D13EAE" w:rsidRPr="00B26E5B">
        <w:rPr>
          <w:rFonts w:asciiTheme="minorHAnsi" w:hAnsiTheme="minorHAnsi" w:cstheme="minorHAnsi"/>
          <w:szCs w:val="24"/>
          <w:lang w:val="en-US"/>
        </w:rPr>
        <w:t xml:space="preserve"> and the </w:t>
      </w:r>
      <w:hyperlink r:id="rId56" w:history="1">
        <w:r w:rsidR="00D13EAE" w:rsidRPr="00B26E5B">
          <w:rPr>
            <w:rStyle w:val="Hyperlink"/>
            <w:rFonts w:asciiTheme="minorHAnsi" w:hAnsiTheme="minorHAnsi" w:cstheme="minorHAnsi"/>
            <w:szCs w:val="24"/>
            <w:lang w:val="en-US"/>
          </w:rPr>
          <w:t>ITU Centers of Excellence</w:t>
        </w:r>
      </w:hyperlink>
      <w:r w:rsidR="00D13EAE" w:rsidRPr="00B26E5B">
        <w:rPr>
          <w:rFonts w:asciiTheme="minorHAnsi" w:hAnsiTheme="minorHAnsi" w:cstheme="minorHAnsi"/>
          <w:szCs w:val="24"/>
          <w:lang w:val="en-US"/>
        </w:rPr>
        <w:t xml:space="preserve"> network</w:t>
      </w:r>
      <w:r w:rsidR="00725ADC" w:rsidRPr="00B26E5B">
        <w:rPr>
          <w:rFonts w:asciiTheme="minorHAnsi" w:hAnsiTheme="minorHAnsi" w:cstheme="minorHAnsi"/>
          <w:szCs w:val="24"/>
          <w:lang w:val="en-US"/>
        </w:rPr>
        <w:t>, covering topics such as</w:t>
      </w:r>
      <w:r w:rsidR="0037727E"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Training on IPv6 deployment</w:t>
      </w:r>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Strategic Aspects for Internet Governance and Innovations</w:t>
      </w:r>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 xml:space="preserve">ICT Infrastructure and </w:t>
      </w:r>
      <w:proofErr w:type="spellStart"/>
      <w:r w:rsidR="0037727E" w:rsidRPr="00B26E5B">
        <w:rPr>
          <w:rFonts w:asciiTheme="minorHAnsi" w:hAnsiTheme="minorHAnsi" w:cstheme="minorHAnsi"/>
          <w:szCs w:val="24"/>
          <w:lang w:val="en-US"/>
        </w:rPr>
        <w:t>IoT</w:t>
      </w:r>
      <w:proofErr w:type="spellEnd"/>
      <w:r w:rsidR="002F451F" w:rsidRPr="00B26E5B">
        <w:rPr>
          <w:rFonts w:asciiTheme="minorHAnsi" w:hAnsiTheme="minorHAnsi" w:cstheme="minorHAnsi"/>
          <w:szCs w:val="24"/>
          <w:lang w:val="en-US"/>
        </w:rPr>
        <w:t>”</w:t>
      </w:r>
      <w:r w:rsidR="0037727E"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Technologies of Fiber Optics accesses and Next Generation Networks</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 xml:space="preserve">Technologies of </w:t>
      </w:r>
      <w:r w:rsidR="00AA6A64" w:rsidRPr="00B26E5B">
        <w:rPr>
          <w:rFonts w:asciiTheme="minorHAnsi" w:hAnsiTheme="minorHAnsi" w:cstheme="minorHAnsi"/>
          <w:szCs w:val="24"/>
          <w:lang w:val="en-US"/>
        </w:rPr>
        <w:t xml:space="preserve">fourth </w:t>
      </w:r>
      <w:r w:rsidR="008D742D" w:rsidRPr="00B26E5B">
        <w:rPr>
          <w:rFonts w:asciiTheme="minorHAnsi" w:hAnsiTheme="minorHAnsi" w:cstheme="minorHAnsi"/>
          <w:szCs w:val="24"/>
          <w:lang w:val="en-US"/>
        </w:rPr>
        <w:t>Generation: LTE and LTE Advanced</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The future of Interface towards 5G</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 xml:space="preserve">, </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The role of ICTs on Smart Sustainable Cities</w:t>
      </w:r>
      <w:r w:rsidR="002F451F" w:rsidRPr="00B26E5B">
        <w:rPr>
          <w:rFonts w:asciiTheme="minorHAnsi" w:hAnsiTheme="minorHAnsi" w:cstheme="minorHAnsi"/>
          <w:szCs w:val="24"/>
          <w:lang w:val="en-US"/>
        </w:rPr>
        <w:t>”</w:t>
      </w:r>
      <w:r w:rsidR="008D742D" w:rsidRPr="00B26E5B">
        <w:rPr>
          <w:rFonts w:asciiTheme="minorHAnsi" w:hAnsiTheme="minorHAnsi" w:cstheme="minorHAnsi"/>
          <w:szCs w:val="24"/>
          <w:lang w:val="en-US"/>
        </w:rPr>
        <w:t xml:space="preserve">, </w:t>
      </w:r>
      <w:r w:rsidR="0037727E" w:rsidRPr="00B26E5B">
        <w:rPr>
          <w:rFonts w:asciiTheme="minorHAnsi" w:hAnsiTheme="minorHAnsi" w:cstheme="minorHAnsi"/>
          <w:szCs w:val="24"/>
          <w:lang w:val="en-US"/>
        </w:rPr>
        <w:t>etc</w:t>
      </w:r>
      <w:r w:rsidR="002471CD" w:rsidRPr="00B26E5B">
        <w:rPr>
          <w:rFonts w:asciiTheme="minorHAnsi" w:hAnsiTheme="minorHAnsi" w:cstheme="minorHAnsi"/>
          <w:szCs w:val="24"/>
          <w:lang w:val="en-US"/>
        </w:rPr>
        <w:t>.</w:t>
      </w:r>
    </w:p>
    <w:p w14:paraId="05F227B6" w14:textId="0A2EDE15" w:rsidR="00152D7A" w:rsidRPr="00B26E5B" w:rsidRDefault="00AA6A64"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lastRenderedPageBreak/>
        <w:t>2.</w:t>
      </w:r>
      <w:r w:rsidR="00C45FB2" w:rsidRPr="00B26E5B">
        <w:rPr>
          <w:rFonts w:asciiTheme="minorHAnsi" w:hAnsiTheme="minorHAnsi" w:cstheme="minorHAnsi"/>
          <w:bCs/>
          <w:szCs w:val="24"/>
          <w:lang w:val="en-US"/>
        </w:rPr>
        <w:t>20</w:t>
      </w:r>
      <w:r w:rsidRPr="00B26E5B">
        <w:rPr>
          <w:rFonts w:asciiTheme="minorHAnsi" w:hAnsiTheme="minorHAnsi" w:cstheme="minorHAnsi"/>
          <w:szCs w:val="24"/>
          <w:lang w:val="en-US"/>
        </w:rPr>
        <w:tab/>
      </w:r>
      <w:r w:rsidR="00152D7A" w:rsidRPr="00B26E5B">
        <w:rPr>
          <w:rFonts w:asciiTheme="minorHAnsi" w:hAnsiTheme="minorHAnsi" w:cstheme="minorHAnsi"/>
          <w:szCs w:val="24"/>
          <w:lang w:val="en-US"/>
        </w:rPr>
        <w:t xml:space="preserve">ITU is also supporting the Costa Rican Institute of Electricity (ICE) strengthen its capacity building, including on NGN Networks, through a project called </w:t>
      </w:r>
      <w:r w:rsidR="002F451F" w:rsidRPr="00B26E5B">
        <w:rPr>
          <w:rFonts w:asciiTheme="minorHAnsi" w:hAnsiTheme="minorHAnsi" w:cstheme="minorHAnsi"/>
          <w:szCs w:val="24"/>
          <w:lang w:val="en-US"/>
        </w:rPr>
        <w:t>“</w:t>
      </w:r>
      <w:proofErr w:type="spellStart"/>
      <w:r w:rsidR="00152D7A" w:rsidRPr="00B26E5B">
        <w:rPr>
          <w:rFonts w:asciiTheme="minorHAnsi" w:hAnsiTheme="minorHAnsi" w:cstheme="minorHAnsi"/>
          <w:szCs w:val="24"/>
          <w:lang w:val="en-US"/>
        </w:rPr>
        <w:t>Desarrollo</w:t>
      </w:r>
      <w:proofErr w:type="spellEnd"/>
      <w:r w:rsidR="00152D7A" w:rsidRPr="00B26E5B">
        <w:rPr>
          <w:rFonts w:asciiTheme="minorHAnsi" w:hAnsiTheme="minorHAnsi" w:cstheme="minorHAnsi"/>
          <w:szCs w:val="24"/>
          <w:lang w:val="en-US"/>
        </w:rPr>
        <w:t xml:space="preserve"> del </w:t>
      </w:r>
      <w:proofErr w:type="spellStart"/>
      <w:r w:rsidR="00152D7A" w:rsidRPr="00B26E5B">
        <w:rPr>
          <w:rFonts w:asciiTheme="minorHAnsi" w:hAnsiTheme="minorHAnsi" w:cstheme="minorHAnsi"/>
          <w:szCs w:val="24"/>
          <w:lang w:val="en-US"/>
        </w:rPr>
        <w:t>conocimiento</w:t>
      </w:r>
      <w:proofErr w:type="spellEnd"/>
      <w:r w:rsidR="00152D7A" w:rsidRPr="00B26E5B">
        <w:rPr>
          <w:rFonts w:asciiTheme="minorHAnsi" w:hAnsiTheme="minorHAnsi" w:cstheme="minorHAnsi"/>
          <w:szCs w:val="24"/>
          <w:lang w:val="en-US"/>
        </w:rPr>
        <w:t xml:space="preserve"> </w:t>
      </w:r>
      <w:proofErr w:type="spellStart"/>
      <w:r w:rsidR="00152D7A" w:rsidRPr="00B26E5B">
        <w:rPr>
          <w:rFonts w:asciiTheme="minorHAnsi" w:hAnsiTheme="minorHAnsi" w:cstheme="minorHAnsi"/>
          <w:szCs w:val="24"/>
          <w:lang w:val="en-US"/>
        </w:rPr>
        <w:t>en</w:t>
      </w:r>
      <w:proofErr w:type="spellEnd"/>
      <w:r w:rsidR="00152D7A" w:rsidRPr="00B26E5B">
        <w:rPr>
          <w:rFonts w:asciiTheme="minorHAnsi" w:hAnsiTheme="minorHAnsi" w:cstheme="minorHAnsi"/>
          <w:szCs w:val="24"/>
          <w:lang w:val="en-US"/>
        </w:rPr>
        <w:t xml:space="preserve"> </w:t>
      </w:r>
      <w:proofErr w:type="spellStart"/>
      <w:r w:rsidR="00152D7A" w:rsidRPr="00B26E5B">
        <w:rPr>
          <w:rFonts w:asciiTheme="minorHAnsi" w:hAnsiTheme="minorHAnsi" w:cstheme="minorHAnsi"/>
          <w:szCs w:val="24"/>
          <w:lang w:val="en-US"/>
        </w:rPr>
        <w:t>tecnologías</w:t>
      </w:r>
      <w:proofErr w:type="spellEnd"/>
      <w:r w:rsidR="00152D7A" w:rsidRPr="00B26E5B">
        <w:rPr>
          <w:rFonts w:asciiTheme="minorHAnsi" w:hAnsiTheme="minorHAnsi" w:cstheme="minorHAnsi"/>
          <w:szCs w:val="24"/>
          <w:lang w:val="en-US"/>
        </w:rPr>
        <w:t xml:space="preserve">, para </w:t>
      </w:r>
      <w:proofErr w:type="spellStart"/>
      <w:r w:rsidR="00152D7A" w:rsidRPr="00B26E5B">
        <w:rPr>
          <w:rFonts w:asciiTheme="minorHAnsi" w:hAnsiTheme="minorHAnsi" w:cstheme="minorHAnsi"/>
          <w:szCs w:val="24"/>
          <w:lang w:val="en-US"/>
        </w:rPr>
        <w:t>especialistas</w:t>
      </w:r>
      <w:proofErr w:type="spellEnd"/>
      <w:r w:rsidR="00152D7A" w:rsidRPr="00B26E5B">
        <w:rPr>
          <w:rFonts w:asciiTheme="minorHAnsi" w:hAnsiTheme="minorHAnsi" w:cstheme="minorHAnsi"/>
          <w:szCs w:val="24"/>
          <w:lang w:val="en-US"/>
        </w:rPr>
        <w:t xml:space="preserve"> del ICE</w:t>
      </w:r>
      <w:r w:rsidR="002F451F" w:rsidRPr="00B26E5B">
        <w:rPr>
          <w:rFonts w:asciiTheme="minorHAnsi" w:hAnsiTheme="minorHAnsi" w:cstheme="minorHAnsi"/>
          <w:szCs w:val="24"/>
          <w:lang w:val="en-US"/>
        </w:rPr>
        <w:t>”</w:t>
      </w:r>
      <w:r w:rsidR="00152D7A" w:rsidRPr="00B26E5B">
        <w:rPr>
          <w:rFonts w:asciiTheme="minorHAnsi" w:hAnsiTheme="minorHAnsi" w:cstheme="minorHAnsi"/>
          <w:szCs w:val="24"/>
          <w:lang w:val="en-US"/>
        </w:rPr>
        <w:t>.</w:t>
      </w:r>
    </w:p>
    <w:p w14:paraId="35EA2F9C" w14:textId="70E6372C" w:rsidR="00152D7A" w:rsidRPr="00B26E5B" w:rsidRDefault="00152D7A" w:rsidP="008B2C66">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p>
    <w:p w14:paraId="743139E0" w14:textId="77777777" w:rsidR="002E2753" w:rsidRPr="00B26E5B" w:rsidRDefault="002E2753" w:rsidP="00AA6A64">
      <w:pPr>
        <w:keepNext/>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
          <w:szCs w:val="24"/>
          <w:lang w:val="en-US"/>
        </w:rPr>
        <w:t>3.</w:t>
      </w:r>
      <w:r w:rsidRPr="00B26E5B">
        <w:rPr>
          <w:rFonts w:asciiTheme="minorHAnsi" w:hAnsiTheme="minorHAnsi" w:cstheme="minorHAnsi"/>
          <w:b/>
          <w:szCs w:val="24"/>
          <w:lang w:val="en-US"/>
        </w:rPr>
        <w:tab/>
        <w:t>IPv6</w:t>
      </w:r>
    </w:p>
    <w:p w14:paraId="1F864E26" w14:textId="43563475" w:rsidR="00C252DF" w:rsidRPr="00B26E5B" w:rsidRDefault="00F13AC1"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B26E5B">
        <w:rPr>
          <w:rFonts w:asciiTheme="minorHAnsi" w:hAnsiTheme="minorHAnsi" w:cstheme="minorHAnsi"/>
          <w:bCs/>
          <w:szCs w:val="24"/>
        </w:rPr>
        <w:t>3.1</w:t>
      </w:r>
      <w:r w:rsidRPr="00B26E5B">
        <w:rPr>
          <w:rFonts w:asciiTheme="minorHAnsi" w:hAnsiTheme="minorHAnsi" w:cstheme="minorHAnsi"/>
          <w:szCs w:val="24"/>
        </w:rPr>
        <w:tab/>
        <w:t>ITU-T SG3 continue</w:t>
      </w:r>
      <w:r w:rsidR="008D720A" w:rsidRPr="00B26E5B">
        <w:rPr>
          <w:rFonts w:asciiTheme="minorHAnsi" w:hAnsiTheme="minorHAnsi" w:cstheme="minorHAnsi"/>
          <w:szCs w:val="24"/>
        </w:rPr>
        <w:t>s</w:t>
      </w:r>
      <w:r w:rsidRPr="00B26E5B">
        <w:rPr>
          <w:rFonts w:asciiTheme="minorHAnsi" w:hAnsiTheme="minorHAnsi" w:cstheme="minorHAnsi"/>
          <w:szCs w:val="24"/>
        </w:rPr>
        <w:t xml:space="preserve"> to study the methodology and work items needed for the implementation of the relevant parts of WTSA Res. 64. ITU-T </w:t>
      </w:r>
      <w:r w:rsidR="00A759BB" w:rsidRPr="00B26E5B">
        <w:rPr>
          <w:rFonts w:asciiTheme="minorHAnsi" w:hAnsiTheme="minorHAnsi" w:cstheme="minorHAnsi"/>
          <w:szCs w:val="24"/>
        </w:rPr>
        <w:t xml:space="preserve">SG11 and </w:t>
      </w:r>
      <w:r w:rsidRPr="00B26E5B">
        <w:rPr>
          <w:rFonts w:asciiTheme="minorHAnsi" w:hAnsiTheme="minorHAnsi" w:cstheme="minorHAnsi"/>
          <w:szCs w:val="24"/>
        </w:rPr>
        <w:t xml:space="preserve">SG20 </w:t>
      </w:r>
      <w:r w:rsidR="00A759BB" w:rsidRPr="00B26E5B">
        <w:rPr>
          <w:rFonts w:asciiTheme="minorHAnsi" w:hAnsiTheme="minorHAnsi" w:cstheme="minorHAnsi"/>
          <w:szCs w:val="24"/>
        </w:rPr>
        <w:t xml:space="preserve">are </w:t>
      </w:r>
      <w:r w:rsidR="002471CD" w:rsidRPr="00B26E5B">
        <w:rPr>
          <w:rFonts w:asciiTheme="minorHAnsi" w:hAnsiTheme="minorHAnsi" w:cstheme="minorHAnsi"/>
          <w:szCs w:val="24"/>
        </w:rPr>
        <w:t xml:space="preserve">also </w:t>
      </w:r>
      <w:r w:rsidRPr="00B26E5B">
        <w:rPr>
          <w:rFonts w:asciiTheme="minorHAnsi" w:hAnsiTheme="minorHAnsi" w:cstheme="minorHAnsi"/>
          <w:szCs w:val="24"/>
        </w:rPr>
        <w:t>working on draft ITU-T Recommendations</w:t>
      </w:r>
      <w:r w:rsidR="002471CD" w:rsidRPr="00B26E5B">
        <w:rPr>
          <w:rFonts w:asciiTheme="minorHAnsi" w:hAnsiTheme="minorHAnsi" w:cstheme="minorHAnsi"/>
          <w:szCs w:val="24"/>
        </w:rPr>
        <w:t xml:space="preserve"> on IPv6.</w:t>
      </w:r>
    </w:p>
    <w:p w14:paraId="7E70C05F" w14:textId="77777777" w:rsidR="00F13AC1" w:rsidRPr="00B26E5B" w:rsidRDefault="00C252DF">
      <w:pPr>
        <w:pStyle w:val="Header"/>
        <w:snapToGrid w:val="0"/>
        <w:spacing w:before="120" w:after="120"/>
        <w:jc w:val="both"/>
        <w:rPr>
          <w:rFonts w:asciiTheme="minorHAnsi" w:hAnsiTheme="minorHAnsi" w:cstheme="minorHAnsi"/>
          <w:sz w:val="24"/>
          <w:szCs w:val="24"/>
        </w:rPr>
      </w:pPr>
      <w:r w:rsidRPr="00B26E5B">
        <w:rPr>
          <w:rFonts w:asciiTheme="minorHAnsi" w:hAnsiTheme="minorHAnsi" w:cstheme="minorHAnsi"/>
          <w:bCs/>
          <w:sz w:val="24"/>
          <w:szCs w:val="24"/>
          <w:lang w:val="en-US"/>
        </w:rPr>
        <w:t>3.</w:t>
      </w:r>
      <w:r w:rsidR="00851589" w:rsidRPr="00B26E5B">
        <w:rPr>
          <w:rFonts w:asciiTheme="minorHAnsi" w:hAnsiTheme="minorHAnsi" w:cstheme="minorHAnsi"/>
          <w:bCs/>
          <w:sz w:val="24"/>
          <w:szCs w:val="24"/>
          <w:lang w:val="en-US"/>
        </w:rPr>
        <w:t>2</w:t>
      </w:r>
      <w:r w:rsidRPr="00B26E5B">
        <w:rPr>
          <w:rFonts w:asciiTheme="minorHAnsi" w:hAnsiTheme="minorHAnsi" w:cstheme="minorHAnsi"/>
          <w:sz w:val="24"/>
          <w:szCs w:val="24"/>
          <w:lang w:val="en-US"/>
        </w:rPr>
        <w:tab/>
        <w:t xml:space="preserve">BDT and MUST (Malaysia University of Science and Technology) continue </w:t>
      </w:r>
      <w:r w:rsidR="00867EA4" w:rsidRPr="00B26E5B">
        <w:rPr>
          <w:rFonts w:asciiTheme="minorHAnsi" w:hAnsiTheme="minorHAnsi" w:cstheme="minorHAnsi"/>
          <w:sz w:val="24"/>
          <w:szCs w:val="24"/>
          <w:lang w:val="en-US"/>
        </w:rPr>
        <w:t>work</w:t>
      </w:r>
      <w:r w:rsidR="0065561B" w:rsidRPr="00B26E5B">
        <w:rPr>
          <w:rFonts w:asciiTheme="minorHAnsi" w:hAnsiTheme="minorHAnsi" w:cstheme="minorHAnsi"/>
          <w:sz w:val="24"/>
          <w:szCs w:val="24"/>
          <w:lang w:val="en-US"/>
        </w:rPr>
        <w:t>ing</w:t>
      </w:r>
      <w:r w:rsidR="00867EA4" w:rsidRPr="00B26E5B">
        <w:rPr>
          <w:rFonts w:asciiTheme="minorHAnsi" w:hAnsiTheme="minorHAnsi" w:cstheme="minorHAnsi"/>
          <w:sz w:val="24"/>
          <w:szCs w:val="24"/>
          <w:lang w:val="en-US"/>
        </w:rPr>
        <w:t xml:space="preserve"> towards </w:t>
      </w:r>
      <w:r w:rsidR="0065561B" w:rsidRPr="00B26E5B">
        <w:rPr>
          <w:rFonts w:asciiTheme="minorHAnsi" w:hAnsiTheme="minorHAnsi" w:cstheme="minorHAnsi"/>
          <w:sz w:val="24"/>
          <w:szCs w:val="24"/>
          <w:lang w:val="en-US"/>
        </w:rPr>
        <w:t xml:space="preserve">the establishment of </w:t>
      </w:r>
      <w:r w:rsidRPr="00B26E5B">
        <w:rPr>
          <w:rFonts w:asciiTheme="minorHAnsi" w:hAnsiTheme="minorHAnsi" w:cstheme="minorHAnsi"/>
          <w:sz w:val="24"/>
          <w:szCs w:val="24"/>
          <w:lang w:val="en-US"/>
        </w:rPr>
        <w:t>an ITU IPV6/</w:t>
      </w:r>
      <w:proofErr w:type="spellStart"/>
      <w:r w:rsidRPr="00B26E5B">
        <w:rPr>
          <w:rFonts w:asciiTheme="minorHAnsi" w:hAnsiTheme="minorHAnsi" w:cstheme="minorHAnsi"/>
          <w:sz w:val="24"/>
          <w:szCs w:val="24"/>
          <w:lang w:val="en-US"/>
        </w:rPr>
        <w:t>IoT</w:t>
      </w:r>
      <w:proofErr w:type="spellEnd"/>
      <w:r w:rsidRPr="00B26E5B">
        <w:rPr>
          <w:rFonts w:asciiTheme="minorHAnsi" w:hAnsiTheme="minorHAnsi" w:cstheme="minorHAnsi"/>
          <w:sz w:val="24"/>
          <w:szCs w:val="24"/>
          <w:lang w:val="en-US"/>
        </w:rPr>
        <w:t xml:space="preserve"> Expertise Centre </w:t>
      </w:r>
      <w:r w:rsidR="000029A5" w:rsidRPr="00B26E5B">
        <w:rPr>
          <w:rFonts w:asciiTheme="minorHAnsi" w:hAnsiTheme="minorHAnsi" w:cstheme="minorHAnsi"/>
          <w:sz w:val="24"/>
          <w:szCs w:val="24"/>
          <w:lang w:val="en-US"/>
        </w:rPr>
        <w:t xml:space="preserve">for supporting </w:t>
      </w:r>
      <w:r w:rsidRPr="00B26E5B">
        <w:rPr>
          <w:rFonts w:asciiTheme="minorHAnsi" w:hAnsiTheme="minorHAnsi" w:cstheme="minorHAnsi"/>
          <w:sz w:val="24"/>
          <w:szCs w:val="24"/>
          <w:lang w:val="en-US"/>
        </w:rPr>
        <w:t xml:space="preserve">Member States in their transition from IPv4 to IPv6 for </w:t>
      </w:r>
      <w:proofErr w:type="spellStart"/>
      <w:r w:rsidRPr="00B26E5B">
        <w:rPr>
          <w:rFonts w:asciiTheme="minorHAnsi" w:hAnsiTheme="minorHAnsi" w:cstheme="minorHAnsi"/>
          <w:sz w:val="24"/>
          <w:szCs w:val="24"/>
          <w:lang w:val="en-US"/>
        </w:rPr>
        <w:t>IoTs</w:t>
      </w:r>
      <w:proofErr w:type="spellEnd"/>
      <w:r w:rsidRPr="00B26E5B">
        <w:rPr>
          <w:rFonts w:asciiTheme="minorHAnsi" w:hAnsiTheme="minorHAnsi" w:cstheme="minorHAnsi"/>
          <w:sz w:val="24"/>
          <w:szCs w:val="24"/>
          <w:lang w:val="en-US"/>
        </w:rPr>
        <w:t>.</w:t>
      </w:r>
    </w:p>
    <w:p w14:paraId="062CC9F6" w14:textId="5D2732C9" w:rsidR="00DD1E1D" w:rsidRPr="00B26E5B" w:rsidRDefault="00F13AC1" w:rsidP="00B26E5B">
      <w:pPr>
        <w:pStyle w:val="NormalWeb"/>
        <w:adjustRightInd w:val="0"/>
        <w:snapToGrid w:val="0"/>
        <w:spacing w:before="120" w:after="120" w:line="240" w:lineRule="auto"/>
        <w:jc w:val="both"/>
        <w:rPr>
          <w:rFonts w:asciiTheme="minorHAnsi" w:hAnsiTheme="minorHAnsi" w:cstheme="minorHAnsi"/>
          <w:sz w:val="24"/>
          <w:lang w:val="en-US"/>
        </w:rPr>
      </w:pPr>
      <w:r w:rsidRPr="00B26E5B">
        <w:rPr>
          <w:rFonts w:asciiTheme="minorHAnsi" w:hAnsiTheme="minorHAnsi" w:cstheme="minorHAnsi"/>
          <w:bCs/>
          <w:sz w:val="24"/>
          <w:lang w:val="en-GB"/>
        </w:rPr>
        <w:t>3.</w:t>
      </w:r>
      <w:r w:rsidR="00851589" w:rsidRPr="00B26E5B">
        <w:rPr>
          <w:rFonts w:asciiTheme="minorHAnsi" w:hAnsiTheme="minorHAnsi" w:cstheme="minorHAnsi"/>
          <w:bCs/>
          <w:sz w:val="24"/>
          <w:lang w:val="en-GB"/>
        </w:rPr>
        <w:t>3</w:t>
      </w:r>
      <w:r w:rsidRPr="00B26E5B">
        <w:rPr>
          <w:rFonts w:asciiTheme="minorHAnsi" w:hAnsiTheme="minorHAnsi" w:cstheme="minorHAnsi"/>
          <w:sz w:val="24"/>
          <w:lang w:val="en-GB"/>
        </w:rPr>
        <w:tab/>
        <w:t>Work continues on the ITU IPTV IPv6 Global Testbed (</w:t>
      </w:r>
      <w:r w:rsidR="00E307EB">
        <w:fldChar w:fldCharType="begin"/>
      </w:r>
      <w:r w:rsidR="00E307EB" w:rsidRPr="00E307EB">
        <w:rPr>
          <w:lang w:val="en-US"/>
        </w:rPr>
        <w:instrText xml:space="preserve"> HYPERLINK "http://www.itu.int/en/ITU-T/C-I/interop/I3GT/Pages/default.aspx" </w:instrText>
      </w:r>
      <w:r w:rsidR="00E307EB">
        <w:fldChar w:fldCharType="separate"/>
      </w:r>
      <w:r w:rsidRPr="00B26E5B">
        <w:rPr>
          <w:rStyle w:val="Hyperlink"/>
          <w:rFonts w:asciiTheme="minorHAnsi" w:hAnsiTheme="minorHAnsi" w:cstheme="minorHAnsi"/>
          <w:sz w:val="24"/>
          <w:lang w:val="en-GB"/>
        </w:rPr>
        <w:t>I3GT</w:t>
      </w:r>
      <w:r w:rsidR="00E307EB">
        <w:rPr>
          <w:rStyle w:val="Hyperlink"/>
          <w:rFonts w:asciiTheme="minorHAnsi" w:hAnsiTheme="minorHAnsi" w:cstheme="minorHAnsi"/>
          <w:sz w:val="24"/>
          <w:lang w:val="en-GB"/>
        </w:rPr>
        <w:fldChar w:fldCharType="end"/>
      </w:r>
      <w:r w:rsidRPr="00B26E5B">
        <w:rPr>
          <w:rFonts w:asciiTheme="minorHAnsi" w:hAnsiTheme="minorHAnsi" w:cstheme="minorHAnsi"/>
          <w:sz w:val="24"/>
          <w:lang w:val="en-GB"/>
        </w:rPr>
        <w:t xml:space="preserve">) project among ITU members with the support of </w:t>
      </w:r>
      <w:r w:rsidR="00890C87" w:rsidRPr="00B26E5B">
        <w:rPr>
          <w:rFonts w:asciiTheme="minorHAnsi" w:hAnsiTheme="minorHAnsi" w:cstheme="minorHAnsi"/>
          <w:sz w:val="24"/>
          <w:lang w:val="en-GB"/>
        </w:rPr>
        <w:t xml:space="preserve">the </w:t>
      </w:r>
      <w:r w:rsidRPr="00B26E5B">
        <w:rPr>
          <w:rFonts w:asciiTheme="minorHAnsi" w:hAnsiTheme="minorHAnsi" w:cstheme="minorHAnsi"/>
          <w:sz w:val="24"/>
          <w:lang w:val="en-GB"/>
        </w:rPr>
        <w:t>ITU secretariat to test various aspects of ITU-T</w:t>
      </w:r>
      <w:r w:rsidR="002F451F" w:rsidRPr="00B26E5B">
        <w:rPr>
          <w:rFonts w:asciiTheme="minorHAnsi" w:hAnsiTheme="minorHAnsi" w:cstheme="minorHAnsi"/>
          <w:sz w:val="24"/>
          <w:lang w:val="en-GB"/>
        </w:rPr>
        <w:t>’</w:t>
      </w:r>
      <w:r w:rsidRPr="00B26E5B">
        <w:rPr>
          <w:rFonts w:asciiTheme="minorHAnsi" w:hAnsiTheme="minorHAnsi" w:cstheme="minorHAnsi"/>
          <w:sz w:val="24"/>
          <w:lang w:val="en-GB"/>
        </w:rPr>
        <w:t xml:space="preserve">s IPTV standards, train academia on up-to-date IPTV technologies, showcase standardized IPTV to stakeholders, and also to promote IPv6 capability deployment in developing countries. </w:t>
      </w:r>
      <w:r w:rsidR="006624C2" w:rsidRPr="00B26E5B">
        <w:rPr>
          <w:rFonts w:asciiTheme="minorHAnsi" w:hAnsiTheme="minorHAnsi" w:cstheme="minorHAnsi"/>
          <w:sz w:val="24"/>
          <w:lang w:val="en-GB"/>
        </w:rPr>
        <w:t xml:space="preserve">ITU-T SG16 </w:t>
      </w:r>
      <w:r w:rsidR="00015770" w:rsidRPr="00B26E5B">
        <w:rPr>
          <w:rFonts w:asciiTheme="minorHAnsi" w:hAnsiTheme="minorHAnsi" w:cstheme="minorHAnsi"/>
          <w:sz w:val="24"/>
          <w:lang w:val="en-US"/>
        </w:rPr>
        <w:t xml:space="preserve">is </w:t>
      </w:r>
      <w:r w:rsidR="006624C2" w:rsidRPr="00B26E5B">
        <w:rPr>
          <w:rFonts w:asciiTheme="minorHAnsi" w:hAnsiTheme="minorHAnsi" w:cstheme="minorHAnsi"/>
          <w:sz w:val="24"/>
          <w:lang w:val="en-US"/>
        </w:rPr>
        <w:t xml:space="preserve">working on </w:t>
      </w:r>
      <w:r w:rsidR="00AA7642" w:rsidRPr="00B26E5B">
        <w:rPr>
          <w:rFonts w:asciiTheme="minorHAnsi" w:hAnsiTheme="minorHAnsi" w:cstheme="minorHAnsi"/>
          <w:sz w:val="24"/>
          <w:lang w:val="en-US"/>
        </w:rPr>
        <w:t xml:space="preserve">the </w:t>
      </w:r>
      <w:r w:rsidR="006624C2" w:rsidRPr="00B26E5B">
        <w:rPr>
          <w:rFonts w:asciiTheme="minorHAnsi" w:hAnsiTheme="minorHAnsi" w:cstheme="minorHAnsi"/>
          <w:sz w:val="24"/>
          <w:lang w:val="en-US"/>
        </w:rPr>
        <w:t xml:space="preserve">draft ITU-T Technical Paper </w:t>
      </w:r>
      <w:r w:rsidR="00E307EB">
        <w:fldChar w:fldCharType="begin"/>
      </w:r>
      <w:r w:rsidR="00E307EB" w:rsidRPr="00E307EB">
        <w:rPr>
          <w:lang w:val="en-US"/>
        </w:rPr>
        <w:instrText xml:space="preserve"> HYPERLINK "http://www.itu.int/itu-t/workprog/wp_item.aspx?isn=14423" </w:instrText>
      </w:r>
      <w:r w:rsidR="00E307EB">
        <w:fldChar w:fldCharType="separate"/>
      </w:r>
      <w:r w:rsidR="006624C2" w:rsidRPr="00B26E5B">
        <w:rPr>
          <w:rStyle w:val="Hyperlink"/>
          <w:rFonts w:asciiTheme="minorHAnsi" w:hAnsiTheme="minorHAnsi" w:cstheme="minorHAnsi"/>
          <w:sz w:val="24"/>
          <w:lang w:val="en-US"/>
        </w:rPr>
        <w:t>HSTP.IPTV-Guide.2</w:t>
      </w:r>
      <w:r w:rsidR="00E307EB">
        <w:rPr>
          <w:rStyle w:val="Hyperlink"/>
          <w:rFonts w:asciiTheme="minorHAnsi" w:hAnsiTheme="minorHAnsi" w:cstheme="minorHAnsi"/>
          <w:sz w:val="24"/>
          <w:lang w:val="en-US"/>
        </w:rPr>
        <w:fldChar w:fldCharType="end"/>
      </w:r>
      <w:r w:rsidR="00AA7642" w:rsidRPr="00B26E5B">
        <w:rPr>
          <w:rFonts w:asciiTheme="minorHAnsi" w:hAnsiTheme="minorHAnsi" w:cstheme="minorHAnsi"/>
          <w:sz w:val="24"/>
          <w:lang w:val="en-US"/>
        </w:rPr>
        <w:t xml:space="preserve"> on</w:t>
      </w:r>
      <w:r w:rsidR="006624C2" w:rsidRPr="00B26E5B">
        <w:rPr>
          <w:rFonts w:asciiTheme="minorHAnsi" w:hAnsiTheme="minorHAnsi" w:cstheme="minorHAnsi"/>
          <w:sz w:val="24"/>
          <w:lang w:val="en-US"/>
        </w:rPr>
        <w:t xml:space="preserve"> </w:t>
      </w:r>
      <w:r w:rsidR="002F451F" w:rsidRPr="00B26E5B">
        <w:rPr>
          <w:rFonts w:asciiTheme="minorHAnsi" w:hAnsiTheme="minorHAnsi" w:cstheme="minorHAnsi"/>
          <w:color w:val="44546A"/>
          <w:sz w:val="24"/>
          <w:lang w:val="en-US"/>
        </w:rPr>
        <w:t>“</w:t>
      </w:r>
      <w:r w:rsidR="006624C2" w:rsidRPr="00B26E5B">
        <w:rPr>
          <w:rFonts w:asciiTheme="minorHAnsi" w:hAnsiTheme="minorHAnsi" w:cstheme="minorHAnsi"/>
          <w:sz w:val="24"/>
          <w:lang w:val="en-US"/>
        </w:rPr>
        <w:t>IPTV service parameters for new IPTV service providers</w:t>
      </w:r>
      <w:r w:rsidR="002F451F" w:rsidRPr="00B26E5B">
        <w:rPr>
          <w:rFonts w:asciiTheme="minorHAnsi" w:hAnsiTheme="minorHAnsi" w:cstheme="minorHAnsi"/>
          <w:sz w:val="24"/>
          <w:lang w:val="en-US"/>
        </w:rPr>
        <w:t>”</w:t>
      </w:r>
      <w:r w:rsidR="006624C2" w:rsidRPr="00B26E5B">
        <w:rPr>
          <w:rFonts w:asciiTheme="minorHAnsi" w:hAnsiTheme="minorHAnsi" w:cstheme="minorHAnsi"/>
          <w:sz w:val="24"/>
          <w:lang w:val="en-US"/>
        </w:rPr>
        <w:t>.</w:t>
      </w:r>
      <w:r w:rsidR="00DD1E1D" w:rsidRPr="00B26E5B">
        <w:rPr>
          <w:rFonts w:asciiTheme="minorHAnsi" w:hAnsiTheme="minorHAnsi" w:cstheme="minorHAnsi"/>
          <w:sz w:val="24"/>
          <w:lang w:val="en-US"/>
        </w:rPr>
        <w:t xml:space="preserve"> </w:t>
      </w:r>
    </w:p>
    <w:p w14:paraId="13D3698E" w14:textId="5B40626D" w:rsidR="008B6A27" w:rsidRPr="007C4915" w:rsidRDefault="00DD1E1D" w:rsidP="00B26E5B">
      <w:pPr>
        <w:pStyle w:val="NormalWeb"/>
        <w:adjustRightInd w:val="0"/>
        <w:snapToGrid w:val="0"/>
        <w:spacing w:before="120" w:after="120" w:line="240" w:lineRule="auto"/>
        <w:jc w:val="both"/>
        <w:rPr>
          <w:rFonts w:asciiTheme="minorHAnsi" w:hAnsiTheme="minorHAnsi" w:cstheme="minorHAnsi"/>
          <w:sz w:val="24"/>
          <w:lang w:val="en-US"/>
        </w:rPr>
      </w:pPr>
      <w:r w:rsidRPr="00B26E5B">
        <w:rPr>
          <w:rFonts w:asciiTheme="minorHAnsi" w:hAnsiTheme="minorHAnsi" w:cstheme="minorHAnsi"/>
          <w:sz w:val="24"/>
          <w:lang w:val="en-US"/>
        </w:rPr>
        <w:t>3.4</w:t>
      </w:r>
      <w:r w:rsidRPr="00B26E5B">
        <w:rPr>
          <w:rFonts w:asciiTheme="minorHAnsi" w:hAnsiTheme="minorHAnsi" w:cstheme="minorHAnsi"/>
          <w:sz w:val="24"/>
          <w:lang w:val="en-US"/>
        </w:rPr>
        <w:tab/>
      </w:r>
      <w:r w:rsidR="002E2753" w:rsidRPr="00B26E5B">
        <w:rPr>
          <w:rFonts w:asciiTheme="minorHAnsi" w:hAnsiTheme="minorHAnsi" w:cstheme="minorHAnsi"/>
          <w:sz w:val="24"/>
          <w:lang w:val="en-US"/>
        </w:rPr>
        <w:t>BDT continues to provide assistance to countries on the implementation of IPv6 policies and IPv6 test bed as requested by Member States</w:t>
      </w:r>
      <w:r w:rsidR="00E0552C" w:rsidRPr="00B26E5B">
        <w:rPr>
          <w:rFonts w:asciiTheme="minorHAnsi" w:hAnsiTheme="minorHAnsi" w:cstheme="minorHAnsi"/>
          <w:sz w:val="24"/>
          <w:lang w:val="en-US"/>
        </w:rPr>
        <w:t>,</w:t>
      </w:r>
      <w:r w:rsidR="002E2753" w:rsidRPr="00B26E5B">
        <w:rPr>
          <w:rFonts w:asciiTheme="minorHAnsi" w:hAnsiTheme="minorHAnsi" w:cstheme="minorHAnsi"/>
          <w:sz w:val="24"/>
          <w:lang w:val="en-US"/>
        </w:rPr>
        <w:t xml:space="preserve"> e.g.</w:t>
      </w:r>
      <w:r w:rsidR="003067F3" w:rsidRPr="00B26E5B">
        <w:rPr>
          <w:rFonts w:asciiTheme="minorHAnsi" w:hAnsiTheme="minorHAnsi" w:cstheme="minorHAnsi"/>
          <w:sz w:val="24"/>
          <w:lang w:val="en-US"/>
        </w:rPr>
        <w:t>:</w:t>
      </w:r>
      <w:r w:rsidR="002E2753" w:rsidRPr="00B26E5B">
        <w:rPr>
          <w:rFonts w:asciiTheme="minorHAnsi" w:hAnsiTheme="minorHAnsi" w:cstheme="minorHAnsi"/>
          <w:sz w:val="24"/>
          <w:lang w:val="en-US"/>
        </w:rPr>
        <w:t xml:space="preserve"> </w:t>
      </w:r>
      <w:r w:rsidR="00934784" w:rsidRPr="00B26E5B">
        <w:rPr>
          <w:rFonts w:asciiTheme="minorHAnsi" w:hAnsiTheme="minorHAnsi" w:cstheme="minorHAnsi"/>
          <w:sz w:val="24"/>
          <w:lang w:val="en-US"/>
        </w:rPr>
        <w:t xml:space="preserve">In the Africa region, assistance was provided in setting up of an Internet protocol version 6 (IPv6) testbed in Côte d’Ivoire and Uganda, to be used as </w:t>
      </w:r>
      <w:proofErr w:type="spellStart"/>
      <w:r w:rsidR="00934784" w:rsidRPr="00B26E5B">
        <w:rPr>
          <w:rFonts w:asciiTheme="minorHAnsi" w:hAnsiTheme="minorHAnsi" w:cstheme="minorHAnsi"/>
          <w:sz w:val="24"/>
          <w:lang w:val="en-US"/>
        </w:rPr>
        <w:t>subregional</w:t>
      </w:r>
      <w:proofErr w:type="spellEnd"/>
      <w:r w:rsidR="00934784" w:rsidRPr="00B26E5B">
        <w:rPr>
          <w:rFonts w:asciiTheme="minorHAnsi" w:hAnsiTheme="minorHAnsi" w:cstheme="minorHAnsi"/>
          <w:sz w:val="24"/>
          <w:lang w:val="en-US"/>
        </w:rPr>
        <w:t xml:space="preserve"> test beds for IPv4 to IPv6 migration in Western and Eastern Africa, respectively; in Zimbabwe to be used as a </w:t>
      </w:r>
      <w:proofErr w:type="spellStart"/>
      <w:r w:rsidR="00934784" w:rsidRPr="00B26E5B">
        <w:rPr>
          <w:rFonts w:asciiTheme="minorHAnsi" w:hAnsiTheme="minorHAnsi" w:cstheme="minorHAnsi"/>
          <w:sz w:val="24"/>
          <w:lang w:val="en-US"/>
        </w:rPr>
        <w:t>subregional</w:t>
      </w:r>
      <w:proofErr w:type="spellEnd"/>
      <w:r w:rsidR="00934784" w:rsidRPr="00B26E5B">
        <w:rPr>
          <w:rFonts w:asciiTheme="minorHAnsi" w:hAnsiTheme="minorHAnsi" w:cstheme="minorHAnsi"/>
          <w:sz w:val="24"/>
          <w:lang w:val="en-US"/>
        </w:rPr>
        <w:t xml:space="preserve"> testbed for IPv4 to IPv6 migration in Southern Africa; and in Cameroon, to be used as a </w:t>
      </w:r>
      <w:proofErr w:type="spellStart"/>
      <w:r w:rsidR="00934784" w:rsidRPr="00B26E5B">
        <w:rPr>
          <w:rFonts w:asciiTheme="minorHAnsi" w:hAnsiTheme="minorHAnsi" w:cstheme="minorHAnsi"/>
          <w:sz w:val="24"/>
          <w:lang w:val="en-US"/>
        </w:rPr>
        <w:t>subregional</w:t>
      </w:r>
      <w:proofErr w:type="spellEnd"/>
      <w:r w:rsidR="00934784" w:rsidRPr="00B26E5B">
        <w:rPr>
          <w:rFonts w:asciiTheme="minorHAnsi" w:hAnsiTheme="minorHAnsi" w:cstheme="minorHAnsi"/>
          <w:sz w:val="24"/>
          <w:lang w:val="en-US"/>
        </w:rPr>
        <w:t xml:space="preserve"> testbed for IPv4 to IPv6 </w:t>
      </w:r>
      <w:r w:rsidR="00934784" w:rsidRPr="007C4915">
        <w:rPr>
          <w:rFonts w:asciiTheme="minorHAnsi" w:hAnsiTheme="minorHAnsi" w:cstheme="minorHAnsi"/>
          <w:sz w:val="24"/>
          <w:lang w:val="en-US"/>
        </w:rPr>
        <w:t>migration in Central Africa</w:t>
      </w:r>
      <w:r w:rsidRPr="007C4915">
        <w:rPr>
          <w:rFonts w:asciiTheme="minorHAnsi" w:hAnsiTheme="minorHAnsi" w:cstheme="minorHAnsi"/>
          <w:sz w:val="24"/>
          <w:lang w:val="en-US"/>
        </w:rPr>
        <w:t>.</w:t>
      </w:r>
      <w:r w:rsidR="008B6A27" w:rsidRPr="007C4915">
        <w:rPr>
          <w:rFonts w:asciiTheme="minorHAnsi" w:hAnsiTheme="minorHAnsi" w:cstheme="minorHAnsi"/>
          <w:sz w:val="24"/>
          <w:lang w:val="en-US"/>
        </w:rPr>
        <w:t xml:space="preserve"> </w:t>
      </w:r>
      <w:r w:rsidRPr="007C4915">
        <w:rPr>
          <w:rFonts w:asciiTheme="minorHAnsi" w:hAnsiTheme="minorHAnsi" w:cstheme="minorHAnsi"/>
          <w:sz w:val="24"/>
          <w:lang w:val="en-US"/>
        </w:rPr>
        <w:t>An I</w:t>
      </w:r>
      <w:r w:rsidR="008B6A27" w:rsidRPr="007C4915">
        <w:rPr>
          <w:rFonts w:asciiTheme="minorHAnsi" w:hAnsiTheme="minorHAnsi" w:cstheme="minorHAnsi"/>
          <w:sz w:val="24"/>
          <w:lang w:val="en-US"/>
        </w:rPr>
        <w:t xml:space="preserve">Pv6 test bed installation is planned for </w:t>
      </w:r>
      <w:r w:rsidRPr="007C4915">
        <w:rPr>
          <w:rFonts w:asciiTheme="minorHAnsi" w:hAnsiTheme="minorHAnsi" w:cstheme="minorHAnsi"/>
          <w:sz w:val="24"/>
          <w:lang w:val="en-US"/>
        </w:rPr>
        <w:t xml:space="preserve">the </w:t>
      </w:r>
      <w:r w:rsidR="008B6A27" w:rsidRPr="007C4915">
        <w:rPr>
          <w:rFonts w:asciiTheme="minorHAnsi" w:hAnsiTheme="minorHAnsi" w:cstheme="minorHAnsi"/>
          <w:sz w:val="24"/>
          <w:lang w:val="en-US"/>
        </w:rPr>
        <w:t>1</w:t>
      </w:r>
      <w:r w:rsidR="008B6A27" w:rsidRPr="007C4915">
        <w:rPr>
          <w:rFonts w:asciiTheme="minorHAnsi" w:hAnsiTheme="minorHAnsi" w:cstheme="minorHAnsi"/>
          <w:sz w:val="24"/>
          <w:vertAlign w:val="superscript"/>
          <w:lang w:val="en-US"/>
        </w:rPr>
        <w:t>st</w:t>
      </w:r>
      <w:r w:rsidR="008B6A27" w:rsidRPr="007C4915">
        <w:rPr>
          <w:rFonts w:asciiTheme="minorHAnsi" w:hAnsiTheme="minorHAnsi" w:cstheme="minorHAnsi"/>
          <w:sz w:val="24"/>
          <w:lang w:val="en-US"/>
        </w:rPr>
        <w:t xml:space="preserve"> quarter </w:t>
      </w:r>
      <w:r w:rsidRPr="007C4915">
        <w:rPr>
          <w:rFonts w:asciiTheme="minorHAnsi" w:hAnsiTheme="minorHAnsi" w:cstheme="minorHAnsi"/>
          <w:sz w:val="24"/>
          <w:lang w:val="en-US"/>
        </w:rPr>
        <w:t xml:space="preserve">of </w:t>
      </w:r>
      <w:r w:rsidR="008B6A27" w:rsidRPr="007C4915">
        <w:rPr>
          <w:rFonts w:asciiTheme="minorHAnsi" w:hAnsiTheme="minorHAnsi" w:cstheme="minorHAnsi"/>
          <w:sz w:val="24"/>
          <w:lang w:val="en-US"/>
        </w:rPr>
        <w:t>2019 in Sierra Leone. A Feasibility study has been conducted on IPv6 test beds improvement and a master plan is under development to facilitate African countries to adopt IPv6</w:t>
      </w:r>
      <w:r w:rsidRPr="007C4915">
        <w:rPr>
          <w:rFonts w:asciiTheme="minorHAnsi" w:hAnsiTheme="minorHAnsi" w:cstheme="minorHAnsi"/>
          <w:sz w:val="24"/>
          <w:lang w:val="en-US"/>
        </w:rPr>
        <w:t>.</w:t>
      </w:r>
      <w:r w:rsidR="008B6A27" w:rsidRPr="007C4915">
        <w:rPr>
          <w:rFonts w:asciiTheme="minorHAnsi" w:hAnsiTheme="minorHAnsi" w:cstheme="minorHAnsi"/>
          <w:sz w:val="24"/>
          <w:lang w:val="en-US"/>
        </w:rPr>
        <w:t xml:space="preserve">   </w:t>
      </w:r>
    </w:p>
    <w:p w14:paraId="7D543188" w14:textId="2E25AC3D" w:rsidR="00A73915" w:rsidRPr="00B26E5B" w:rsidRDefault="007D2F77" w:rsidP="00B26E5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B26E5B">
        <w:rPr>
          <w:rFonts w:asciiTheme="minorHAnsi" w:hAnsiTheme="minorHAnsi" w:cstheme="minorHAnsi"/>
          <w:bCs/>
          <w:color w:val="000000"/>
          <w:szCs w:val="24"/>
        </w:rPr>
        <w:t>3.5</w:t>
      </w:r>
      <w:r w:rsidRPr="00B26E5B">
        <w:rPr>
          <w:rFonts w:asciiTheme="minorHAnsi" w:hAnsiTheme="minorHAnsi" w:cstheme="minorHAnsi"/>
          <w:color w:val="000000"/>
          <w:szCs w:val="24"/>
        </w:rPr>
        <w:tab/>
      </w:r>
      <w:r w:rsidR="006818F4" w:rsidRPr="00B26E5B">
        <w:rPr>
          <w:rFonts w:asciiTheme="minorHAnsi" w:hAnsiTheme="minorHAnsi" w:cstheme="minorHAnsi"/>
          <w:color w:val="000000"/>
          <w:szCs w:val="24"/>
        </w:rPr>
        <w:t xml:space="preserve">In partnership with APNIC </w:t>
      </w:r>
      <w:r w:rsidR="006818F4" w:rsidRPr="00B26E5B">
        <w:rPr>
          <w:rFonts w:asciiTheme="minorHAnsi" w:hAnsiTheme="minorHAnsi" w:cstheme="minorHAnsi"/>
          <w:szCs w:val="24"/>
        </w:rPr>
        <w:t>and Australia</w:t>
      </w:r>
      <w:r w:rsidR="006818F4" w:rsidRPr="00B26E5B">
        <w:rPr>
          <w:rFonts w:asciiTheme="minorHAnsi" w:hAnsiTheme="minorHAnsi" w:cstheme="minorHAnsi"/>
          <w:color w:val="000000"/>
          <w:szCs w:val="24"/>
        </w:rPr>
        <w:t>, o</w:t>
      </w:r>
      <w:r w:rsidR="006D38AD" w:rsidRPr="00B26E5B">
        <w:rPr>
          <w:rFonts w:asciiTheme="minorHAnsi" w:hAnsiTheme="minorHAnsi" w:cstheme="minorHAnsi"/>
          <w:color w:val="000000"/>
          <w:szCs w:val="24"/>
        </w:rPr>
        <w:t xml:space="preserve">n </w:t>
      </w:r>
      <w:r w:rsidRPr="00B26E5B">
        <w:rPr>
          <w:rFonts w:asciiTheme="minorHAnsi" w:hAnsiTheme="minorHAnsi" w:cstheme="minorHAnsi"/>
          <w:color w:val="000000"/>
          <w:szCs w:val="24"/>
        </w:rPr>
        <w:t>4-8 December 2017</w:t>
      </w:r>
      <w:r w:rsidR="006D38AD" w:rsidRPr="00B26E5B">
        <w:rPr>
          <w:rFonts w:asciiTheme="minorHAnsi" w:hAnsiTheme="minorHAnsi" w:cstheme="minorHAnsi"/>
          <w:color w:val="000000"/>
          <w:szCs w:val="24"/>
        </w:rPr>
        <w:t xml:space="preserve"> a t</w:t>
      </w:r>
      <w:r w:rsidRPr="00B26E5B">
        <w:rPr>
          <w:rFonts w:asciiTheme="minorHAnsi" w:hAnsiTheme="minorHAnsi" w:cstheme="minorHAnsi"/>
          <w:color w:val="000000"/>
          <w:szCs w:val="24"/>
        </w:rPr>
        <w:t xml:space="preserve">raining on </w:t>
      </w:r>
      <w:r w:rsidR="002F451F" w:rsidRPr="00B26E5B">
        <w:rPr>
          <w:rFonts w:asciiTheme="minorHAnsi" w:hAnsiTheme="minorHAnsi" w:cstheme="minorHAnsi"/>
          <w:color w:val="000000"/>
          <w:szCs w:val="24"/>
        </w:rPr>
        <w:t>“</w:t>
      </w:r>
      <w:r w:rsidRPr="00B26E5B">
        <w:rPr>
          <w:rFonts w:asciiTheme="minorHAnsi" w:hAnsiTheme="minorHAnsi" w:cstheme="minorHAnsi"/>
          <w:color w:val="000000"/>
          <w:szCs w:val="24"/>
        </w:rPr>
        <w:t>Internet and IPv6 Infrastructure Security Program</w:t>
      </w:r>
      <w:r w:rsidR="002F451F" w:rsidRPr="00B26E5B">
        <w:rPr>
          <w:rFonts w:asciiTheme="minorHAnsi" w:hAnsiTheme="minorHAnsi" w:cstheme="minorHAnsi"/>
          <w:color w:val="000000"/>
          <w:szCs w:val="24"/>
        </w:rPr>
        <w:t>”</w:t>
      </w:r>
      <w:r w:rsidRPr="00B26E5B">
        <w:rPr>
          <w:rFonts w:asciiTheme="minorHAnsi" w:hAnsiTheme="minorHAnsi" w:cstheme="minorHAnsi"/>
          <w:color w:val="000000"/>
          <w:szCs w:val="24"/>
        </w:rPr>
        <w:t xml:space="preserve"> </w:t>
      </w:r>
      <w:r w:rsidR="006D38AD" w:rsidRPr="00B26E5B">
        <w:rPr>
          <w:rFonts w:asciiTheme="minorHAnsi" w:hAnsiTheme="minorHAnsi" w:cstheme="minorHAnsi"/>
          <w:color w:val="000000"/>
          <w:szCs w:val="24"/>
        </w:rPr>
        <w:t xml:space="preserve">was held </w:t>
      </w:r>
      <w:r w:rsidRPr="00B26E5B">
        <w:rPr>
          <w:rFonts w:asciiTheme="minorHAnsi" w:hAnsiTheme="minorHAnsi" w:cstheme="minorHAnsi"/>
          <w:color w:val="000000"/>
          <w:szCs w:val="24"/>
        </w:rPr>
        <w:t>in Tonga for the Pacific region</w:t>
      </w:r>
      <w:r w:rsidR="00A22348" w:rsidRPr="00B26E5B">
        <w:rPr>
          <w:rFonts w:asciiTheme="minorHAnsi" w:hAnsiTheme="minorHAnsi" w:cstheme="minorHAnsi"/>
          <w:color w:val="000000"/>
          <w:szCs w:val="24"/>
        </w:rPr>
        <w:t xml:space="preserve"> and in 2018</w:t>
      </w:r>
      <w:r w:rsidR="006818F4" w:rsidRPr="00B26E5B">
        <w:rPr>
          <w:rFonts w:asciiTheme="minorHAnsi" w:hAnsiTheme="minorHAnsi" w:cstheme="minorHAnsi"/>
          <w:color w:val="000000"/>
          <w:szCs w:val="24"/>
        </w:rPr>
        <w:t xml:space="preserve"> IPv6 Roadmap was developed </w:t>
      </w:r>
      <w:proofErr w:type="gramStart"/>
      <w:r w:rsidR="006818F4" w:rsidRPr="00B26E5B">
        <w:rPr>
          <w:rFonts w:asciiTheme="minorHAnsi" w:hAnsiTheme="minorHAnsi" w:cstheme="minorHAnsi"/>
          <w:color w:val="000000"/>
          <w:szCs w:val="24"/>
        </w:rPr>
        <w:t xml:space="preserve">for </w:t>
      </w:r>
      <w:r w:rsidR="006818F4" w:rsidRPr="00B26E5B">
        <w:rPr>
          <w:rFonts w:asciiTheme="minorHAnsi" w:hAnsiTheme="minorHAnsi" w:cstheme="minorHAnsi"/>
          <w:szCs w:val="24"/>
        </w:rPr>
        <w:t xml:space="preserve"> Mongolia</w:t>
      </w:r>
      <w:proofErr w:type="gramEnd"/>
      <w:r w:rsidR="006818F4" w:rsidRPr="00B26E5B">
        <w:rPr>
          <w:rFonts w:asciiTheme="minorHAnsi" w:hAnsiTheme="minorHAnsi" w:cstheme="minorHAnsi"/>
          <w:szCs w:val="24"/>
        </w:rPr>
        <w:t xml:space="preserve"> and Brunei</w:t>
      </w:r>
      <w:r w:rsidR="00A22348" w:rsidRPr="00B26E5B">
        <w:rPr>
          <w:rFonts w:asciiTheme="minorHAnsi" w:hAnsiTheme="minorHAnsi" w:cstheme="minorHAnsi"/>
          <w:szCs w:val="24"/>
        </w:rPr>
        <w:t xml:space="preserve">. </w:t>
      </w:r>
    </w:p>
    <w:p w14:paraId="22C4A0EA" w14:textId="77777777" w:rsidR="002C3092" w:rsidRPr="00B26E5B" w:rsidRDefault="009C72EF" w:rsidP="00E55059">
      <w:pPr>
        <w:pStyle w:val="Header"/>
        <w:snapToGrid w:val="0"/>
        <w:spacing w:before="120" w:after="120"/>
        <w:jc w:val="both"/>
        <w:rPr>
          <w:rFonts w:asciiTheme="minorHAnsi" w:hAnsiTheme="minorHAnsi" w:cstheme="minorHAnsi"/>
          <w:sz w:val="24"/>
          <w:szCs w:val="24"/>
          <w:lang w:val="en-US"/>
        </w:rPr>
      </w:pPr>
      <w:r w:rsidRPr="00B26E5B">
        <w:rPr>
          <w:rFonts w:asciiTheme="minorHAnsi" w:hAnsiTheme="minorHAnsi" w:cstheme="minorHAnsi"/>
          <w:bCs/>
          <w:sz w:val="24"/>
          <w:szCs w:val="24"/>
          <w:lang w:val="en-US"/>
        </w:rPr>
        <w:t>3.</w:t>
      </w:r>
      <w:r w:rsidR="001E3B2E" w:rsidRPr="00B26E5B">
        <w:rPr>
          <w:rFonts w:asciiTheme="minorHAnsi" w:hAnsiTheme="minorHAnsi" w:cstheme="minorHAnsi"/>
          <w:bCs/>
          <w:sz w:val="24"/>
          <w:szCs w:val="24"/>
          <w:lang w:val="en-US"/>
        </w:rPr>
        <w:t>6</w:t>
      </w:r>
      <w:r w:rsidR="001E3B2E" w:rsidRPr="00B26E5B">
        <w:rPr>
          <w:rFonts w:asciiTheme="minorHAnsi" w:hAnsiTheme="minorHAnsi" w:cstheme="minorHAnsi"/>
          <w:sz w:val="24"/>
          <w:szCs w:val="24"/>
          <w:lang w:val="en-US"/>
        </w:rPr>
        <w:t xml:space="preserve"> </w:t>
      </w:r>
      <w:r w:rsidRPr="00B26E5B">
        <w:rPr>
          <w:rFonts w:asciiTheme="minorHAnsi" w:hAnsiTheme="minorHAnsi" w:cstheme="minorHAnsi"/>
          <w:sz w:val="24"/>
          <w:szCs w:val="24"/>
          <w:lang w:val="en-US"/>
        </w:rPr>
        <w:tab/>
        <w:t xml:space="preserve">Through </w:t>
      </w:r>
      <w:r w:rsidR="00E55059" w:rsidRPr="00B26E5B">
        <w:rPr>
          <w:rFonts w:asciiTheme="minorHAnsi" w:hAnsiTheme="minorHAnsi" w:cstheme="minorHAnsi"/>
          <w:sz w:val="24"/>
          <w:szCs w:val="24"/>
          <w:lang w:val="en-US"/>
        </w:rPr>
        <w:t xml:space="preserve">the </w:t>
      </w:r>
      <w:r w:rsidRPr="00B26E5B">
        <w:rPr>
          <w:rFonts w:asciiTheme="minorHAnsi" w:hAnsiTheme="minorHAnsi" w:cstheme="minorHAnsi"/>
          <w:sz w:val="24"/>
          <w:szCs w:val="24"/>
          <w:lang w:val="en-US"/>
        </w:rPr>
        <w:t xml:space="preserve">ITU Academy, </w:t>
      </w:r>
      <w:r w:rsidR="00E55059" w:rsidRPr="00B26E5B">
        <w:rPr>
          <w:rFonts w:asciiTheme="minorHAnsi" w:hAnsiTheme="minorHAnsi" w:cstheme="minorHAnsi"/>
          <w:sz w:val="24"/>
          <w:szCs w:val="24"/>
          <w:lang w:val="en-US"/>
        </w:rPr>
        <w:t>a training course on Internet and IPv6 Infrastructure Security in the Asia-Pacific region was delivered from 1-5 May 2018 by the Centre of Excellence ALTTC, in Ghaziabad, India in partnership with MDES (Thailand)</w:t>
      </w:r>
      <w:r w:rsidR="00E55059" w:rsidRPr="00B26E5B">
        <w:rPr>
          <w:rFonts w:asciiTheme="minorHAnsi" w:hAnsiTheme="minorHAnsi" w:cstheme="minorHAnsi"/>
          <w:sz w:val="24"/>
          <w:szCs w:val="24"/>
          <w:rtl/>
          <w:lang w:val="en-US"/>
        </w:rPr>
        <w:t xml:space="preserve"> </w:t>
      </w:r>
      <w:r w:rsidR="00E55059" w:rsidRPr="00B26E5B">
        <w:rPr>
          <w:rFonts w:asciiTheme="minorHAnsi" w:hAnsiTheme="minorHAnsi" w:cstheme="minorHAnsi"/>
          <w:sz w:val="24"/>
          <w:szCs w:val="24"/>
          <w:lang w:val="en-US"/>
        </w:rPr>
        <w:t xml:space="preserve">and APNIC. </w:t>
      </w:r>
    </w:p>
    <w:p w14:paraId="21FD355B" w14:textId="59521D0E" w:rsidR="002E2753" w:rsidRPr="00B26E5B" w:rsidRDefault="00E96A95" w:rsidP="00B26E5B">
      <w:pPr>
        <w:pStyle w:val="Header"/>
        <w:snapToGrid w:val="0"/>
        <w:spacing w:after="120"/>
        <w:jc w:val="both"/>
        <w:rPr>
          <w:rFonts w:asciiTheme="minorHAnsi" w:hAnsiTheme="minorHAnsi" w:cstheme="minorHAnsi"/>
          <w:sz w:val="24"/>
          <w:szCs w:val="24"/>
          <w:lang w:val="en-US"/>
        </w:rPr>
      </w:pPr>
      <w:r w:rsidRPr="00B26E5B">
        <w:rPr>
          <w:rFonts w:asciiTheme="minorHAnsi" w:hAnsiTheme="minorHAnsi" w:cstheme="minorHAnsi"/>
          <w:sz w:val="24"/>
          <w:szCs w:val="24"/>
          <w:lang w:val="en-US"/>
        </w:rPr>
        <w:t>In the Arab region, a project on human capacity building in relation to IPv6 was implemented under the framework cooperation agreement signed between the United Arab Emirates’ Telecommunications Regulatory Authority (TRA) and ITU.</w:t>
      </w:r>
      <w:r w:rsidR="002C3092" w:rsidRPr="00B26E5B" w:rsidDel="00E55059">
        <w:rPr>
          <w:rFonts w:asciiTheme="minorHAnsi" w:hAnsiTheme="minorHAnsi" w:cstheme="minorHAnsi"/>
          <w:sz w:val="24"/>
          <w:szCs w:val="24"/>
          <w:lang w:val="en-US"/>
        </w:rPr>
        <w:t xml:space="preserve"> </w:t>
      </w:r>
    </w:p>
    <w:p w14:paraId="09F49CC8" w14:textId="780CFA1F" w:rsidR="00AB279E" w:rsidRPr="00B26E5B" w:rsidRDefault="00010756">
      <w:pPr>
        <w:tabs>
          <w:tab w:val="clear" w:pos="567"/>
          <w:tab w:val="clear" w:pos="1134"/>
          <w:tab w:val="clear" w:pos="1701"/>
          <w:tab w:val="clear" w:pos="2268"/>
          <w:tab w:val="clear" w:pos="2835"/>
        </w:tabs>
        <w:snapToGrid w:val="0"/>
        <w:spacing w:after="120"/>
        <w:jc w:val="both"/>
        <w:rPr>
          <w:rFonts w:asciiTheme="minorHAnsi" w:hAnsiTheme="minorHAnsi" w:cstheme="minorHAnsi"/>
          <w:b/>
          <w:color w:val="000000" w:themeColor="text1"/>
          <w:szCs w:val="24"/>
          <w:lang w:val="en-US"/>
        </w:rPr>
      </w:pPr>
      <w:r w:rsidRPr="00B26E5B">
        <w:rPr>
          <w:rFonts w:asciiTheme="minorHAnsi" w:hAnsiTheme="minorHAnsi" w:cstheme="minorHAnsi"/>
          <w:bCs/>
          <w:szCs w:val="24"/>
          <w:lang w:val="en-US"/>
        </w:rPr>
        <w:t>3.</w:t>
      </w:r>
      <w:r w:rsidR="001E3B2E" w:rsidRPr="00B26E5B">
        <w:rPr>
          <w:rFonts w:asciiTheme="minorHAnsi" w:hAnsiTheme="minorHAnsi" w:cstheme="minorHAnsi"/>
          <w:bCs/>
          <w:szCs w:val="24"/>
          <w:lang w:val="en-US"/>
        </w:rPr>
        <w:t>7</w:t>
      </w:r>
      <w:r w:rsidRPr="00B26E5B">
        <w:rPr>
          <w:rFonts w:asciiTheme="minorHAnsi" w:hAnsiTheme="minorHAnsi" w:cstheme="minorHAnsi"/>
          <w:szCs w:val="24"/>
          <w:lang w:val="en-US"/>
        </w:rPr>
        <w:tab/>
        <w:t xml:space="preserve">The </w:t>
      </w:r>
      <w:hyperlink r:id="rId57" w:history="1">
        <w:r w:rsidRPr="00B26E5B">
          <w:rPr>
            <w:rStyle w:val="Hyperlink"/>
            <w:rFonts w:asciiTheme="minorHAnsi" w:hAnsiTheme="minorHAnsi" w:cstheme="minorHAnsi"/>
            <w:szCs w:val="24"/>
            <w:lang w:val="en-US"/>
          </w:rPr>
          <w:t>final report</w:t>
        </w:r>
      </w:hyperlink>
      <w:r w:rsidRPr="00B26E5B">
        <w:rPr>
          <w:rFonts w:asciiTheme="minorHAnsi" w:hAnsiTheme="minorHAnsi" w:cstheme="minorHAnsi"/>
          <w:szCs w:val="24"/>
          <w:lang w:val="en-US"/>
        </w:rPr>
        <w:t xml:space="preserve"> in response to ITU-D SG1 </w:t>
      </w:r>
      <w:hyperlink r:id="rId58" w:history="1">
        <w:r w:rsidRPr="00B26E5B">
          <w:rPr>
            <w:rStyle w:val="Hyperlink"/>
            <w:rFonts w:asciiTheme="minorHAnsi" w:hAnsiTheme="minorHAnsi" w:cstheme="minorHAnsi"/>
            <w:szCs w:val="24"/>
            <w:lang w:val="en-US"/>
          </w:rPr>
          <w:t>Question 1/1</w:t>
        </w:r>
      </w:hyperlink>
      <w:r w:rsidR="00E93A5B" w:rsidRPr="00B26E5B">
        <w:rPr>
          <w:rFonts w:asciiTheme="minorHAnsi" w:hAnsiTheme="minorHAnsi" w:cstheme="minorHAnsi"/>
          <w:szCs w:val="24"/>
          <w:lang w:val="en-US"/>
        </w:rPr>
        <w:t xml:space="preserve"> </w:t>
      </w:r>
      <w:r w:rsidRPr="00B26E5B">
        <w:rPr>
          <w:rFonts w:asciiTheme="minorHAnsi" w:hAnsiTheme="minorHAnsi" w:cstheme="minorHAnsi"/>
          <w:szCs w:val="24"/>
          <w:lang w:val="en-US"/>
        </w:rPr>
        <w:t>explore</w:t>
      </w:r>
      <w:r w:rsidR="00E93A5B" w:rsidRPr="00B26E5B">
        <w:rPr>
          <w:rFonts w:asciiTheme="minorHAnsi" w:hAnsiTheme="minorHAnsi" w:cstheme="minorHAnsi"/>
          <w:szCs w:val="24"/>
          <w:lang w:val="en-US"/>
        </w:rPr>
        <w:t xml:space="preserve">d </w:t>
      </w:r>
      <w:r w:rsidRPr="00B26E5B">
        <w:rPr>
          <w:rFonts w:asciiTheme="minorHAnsi" w:hAnsiTheme="minorHAnsi" w:cstheme="minorHAnsi"/>
          <w:szCs w:val="24"/>
          <w:lang w:val="en-US"/>
        </w:rPr>
        <w:t>through case studies the</w:t>
      </w:r>
      <w:r w:rsidR="00121B2B" w:rsidRPr="00B26E5B">
        <w:rPr>
          <w:rFonts w:asciiTheme="minorHAnsi" w:hAnsiTheme="minorHAnsi" w:cstheme="minorHAnsi"/>
          <w:szCs w:val="24"/>
          <w:lang w:val="en-US"/>
        </w:rPr>
        <w:t xml:space="preserve"> </w:t>
      </w:r>
      <w:r w:rsidRPr="00B26E5B">
        <w:rPr>
          <w:rFonts w:asciiTheme="minorHAnsi" w:hAnsiTheme="minorHAnsi" w:cstheme="minorHAnsi"/>
          <w:szCs w:val="24"/>
          <w:lang w:val="en-US"/>
        </w:rPr>
        <w:t xml:space="preserve">experiences of countries in transitioning from IPv4 to IPv6 to enable </w:t>
      </w:r>
      <w:proofErr w:type="spellStart"/>
      <w:r w:rsidRPr="00B26E5B">
        <w:rPr>
          <w:rFonts w:asciiTheme="minorHAnsi" w:hAnsiTheme="minorHAnsi" w:cstheme="minorHAnsi"/>
          <w:szCs w:val="24"/>
          <w:lang w:val="en-US"/>
        </w:rPr>
        <w:t>IoT</w:t>
      </w:r>
      <w:proofErr w:type="spellEnd"/>
      <w:r w:rsidRPr="00B26E5B">
        <w:rPr>
          <w:rFonts w:asciiTheme="minorHAnsi" w:hAnsiTheme="minorHAnsi" w:cstheme="minorHAnsi"/>
          <w:szCs w:val="24"/>
          <w:lang w:val="en-US"/>
        </w:rPr>
        <w:t>,</w:t>
      </w:r>
      <w:r w:rsidR="00121B2B" w:rsidRPr="00B26E5B">
        <w:rPr>
          <w:rFonts w:asciiTheme="minorHAnsi" w:hAnsiTheme="minorHAnsi" w:cstheme="minorHAnsi"/>
          <w:szCs w:val="24"/>
          <w:lang w:val="en-US"/>
        </w:rPr>
        <w:t xml:space="preserve"> </w:t>
      </w:r>
      <w:r w:rsidRPr="00B26E5B">
        <w:rPr>
          <w:rFonts w:asciiTheme="minorHAnsi" w:hAnsiTheme="minorHAnsi" w:cstheme="minorHAnsi"/>
          <w:szCs w:val="24"/>
          <w:lang w:val="en-US"/>
        </w:rPr>
        <w:t xml:space="preserve">M2M, Internet of Everything (IoE), and </w:t>
      </w:r>
      <w:r w:rsidR="00E404A1" w:rsidRPr="00B26E5B">
        <w:rPr>
          <w:rFonts w:asciiTheme="minorHAnsi" w:hAnsiTheme="minorHAnsi" w:cstheme="minorHAnsi"/>
          <w:szCs w:val="24"/>
          <w:lang w:val="en-US"/>
        </w:rPr>
        <w:t>other future technologies</w:t>
      </w:r>
      <w:r w:rsidRPr="00B26E5B">
        <w:rPr>
          <w:rFonts w:asciiTheme="minorHAnsi" w:hAnsiTheme="minorHAnsi" w:cstheme="minorHAnsi"/>
          <w:szCs w:val="24"/>
          <w:lang w:val="en-US"/>
        </w:rPr>
        <w:t>.</w:t>
      </w:r>
    </w:p>
    <w:p w14:paraId="082F6B64" w14:textId="77777777" w:rsidR="002E2753" w:rsidRPr="00B26E5B" w:rsidRDefault="002E2753" w:rsidP="00A55ACC">
      <w:pPr>
        <w:pStyle w:val="Heading1"/>
        <w:keepNext w:val="0"/>
        <w:keepLines w:val="0"/>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4"/>
          <w:szCs w:val="24"/>
          <w:lang w:val="en-US"/>
        </w:rPr>
      </w:pPr>
      <w:r w:rsidRPr="00B26E5B">
        <w:rPr>
          <w:rFonts w:asciiTheme="minorHAnsi" w:hAnsiTheme="minorHAnsi" w:cstheme="minorHAnsi"/>
          <w:sz w:val="24"/>
          <w:szCs w:val="24"/>
          <w:lang w:val="en-US"/>
        </w:rPr>
        <w:t>4.</w:t>
      </w:r>
      <w:r w:rsidRPr="00B26E5B">
        <w:rPr>
          <w:rFonts w:asciiTheme="minorHAnsi" w:hAnsiTheme="minorHAnsi" w:cstheme="minorHAnsi"/>
          <w:sz w:val="24"/>
          <w:szCs w:val="24"/>
          <w:lang w:val="en-US"/>
        </w:rPr>
        <w:tab/>
        <w:t>Internet-related public policy issues including the management of domain names and addresses</w:t>
      </w:r>
    </w:p>
    <w:p w14:paraId="1E37A0CA" w14:textId="2DCADFAC" w:rsidR="002E2753" w:rsidRPr="00B26E5B" w:rsidRDefault="002E2753" w:rsidP="00B26E5B">
      <w:pPr>
        <w:pStyle w:val="Style2"/>
        <w:widowControl/>
        <w:adjustRightInd w:val="0"/>
        <w:snapToGrid w:val="0"/>
        <w:spacing w:before="120" w:after="120" w:line="240" w:lineRule="auto"/>
        <w:ind w:firstLine="0"/>
        <w:rPr>
          <w:rFonts w:cstheme="minorHAnsi"/>
          <w:sz w:val="24"/>
          <w:lang w:val="en-US"/>
        </w:rPr>
      </w:pPr>
      <w:r w:rsidRPr="00B26E5B">
        <w:rPr>
          <w:rFonts w:cstheme="minorHAnsi"/>
          <w:bCs/>
          <w:sz w:val="24"/>
          <w:lang w:val="en-US"/>
        </w:rPr>
        <w:t>4.1</w:t>
      </w:r>
      <w:r w:rsidRPr="00B26E5B">
        <w:rPr>
          <w:rFonts w:cstheme="minorHAnsi"/>
          <w:sz w:val="24"/>
          <w:lang w:val="en-US"/>
        </w:rPr>
        <w:tab/>
      </w:r>
      <w:r w:rsidR="00C252DF" w:rsidRPr="00B26E5B">
        <w:rPr>
          <w:rFonts w:cstheme="minorHAnsi"/>
          <w:sz w:val="24"/>
          <w:lang w:val="en-US"/>
        </w:rPr>
        <w:t xml:space="preserve">The </w:t>
      </w:r>
      <w:r w:rsidR="00E307EB">
        <w:fldChar w:fldCharType="begin"/>
      </w:r>
      <w:r w:rsidR="00E307EB" w:rsidRPr="00E307EB">
        <w:rPr>
          <w:lang w:val="en-US"/>
        </w:rPr>
        <w:instrText xml:space="preserve"> HYPERLINK "https://www.itu.int/en/council/cwg-internet/Pages/default.aspx" </w:instrText>
      </w:r>
      <w:r w:rsidR="00E307EB">
        <w:fldChar w:fldCharType="separate"/>
      </w:r>
      <w:r w:rsidR="00C252DF" w:rsidRPr="00B26E5B">
        <w:rPr>
          <w:rStyle w:val="Hyperlink"/>
          <w:rFonts w:cstheme="minorHAnsi"/>
          <w:sz w:val="24"/>
          <w:lang w:val="en-US"/>
        </w:rPr>
        <w:t>Council Working Group on international Internet-related public policy issues (CWG-Internet)</w:t>
      </w:r>
      <w:r w:rsidR="00E307EB">
        <w:rPr>
          <w:rStyle w:val="Hyperlink"/>
          <w:rFonts w:cstheme="minorHAnsi"/>
          <w:sz w:val="24"/>
          <w:lang w:val="en-US"/>
        </w:rPr>
        <w:fldChar w:fldCharType="end"/>
      </w:r>
      <w:r w:rsidR="00C252DF" w:rsidRPr="00B26E5B">
        <w:rPr>
          <w:rFonts w:cstheme="minorHAnsi"/>
          <w:sz w:val="24"/>
          <w:lang w:val="en-US"/>
        </w:rPr>
        <w:t xml:space="preserve"> </w:t>
      </w:r>
      <w:r w:rsidR="005E30EE" w:rsidRPr="00B26E5B">
        <w:rPr>
          <w:rFonts w:cstheme="minorHAnsi"/>
          <w:sz w:val="24"/>
          <w:lang w:val="en-US"/>
        </w:rPr>
        <w:t xml:space="preserve">will </w:t>
      </w:r>
      <w:r w:rsidR="00C252DF" w:rsidRPr="00B26E5B">
        <w:rPr>
          <w:rFonts w:cstheme="minorHAnsi"/>
          <w:sz w:val="24"/>
          <w:lang w:val="en-US"/>
        </w:rPr>
        <w:t>h</w:t>
      </w:r>
      <w:r w:rsidR="005E30EE" w:rsidRPr="00B26E5B">
        <w:rPr>
          <w:rFonts w:cstheme="minorHAnsi"/>
          <w:sz w:val="24"/>
          <w:lang w:val="en-US"/>
        </w:rPr>
        <w:t>old</w:t>
      </w:r>
      <w:r w:rsidR="00C252DF" w:rsidRPr="00B26E5B">
        <w:rPr>
          <w:rFonts w:cstheme="minorHAnsi"/>
          <w:sz w:val="24"/>
          <w:lang w:val="en-US"/>
        </w:rPr>
        <w:t xml:space="preserve"> </w:t>
      </w:r>
      <w:r w:rsidR="000D4C36" w:rsidRPr="00B26E5B">
        <w:rPr>
          <w:rFonts w:cstheme="minorHAnsi"/>
          <w:sz w:val="24"/>
          <w:lang w:val="en-US"/>
        </w:rPr>
        <w:t>its twelfth meeting</w:t>
      </w:r>
      <w:r w:rsidR="00C252DF" w:rsidRPr="00B26E5B">
        <w:rPr>
          <w:rFonts w:cstheme="minorHAnsi"/>
          <w:sz w:val="24"/>
          <w:lang w:val="en-US"/>
        </w:rPr>
        <w:t xml:space="preserve">, on </w:t>
      </w:r>
      <w:r w:rsidR="005E30EE" w:rsidRPr="00B26E5B">
        <w:rPr>
          <w:rFonts w:cstheme="minorHAnsi"/>
          <w:sz w:val="24"/>
          <w:lang w:val="en-US"/>
        </w:rPr>
        <w:t>1</w:t>
      </w:r>
      <w:r w:rsidR="00C252DF" w:rsidRPr="00B26E5B">
        <w:rPr>
          <w:rFonts w:cstheme="minorHAnsi"/>
          <w:sz w:val="24"/>
          <w:lang w:val="en-US"/>
        </w:rPr>
        <w:t xml:space="preserve"> </w:t>
      </w:r>
      <w:r w:rsidR="005E30EE" w:rsidRPr="00B26E5B">
        <w:rPr>
          <w:rFonts w:cstheme="minorHAnsi"/>
          <w:sz w:val="24"/>
          <w:lang w:val="en-US"/>
        </w:rPr>
        <w:t>February</w:t>
      </w:r>
      <w:r w:rsidR="00C252DF" w:rsidRPr="00B26E5B">
        <w:rPr>
          <w:rFonts w:cstheme="minorHAnsi"/>
          <w:sz w:val="24"/>
          <w:lang w:val="en-US"/>
        </w:rPr>
        <w:t xml:space="preserve"> 201</w:t>
      </w:r>
      <w:r w:rsidR="005E30EE" w:rsidRPr="00B26E5B">
        <w:rPr>
          <w:rFonts w:cstheme="minorHAnsi"/>
          <w:sz w:val="24"/>
          <w:lang w:val="en-US"/>
        </w:rPr>
        <w:t>8</w:t>
      </w:r>
      <w:r w:rsidR="00B67EC1" w:rsidRPr="00B26E5B">
        <w:rPr>
          <w:rFonts w:cstheme="minorHAnsi"/>
          <w:sz w:val="24"/>
          <w:lang w:val="en-US"/>
        </w:rPr>
        <w:t>.</w:t>
      </w:r>
      <w:r w:rsidR="000D4C36" w:rsidRPr="00B26E5B">
        <w:rPr>
          <w:rFonts w:cstheme="minorHAnsi"/>
          <w:sz w:val="24"/>
          <w:lang w:val="en-US"/>
        </w:rPr>
        <w:t xml:space="preserve"> As this is the first meeting of the Group after PP-18, no open consultation have been conducted for this cycle. </w:t>
      </w:r>
    </w:p>
    <w:p w14:paraId="07970861" w14:textId="5AF3A45F" w:rsidR="00517DDF" w:rsidRPr="00B26E5B" w:rsidRDefault="005A57BB" w:rsidP="00B26E5B">
      <w:pPr>
        <w:pStyle w:val="normalWSIS"/>
        <w:numPr>
          <w:ilvl w:val="0"/>
          <w:numId w:val="0"/>
        </w:numPr>
        <w:tabs>
          <w:tab w:val="clear" w:pos="426"/>
        </w:tabs>
        <w:adjustRightInd w:val="0"/>
        <w:snapToGrid w:val="0"/>
        <w:spacing w:before="120" w:after="120" w:line="240" w:lineRule="auto"/>
        <w:rPr>
          <w:rFonts w:cstheme="minorHAnsi"/>
          <w:b/>
          <w:sz w:val="24"/>
          <w:szCs w:val="24"/>
          <w:lang w:val="en-US" w:eastAsia="de-CH"/>
        </w:rPr>
      </w:pPr>
      <w:r w:rsidRPr="00B26E5B">
        <w:rPr>
          <w:rFonts w:cstheme="minorHAnsi"/>
          <w:bCs/>
          <w:sz w:val="24"/>
          <w:szCs w:val="24"/>
          <w:lang w:val="en-US"/>
        </w:rPr>
        <w:lastRenderedPageBreak/>
        <w:t>4.</w:t>
      </w:r>
      <w:r w:rsidR="00887934" w:rsidRPr="00B26E5B">
        <w:rPr>
          <w:rFonts w:cstheme="minorHAnsi"/>
          <w:bCs/>
          <w:sz w:val="24"/>
          <w:szCs w:val="24"/>
          <w:lang w:val="en-US"/>
        </w:rPr>
        <w:t>2</w:t>
      </w:r>
      <w:r w:rsidRPr="00B26E5B">
        <w:rPr>
          <w:rFonts w:cstheme="minorHAnsi"/>
          <w:b/>
          <w:sz w:val="24"/>
          <w:szCs w:val="24"/>
          <w:lang w:val="en-US"/>
        </w:rPr>
        <w:tab/>
      </w:r>
      <w:r w:rsidRPr="00B26E5B">
        <w:rPr>
          <w:rFonts w:cstheme="minorHAnsi"/>
          <w:sz w:val="24"/>
          <w:szCs w:val="24"/>
          <w:lang w:val="en-US"/>
        </w:rPr>
        <w:t>ITU participated in the 1</w:t>
      </w:r>
      <w:r w:rsidR="00861072" w:rsidRPr="00B26E5B">
        <w:rPr>
          <w:rFonts w:cstheme="minorHAnsi"/>
          <w:sz w:val="24"/>
          <w:szCs w:val="24"/>
          <w:lang w:val="en-US"/>
        </w:rPr>
        <w:t>3</w:t>
      </w:r>
      <w:r w:rsidR="003D5FC2" w:rsidRPr="00B26E5B">
        <w:rPr>
          <w:rFonts w:cstheme="minorHAnsi"/>
          <w:sz w:val="24"/>
          <w:szCs w:val="24"/>
          <w:vertAlign w:val="superscript"/>
          <w:lang w:val="en-US"/>
        </w:rPr>
        <w:t>th</w:t>
      </w:r>
      <w:r w:rsidR="004B56A6" w:rsidRPr="00B26E5B">
        <w:rPr>
          <w:rFonts w:cstheme="minorHAnsi"/>
          <w:sz w:val="24"/>
          <w:szCs w:val="24"/>
          <w:lang w:val="en-US"/>
        </w:rPr>
        <w:t xml:space="preserve"> </w:t>
      </w:r>
      <w:r w:rsidRPr="00B26E5B">
        <w:rPr>
          <w:rFonts w:cstheme="minorHAnsi"/>
          <w:sz w:val="24"/>
          <w:szCs w:val="24"/>
          <w:lang w:val="en-US"/>
        </w:rPr>
        <w:t xml:space="preserve">IGF meeting, </w:t>
      </w:r>
      <w:r w:rsidR="00861072" w:rsidRPr="00B26E5B">
        <w:rPr>
          <w:rFonts w:cstheme="minorHAnsi"/>
          <w:sz w:val="24"/>
          <w:szCs w:val="24"/>
          <w:lang w:val="en-US"/>
        </w:rPr>
        <w:t xml:space="preserve">held from 12 to 14 November 2018 </w:t>
      </w:r>
      <w:r w:rsidRPr="00B26E5B">
        <w:rPr>
          <w:rFonts w:cstheme="minorHAnsi"/>
          <w:sz w:val="24"/>
          <w:szCs w:val="24"/>
          <w:lang w:val="en-US"/>
        </w:rPr>
        <w:t xml:space="preserve">in </w:t>
      </w:r>
      <w:r w:rsidR="00861072" w:rsidRPr="00B26E5B">
        <w:rPr>
          <w:rFonts w:cstheme="minorHAnsi"/>
          <w:sz w:val="24"/>
          <w:szCs w:val="24"/>
          <w:lang w:val="en-US"/>
        </w:rPr>
        <w:t>Paris</w:t>
      </w:r>
      <w:r w:rsidRPr="00B26E5B">
        <w:rPr>
          <w:rFonts w:cstheme="minorHAnsi"/>
          <w:sz w:val="24"/>
          <w:szCs w:val="24"/>
          <w:lang w:val="en-US"/>
        </w:rPr>
        <w:t xml:space="preserve">, </w:t>
      </w:r>
      <w:r w:rsidR="00861072" w:rsidRPr="00B26E5B">
        <w:rPr>
          <w:rFonts w:cstheme="minorHAnsi"/>
          <w:sz w:val="24"/>
          <w:szCs w:val="24"/>
          <w:lang w:val="en-US"/>
        </w:rPr>
        <w:t>France</w:t>
      </w:r>
      <w:r w:rsidRPr="00B26E5B">
        <w:rPr>
          <w:rFonts w:cstheme="minorHAnsi"/>
          <w:sz w:val="24"/>
          <w:szCs w:val="24"/>
          <w:lang w:val="en-US"/>
        </w:rPr>
        <w:t>.</w:t>
      </w:r>
      <w:r w:rsidR="00963DA9" w:rsidRPr="00B26E5B">
        <w:rPr>
          <w:rFonts w:cstheme="minorHAnsi"/>
          <w:sz w:val="24"/>
          <w:szCs w:val="24"/>
          <w:lang w:val="en-US"/>
        </w:rPr>
        <w:t xml:space="preserve"> Due to an overlap with the ITU Plenipotentiary conference</w:t>
      </w:r>
      <w:r w:rsidR="0024053C" w:rsidRPr="00B26E5B">
        <w:rPr>
          <w:rFonts w:cstheme="minorHAnsi"/>
          <w:sz w:val="24"/>
          <w:szCs w:val="24"/>
          <w:lang w:val="en-US"/>
        </w:rPr>
        <w:t>,</w:t>
      </w:r>
      <w:r w:rsidRPr="00B26E5B">
        <w:rPr>
          <w:rFonts w:cstheme="minorHAnsi"/>
          <w:sz w:val="24"/>
          <w:szCs w:val="24"/>
          <w:lang w:val="en-US"/>
        </w:rPr>
        <w:t xml:space="preserve"> </w:t>
      </w:r>
      <w:r w:rsidR="004B56A6" w:rsidRPr="00B26E5B">
        <w:rPr>
          <w:rFonts w:cstheme="minorHAnsi"/>
          <w:sz w:val="24"/>
          <w:szCs w:val="24"/>
          <w:lang w:val="en-US"/>
        </w:rPr>
        <w:t xml:space="preserve">ITU participation at the IGF was not at the same level as previous years. </w:t>
      </w:r>
      <w:r w:rsidRPr="00B26E5B">
        <w:rPr>
          <w:rFonts w:cstheme="minorHAnsi"/>
          <w:sz w:val="24"/>
          <w:szCs w:val="24"/>
          <w:lang w:val="en-US"/>
        </w:rPr>
        <w:t xml:space="preserve">ITU co-organized </w:t>
      </w:r>
      <w:r w:rsidR="004B56A6" w:rsidRPr="00B26E5B">
        <w:rPr>
          <w:rFonts w:cstheme="minorHAnsi"/>
          <w:sz w:val="24"/>
          <w:szCs w:val="24"/>
          <w:lang w:val="en-US"/>
        </w:rPr>
        <w:t>an</w:t>
      </w:r>
      <w:r w:rsidRPr="00B26E5B">
        <w:rPr>
          <w:rFonts w:cstheme="minorHAnsi"/>
          <w:sz w:val="24"/>
          <w:szCs w:val="24"/>
          <w:lang w:val="en-US"/>
        </w:rPr>
        <w:t xml:space="preserve"> Open Forum on </w:t>
      </w:r>
      <w:r w:rsidR="004B56A6" w:rsidRPr="00B26E5B">
        <w:rPr>
          <w:rFonts w:cstheme="minorHAnsi"/>
          <w:sz w:val="24"/>
          <w:szCs w:val="24"/>
          <w:lang w:val="en-US"/>
        </w:rPr>
        <w:t>Implementation of WSIS Action Lines for SDGs and WSIS Forum 2019</w:t>
      </w:r>
      <w:r w:rsidRPr="00B26E5B">
        <w:rPr>
          <w:rFonts w:cstheme="minorHAnsi"/>
          <w:sz w:val="24"/>
          <w:szCs w:val="24"/>
          <w:lang w:val="en-US"/>
        </w:rPr>
        <w:t xml:space="preserve"> </w:t>
      </w:r>
      <w:r w:rsidR="002968C4" w:rsidRPr="00B26E5B">
        <w:rPr>
          <w:rFonts w:cstheme="minorHAnsi"/>
          <w:sz w:val="24"/>
          <w:szCs w:val="24"/>
          <w:lang w:val="en-US"/>
        </w:rPr>
        <w:t>(</w:t>
      </w:r>
      <w:r w:rsidRPr="00B26E5B">
        <w:rPr>
          <w:rFonts w:cstheme="minorHAnsi"/>
          <w:sz w:val="24"/>
          <w:szCs w:val="24"/>
          <w:lang w:val="en-US"/>
        </w:rPr>
        <w:t>co-organized by the WSIS Action Line Facilitators</w:t>
      </w:r>
      <w:r w:rsidR="002968C4" w:rsidRPr="00B26E5B">
        <w:rPr>
          <w:rFonts w:cstheme="minorHAnsi"/>
          <w:sz w:val="24"/>
          <w:szCs w:val="24"/>
          <w:lang w:val="en-US"/>
        </w:rPr>
        <w:t>)</w:t>
      </w:r>
      <w:r w:rsidR="00822CAB" w:rsidRPr="00B26E5B">
        <w:rPr>
          <w:rFonts w:cstheme="minorHAnsi"/>
          <w:sz w:val="24"/>
          <w:szCs w:val="24"/>
          <w:lang w:val="en-US"/>
        </w:rPr>
        <w:t>, and</w:t>
      </w:r>
      <w:r w:rsidRPr="00B26E5B">
        <w:rPr>
          <w:rFonts w:cstheme="minorHAnsi"/>
          <w:sz w:val="24"/>
          <w:szCs w:val="24"/>
          <w:lang w:val="en-US"/>
        </w:rPr>
        <w:t xml:space="preserve"> </w:t>
      </w:r>
      <w:r w:rsidR="002968C4" w:rsidRPr="00B26E5B">
        <w:rPr>
          <w:rFonts w:cstheme="minorHAnsi"/>
          <w:sz w:val="24"/>
          <w:szCs w:val="24"/>
          <w:lang w:val="en-US"/>
        </w:rPr>
        <w:t>co-organized a workshop on capacity building in Internet governance</w:t>
      </w:r>
      <w:r w:rsidRPr="00B26E5B">
        <w:rPr>
          <w:rFonts w:cstheme="minorHAnsi"/>
          <w:sz w:val="24"/>
          <w:szCs w:val="24"/>
          <w:lang w:val="en-US"/>
        </w:rPr>
        <w:t xml:space="preserve">.  </w:t>
      </w:r>
    </w:p>
    <w:p w14:paraId="4829264A" w14:textId="4FF5B703" w:rsidR="00CE064B" w:rsidRPr="00B26E5B" w:rsidRDefault="00257CB3" w:rsidP="00B26E5B">
      <w:pPr>
        <w:pStyle w:val="Style2"/>
        <w:widowControl/>
        <w:adjustRightInd w:val="0"/>
        <w:snapToGrid w:val="0"/>
        <w:spacing w:before="120" w:after="120" w:line="240" w:lineRule="auto"/>
        <w:ind w:firstLine="0"/>
        <w:rPr>
          <w:rFonts w:eastAsiaTheme="minorEastAsia" w:cstheme="minorHAnsi"/>
          <w:sz w:val="24"/>
          <w:lang w:val="en-US"/>
        </w:rPr>
      </w:pPr>
      <w:r w:rsidRPr="00B26E5B">
        <w:rPr>
          <w:rFonts w:eastAsiaTheme="minorEastAsia" w:cstheme="minorHAnsi"/>
          <w:bCs/>
          <w:sz w:val="24"/>
          <w:lang w:val="en-US"/>
        </w:rPr>
        <w:t>4</w:t>
      </w:r>
      <w:r w:rsidR="002E2753" w:rsidRPr="00B26E5B">
        <w:rPr>
          <w:rFonts w:eastAsiaTheme="minorEastAsia" w:cstheme="minorHAnsi"/>
          <w:bCs/>
          <w:sz w:val="24"/>
          <w:lang w:val="en-US"/>
        </w:rPr>
        <w:t>.</w:t>
      </w:r>
      <w:r w:rsidR="00887934" w:rsidRPr="00B26E5B">
        <w:rPr>
          <w:rFonts w:eastAsiaTheme="minorEastAsia" w:cstheme="minorHAnsi"/>
          <w:bCs/>
          <w:sz w:val="24"/>
          <w:lang w:val="en-US"/>
        </w:rPr>
        <w:t>3</w:t>
      </w:r>
      <w:r w:rsidR="005A57BB" w:rsidRPr="00B26E5B">
        <w:rPr>
          <w:rFonts w:eastAsiaTheme="minorEastAsia" w:cstheme="minorHAnsi"/>
          <w:sz w:val="24"/>
          <w:lang w:val="en-US"/>
        </w:rPr>
        <w:tab/>
      </w:r>
      <w:r w:rsidR="002E2753" w:rsidRPr="00B26E5B">
        <w:rPr>
          <w:rFonts w:eastAsiaTheme="minorEastAsia" w:cstheme="minorHAnsi"/>
          <w:sz w:val="24"/>
          <w:lang w:val="en-US"/>
        </w:rPr>
        <w:t xml:space="preserve">ITU continues to follow the </w:t>
      </w:r>
      <w:r w:rsidR="005A57BB" w:rsidRPr="00B26E5B">
        <w:rPr>
          <w:rFonts w:eastAsiaTheme="minorEastAsia" w:cstheme="minorHAnsi"/>
          <w:sz w:val="24"/>
          <w:lang w:val="en-US"/>
        </w:rPr>
        <w:t xml:space="preserve">issue </w:t>
      </w:r>
      <w:r w:rsidR="002E2753" w:rsidRPr="00B26E5B">
        <w:rPr>
          <w:rFonts w:eastAsiaTheme="minorEastAsia" w:cstheme="minorHAnsi"/>
          <w:sz w:val="24"/>
          <w:lang w:val="en-US"/>
        </w:rPr>
        <w:t xml:space="preserve">of protecting intergovernmental organization (IGO) names and acronyms in any new </w:t>
      </w:r>
      <w:proofErr w:type="spellStart"/>
      <w:r w:rsidR="002E2753" w:rsidRPr="00B26E5B">
        <w:rPr>
          <w:rFonts w:eastAsiaTheme="minorEastAsia" w:cstheme="minorHAnsi"/>
          <w:sz w:val="24"/>
          <w:lang w:val="en-US"/>
        </w:rPr>
        <w:t>gTLDs</w:t>
      </w:r>
      <w:proofErr w:type="spellEnd"/>
      <w:r w:rsidR="002E2753" w:rsidRPr="00B26E5B">
        <w:rPr>
          <w:rFonts w:eastAsiaTheme="minorEastAsia" w:cstheme="minorHAnsi"/>
          <w:sz w:val="24"/>
          <w:lang w:val="en-US"/>
        </w:rPr>
        <w:t xml:space="preserve">, as part of the IGO coalition composed of approximately 35 IGOs including OECD, UN, UPU, WHO, WIPO, and </w:t>
      </w:r>
      <w:r w:rsidR="00E0552C" w:rsidRPr="00B26E5B">
        <w:rPr>
          <w:rFonts w:eastAsiaTheme="minorEastAsia" w:cstheme="minorHAnsi"/>
          <w:sz w:val="24"/>
          <w:lang w:val="en-US"/>
        </w:rPr>
        <w:t xml:space="preserve">the </w:t>
      </w:r>
      <w:r w:rsidR="002E2753" w:rsidRPr="00B26E5B">
        <w:rPr>
          <w:rFonts w:eastAsiaTheme="minorEastAsia" w:cstheme="minorHAnsi"/>
          <w:sz w:val="24"/>
          <w:lang w:val="en-US"/>
        </w:rPr>
        <w:t>World Bank.</w:t>
      </w:r>
    </w:p>
    <w:p w14:paraId="6DAEAF6F" w14:textId="207ADA83" w:rsidR="00851589" w:rsidRPr="00B26E5B" w:rsidRDefault="00F13AC1" w:rsidP="00B26E5B">
      <w:pPr>
        <w:pStyle w:val="Style2"/>
        <w:widowControl/>
        <w:adjustRightInd w:val="0"/>
        <w:snapToGrid w:val="0"/>
        <w:spacing w:before="120" w:after="120" w:line="240" w:lineRule="auto"/>
        <w:ind w:firstLine="0"/>
        <w:rPr>
          <w:rFonts w:eastAsiaTheme="minorEastAsia" w:cstheme="minorHAnsi"/>
          <w:sz w:val="24"/>
          <w:lang w:val="en-US"/>
        </w:rPr>
      </w:pPr>
      <w:r w:rsidRPr="00B26E5B">
        <w:rPr>
          <w:rFonts w:eastAsiaTheme="minorEastAsia" w:cstheme="minorHAnsi"/>
          <w:bCs/>
          <w:sz w:val="24"/>
          <w:lang w:val="en-US"/>
        </w:rPr>
        <w:t>4.</w:t>
      </w:r>
      <w:r w:rsidR="00887934" w:rsidRPr="00B26E5B">
        <w:rPr>
          <w:rFonts w:eastAsiaTheme="minorEastAsia" w:cstheme="minorHAnsi"/>
          <w:bCs/>
          <w:sz w:val="24"/>
          <w:lang w:val="en-US"/>
        </w:rPr>
        <w:t>4</w:t>
      </w:r>
      <w:r w:rsidRPr="00B26E5B">
        <w:rPr>
          <w:rFonts w:eastAsiaTheme="minorEastAsia" w:cstheme="minorHAnsi"/>
          <w:sz w:val="24"/>
          <w:lang w:val="en-US"/>
        </w:rPr>
        <w:tab/>
        <w:t>ITU-T SG2 continues to follow the issue of possible perceived mapping of the ITU-T E.164 numbering plan into the DNS, with regard to the provision of all-numeric domain names by TELNIC, the domain name registry operator for .</w:t>
      </w:r>
      <w:proofErr w:type="spellStart"/>
      <w:r w:rsidRPr="00B26E5B">
        <w:rPr>
          <w:rFonts w:eastAsiaTheme="minorEastAsia" w:cstheme="minorHAnsi"/>
          <w:sz w:val="24"/>
          <w:lang w:val="en-US"/>
        </w:rPr>
        <w:t>tel</w:t>
      </w:r>
      <w:proofErr w:type="spellEnd"/>
      <w:r w:rsidRPr="00B26E5B">
        <w:rPr>
          <w:rFonts w:eastAsiaTheme="minorEastAsia" w:cstheme="minorHAnsi"/>
          <w:sz w:val="24"/>
          <w:lang w:val="en-US"/>
        </w:rPr>
        <w:t xml:space="preserve"> </w:t>
      </w:r>
      <w:proofErr w:type="spellStart"/>
      <w:r w:rsidRPr="00B26E5B">
        <w:rPr>
          <w:rFonts w:eastAsiaTheme="minorEastAsia" w:cstheme="minorHAnsi"/>
          <w:sz w:val="24"/>
          <w:lang w:val="en-US"/>
        </w:rPr>
        <w:t>gTLD</w:t>
      </w:r>
      <w:proofErr w:type="spellEnd"/>
      <w:r w:rsidRPr="00B26E5B">
        <w:rPr>
          <w:rFonts w:eastAsiaTheme="minorEastAsia" w:cstheme="minorHAnsi"/>
          <w:sz w:val="24"/>
          <w:lang w:val="en-US"/>
        </w:rPr>
        <w:t>. ITU-T SG2 is awaiting contributions from ITU-T membership after a call for contribution</w:t>
      </w:r>
      <w:r w:rsidR="00D81A5D" w:rsidRPr="00B26E5B">
        <w:rPr>
          <w:rFonts w:eastAsiaTheme="minorEastAsia" w:cstheme="minorHAnsi"/>
          <w:sz w:val="24"/>
          <w:lang w:val="en-US"/>
        </w:rPr>
        <w:t>s</w:t>
      </w:r>
      <w:r w:rsidRPr="00B26E5B">
        <w:rPr>
          <w:rFonts w:eastAsiaTheme="minorEastAsia" w:cstheme="minorHAnsi"/>
          <w:sz w:val="24"/>
          <w:lang w:val="en-US"/>
        </w:rPr>
        <w:t xml:space="preserve"> was made on this topic in its January 2016 meeting.</w:t>
      </w:r>
    </w:p>
    <w:p w14:paraId="618D2B42" w14:textId="3AFF6E53" w:rsidR="005458AA" w:rsidRPr="00B26E5B" w:rsidRDefault="000D238E" w:rsidP="00B26E5B">
      <w:pPr>
        <w:pStyle w:val="Style2"/>
        <w:widowControl/>
        <w:adjustRightInd w:val="0"/>
        <w:snapToGrid w:val="0"/>
        <w:spacing w:before="120" w:after="120" w:line="240" w:lineRule="auto"/>
        <w:ind w:firstLine="0"/>
        <w:rPr>
          <w:rFonts w:cstheme="minorHAnsi"/>
          <w:b/>
          <w:sz w:val="24"/>
          <w:lang w:val="en-US"/>
        </w:rPr>
      </w:pPr>
      <w:r w:rsidRPr="00B26E5B">
        <w:rPr>
          <w:rFonts w:eastAsiaTheme="minorEastAsia" w:cstheme="minorHAnsi"/>
          <w:bCs/>
          <w:sz w:val="24"/>
          <w:lang w:val="en-US"/>
        </w:rPr>
        <w:t>4.</w:t>
      </w:r>
      <w:r w:rsidR="00887934" w:rsidRPr="00B26E5B">
        <w:rPr>
          <w:rFonts w:eastAsiaTheme="minorEastAsia" w:cstheme="minorHAnsi"/>
          <w:bCs/>
          <w:sz w:val="24"/>
          <w:lang w:val="en-US"/>
        </w:rPr>
        <w:t>5</w:t>
      </w:r>
      <w:r w:rsidR="00887934" w:rsidRPr="00B26E5B">
        <w:rPr>
          <w:rFonts w:eastAsiaTheme="minorEastAsia" w:cstheme="minorHAnsi"/>
          <w:sz w:val="24"/>
          <w:lang w:val="en-US"/>
        </w:rPr>
        <w:t xml:space="preserve"> </w:t>
      </w:r>
      <w:r w:rsidR="00E1419C" w:rsidRPr="00B26E5B">
        <w:rPr>
          <w:rFonts w:eastAsiaTheme="minorEastAsia" w:cstheme="minorHAnsi"/>
          <w:sz w:val="24"/>
          <w:lang w:val="en-US"/>
        </w:rPr>
        <w:tab/>
      </w:r>
      <w:r w:rsidR="0043593C" w:rsidRPr="00B26E5B">
        <w:rPr>
          <w:rFonts w:cstheme="minorHAnsi"/>
          <w:sz w:val="24"/>
          <w:lang w:val="en-US"/>
        </w:rPr>
        <w:t>BDT</w:t>
      </w:r>
      <w:r w:rsidR="001F2E25" w:rsidRPr="00B26E5B">
        <w:rPr>
          <w:rFonts w:cstheme="minorHAnsi"/>
          <w:sz w:val="24"/>
          <w:lang w:val="en-US"/>
        </w:rPr>
        <w:t xml:space="preserve"> co</w:t>
      </w:r>
      <w:r w:rsidR="003D5FC2" w:rsidRPr="00B26E5B">
        <w:rPr>
          <w:rFonts w:cstheme="minorHAnsi"/>
          <w:sz w:val="24"/>
          <w:lang w:val="en-US"/>
        </w:rPr>
        <w:t xml:space="preserve">ntinues to develop </w:t>
      </w:r>
      <w:r w:rsidR="00764A3A" w:rsidRPr="00B26E5B">
        <w:rPr>
          <w:rFonts w:cstheme="minorHAnsi"/>
          <w:sz w:val="24"/>
          <w:lang w:val="en-US"/>
        </w:rPr>
        <w:t xml:space="preserve">capacities </w:t>
      </w:r>
      <w:r w:rsidR="001F2E25" w:rsidRPr="00B26E5B">
        <w:rPr>
          <w:rFonts w:cstheme="minorHAnsi"/>
          <w:sz w:val="24"/>
          <w:lang w:val="en-US"/>
        </w:rPr>
        <w:t>in the field of Internet governance</w:t>
      </w:r>
      <w:r w:rsidR="00764A3A" w:rsidRPr="00B26E5B">
        <w:rPr>
          <w:rFonts w:cstheme="minorHAnsi"/>
          <w:sz w:val="24"/>
          <w:lang w:val="en-US"/>
        </w:rPr>
        <w:t xml:space="preserve"> for the ITU membership</w:t>
      </w:r>
      <w:r w:rsidR="001F2E25" w:rsidRPr="00B26E5B">
        <w:rPr>
          <w:rFonts w:cstheme="minorHAnsi"/>
          <w:sz w:val="24"/>
          <w:lang w:val="en-US"/>
        </w:rPr>
        <w:t xml:space="preserve">. </w:t>
      </w:r>
      <w:r w:rsidR="00764A3A" w:rsidRPr="00B26E5B">
        <w:rPr>
          <w:rFonts w:cstheme="minorHAnsi"/>
          <w:sz w:val="24"/>
          <w:lang w:val="en-US"/>
        </w:rPr>
        <w:t>Several training and capacity building activities were implemented in 2018. Through the ITU Centre of Excellence network</w:t>
      </w:r>
      <w:r w:rsidR="00525DC2" w:rsidRPr="00B26E5B">
        <w:rPr>
          <w:rFonts w:cstheme="minorHAnsi"/>
          <w:sz w:val="24"/>
          <w:lang w:val="en-US"/>
        </w:rPr>
        <w:t xml:space="preserve"> and the ITU Academy</w:t>
      </w:r>
      <w:r w:rsidR="00764A3A" w:rsidRPr="00B26E5B">
        <w:rPr>
          <w:rFonts w:cstheme="minorHAnsi"/>
          <w:sz w:val="24"/>
          <w:lang w:val="en-US"/>
        </w:rPr>
        <w:t xml:space="preserve">, several training courses were delivered in the field of Internet governance. A regional workshop on Internet governance was organized for the Africa region in Abuja, Nigeria, on 27-28 August 2018, in partnership with Diplo </w:t>
      </w:r>
      <w:r w:rsidR="00525DC2" w:rsidRPr="00B26E5B">
        <w:rPr>
          <w:rFonts w:cstheme="minorHAnsi"/>
          <w:sz w:val="24"/>
          <w:lang w:val="en-US"/>
        </w:rPr>
        <w:t>Foundation</w:t>
      </w:r>
      <w:r w:rsidR="00764A3A" w:rsidRPr="00B26E5B">
        <w:rPr>
          <w:rFonts w:cstheme="minorHAnsi"/>
          <w:sz w:val="24"/>
          <w:lang w:val="en-US"/>
        </w:rPr>
        <w:t xml:space="preserve">.  The workshop attracted more than 100 participants. ITU also contributed to capacity building events during the WSIS Forum </w:t>
      </w:r>
      <w:r w:rsidR="00525DC2" w:rsidRPr="00B26E5B">
        <w:rPr>
          <w:rFonts w:cstheme="minorHAnsi"/>
          <w:sz w:val="24"/>
          <w:lang w:val="en-US"/>
        </w:rPr>
        <w:t xml:space="preserve">2018 </w:t>
      </w:r>
      <w:r w:rsidR="00764A3A" w:rsidRPr="00B26E5B">
        <w:rPr>
          <w:rFonts w:cstheme="minorHAnsi"/>
          <w:sz w:val="24"/>
          <w:lang w:val="en-US"/>
        </w:rPr>
        <w:t xml:space="preserve">and the IGF 2018, in partnership with ICANN and Diplo Foundation. </w:t>
      </w:r>
    </w:p>
    <w:p w14:paraId="3D485397" w14:textId="7C031A90" w:rsidR="002E2753" w:rsidRPr="00B26E5B" w:rsidRDefault="00FF1AC7" w:rsidP="00B26E5B">
      <w:pPr>
        <w:pStyle w:val="Style2"/>
        <w:widowControl/>
        <w:adjustRightInd w:val="0"/>
        <w:snapToGrid w:val="0"/>
        <w:spacing w:before="120" w:after="120" w:line="240" w:lineRule="auto"/>
        <w:ind w:firstLine="0"/>
        <w:rPr>
          <w:rFonts w:cstheme="minorHAnsi"/>
          <w:sz w:val="24"/>
          <w:lang w:val="en-US"/>
        </w:rPr>
      </w:pPr>
      <w:r w:rsidRPr="00B26E5B">
        <w:rPr>
          <w:rFonts w:cstheme="minorHAnsi"/>
          <w:b/>
          <w:sz w:val="24"/>
          <w:lang w:val="en-US"/>
        </w:rPr>
        <w:br/>
      </w:r>
      <w:r w:rsidR="002E2753" w:rsidRPr="00B26E5B">
        <w:rPr>
          <w:rFonts w:cstheme="minorHAnsi"/>
          <w:b/>
          <w:sz w:val="24"/>
          <w:lang w:val="en-US"/>
        </w:rPr>
        <w:t>5.</w:t>
      </w:r>
      <w:r w:rsidR="002E2753" w:rsidRPr="00B26E5B">
        <w:rPr>
          <w:rFonts w:cstheme="minorHAnsi"/>
          <w:b/>
          <w:sz w:val="24"/>
          <w:lang w:val="en-US"/>
        </w:rPr>
        <w:tab/>
        <w:t>ENUM</w:t>
      </w:r>
    </w:p>
    <w:p w14:paraId="1ABBA764" w14:textId="77777777" w:rsidR="00F13AC1" w:rsidRPr="00B26E5B" w:rsidRDefault="00E307EB" w:rsidP="00A55ACC">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hyperlink r:id="rId59" w:history="1">
        <w:r w:rsidR="00F13AC1" w:rsidRPr="00B26E5B">
          <w:rPr>
            <w:rStyle w:val="Hyperlink"/>
            <w:rFonts w:asciiTheme="minorHAnsi" w:hAnsiTheme="minorHAnsi" w:cstheme="minorHAnsi"/>
            <w:szCs w:val="24"/>
          </w:rPr>
          <w:t>Updated Information on ENUM</w:t>
        </w:r>
      </w:hyperlink>
      <w:r w:rsidR="00F13AC1" w:rsidRPr="00B26E5B">
        <w:rPr>
          <w:rFonts w:asciiTheme="minorHAnsi" w:hAnsiTheme="minorHAnsi" w:cstheme="minorHAnsi"/>
          <w:szCs w:val="24"/>
        </w:rPr>
        <w:t xml:space="preserve"> is being maintained by ITU-T. This i</w:t>
      </w:r>
      <w:r w:rsidR="008D742D" w:rsidRPr="00B26E5B">
        <w:rPr>
          <w:rFonts w:asciiTheme="minorHAnsi" w:hAnsiTheme="minorHAnsi" w:cstheme="minorHAnsi"/>
          <w:szCs w:val="24"/>
        </w:rPr>
        <w:t xml:space="preserve">ncludes information on approved </w:t>
      </w:r>
      <w:r w:rsidR="00F13AC1" w:rsidRPr="00B26E5B">
        <w:rPr>
          <w:rFonts w:asciiTheme="minorHAnsi" w:hAnsiTheme="minorHAnsi" w:cstheme="minorHAnsi"/>
          <w:szCs w:val="24"/>
        </w:rPr>
        <w:t>ENUM Delegations and on ENUM trials.</w:t>
      </w:r>
    </w:p>
    <w:p w14:paraId="2C117182" w14:textId="77777777" w:rsidR="002E2753" w:rsidRPr="00B26E5B" w:rsidRDefault="002E2753" w:rsidP="00A55ACC">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lang w:val="en-US"/>
        </w:rPr>
      </w:pPr>
      <w:r w:rsidRPr="00B26E5B">
        <w:rPr>
          <w:rFonts w:asciiTheme="minorHAnsi" w:hAnsiTheme="minorHAnsi" w:cstheme="minorHAnsi"/>
          <w:sz w:val="24"/>
          <w:szCs w:val="24"/>
          <w:lang w:val="en-US"/>
        </w:rPr>
        <w:t>6.</w:t>
      </w:r>
      <w:r w:rsidRPr="00B26E5B">
        <w:rPr>
          <w:rFonts w:asciiTheme="minorHAnsi" w:hAnsiTheme="minorHAnsi" w:cstheme="minorHAnsi"/>
          <w:sz w:val="24"/>
          <w:szCs w:val="24"/>
          <w:lang w:val="en-US"/>
        </w:rPr>
        <w:tab/>
        <w:t>International Internet Connectivity (IIC)/Internet Exchange Points (IXPs)</w:t>
      </w:r>
    </w:p>
    <w:p w14:paraId="343C5B53" w14:textId="329E050E" w:rsidR="00A70918" w:rsidRPr="00B26E5B" w:rsidRDefault="002E2753" w:rsidP="00A22348">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t>6.1</w:t>
      </w:r>
      <w:r w:rsidRPr="00B26E5B">
        <w:rPr>
          <w:rFonts w:asciiTheme="minorHAnsi" w:hAnsiTheme="minorHAnsi" w:cstheme="minorHAnsi"/>
          <w:szCs w:val="24"/>
          <w:lang w:val="en-US"/>
        </w:rPr>
        <w:tab/>
      </w:r>
      <w:bookmarkStart w:id="18" w:name="_Hlk500485334"/>
      <w:r w:rsidR="00A70918" w:rsidRPr="00B26E5B">
        <w:rPr>
          <w:rFonts w:asciiTheme="minorHAnsi" w:hAnsiTheme="minorHAnsi" w:cstheme="minorHAnsi"/>
          <w:szCs w:val="24"/>
          <w:lang w:val="en-US"/>
        </w:rPr>
        <w:t xml:space="preserve">BDT continues to provide assistance to countries </w:t>
      </w:r>
      <w:r w:rsidR="00D17362" w:rsidRPr="00B26E5B">
        <w:rPr>
          <w:rFonts w:asciiTheme="minorHAnsi" w:hAnsiTheme="minorHAnsi" w:cstheme="minorHAnsi"/>
          <w:szCs w:val="24"/>
          <w:lang w:val="en-US"/>
        </w:rPr>
        <w:t>i</w:t>
      </w:r>
      <w:r w:rsidR="00A70918" w:rsidRPr="00B26E5B">
        <w:rPr>
          <w:rFonts w:asciiTheme="minorHAnsi" w:hAnsiTheme="minorHAnsi" w:cstheme="minorHAnsi"/>
          <w:szCs w:val="24"/>
          <w:lang w:val="en-US"/>
        </w:rPr>
        <w:t>n the creation of national IXPs, and on achieving efficient and cost-effective regional Internet connectivity by, e.g. developing model interconnection as a basis for formulating National and Regional IXPs, as i</w:t>
      </w:r>
      <w:r w:rsidR="00917D22" w:rsidRPr="00B26E5B">
        <w:rPr>
          <w:rFonts w:asciiTheme="minorHAnsi" w:hAnsiTheme="minorHAnsi" w:cstheme="minorHAnsi"/>
          <w:szCs w:val="24"/>
          <w:lang w:val="en-US"/>
        </w:rPr>
        <w:t>n</w:t>
      </w:r>
      <w:r w:rsidR="00A70918" w:rsidRPr="00B26E5B">
        <w:rPr>
          <w:rFonts w:asciiTheme="minorHAnsi" w:hAnsiTheme="minorHAnsi" w:cstheme="minorHAnsi"/>
          <w:szCs w:val="24"/>
          <w:lang w:val="en-US"/>
        </w:rPr>
        <w:t xml:space="preserve"> the case of Guatemala; supporting strengthening capabilities of the national IXPs (Montenegro) and the National Internet Exchange in Timor </w:t>
      </w:r>
      <w:proofErr w:type="spellStart"/>
      <w:r w:rsidR="00A70918" w:rsidRPr="00B26E5B">
        <w:rPr>
          <w:rFonts w:asciiTheme="minorHAnsi" w:hAnsiTheme="minorHAnsi" w:cstheme="minorHAnsi"/>
          <w:szCs w:val="24"/>
          <w:lang w:val="en-US"/>
        </w:rPr>
        <w:t>Leste</w:t>
      </w:r>
      <w:proofErr w:type="spellEnd"/>
      <w:r w:rsidR="00A70918" w:rsidRPr="00B26E5B">
        <w:rPr>
          <w:rFonts w:asciiTheme="minorHAnsi" w:hAnsiTheme="minorHAnsi" w:cstheme="minorHAnsi"/>
          <w:szCs w:val="24"/>
          <w:lang w:val="en-US"/>
        </w:rPr>
        <w:t xml:space="preserve">; developing a new publication on </w:t>
      </w:r>
      <w:r w:rsidR="002F451F" w:rsidRPr="00B26E5B">
        <w:rPr>
          <w:rFonts w:asciiTheme="minorHAnsi" w:hAnsiTheme="minorHAnsi" w:cstheme="minorHAnsi"/>
          <w:szCs w:val="24"/>
          <w:lang w:val="en-US"/>
        </w:rPr>
        <w:t>“</w:t>
      </w:r>
      <w:r w:rsidR="00A70918" w:rsidRPr="00B26E5B">
        <w:rPr>
          <w:rFonts w:asciiTheme="minorHAnsi" w:hAnsiTheme="minorHAnsi" w:cstheme="minorHAnsi"/>
          <w:szCs w:val="24"/>
          <w:lang w:val="en-US"/>
        </w:rPr>
        <w:t>Internet Exchanges</w:t>
      </w:r>
      <w:r w:rsidR="002F451F" w:rsidRPr="00B26E5B">
        <w:rPr>
          <w:rFonts w:asciiTheme="minorHAnsi" w:hAnsiTheme="minorHAnsi" w:cstheme="minorHAnsi"/>
          <w:szCs w:val="24"/>
          <w:lang w:val="en-US"/>
        </w:rPr>
        <w:t>”</w:t>
      </w:r>
      <w:r w:rsidR="00A70918" w:rsidRPr="00B26E5B">
        <w:rPr>
          <w:rFonts w:asciiTheme="minorHAnsi" w:hAnsiTheme="minorHAnsi" w:cstheme="minorHAnsi"/>
          <w:szCs w:val="24"/>
          <w:lang w:val="en-US"/>
        </w:rPr>
        <w:t xml:space="preserve"> including Renewable Energies for Rural Communications etc. </w:t>
      </w:r>
      <w:r w:rsidR="00A22348" w:rsidRPr="00B26E5B">
        <w:rPr>
          <w:rFonts w:asciiTheme="minorHAnsi" w:hAnsiTheme="minorHAnsi" w:cstheme="minorHAnsi"/>
          <w:szCs w:val="24"/>
          <w:lang w:val="en-US"/>
        </w:rPr>
        <w:t>Another sub</w:t>
      </w:r>
      <w:r w:rsidR="00D17362" w:rsidRPr="00B26E5B">
        <w:rPr>
          <w:rFonts w:asciiTheme="minorHAnsi" w:hAnsiTheme="minorHAnsi" w:cstheme="minorHAnsi"/>
          <w:szCs w:val="24"/>
          <w:lang w:val="en-US"/>
        </w:rPr>
        <w:t>-</w:t>
      </w:r>
      <w:r w:rsidR="00A22348" w:rsidRPr="00B26E5B">
        <w:rPr>
          <w:rFonts w:asciiTheme="minorHAnsi" w:hAnsiTheme="minorHAnsi" w:cstheme="minorHAnsi"/>
          <w:szCs w:val="24"/>
          <w:lang w:val="en-US"/>
        </w:rPr>
        <w:t xml:space="preserve">regional IXP is under consideration with Djibouti Telecom using their New Data Center and optical cables such as SEAMEWE 3, EUROPE INDIA GATEWAY, SEACOM, ADEN-DJIBOUTI, EAST AFRICA SUBMARINE SYSTEM, AAE1, SEAMEWE </w:t>
      </w:r>
      <w:proofErr w:type="gramStart"/>
      <w:r w:rsidR="00A22348" w:rsidRPr="00B26E5B">
        <w:rPr>
          <w:rFonts w:asciiTheme="minorHAnsi" w:hAnsiTheme="minorHAnsi" w:cstheme="minorHAnsi"/>
          <w:szCs w:val="24"/>
          <w:lang w:val="en-US"/>
        </w:rPr>
        <w:t>5  AWE</w:t>
      </w:r>
      <w:proofErr w:type="gramEnd"/>
      <w:r w:rsidR="00A22348" w:rsidRPr="00B26E5B">
        <w:rPr>
          <w:rFonts w:asciiTheme="minorHAnsi" w:hAnsiTheme="minorHAnsi" w:cstheme="minorHAnsi"/>
          <w:szCs w:val="24"/>
          <w:lang w:val="en-US"/>
        </w:rPr>
        <w:t xml:space="preserve"> ETC.   </w:t>
      </w:r>
      <w:r w:rsidR="00A70918" w:rsidRPr="00B26E5B">
        <w:rPr>
          <w:rFonts w:asciiTheme="minorHAnsi" w:hAnsiTheme="minorHAnsi" w:cstheme="minorHAnsi"/>
          <w:szCs w:val="24"/>
          <w:lang w:val="en-US"/>
        </w:rPr>
        <w:t>.</w:t>
      </w:r>
      <w:bookmarkEnd w:id="18"/>
      <w:r w:rsidR="006818F4" w:rsidRPr="00B26E5B">
        <w:rPr>
          <w:rFonts w:asciiTheme="minorHAnsi" w:hAnsiTheme="minorHAnsi" w:cstheme="minorHAnsi"/>
          <w:szCs w:val="24"/>
          <w:lang w:val="en-US"/>
        </w:rPr>
        <w:t xml:space="preserve"> </w:t>
      </w:r>
    </w:p>
    <w:p w14:paraId="0A88437E" w14:textId="7796F280" w:rsidR="002E2753" w:rsidRPr="00B26E5B"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B26E5B">
        <w:rPr>
          <w:rFonts w:asciiTheme="minorHAnsi" w:hAnsiTheme="minorHAnsi" w:cstheme="minorHAnsi"/>
          <w:bCs/>
          <w:szCs w:val="24"/>
          <w:lang w:val="en-US"/>
        </w:rPr>
        <w:t>6.</w:t>
      </w:r>
      <w:r w:rsidR="00867EA4" w:rsidRPr="00B26E5B">
        <w:rPr>
          <w:rFonts w:asciiTheme="minorHAnsi" w:hAnsiTheme="minorHAnsi" w:cstheme="minorHAnsi"/>
          <w:bCs/>
          <w:szCs w:val="24"/>
          <w:lang w:val="en-US"/>
        </w:rPr>
        <w:t>2</w:t>
      </w:r>
      <w:r w:rsidR="00E1419C" w:rsidRPr="00B26E5B">
        <w:rPr>
          <w:rFonts w:asciiTheme="minorHAnsi" w:hAnsiTheme="minorHAnsi" w:cstheme="minorHAnsi"/>
          <w:szCs w:val="24"/>
          <w:lang w:val="en-US"/>
        </w:rPr>
        <w:tab/>
      </w:r>
      <w:r w:rsidRPr="00B26E5B">
        <w:rPr>
          <w:rFonts w:asciiTheme="minorHAnsi" w:hAnsiTheme="minorHAnsi" w:cstheme="minorHAnsi"/>
          <w:szCs w:val="24"/>
          <w:lang w:val="en-US"/>
        </w:rPr>
        <w:t xml:space="preserve">ITU-T SG3 continues to work on IIC, including </w:t>
      </w:r>
      <w:r w:rsidR="00015770" w:rsidRPr="00B26E5B">
        <w:rPr>
          <w:rFonts w:asciiTheme="minorHAnsi" w:hAnsiTheme="minorHAnsi" w:cstheme="minorHAnsi"/>
          <w:szCs w:val="24"/>
          <w:lang w:val="en-US"/>
        </w:rPr>
        <w:t xml:space="preserve">framework for competitive IIC provision, </w:t>
      </w:r>
      <w:r w:rsidRPr="00B26E5B">
        <w:rPr>
          <w:rFonts w:asciiTheme="minorHAnsi" w:hAnsiTheme="minorHAnsi" w:cstheme="minorHAnsi"/>
          <w:szCs w:val="24"/>
          <w:lang w:val="en-US"/>
        </w:rPr>
        <w:t>IP peering, regional traffic exchange points, cost models, and cost of provision of services.</w:t>
      </w:r>
    </w:p>
    <w:p w14:paraId="2891DF10" w14:textId="77777777" w:rsidR="002E2753" w:rsidRPr="00B26E5B" w:rsidRDefault="002E2753" w:rsidP="00AA6A64">
      <w:pPr>
        <w:pStyle w:val="normalWSIS"/>
        <w:numPr>
          <w:ilvl w:val="0"/>
          <w:numId w:val="0"/>
        </w:numPr>
        <w:tabs>
          <w:tab w:val="clear" w:pos="426"/>
        </w:tabs>
        <w:snapToGrid w:val="0"/>
        <w:spacing w:before="360" w:after="0" w:line="240" w:lineRule="auto"/>
        <w:jc w:val="center"/>
        <w:rPr>
          <w:rFonts w:cstheme="minorHAnsi"/>
          <w:sz w:val="24"/>
          <w:szCs w:val="24"/>
          <w:lang w:val="en-US"/>
        </w:rPr>
      </w:pPr>
      <w:r w:rsidRPr="00B26E5B">
        <w:rPr>
          <w:rFonts w:cstheme="minorHAnsi"/>
          <w:sz w:val="24"/>
          <w:szCs w:val="24"/>
          <w:lang w:val="en-US"/>
        </w:rPr>
        <w:t>__________________</w:t>
      </w:r>
    </w:p>
    <w:sectPr w:rsidR="002E2753" w:rsidRPr="00B26E5B" w:rsidSect="004D1851">
      <w:headerReference w:type="default" r:id="rId60"/>
      <w:footerReference w:type="first" r:id="rId61"/>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764AA" w16cid:durableId="1E33FFD3"/>
  <w16cid:commentId w16cid:paraId="21156A76" w16cid:durableId="1E33ED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3D2A7" w14:textId="77777777" w:rsidR="00636657" w:rsidRDefault="00636657">
      <w:r>
        <w:separator/>
      </w:r>
    </w:p>
  </w:endnote>
  <w:endnote w:type="continuationSeparator" w:id="0">
    <w:p w14:paraId="3DFD30B6" w14:textId="77777777" w:rsidR="00636657" w:rsidRDefault="0063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215E" w14:textId="77777777" w:rsidR="0041411A" w:rsidRDefault="0041411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1F2F" w14:textId="77777777" w:rsidR="00636657" w:rsidRDefault="00636657">
      <w:r>
        <w:t>____________________</w:t>
      </w:r>
    </w:p>
  </w:footnote>
  <w:footnote w:type="continuationSeparator" w:id="0">
    <w:p w14:paraId="655763B8" w14:textId="77777777" w:rsidR="00636657" w:rsidRDefault="0063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6DD47" w14:textId="4B23713D" w:rsidR="0041411A" w:rsidRDefault="0041411A" w:rsidP="00E307EB">
    <w:pPr>
      <w:pStyle w:val="Header"/>
    </w:pPr>
    <w:r>
      <w:fldChar w:fldCharType="begin"/>
    </w:r>
    <w:r>
      <w:instrText>PAGE</w:instrText>
    </w:r>
    <w:r>
      <w:fldChar w:fldCharType="separate"/>
    </w:r>
    <w:r w:rsidR="00E307EB">
      <w:rPr>
        <w:noProof/>
      </w:rPr>
      <w:t>6</w:t>
    </w:r>
    <w:r>
      <w:rPr>
        <w:noProof/>
      </w:rPr>
      <w:fldChar w:fldCharType="end"/>
    </w:r>
    <w:r w:rsidR="00642A51">
      <w:rPr>
        <w:noProof/>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BA4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E8F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CE9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EE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CD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3E1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726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E62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EF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A4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E2D35"/>
    <w:multiLevelType w:val="multilevel"/>
    <w:tmpl w:val="F0E05B8A"/>
    <w:lvl w:ilvl="0">
      <w:start w:val="3"/>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2"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E7B95"/>
    <w:multiLevelType w:val="hybridMultilevel"/>
    <w:tmpl w:val="27A663E2"/>
    <w:lvl w:ilvl="0" w:tplc="2AC298B0">
      <w:start w:val="2004"/>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972E9E"/>
    <w:multiLevelType w:val="hybridMultilevel"/>
    <w:tmpl w:val="24B4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8"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5"/>
  </w:num>
  <w:num w:numId="15">
    <w:abstractNumId w:val="11"/>
  </w:num>
  <w:num w:numId="16">
    <w:abstractNumId w:val="21"/>
  </w:num>
  <w:num w:numId="17">
    <w:abstractNumId w:val="12"/>
  </w:num>
  <w:num w:numId="18">
    <w:abstractNumId w:val="18"/>
  </w:num>
  <w:num w:numId="19">
    <w:abstractNumId w:val="13"/>
  </w:num>
  <w:num w:numId="20">
    <w:abstractNumId w:val="19"/>
  </w:num>
  <w:num w:numId="21">
    <w:abstractNumId w:val="23"/>
  </w:num>
  <w:num w:numId="22">
    <w:abstractNumId w:val="24"/>
  </w:num>
  <w:num w:numId="23">
    <w:abstractNumId w:val="10"/>
  </w:num>
  <w:num w:numId="24">
    <w:abstractNumId w:val="22"/>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53"/>
    <w:rsid w:val="0000011B"/>
    <w:rsid w:val="000029A5"/>
    <w:rsid w:val="00002CE8"/>
    <w:rsid w:val="00002DF8"/>
    <w:rsid w:val="00010756"/>
    <w:rsid w:val="00014FC2"/>
    <w:rsid w:val="00015770"/>
    <w:rsid w:val="000210D4"/>
    <w:rsid w:val="00026DA3"/>
    <w:rsid w:val="00030FB0"/>
    <w:rsid w:val="000322E8"/>
    <w:rsid w:val="00036CF6"/>
    <w:rsid w:val="000525A1"/>
    <w:rsid w:val="00053D61"/>
    <w:rsid w:val="000557AE"/>
    <w:rsid w:val="00063016"/>
    <w:rsid w:val="00066795"/>
    <w:rsid w:val="00071700"/>
    <w:rsid w:val="00076AF6"/>
    <w:rsid w:val="000823D1"/>
    <w:rsid w:val="00083C96"/>
    <w:rsid w:val="00084E6E"/>
    <w:rsid w:val="00085CF2"/>
    <w:rsid w:val="0009179D"/>
    <w:rsid w:val="000948BE"/>
    <w:rsid w:val="000963D2"/>
    <w:rsid w:val="000A14E7"/>
    <w:rsid w:val="000B15F0"/>
    <w:rsid w:val="000B1705"/>
    <w:rsid w:val="000B5B08"/>
    <w:rsid w:val="000C5AA1"/>
    <w:rsid w:val="000D238E"/>
    <w:rsid w:val="000D3EBD"/>
    <w:rsid w:val="000D41DC"/>
    <w:rsid w:val="000D4C36"/>
    <w:rsid w:val="000D75B2"/>
    <w:rsid w:val="000E2AF7"/>
    <w:rsid w:val="000E6A74"/>
    <w:rsid w:val="000F6D25"/>
    <w:rsid w:val="00106370"/>
    <w:rsid w:val="00111B43"/>
    <w:rsid w:val="001121F5"/>
    <w:rsid w:val="00116C99"/>
    <w:rsid w:val="00117C98"/>
    <w:rsid w:val="00121B2B"/>
    <w:rsid w:val="00122008"/>
    <w:rsid w:val="00134B85"/>
    <w:rsid w:val="001400DC"/>
    <w:rsid w:val="00140CE1"/>
    <w:rsid w:val="0014216F"/>
    <w:rsid w:val="00143C83"/>
    <w:rsid w:val="00144F88"/>
    <w:rsid w:val="00150D29"/>
    <w:rsid w:val="00152D7A"/>
    <w:rsid w:val="00153A68"/>
    <w:rsid w:val="001631D6"/>
    <w:rsid w:val="001632D2"/>
    <w:rsid w:val="00174A2D"/>
    <w:rsid w:val="0017539C"/>
    <w:rsid w:val="00175AC2"/>
    <w:rsid w:val="0017609F"/>
    <w:rsid w:val="0018430E"/>
    <w:rsid w:val="00193C06"/>
    <w:rsid w:val="00193E5B"/>
    <w:rsid w:val="0019671E"/>
    <w:rsid w:val="001973F2"/>
    <w:rsid w:val="001A2DAA"/>
    <w:rsid w:val="001A6C6A"/>
    <w:rsid w:val="001B15DD"/>
    <w:rsid w:val="001B602D"/>
    <w:rsid w:val="001C628E"/>
    <w:rsid w:val="001D5362"/>
    <w:rsid w:val="001E0F7B"/>
    <w:rsid w:val="001E3B2E"/>
    <w:rsid w:val="001F2861"/>
    <w:rsid w:val="001F2E25"/>
    <w:rsid w:val="00202C7B"/>
    <w:rsid w:val="002119FD"/>
    <w:rsid w:val="00213050"/>
    <w:rsid w:val="002130E0"/>
    <w:rsid w:val="00213AF4"/>
    <w:rsid w:val="0021414C"/>
    <w:rsid w:val="002264F4"/>
    <w:rsid w:val="0024053C"/>
    <w:rsid w:val="002471CD"/>
    <w:rsid w:val="002569B7"/>
    <w:rsid w:val="002572D3"/>
    <w:rsid w:val="00257571"/>
    <w:rsid w:val="00257CB3"/>
    <w:rsid w:val="00264425"/>
    <w:rsid w:val="00264FAF"/>
    <w:rsid w:val="00265875"/>
    <w:rsid w:val="00272350"/>
    <w:rsid w:val="00272F30"/>
    <w:rsid w:val="0027303B"/>
    <w:rsid w:val="002741E2"/>
    <w:rsid w:val="00280A9F"/>
    <w:rsid w:val="0028109B"/>
    <w:rsid w:val="00283A04"/>
    <w:rsid w:val="00292194"/>
    <w:rsid w:val="00293892"/>
    <w:rsid w:val="00293CD8"/>
    <w:rsid w:val="002968C4"/>
    <w:rsid w:val="002B1749"/>
    <w:rsid w:val="002B1F58"/>
    <w:rsid w:val="002B2A8A"/>
    <w:rsid w:val="002B50CB"/>
    <w:rsid w:val="002C1C7A"/>
    <w:rsid w:val="002C2B01"/>
    <w:rsid w:val="002C3092"/>
    <w:rsid w:val="002C372D"/>
    <w:rsid w:val="002C7C48"/>
    <w:rsid w:val="002D02ED"/>
    <w:rsid w:val="002D06AF"/>
    <w:rsid w:val="002D1393"/>
    <w:rsid w:val="002D4AD0"/>
    <w:rsid w:val="002D4FAA"/>
    <w:rsid w:val="002E2753"/>
    <w:rsid w:val="002E3039"/>
    <w:rsid w:val="002F1E54"/>
    <w:rsid w:val="002F451F"/>
    <w:rsid w:val="0030150D"/>
    <w:rsid w:val="0030160F"/>
    <w:rsid w:val="00302C62"/>
    <w:rsid w:val="00304949"/>
    <w:rsid w:val="003067F3"/>
    <w:rsid w:val="00311D59"/>
    <w:rsid w:val="00313AC6"/>
    <w:rsid w:val="003204F6"/>
    <w:rsid w:val="00322D0D"/>
    <w:rsid w:val="00323F9B"/>
    <w:rsid w:val="00331429"/>
    <w:rsid w:val="003404C2"/>
    <w:rsid w:val="00341B83"/>
    <w:rsid w:val="00341D92"/>
    <w:rsid w:val="00343986"/>
    <w:rsid w:val="003517D3"/>
    <w:rsid w:val="003600C5"/>
    <w:rsid w:val="00361BEB"/>
    <w:rsid w:val="00362B88"/>
    <w:rsid w:val="00366C0C"/>
    <w:rsid w:val="00370F2A"/>
    <w:rsid w:val="00373358"/>
    <w:rsid w:val="00376AD8"/>
    <w:rsid w:val="0037727E"/>
    <w:rsid w:val="0037730B"/>
    <w:rsid w:val="003823E7"/>
    <w:rsid w:val="00382DFC"/>
    <w:rsid w:val="003863B4"/>
    <w:rsid w:val="00390281"/>
    <w:rsid w:val="003923B5"/>
    <w:rsid w:val="00392F26"/>
    <w:rsid w:val="003942D4"/>
    <w:rsid w:val="003958A8"/>
    <w:rsid w:val="003B0AB1"/>
    <w:rsid w:val="003B287C"/>
    <w:rsid w:val="003B61FD"/>
    <w:rsid w:val="003C20FE"/>
    <w:rsid w:val="003C2533"/>
    <w:rsid w:val="003D18CB"/>
    <w:rsid w:val="003D5FC2"/>
    <w:rsid w:val="003D7036"/>
    <w:rsid w:val="003F3B99"/>
    <w:rsid w:val="003F77D4"/>
    <w:rsid w:val="00400872"/>
    <w:rsid w:val="004017AC"/>
    <w:rsid w:val="004041F3"/>
    <w:rsid w:val="0040435A"/>
    <w:rsid w:val="00407195"/>
    <w:rsid w:val="004078A8"/>
    <w:rsid w:val="00411AD0"/>
    <w:rsid w:val="00411EC7"/>
    <w:rsid w:val="0041411A"/>
    <w:rsid w:val="00416A24"/>
    <w:rsid w:val="00422CB2"/>
    <w:rsid w:val="00425942"/>
    <w:rsid w:val="00431D9E"/>
    <w:rsid w:val="00433CE8"/>
    <w:rsid w:val="00434A5C"/>
    <w:rsid w:val="0043593C"/>
    <w:rsid w:val="004423C3"/>
    <w:rsid w:val="00443A79"/>
    <w:rsid w:val="00452AC2"/>
    <w:rsid w:val="004544D9"/>
    <w:rsid w:val="004635CA"/>
    <w:rsid w:val="0046476E"/>
    <w:rsid w:val="00466C99"/>
    <w:rsid w:val="00467326"/>
    <w:rsid w:val="00471CCB"/>
    <w:rsid w:val="00476F22"/>
    <w:rsid w:val="0048244D"/>
    <w:rsid w:val="00490E72"/>
    <w:rsid w:val="00491157"/>
    <w:rsid w:val="004921C8"/>
    <w:rsid w:val="004929D4"/>
    <w:rsid w:val="004948FD"/>
    <w:rsid w:val="0049715B"/>
    <w:rsid w:val="004A416D"/>
    <w:rsid w:val="004A58FF"/>
    <w:rsid w:val="004B3471"/>
    <w:rsid w:val="004B56A6"/>
    <w:rsid w:val="004C3BBC"/>
    <w:rsid w:val="004C6A19"/>
    <w:rsid w:val="004D1851"/>
    <w:rsid w:val="004D2F13"/>
    <w:rsid w:val="004D4146"/>
    <w:rsid w:val="004D599D"/>
    <w:rsid w:val="004E089C"/>
    <w:rsid w:val="004E2EA5"/>
    <w:rsid w:val="004E3527"/>
    <w:rsid w:val="004E35C3"/>
    <w:rsid w:val="004E3AEB"/>
    <w:rsid w:val="004F4593"/>
    <w:rsid w:val="004F45D7"/>
    <w:rsid w:val="004F4E13"/>
    <w:rsid w:val="004F5C36"/>
    <w:rsid w:val="004F763F"/>
    <w:rsid w:val="0050223C"/>
    <w:rsid w:val="005032C9"/>
    <w:rsid w:val="005045D5"/>
    <w:rsid w:val="00512971"/>
    <w:rsid w:val="0051388C"/>
    <w:rsid w:val="00516220"/>
    <w:rsid w:val="00516C7D"/>
    <w:rsid w:val="00517DDF"/>
    <w:rsid w:val="005243FF"/>
    <w:rsid w:val="00525DC2"/>
    <w:rsid w:val="00527E50"/>
    <w:rsid w:val="00540EE6"/>
    <w:rsid w:val="005458AA"/>
    <w:rsid w:val="0055073F"/>
    <w:rsid w:val="00550A3C"/>
    <w:rsid w:val="00556548"/>
    <w:rsid w:val="00557A3A"/>
    <w:rsid w:val="00561235"/>
    <w:rsid w:val="0056392C"/>
    <w:rsid w:val="00563E3E"/>
    <w:rsid w:val="0056454A"/>
    <w:rsid w:val="00564FBC"/>
    <w:rsid w:val="0056768D"/>
    <w:rsid w:val="005763E4"/>
    <w:rsid w:val="00576794"/>
    <w:rsid w:val="005801D9"/>
    <w:rsid w:val="00581F2B"/>
    <w:rsid w:val="00582442"/>
    <w:rsid w:val="005865F9"/>
    <w:rsid w:val="00587843"/>
    <w:rsid w:val="00593E5B"/>
    <w:rsid w:val="0059426E"/>
    <w:rsid w:val="00595A60"/>
    <w:rsid w:val="005A1BDA"/>
    <w:rsid w:val="005A57BB"/>
    <w:rsid w:val="005B0B24"/>
    <w:rsid w:val="005B29B6"/>
    <w:rsid w:val="005B2C18"/>
    <w:rsid w:val="005B5245"/>
    <w:rsid w:val="005B791E"/>
    <w:rsid w:val="005C181E"/>
    <w:rsid w:val="005D2AA3"/>
    <w:rsid w:val="005E0116"/>
    <w:rsid w:val="005E0C50"/>
    <w:rsid w:val="005E30EE"/>
    <w:rsid w:val="00601542"/>
    <w:rsid w:val="00601551"/>
    <w:rsid w:val="00602FC8"/>
    <w:rsid w:val="006110DE"/>
    <w:rsid w:val="00612213"/>
    <w:rsid w:val="006228E1"/>
    <w:rsid w:val="00622BF4"/>
    <w:rsid w:val="0063472E"/>
    <w:rsid w:val="00635C15"/>
    <w:rsid w:val="00635E09"/>
    <w:rsid w:val="00636657"/>
    <w:rsid w:val="00636B8C"/>
    <w:rsid w:val="006412A9"/>
    <w:rsid w:val="00642A51"/>
    <w:rsid w:val="00645AD9"/>
    <w:rsid w:val="0064737F"/>
    <w:rsid w:val="006535F1"/>
    <w:rsid w:val="0065557D"/>
    <w:rsid w:val="0065561B"/>
    <w:rsid w:val="0065636F"/>
    <w:rsid w:val="006569AB"/>
    <w:rsid w:val="0066008C"/>
    <w:rsid w:val="006624C2"/>
    <w:rsid w:val="00662984"/>
    <w:rsid w:val="006633CB"/>
    <w:rsid w:val="006707BF"/>
    <w:rsid w:val="006716AB"/>
    <w:rsid w:val="006716BB"/>
    <w:rsid w:val="00674217"/>
    <w:rsid w:val="00680E69"/>
    <w:rsid w:val="006818F4"/>
    <w:rsid w:val="006836EB"/>
    <w:rsid w:val="00687034"/>
    <w:rsid w:val="0068748E"/>
    <w:rsid w:val="00691CA0"/>
    <w:rsid w:val="00691F93"/>
    <w:rsid w:val="00693127"/>
    <w:rsid w:val="00693D08"/>
    <w:rsid w:val="006A1823"/>
    <w:rsid w:val="006A20A4"/>
    <w:rsid w:val="006A30E3"/>
    <w:rsid w:val="006A5CA4"/>
    <w:rsid w:val="006A6858"/>
    <w:rsid w:val="006A79CE"/>
    <w:rsid w:val="006B4799"/>
    <w:rsid w:val="006B559D"/>
    <w:rsid w:val="006B6680"/>
    <w:rsid w:val="006B6DCC"/>
    <w:rsid w:val="006B7131"/>
    <w:rsid w:val="006C7104"/>
    <w:rsid w:val="006D20DE"/>
    <w:rsid w:val="006D38AD"/>
    <w:rsid w:val="006E18F4"/>
    <w:rsid w:val="006E7E3C"/>
    <w:rsid w:val="00702DEF"/>
    <w:rsid w:val="00706861"/>
    <w:rsid w:val="00721B91"/>
    <w:rsid w:val="00723DE1"/>
    <w:rsid w:val="00724461"/>
    <w:rsid w:val="00725ADC"/>
    <w:rsid w:val="0072761C"/>
    <w:rsid w:val="00732F80"/>
    <w:rsid w:val="00733685"/>
    <w:rsid w:val="007349A0"/>
    <w:rsid w:val="00736B7C"/>
    <w:rsid w:val="00741AE9"/>
    <w:rsid w:val="0074614A"/>
    <w:rsid w:val="0075051B"/>
    <w:rsid w:val="00753E49"/>
    <w:rsid w:val="00755371"/>
    <w:rsid w:val="0076389B"/>
    <w:rsid w:val="00764A0B"/>
    <w:rsid w:val="00764A3A"/>
    <w:rsid w:val="00764A88"/>
    <w:rsid w:val="00766527"/>
    <w:rsid w:val="00776345"/>
    <w:rsid w:val="0078060E"/>
    <w:rsid w:val="0078105A"/>
    <w:rsid w:val="007901C4"/>
    <w:rsid w:val="00794D34"/>
    <w:rsid w:val="007A0730"/>
    <w:rsid w:val="007A7B0A"/>
    <w:rsid w:val="007B1B24"/>
    <w:rsid w:val="007B4C74"/>
    <w:rsid w:val="007B5377"/>
    <w:rsid w:val="007B55A7"/>
    <w:rsid w:val="007C436D"/>
    <w:rsid w:val="007C47B9"/>
    <w:rsid w:val="007C4915"/>
    <w:rsid w:val="007C7B60"/>
    <w:rsid w:val="007D0F27"/>
    <w:rsid w:val="007D2F77"/>
    <w:rsid w:val="007D6D70"/>
    <w:rsid w:val="007E378E"/>
    <w:rsid w:val="007E5B8D"/>
    <w:rsid w:val="007E5DF7"/>
    <w:rsid w:val="007E6947"/>
    <w:rsid w:val="007F63DE"/>
    <w:rsid w:val="00806021"/>
    <w:rsid w:val="00806044"/>
    <w:rsid w:val="00807D4D"/>
    <w:rsid w:val="00813E5E"/>
    <w:rsid w:val="00822CAB"/>
    <w:rsid w:val="00826782"/>
    <w:rsid w:val="0083581B"/>
    <w:rsid w:val="00835B90"/>
    <w:rsid w:val="008425C5"/>
    <w:rsid w:val="00843092"/>
    <w:rsid w:val="008447D8"/>
    <w:rsid w:val="00851589"/>
    <w:rsid w:val="0085161B"/>
    <w:rsid w:val="008531C5"/>
    <w:rsid w:val="00857588"/>
    <w:rsid w:val="00861072"/>
    <w:rsid w:val="00864AFF"/>
    <w:rsid w:val="0086646A"/>
    <w:rsid w:val="00867EA4"/>
    <w:rsid w:val="00870FC3"/>
    <w:rsid w:val="0088197F"/>
    <w:rsid w:val="00884A57"/>
    <w:rsid w:val="00884FB1"/>
    <w:rsid w:val="00885EA3"/>
    <w:rsid w:val="00887934"/>
    <w:rsid w:val="00890C87"/>
    <w:rsid w:val="008A0AA6"/>
    <w:rsid w:val="008B2C66"/>
    <w:rsid w:val="008B48D5"/>
    <w:rsid w:val="008B4A6A"/>
    <w:rsid w:val="008B6A27"/>
    <w:rsid w:val="008C6EAF"/>
    <w:rsid w:val="008C7E27"/>
    <w:rsid w:val="008D34A4"/>
    <w:rsid w:val="008D56D3"/>
    <w:rsid w:val="008D720A"/>
    <w:rsid w:val="008D742D"/>
    <w:rsid w:val="008E12A6"/>
    <w:rsid w:val="008E22C0"/>
    <w:rsid w:val="008F03A4"/>
    <w:rsid w:val="008F2B5C"/>
    <w:rsid w:val="008F367B"/>
    <w:rsid w:val="008F6E87"/>
    <w:rsid w:val="00901070"/>
    <w:rsid w:val="00907FB3"/>
    <w:rsid w:val="009173EF"/>
    <w:rsid w:val="00917D22"/>
    <w:rsid w:val="009227BC"/>
    <w:rsid w:val="009262AA"/>
    <w:rsid w:val="009325E1"/>
    <w:rsid w:val="00932906"/>
    <w:rsid w:val="009334F0"/>
    <w:rsid w:val="00934784"/>
    <w:rsid w:val="009440C0"/>
    <w:rsid w:val="00946271"/>
    <w:rsid w:val="00946ED0"/>
    <w:rsid w:val="00947C84"/>
    <w:rsid w:val="00951C24"/>
    <w:rsid w:val="009547DE"/>
    <w:rsid w:val="00955AB9"/>
    <w:rsid w:val="00961B0B"/>
    <w:rsid w:val="00963DA9"/>
    <w:rsid w:val="009814F3"/>
    <w:rsid w:val="00985134"/>
    <w:rsid w:val="00990EFD"/>
    <w:rsid w:val="00991997"/>
    <w:rsid w:val="00994ED0"/>
    <w:rsid w:val="009A6ABA"/>
    <w:rsid w:val="009A7ED5"/>
    <w:rsid w:val="009B1205"/>
    <w:rsid w:val="009B38C3"/>
    <w:rsid w:val="009C12E1"/>
    <w:rsid w:val="009C72EF"/>
    <w:rsid w:val="009D032F"/>
    <w:rsid w:val="009D1985"/>
    <w:rsid w:val="009D3711"/>
    <w:rsid w:val="009D38B1"/>
    <w:rsid w:val="009D7D83"/>
    <w:rsid w:val="009E0145"/>
    <w:rsid w:val="009E17BD"/>
    <w:rsid w:val="009E3F3D"/>
    <w:rsid w:val="00A004DE"/>
    <w:rsid w:val="00A04CEC"/>
    <w:rsid w:val="00A105FE"/>
    <w:rsid w:val="00A13B71"/>
    <w:rsid w:val="00A15394"/>
    <w:rsid w:val="00A21BD1"/>
    <w:rsid w:val="00A22348"/>
    <w:rsid w:val="00A27503"/>
    <w:rsid w:val="00A27F92"/>
    <w:rsid w:val="00A32257"/>
    <w:rsid w:val="00A36D20"/>
    <w:rsid w:val="00A41E62"/>
    <w:rsid w:val="00A42FFF"/>
    <w:rsid w:val="00A55622"/>
    <w:rsid w:val="00A55ACC"/>
    <w:rsid w:val="00A61195"/>
    <w:rsid w:val="00A62FF1"/>
    <w:rsid w:val="00A70918"/>
    <w:rsid w:val="00A73915"/>
    <w:rsid w:val="00A74688"/>
    <w:rsid w:val="00A759BB"/>
    <w:rsid w:val="00A76078"/>
    <w:rsid w:val="00A76CA2"/>
    <w:rsid w:val="00A802DF"/>
    <w:rsid w:val="00A83502"/>
    <w:rsid w:val="00A84A21"/>
    <w:rsid w:val="00A913B7"/>
    <w:rsid w:val="00A913EC"/>
    <w:rsid w:val="00AA6981"/>
    <w:rsid w:val="00AA6A64"/>
    <w:rsid w:val="00AA7642"/>
    <w:rsid w:val="00AB279E"/>
    <w:rsid w:val="00AC7323"/>
    <w:rsid w:val="00AD15B3"/>
    <w:rsid w:val="00AD66A0"/>
    <w:rsid w:val="00AE11C5"/>
    <w:rsid w:val="00AE5747"/>
    <w:rsid w:val="00AE66CE"/>
    <w:rsid w:val="00AE71C8"/>
    <w:rsid w:val="00AF3074"/>
    <w:rsid w:val="00AF598B"/>
    <w:rsid w:val="00AF6E49"/>
    <w:rsid w:val="00B0187A"/>
    <w:rsid w:val="00B028FC"/>
    <w:rsid w:val="00B04A67"/>
    <w:rsid w:val="00B04F2F"/>
    <w:rsid w:val="00B0583C"/>
    <w:rsid w:val="00B12F7F"/>
    <w:rsid w:val="00B1602D"/>
    <w:rsid w:val="00B1660B"/>
    <w:rsid w:val="00B25470"/>
    <w:rsid w:val="00B26E5B"/>
    <w:rsid w:val="00B310EA"/>
    <w:rsid w:val="00B317DA"/>
    <w:rsid w:val="00B37E18"/>
    <w:rsid w:val="00B40A81"/>
    <w:rsid w:val="00B43A9D"/>
    <w:rsid w:val="00B44910"/>
    <w:rsid w:val="00B45845"/>
    <w:rsid w:val="00B53D04"/>
    <w:rsid w:val="00B575A1"/>
    <w:rsid w:val="00B57A5E"/>
    <w:rsid w:val="00B630BD"/>
    <w:rsid w:val="00B647A5"/>
    <w:rsid w:val="00B66FE0"/>
    <w:rsid w:val="00B67EC1"/>
    <w:rsid w:val="00B70213"/>
    <w:rsid w:val="00B71672"/>
    <w:rsid w:val="00B71986"/>
    <w:rsid w:val="00B72267"/>
    <w:rsid w:val="00B74489"/>
    <w:rsid w:val="00B75057"/>
    <w:rsid w:val="00B7693F"/>
    <w:rsid w:val="00B76EB6"/>
    <w:rsid w:val="00B7737B"/>
    <w:rsid w:val="00B80E5B"/>
    <w:rsid w:val="00B824C8"/>
    <w:rsid w:val="00B8544D"/>
    <w:rsid w:val="00B933A6"/>
    <w:rsid w:val="00BA589D"/>
    <w:rsid w:val="00BA5AAA"/>
    <w:rsid w:val="00BB328C"/>
    <w:rsid w:val="00BB5D91"/>
    <w:rsid w:val="00BB6C2D"/>
    <w:rsid w:val="00BC251A"/>
    <w:rsid w:val="00BC2EF4"/>
    <w:rsid w:val="00BC61F5"/>
    <w:rsid w:val="00BD008A"/>
    <w:rsid w:val="00BD032B"/>
    <w:rsid w:val="00BD03FE"/>
    <w:rsid w:val="00BE07B1"/>
    <w:rsid w:val="00BE2640"/>
    <w:rsid w:val="00BE2E37"/>
    <w:rsid w:val="00BE59B1"/>
    <w:rsid w:val="00BE5A9D"/>
    <w:rsid w:val="00BF3D35"/>
    <w:rsid w:val="00BF5330"/>
    <w:rsid w:val="00BF6CDF"/>
    <w:rsid w:val="00C01189"/>
    <w:rsid w:val="00C04677"/>
    <w:rsid w:val="00C15598"/>
    <w:rsid w:val="00C16486"/>
    <w:rsid w:val="00C2053C"/>
    <w:rsid w:val="00C252DF"/>
    <w:rsid w:val="00C2689E"/>
    <w:rsid w:val="00C349EF"/>
    <w:rsid w:val="00C34A92"/>
    <w:rsid w:val="00C34A9B"/>
    <w:rsid w:val="00C34BDF"/>
    <w:rsid w:val="00C3544E"/>
    <w:rsid w:val="00C37116"/>
    <w:rsid w:val="00C374DE"/>
    <w:rsid w:val="00C41FD5"/>
    <w:rsid w:val="00C45FB2"/>
    <w:rsid w:val="00C47AD4"/>
    <w:rsid w:val="00C52D81"/>
    <w:rsid w:val="00C53F25"/>
    <w:rsid w:val="00C55198"/>
    <w:rsid w:val="00C56BE1"/>
    <w:rsid w:val="00C67E52"/>
    <w:rsid w:val="00C70583"/>
    <w:rsid w:val="00C72B4F"/>
    <w:rsid w:val="00C960A7"/>
    <w:rsid w:val="00CA0372"/>
    <w:rsid w:val="00CA6393"/>
    <w:rsid w:val="00CA7E91"/>
    <w:rsid w:val="00CA7F1F"/>
    <w:rsid w:val="00CB18FF"/>
    <w:rsid w:val="00CB1C89"/>
    <w:rsid w:val="00CB5CB5"/>
    <w:rsid w:val="00CB6C74"/>
    <w:rsid w:val="00CB7019"/>
    <w:rsid w:val="00CC503F"/>
    <w:rsid w:val="00CD0C08"/>
    <w:rsid w:val="00CD1EE6"/>
    <w:rsid w:val="00CD515B"/>
    <w:rsid w:val="00CE03FB"/>
    <w:rsid w:val="00CE064B"/>
    <w:rsid w:val="00CE2A02"/>
    <w:rsid w:val="00CE3190"/>
    <w:rsid w:val="00CE35E0"/>
    <w:rsid w:val="00CE3762"/>
    <w:rsid w:val="00CE433C"/>
    <w:rsid w:val="00CE5AB0"/>
    <w:rsid w:val="00CF16EE"/>
    <w:rsid w:val="00CF33F3"/>
    <w:rsid w:val="00D0214D"/>
    <w:rsid w:val="00D06183"/>
    <w:rsid w:val="00D127D2"/>
    <w:rsid w:val="00D13EAE"/>
    <w:rsid w:val="00D15FED"/>
    <w:rsid w:val="00D16F70"/>
    <w:rsid w:val="00D17362"/>
    <w:rsid w:val="00D210D8"/>
    <w:rsid w:val="00D22C42"/>
    <w:rsid w:val="00D23C52"/>
    <w:rsid w:val="00D314C6"/>
    <w:rsid w:val="00D324BD"/>
    <w:rsid w:val="00D326AF"/>
    <w:rsid w:val="00D40D91"/>
    <w:rsid w:val="00D41E4E"/>
    <w:rsid w:val="00D5157D"/>
    <w:rsid w:val="00D5279E"/>
    <w:rsid w:val="00D52C63"/>
    <w:rsid w:val="00D52CD8"/>
    <w:rsid w:val="00D562F8"/>
    <w:rsid w:val="00D65041"/>
    <w:rsid w:val="00D77A4D"/>
    <w:rsid w:val="00D81A5D"/>
    <w:rsid w:val="00D9232D"/>
    <w:rsid w:val="00D97B37"/>
    <w:rsid w:val="00DA4FCB"/>
    <w:rsid w:val="00DB384B"/>
    <w:rsid w:val="00DB7194"/>
    <w:rsid w:val="00DB7905"/>
    <w:rsid w:val="00DC49D3"/>
    <w:rsid w:val="00DC4A4D"/>
    <w:rsid w:val="00DC7508"/>
    <w:rsid w:val="00DD1E1D"/>
    <w:rsid w:val="00DE21D9"/>
    <w:rsid w:val="00DF3BD9"/>
    <w:rsid w:val="00DF5BF0"/>
    <w:rsid w:val="00DF5D9B"/>
    <w:rsid w:val="00DF7C85"/>
    <w:rsid w:val="00E02052"/>
    <w:rsid w:val="00E0412C"/>
    <w:rsid w:val="00E0552C"/>
    <w:rsid w:val="00E07700"/>
    <w:rsid w:val="00E10E80"/>
    <w:rsid w:val="00E124F0"/>
    <w:rsid w:val="00E1419C"/>
    <w:rsid w:val="00E24A3F"/>
    <w:rsid w:val="00E27781"/>
    <w:rsid w:val="00E307EB"/>
    <w:rsid w:val="00E36C26"/>
    <w:rsid w:val="00E404A1"/>
    <w:rsid w:val="00E4675A"/>
    <w:rsid w:val="00E52E05"/>
    <w:rsid w:val="00E55059"/>
    <w:rsid w:val="00E60F04"/>
    <w:rsid w:val="00E66E3B"/>
    <w:rsid w:val="00E70DE7"/>
    <w:rsid w:val="00E74BA5"/>
    <w:rsid w:val="00E854E4"/>
    <w:rsid w:val="00E93A5B"/>
    <w:rsid w:val="00E96A95"/>
    <w:rsid w:val="00EA1B4D"/>
    <w:rsid w:val="00EA79A7"/>
    <w:rsid w:val="00EB009A"/>
    <w:rsid w:val="00EB0D6F"/>
    <w:rsid w:val="00EB2232"/>
    <w:rsid w:val="00EB5100"/>
    <w:rsid w:val="00EC5337"/>
    <w:rsid w:val="00ED482F"/>
    <w:rsid w:val="00ED677F"/>
    <w:rsid w:val="00EE2555"/>
    <w:rsid w:val="00EE34C7"/>
    <w:rsid w:val="00EE6CA6"/>
    <w:rsid w:val="00EE6FAF"/>
    <w:rsid w:val="00EF2C9C"/>
    <w:rsid w:val="00EF749E"/>
    <w:rsid w:val="00EF7EED"/>
    <w:rsid w:val="00F0188A"/>
    <w:rsid w:val="00F06DEB"/>
    <w:rsid w:val="00F13AC1"/>
    <w:rsid w:val="00F2019E"/>
    <w:rsid w:val="00F2150A"/>
    <w:rsid w:val="00F231D8"/>
    <w:rsid w:val="00F30360"/>
    <w:rsid w:val="00F3149D"/>
    <w:rsid w:val="00F31E85"/>
    <w:rsid w:val="00F37731"/>
    <w:rsid w:val="00F377DE"/>
    <w:rsid w:val="00F43CE7"/>
    <w:rsid w:val="00F46C5F"/>
    <w:rsid w:val="00F470FF"/>
    <w:rsid w:val="00F479E7"/>
    <w:rsid w:val="00F51F54"/>
    <w:rsid w:val="00F56140"/>
    <w:rsid w:val="00F631BA"/>
    <w:rsid w:val="00F64048"/>
    <w:rsid w:val="00F67C83"/>
    <w:rsid w:val="00F73D9F"/>
    <w:rsid w:val="00F758D5"/>
    <w:rsid w:val="00F81F48"/>
    <w:rsid w:val="00F834C1"/>
    <w:rsid w:val="00F83685"/>
    <w:rsid w:val="00F94A63"/>
    <w:rsid w:val="00F954FC"/>
    <w:rsid w:val="00F95AAF"/>
    <w:rsid w:val="00FA1C28"/>
    <w:rsid w:val="00FA3BCD"/>
    <w:rsid w:val="00FA6AF3"/>
    <w:rsid w:val="00FA705F"/>
    <w:rsid w:val="00FB00ED"/>
    <w:rsid w:val="00FB24A8"/>
    <w:rsid w:val="00FB4AEA"/>
    <w:rsid w:val="00FB62B4"/>
    <w:rsid w:val="00FB7596"/>
    <w:rsid w:val="00FC777B"/>
    <w:rsid w:val="00FD2447"/>
    <w:rsid w:val="00FD5C0D"/>
    <w:rsid w:val="00FD7D77"/>
    <w:rsid w:val="00FE0C84"/>
    <w:rsid w:val="00FE0E2A"/>
    <w:rsid w:val="00FE3410"/>
    <w:rsid w:val="00FE4077"/>
    <w:rsid w:val="00FE77D2"/>
    <w:rsid w:val="00FF1AC7"/>
    <w:rsid w:val="00FF367D"/>
    <w:rsid w:val="00FF7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0E92B"/>
  <w15:docId w15:val="{FB14B5A7-4F78-4EE3-9994-3631D2B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42A51"/>
    <w:pPr>
      <w:framePr w:hSpace="180" w:wrap="around" w:hAnchor="margin" w:y="-675"/>
      <w:tabs>
        <w:tab w:val="left" w:pos="1185"/>
        <w:tab w:val="center" w:pos="4907"/>
      </w:tabs>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E275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2E2753"/>
  </w:style>
  <w:style w:type="paragraph" w:styleId="NormalWeb">
    <w:name w:val="Normal (Web)"/>
    <w:basedOn w:val="Normal"/>
    <w:uiPriority w:val="99"/>
    <w:rsid w:val="002E275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character" w:customStyle="1" w:styleId="Heading1Char">
    <w:name w:val="Heading 1 Char"/>
    <w:basedOn w:val="DefaultParagraphFont"/>
    <w:link w:val="Heading1"/>
    <w:rsid w:val="002E2753"/>
    <w:rPr>
      <w:rFonts w:ascii="Calibri" w:hAnsi="Calibri"/>
      <w:b/>
      <w:sz w:val="28"/>
      <w:lang w:val="en-GB" w:eastAsia="en-US"/>
    </w:rPr>
  </w:style>
  <w:style w:type="paragraph" w:customStyle="1" w:styleId="Style2">
    <w:name w:val="Style2"/>
    <w:basedOn w:val="Normal"/>
    <w:uiPriority w:val="99"/>
    <w:rsid w:val="002E2753"/>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2E2753"/>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2E2753"/>
    <w:rPr>
      <w:rFonts w:asciiTheme="minorHAnsi" w:eastAsia="SimSun" w:hAnsiTheme="minorHAnsi" w:cs="Arial"/>
      <w:sz w:val="22"/>
      <w:szCs w:val="22"/>
      <w:lang w:val="fr-CH"/>
    </w:rPr>
  </w:style>
  <w:style w:type="paragraph" w:styleId="ListParagraph">
    <w:name w:val="List Paragraph"/>
    <w:basedOn w:val="Normal"/>
    <w:uiPriority w:val="34"/>
    <w:qFormat/>
    <w:rsid w:val="002E2753"/>
    <w:pPr>
      <w:ind w:left="720"/>
      <w:contextualSpacing/>
    </w:pPr>
  </w:style>
  <w:style w:type="paragraph" w:styleId="BalloonText">
    <w:name w:val="Balloon Text"/>
    <w:basedOn w:val="Normal"/>
    <w:link w:val="BalloonTextChar"/>
    <w:semiHidden/>
    <w:unhideWhenUsed/>
    <w:rsid w:val="00CE31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190"/>
    <w:rPr>
      <w:rFonts w:ascii="Segoe UI" w:hAnsi="Segoe UI" w:cs="Segoe UI"/>
      <w:sz w:val="18"/>
      <w:szCs w:val="18"/>
      <w:lang w:val="en-GB" w:eastAsia="en-US"/>
    </w:rPr>
  </w:style>
  <w:style w:type="character" w:styleId="CommentReference">
    <w:name w:val="annotation reference"/>
    <w:basedOn w:val="DefaultParagraphFont"/>
    <w:semiHidden/>
    <w:unhideWhenUsed/>
    <w:rsid w:val="009334F0"/>
    <w:rPr>
      <w:sz w:val="16"/>
      <w:szCs w:val="16"/>
    </w:rPr>
  </w:style>
  <w:style w:type="paragraph" w:styleId="CommentText">
    <w:name w:val="annotation text"/>
    <w:basedOn w:val="Normal"/>
    <w:link w:val="CommentTextChar"/>
    <w:semiHidden/>
    <w:unhideWhenUsed/>
    <w:rsid w:val="009334F0"/>
    <w:rPr>
      <w:sz w:val="20"/>
    </w:rPr>
  </w:style>
  <w:style w:type="character" w:customStyle="1" w:styleId="CommentTextChar">
    <w:name w:val="Comment Text Char"/>
    <w:basedOn w:val="DefaultParagraphFont"/>
    <w:link w:val="CommentText"/>
    <w:semiHidden/>
    <w:rsid w:val="009334F0"/>
    <w:rPr>
      <w:rFonts w:ascii="Calibri" w:hAnsi="Calibri"/>
      <w:lang w:val="en-GB" w:eastAsia="en-US"/>
    </w:rPr>
  </w:style>
  <w:style w:type="paragraph" w:styleId="CommentSubject">
    <w:name w:val="annotation subject"/>
    <w:basedOn w:val="CommentText"/>
    <w:next w:val="CommentText"/>
    <w:link w:val="CommentSubjectChar"/>
    <w:semiHidden/>
    <w:unhideWhenUsed/>
    <w:rsid w:val="009334F0"/>
    <w:rPr>
      <w:b/>
      <w:bCs/>
    </w:rPr>
  </w:style>
  <w:style w:type="character" w:customStyle="1" w:styleId="CommentSubjectChar">
    <w:name w:val="Comment Subject Char"/>
    <w:basedOn w:val="CommentTextChar"/>
    <w:link w:val="CommentSubject"/>
    <w:semiHidden/>
    <w:rsid w:val="009334F0"/>
    <w:rPr>
      <w:rFonts w:ascii="Calibri" w:hAnsi="Calibri"/>
      <w:b/>
      <w:bCs/>
      <w:lang w:val="en-GB" w:eastAsia="en-US"/>
    </w:rPr>
  </w:style>
  <w:style w:type="character" w:styleId="Strong">
    <w:name w:val="Strong"/>
    <w:basedOn w:val="DefaultParagraphFont"/>
    <w:uiPriority w:val="22"/>
    <w:qFormat/>
    <w:rsid w:val="00F13AC1"/>
    <w:rPr>
      <w:b/>
      <w:bCs/>
    </w:rPr>
  </w:style>
  <w:style w:type="paragraph" w:styleId="Revision">
    <w:name w:val="Revision"/>
    <w:hidden/>
    <w:uiPriority w:val="99"/>
    <w:semiHidden/>
    <w:rsid w:val="00F37731"/>
    <w:rPr>
      <w:rFonts w:ascii="Calibri" w:hAnsi="Calibri"/>
      <w:sz w:val="24"/>
      <w:lang w:val="en-GB" w:eastAsia="en-US"/>
    </w:rPr>
  </w:style>
  <w:style w:type="character" w:customStyle="1" w:styleId="NichtaufgelsteErwhnung1">
    <w:name w:val="Nicht aufgelöste Erwähnung1"/>
    <w:basedOn w:val="DefaultParagraphFont"/>
    <w:uiPriority w:val="99"/>
    <w:semiHidden/>
    <w:unhideWhenUsed/>
    <w:rsid w:val="002D4FAA"/>
    <w:rPr>
      <w:color w:val="808080"/>
      <w:shd w:val="clear" w:color="auto" w:fill="E6E6E6"/>
    </w:rPr>
  </w:style>
  <w:style w:type="paragraph" w:styleId="Date">
    <w:name w:val="Date"/>
    <w:basedOn w:val="Normal"/>
    <w:next w:val="Normal"/>
    <w:link w:val="DateChar"/>
    <w:rsid w:val="00576794"/>
  </w:style>
  <w:style w:type="character" w:customStyle="1" w:styleId="DateChar">
    <w:name w:val="Date Char"/>
    <w:basedOn w:val="DefaultParagraphFont"/>
    <w:link w:val="Date"/>
    <w:rsid w:val="00576794"/>
    <w:rPr>
      <w:rFonts w:ascii="Calibri" w:hAnsi="Calibri"/>
      <w:sz w:val="24"/>
      <w:lang w:val="en-GB" w:eastAsia="en-US"/>
    </w:rPr>
  </w:style>
  <w:style w:type="character" w:customStyle="1" w:styleId="UnresolvedMention">
    <w:name w:val="Unresolved Mention"/>
    <w:basedOn w:val="DefaultParagraphFont"/>
    <w:uiPriority w:val="99"/>
    <w:semiHidden/>
    <w:unhideWhenUsed/>
    <w:rsid w:val="002471CD"/>
    <w:rPr>
      <w:color w:val="808080"/>
      <w:shd w:val="clear" w:color="auto" w:fill="E6E6E6"/>
    </w:rPr>
  </w:style>
  <w:style w:type="paragraph" w:customStyle="1" w:styleId="Default">
    <w:name w:val="Default"/>
    <w:rsid w:val="00B310E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9249">
      <w:bodyDiv w:val="1"/>
      <w:marLeft w:val="0"/>
      <w:marRight w:val="0"/>
      <w:marTop w:val="0"/>
      <w:marBottom w:val="0"/>
      <w:divBdr>
        <w:top w:val="none" w:sz="0" w:space="0" w:color="auto"/>
        <w:left w:val="none" w:sz="0" w:space="0" w:color="auto"/>
        <w:bottom w:val="none" w:sz="0" w:space="0" w:color="auto"/>
        <w:right w:val="none" w:sz="0" w:space="0" w:color="auto"/>
      </w:divBdr>
    </w:div>
    <w:div w:id="503324670">
      <w:bodyDiv w:val="1"/>
      <w:marLeft w:val="0"/>
      <w:marRight w:val="0"/>
      <w:marTop w:val="0"/>
      <w:marBottom w:val="0"/>
      <w:divBdr>
        <w:top w:val="none" w:sz="0" w:space="0" w:color="auto"/>
        <w:left w:val="none" w:sz="0" w:space="0" w:color="auto"/>
        <w:bottom w:val="none" w:sz="0" w:space="0" w:color="auto"/>
        <w:right w:val="none" w:sz="0" w:space="0" w:color="auto"/>
      </w:divBdr>
    </w:div>
    <w:div w:id="543906476">
      <w:bodyDiv w:val="1"/>
      <w:marLeft w:val="0"/>
      <w:marRight w:val="0"/>
      <w:marTop w:val="0"/>
      <w:marBottom w:val="0"/>
      <w:divBdr>
        <w:top w:val="none" w:sz="0" w:space="0" w:color="auto"/>
        <w:left w:val="none" w:sz="0" w:space="0" w:color="auto"/>
        <w:bottom w:val="none" w:sz="0" w:space="0" w:color="auto"/>
        <w:right w:val="none" w:sz="0" w:space="0" w:color="auto"/>
      </w:divBdr>
    </w:div>
    <w:div w:id="1414426249">
      <w:bodyDiv w:val="1"/>
      <w:marLeft w:val="0"/>
      <w:marRight w:val="0"/>
      <w:marTop w:val="0"/>
      <w:marBottom w:val="0"/>
      <w:divBdr>
        <w:top w:val="none" w:sz="0" w:space="0" w:color="auto"/>
        <w:left w:val="none" w:sz="0" w:space="0" w:color="auto"/>
        <w:bottom w:val="none" w:sz="0" w:space="0" w:color="auto"/>
        <w:right w:val="none" w:sz="0" w:space="0" w:color="auto"/>
      </w:divBdr>
    </w:div>
    <w:div w:id="1812020165">
      <w:bodyDiv w:val="1"/>
      <w:marLeft w:val="0"/>
      <w:marRight w:val="0"/>
      <w:marTop w:val="0"/>
      <w:marBottom w:val="0"/>
      <w:divBdr>
        <w:top w:val="none" w:sz="0" w:space="0" w:color="auto"/>
        <w:left w:val="none" w:sz="0" w:space="0" w:color="auto"/>
        <w:bottom w:val="none" w:sz="0" w:space="0" w:color="auto"/>
        <w:right w:val="none" w:sz="0" w:space="0" w:color="auto"/>
      </w:divBdr>
      <w:divsChild>
        <w:div w:id="955674718">
          <w:marLeft w:val="173"/>
          <w:marRight w:val="0"/>
          <w:marTop w:val="0"/>
          <w:marBottom w:val="0"/>
          <w:divBdr>
            <w:top w:val="none" w:sz="0" w:space="0" w:color="auto"/>
            <w:left w:val="none" w:sz="0" w:space="0" w:color="auto"/>
            <w:bottom w:val="none" w:sz="0" w:space="0" w:color="auto"/>
            <w:right w:val="none" w:sz="0" w:space="0" w:color="auto"/>
          </w:divBdr>
        </w:div>
        <w:div w:id="1794133711">
          <w:marLeft w:val="173"/>
          <w:marRight w:val="0"/>
          <w:marTop w:val="0"/>
          <w:marBottom w:val="0"/>
          <w:divBdr>
            <w:top w:val="none" w:sz="0" w:space="0" w:color="auto"/>
            <w:left w:val="none" w:sz="0" w:space="0" w:color="auto"/>
            <w:bottom w:val="none" w:sz="0" w:space="0" w:color="auto"/>
            <w:right w:val="none" w:sz="0" w:space="0" w:color="auto"/>
          </w:divBdr>
        </w:div>
      </w:divsChild>
    </w:div>
    <w:div w:id="2077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internet/Documents/Resolution_102_pp14.pdf" TargetMode="External"/><Relationship Id="rId18" Type="http://schemas.openxmlformats.org/officeDocument/2006/relationships/hyperlink" Target="http://www.itu.int/md/S15-CL-C-0112/en" TargetMode="External"/><Relationship Id="rId26" Type="http://schemas.openxmlformats.org/officeDocument/2006/relationships/hyperlink" Target="https://www.itu.int/pub/T-RES-T.64-2016" TargetMode="External"/><Relationship Id="rId39" Type="http://schemas.openxmlformats.org/officeDocument/2006/relationships/hyperlink" Target="https://www.itu.int/en/ITU-T/studygroups/2017-2020/15/Pages/exec-sum-201810.aspx" TargetMode="External"/><Relationship Id="rId21" Type="http://schemas.openxmlformats.org/officeDocument/2006/relationships/hyperlink" Target="https://www.itu.int/pub/publications.aspx?lang=en&amp;parent=T-RES-T.49-2016" TargetMode="External"/><Relationship Id="rId34" Type="http://schemas.openxmlformats.org/officeDocument/2006/relationships/hyperlink" Target="http://www.itu.int/md/S15-CL-C-0033/en" TargetMode="External"/><Relationship Id="rId42" Type="http://schemas.openxmlformats.org/officeDocument/2006/relationships/hyperlink" Target="https://www.itu.int/en/mediacentre/Pages/2018-PR34.aspx" TargetMode="External"/><Relationship Id="rId47" Type="http://schemas.openxmlformats.org/officeDocument/2006/relationships/hyperlink" Target="https://www.itu.int/en/ITU-T/studygroups/2017-2020/03/Documents/Executive%20Summary%20of%20ITU-T%20Study%20Group%203%20Meeting%20(Geneva,%209%E2%80%9318%20April%202018).pdf" TargetMode="External"/><Relationship Id="rId50" Type="http://schemas.openxmlformats.org/officeDocument/2006/relationships/hyperlink" Target="https://www.itu.int/net/ITU-T/res69/Default.aspx" TargetMode="External"/><Relationship Id="rId55" Type="http://schemas.openxmlformats.org/officeDocument/2006/relationships/hyperlink" Target="https://academy.itu.in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0" Type="http://schemas.openxmlformats.org/officeDocument/2006/relationships/hyperlink" Target="https://www.itu.int/pub/T-RES-T.48-2016" TargetMode="External"/><Relationship Id="rId29" Type="http://schemas.openxmlformats.org/officeDocument/2006/relationships/hyperlink" Target="https://www.itu.int/pub/T-RES-T.98-2016" TargetMode="External"/><Relationship Id="rId41" Type="http://schemas.openxmlformats.org/officeDocument/2006/relationships/hyperlink" Target="https://www.itu.int/en/mediacentre/Pages/2018-CM05.aspx" TargetMode="External"/><Relationship Id="rId54" Type="http://schemas.openxmlformats.org/officeDocument/2006/relationships/hyperlink" Target="https://www.itu.int/pub/D-STG-SG0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pub/T-RES-T.58-2016"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s://www.itu.int/md/S18-CL-C-0033/en" TargetMode="External"/><Relationship Id="rId40" Type="http://schemas.openxmlformats.org/officeDocument/2006/relationships/hyperlink" Target="https://news.itu.int/versatile-video-coding-project-starts-strongly/" TargetMode="External"/><Relationship Id="rId45" Type="http://schemas.openxmlformats.org/officeDocument/2006/relationships/hyperlink" Target="https://www.itu.int/en/ITU-T/studygroups/2017-2020/16/Pages/results-1807.aspx" TargetMode="External"/><Relationship Id="rId53" Type="http://schemas.openxmlformats.org/officeDocument/2006/relationships/hyperlink" Target="https://www.itu.int/pub/D-STG-SG01" TargetMode="External"/><Relationship Id="rId58" Type="http://schemas.openxmlformats.org/officeDocument/2006/relationships/hyperlink" Target="https://www.itu.int/net4/ITU-D/CDS/sg/rgqlist.asp?lg=1&amp;sp=2014&amp;rgq=D14-SG01-RGQ01.1&amp;stg=1" TargetMode="External"/><Relationship Id="rId5" Type="http://schemas.openxmlformats.org/officeDocument/2006/relationships/numbering" Target="numbering.xml"/><Relationship Id="rId15" Type="http://schemas.openxmlformats.org/officeDocument/2006/relationships/hyperlink" Target="http://www.itu.int/en/action/internet/Documents/Resolution_180_pp14.pdf" TargetMode="External"/><Relationship Id="rId23" Type="http://schemas.openxmlformats.org/officeDocument/2006/relationships/hyperlink" Target="https://www.itu.int/pub/T-RES-T.52-2016" TargetMode="External"/><Relationship Id="rId28" Type="http://schemas.openxmlformats.org/officeDocument/2006/relationships/hyperlink" Target="https://www.itu.int/pub/T-RES-T.75-2016" TargetMode="External"/><Relationship Id="rId36" Type="http://schemas.openxmlformats.org/officeDocument/2006/relationships/hyperlink" Target="https://www.itu.int/md/S17-CL-C-0033/en" TargetMode="External"/><Relationship Id="rId49" Type="http://schemas.openxmlformats.org/officeDocument/2006/relationships/hyperlink" Target="https://www.itu.int/en/ITU-T/studygroups/2017-2020/11/Pages/exec-sum-201807.aspx" TargetMode="External"/><Relationship Id="rId57" Type="http://schemas.openxmlformats.org/officeDocument/2006/relationships/hyperlink" Target="https://www.itu.int/pub/D-STG-SG01.01.1-2017"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pub/T-RES-T.47-2016" TargetMode="External"/><Relationship Id="rId31" Type="http://schemas.openxmlformats.org/officeDocument/2006/relationships/hyperlink" Target="https://www.itu.int/md/D14-WTDC17-C-0115/en" TargetMode="External"/><Relationship Id="rId44" Type="http://schemas.openxmlformats.org/officeDocument/2006/relationships/hyperlink" Target="https://news.itu.int/safe-listening-standard/" TargetMode="External"/><Relationship Id="rId52" Type="http://schemas.openxmlformats.org/officeDocument/2006/relationships/hyperlink" Target="http://www.itu.int/itu-d/study-groups" TargetMode="External"/><Relationship Id="rId60" Type="http://schemas.openxmlformats.org/officeDocument/2006/relationships/header" Target="header1.xml"/><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action/internet/Documents/Resolution_133_pp14.pdf" TargetMode="External"/><Relationship Id="rId22" Type="http://schemas.openxmlformats.org/officeDocument/2006/relationships/hyperlink" Target="https://www.itu.int/pub/T-RES-T.50-2016" TargetMode="External"/><Relationship Id="rId27" Type="http://schemas.openxmlformats.org/officeDocument/2006/relationships/hyperlink" Target="https://www.itu.int/pub/T-RES-T.69-2016" TargetMode="External"/><Relationship Id="rId30" Type="http://schemas.openxmlformats.org/officeDocument/2006/relationships/hyperlink" Target="https://www.itu.int/md/D14-WTDC17-C-0115/en" TargetMode="External"/><Relationship Id="rId35" Type="http://schemas.openxmlformats.org/officeDocument/2006/relationships/hyperlink" Target="http://www.itu.int/md/S16-CL-C-0033/en" TargetMode="External"/><Relationship Id="rId43" Type="http://schemas.openxmlformats.org/officeDocument/2006/relationships/hyperlink" Target="https://news.itu.int/artificial-intelligence-health-call-proposals/" TargetMode="External"/><Relationship Id="rId48" Type="http://schemas.openxmlformats.org/officeDocument/2006/relationships/hyperlink" Target="https://news.itu.int/renewed-international-commitment-to-combat-counterfeiting/" TargetMode="External"/><Relationship Id="rId56" Type="http://schemas.openxmlformats.org/officeDocument/2006/relationships/hyperlink" Target="https://academy.itu.int/index.php?option=com_content&amp;view=article&amp;id=154&amp;Itemid=588&amp;lang=en" TargetMode="External"/><Relationship Id="rId8" Type="http://schemas.openxmlformats.org/officeDocument/2006/relationships/webSettings" Target="webSettings.xml"/><Relationship Id="rId51" Type="http://schemas.openxmlformats.org/officeDocument/2006/relationships/hyperlink" Target="https://www.itu.int/net/ITU-T/res69/secured/notifications.aspx" TargetMode="External"/><Relationship Id="rId3" Type="http://schemas.openxmlformats.org/officeDocument/2006/relationships/customXml" Target="../customXml/item3.xml"/><Relationship Id="rId12" Type="http://schemas.openxmlformats.org/officeDocument/2006/relationships/hyperlink" Target="http://www.itu.int/en/action/internet/Documents/Resolution_101_pp14.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T-RES-T.60-2016" TargetMode="External"/><Relationship Id="rId33" Type="http://schemas.openxmlformats.org/officeDocument/2006/relationships/hyperlink" Target="http://www.itu.int/md/S14-CL-C-0040/en" TargetMode="External"/><Relationship Id="rId38" Type="http://schemas.openxmlformats.org/officeDocument/2006/relationships/hyperlink" Target="https://www.itu.int/ITU-T/workprog/wp_search.aspx?isn_sp=3925&amp;isn_status=-1,2&amp;adf=2018-02-01&amp;adt=2018-12-31&amp;pg_size=100&amp;details=0&amp;field=acdefghijo" TargetMode="External"/><Relationship Id="rId46" Type="http://schemas.openxmlformats.org/officeDocument/2006/relationships/hyperlink" Target="https://news.itu.int/workshop-on-quality-of-service-regulation/" TargetMode="External"/><Relationship Id="rId59" Type="http://schemas.openxmlformats.org/officeDocument/2006/relationships/hyperlink" Target="http://www.itu.int/ITU-T/inr/en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CCEC-3181-4912-B0A7-A75F45BBBBD4}">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0BCEA-4CFA-44C4-95E8-708FA2E5D6B1}">
  <ds:schemaRefs>
    <ds:schemaRef ds:uri="http://schemas.microsoft.com/sharepoint/v3/contenttype/forms"/>
  </ds:schemaRefs>
</ds:datastoreItem>
</file>

<file path=customXml/itemProps3.xml><?xml version="1.0" encoding="utf-8"?>
<ds:datastoreItem xmlns:ds="http://schemas.openxmlformats.org/officeDocument/2006/customXml" ds:itemID="{82EA6360-4A4B-48CA-A3A4-245E820E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A0903E-D815-4988-8CC3-19FAA140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2790</Words>
  <Characters>19868</Characters>
  <Application>Microsoft Office Word</Application>
  <DocSecurity>0</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 Internet activities: Res. 101, 102, 133 and 180</vt:lpstr>
      <vt:lpstr>ITU Internet activities: Res. 101, 102, 133 and 180</vt:lpstr>
    </vt:vector>
  </TitlesOfParts>
  <Manager>General Secretariat - Pool</Manager>
  <Company>International Telecommunication Union (ITU)</Company>
  <LinksUpToDate>false</LinksUpToDate>
  <CharactersWithSpaces>22613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 - 1 February 2019</dc:title>
  <dc:subject>CWG-Internet</dc:subject>
  <dc:creator>Brouard, Ricarda</dc:creator>
  <cp:keywords>C2019, C19</cp:keywords>
  <dc:description/>
  <cp:lastModifiedBy>Brouard, Ricarda</cp:lastModifiedBy>
  <cp:revision>3</cp:revision>
  <cp:lastPrinted>2017-08-08T10:17:00Z</cp:lastPrinted>
  <dcterms:created xsi:type="dcterms:W3CDTF">2019-01-09T12:02:00Z</dcterms:created>
  <dcterms:modified xsi:type="dcterms:W3CDTF">2019-01-11T10:15:00Z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