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4462C0E" w14:textId="77777777" w:rsidTr="00464B6C">
        <w:trPr>
          <w:cantSplit/>
        </w:trPr>
        <w:tc>
          <w:tcPr>
            <w:tcW w:w="6911" w:type="dxa"/>
          </w:tcPr>
          <w:p w14:paraId="7EBBEA1A" w14:textId="77777777" w:rsidR="002A2188" w:rsidRPr="00813E5E" w:rsidRDefault="002A2188" w:rsidP="00E64F42">
            <w:pPr>
              <w:spacing w:before="360" w:after="48" w:line="240" w:lineRule="atLeast"/>
              <w:rPr>
                <w:position w:val="6"/>
              </w:rPr>
            </w:pPr>
            <w:bookmarkStart w:id="0" w:name="dc06"/>
            <w:bookmarkEnd w:id="0"/>
            <w:r w:rsidRPr="00E85629">
              <w:rPr>
                <w:b/>
                <w:bCs/>
                <w:position w:val="6"/>
                <w:sz w:val="30"/>
                <w:szCs w:val="30"/>
                <w:lang w:val="fr-CH"/>
              </w:rPr>
              <w:t>Council 20</w:t>
            </w:r>
            <w:r w:rsidR="00E64F42">
              <w:rPr>
                <w:b/>
                <w:bCs/>
                <w:position w:val="6"/>
                <w:sz w:val="30"/>
                <w:szCs w:val="30"/>
                <w:lang w:val="fr-CH"/>
              </w:rPr>
              <w:t>20</w:t>
            </w:r>
            <w:r w:rsidRPr="00E85629">
              <w:rPr>
                <w:rFonts w:cs="Times"/>
                <w:b/>
                <w:position w:val="6"/>
                <w:sz w:val="26"/>
                <w:szCs w:val="26"/>
                <w:lang w:val="en-US"/>
              </w:rPr>
              <w:br/>
            </w:r>
            <w:r w:rsidRPr="00E85629">
              <w:rPr>
                <w:b/>
                <w:bCs/>
                <w:position w:val="6"/>
                <w:szCs w:val="24"/>
                <w:lang w:val="fr-CH"/>
              </w:rPr>
              <w:t xml:space="preserve">Geneva, </w:t>
            </w:r>
            <w:r w:rsidR="00E64F42">
              <w:rPr>
                <w:b/>
                <w:bCs/>
                <w:position w:val="6"/>
                <w:szCs w:val="24"/>
                <w:lang w:val="fr-CH"/>
              </w:rPr>
              <w:t>9</w:t>
            </w:r>
            <w:r w:rsidR="00FA4575">
              <w:rPr>
                <w:b/>
                <w:bCs/>
                <w:position w:val="6"/>
                <w:szCs w:val="24"/>
                <w:lang w:val="fr-CH"/>
              </w:rPr>
              <w:t>-</w:t>
            </w:r>
            <w:r w:rsidR="00E64F42">
              <w:rPr>
                <w:b/>
                <w:bCs/>
                <w:position w:val="6"/>
                <w:szCs w:val="24"/>
                <w:lang w:val="fr-CH"/>
              </w:rPr>
              <w:t>19</w:t>
            </w:r>
            <w:r w:rsidR="00FA4575">
              <w:rPr>
                <w:b/>
                <w:bCs/>
                <w:position w:val="6"/>
                <w:szCs w:val="24"/>
                <w:lang w:val="fr-CH"/>
              </w:rPr>
              <w:t xml:space="preserve"> June 20</w:t>
            </w:r>
            <w:r w:rsidR="00E64F42">
              <w:rPr>
                <w:b/>
                <w:bCs/>
                <w:position w:val="6"/>
                <w:szCs w:val="24"/>
                <w:lang w:val="fr-CH"/>
              </w:rPr>
              <w:t>20</w:t>
            </w:r>
          </w:p>
        </w:tc>
        <w:tc>
          <w:tcPr>
            <w:tcW w:w="3120" w:type="dxa"/>
          </w:tcPr>
          <w:p w14:paraId="0A10DEF6" w14:textId="35F26B05" w:rsidR="002A2188" w:rsidRPr="00813E5E" w:rsidRDefault="0042324D" w:rsidP="0042324D">
            <w:pPr>
              <w:spacing w:before="0" w:line="240" w:lineRule="atLeast"/>
            </w:pPr>
            <w:bookmarkStart w:id="1" w:name="ditulogo"/>
            <w:bookmarkEnd w:id="1"/>
            <w:r>
              <w:rPr>
                <w:noProof/>
                <w:lang w:eastAsia="zh-CN"/>
              </w:rPr>
              <w:drawing>
                <wp:inline distT="0" distB="0" distL="0" distR="0" wp14:anchorId="30007369" wp14:editId="1C585FC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7F7FF09E" w14:textId="77777777" w:rsidTr="00464B6C">
        <w:trPr>
          <w:cantSplit/>
        </w:trPr>
        <w:tc>
          <w:tcPr>
            <w:tcW w:w="6911" w:type="dxa"/>
            <w:tcBorders>
              <w:bottom w:val="single" w:sz="12" w:space="0" w:color="auto"/>
            </w:tcBorders>
          </w:tcPr>
          <w:p w14:paraId="5314E0C3" w14:textId="77777777"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14:paraId="62FF8436" w14:textId="77777777" w:rsidR="002A2188" w:rsidRPr="00813E5E" w:rsidRDefault="002A2188" w:rsidP="00464B6C">
            <w:pPr>
              <w:spacing w:before="0" w:line="240" w:lineRule="atLeast"/>
              <w:rPr>
                <w:szCs w:val="24"/>
              </w:rPr>
            </w:pPr>
          </w:p>
        </w:tc>
      </w:tr>
      <w:tr w:rsidR="002A2188" w:rsidRPr="00813E5E" w14:paraId="45CCACF8" w14:textId="77777777" w:rsidTr="00464B6C">
        <w:trPr>
          <w:cantSplit/>
        </w:trPr>
        <w:tc>
          <w:tcPr>
            <w:tcW w:w="6911" w:type="dxa"/>
            <w:tcBorders>
              <w:top w:val="single" w:sz="12" w:space="0" w:color="auto"/>
            </w:tcBorders>
          </w:tcPr>
          <w:p w14:paraId="6A3ED7E7" w14:textId="77777777" w:rsidR="002A2188" w:rsidRPr="00813E5E" w:rsidRDefault="002A2188" w:rsidP="004F1D6C">
            <w:pPr>
              <w:spacing w:before="0" w:line="240" w:lineRule="atLeast"/>
              <w:rPr>
                <w:b/>
                <w:smallCaps/>
                <w:szCs w:val="24"/>
              </w:rPr>
            </w:pPr>
          </w:p>
        </w:tc>
        <w:tc>
          <w:tcPr>
            <w:tcW w:w="3120" w:type="dxa"/>
            <w:tcBorders>
              <w:top w:val="single" w:sz="12" w:space="0" w:color="auto"/>
            </w:tcBorders>
          </w:tcPr>
          <w:p w14:paraId="07EDB886" w14:textId="77777777" w:rsidR="002A2188" w:rsidRPr="00813E5E" w:rsidRDefault="002A2188" w:rsidP="004F1D6C">
            <w:pPr>
              <w:spacing w:before="0" w:line="240" w:lineRule="atLeast"/>
              <w:rPr>
                <w:szCs w:val="24"/>
              </w:rPr>
            </w:pPr>
          </w:p>
        </w:tc>
      </w:tr>
      <w:tr w:rsidR="002A2188" w:rsidRPr="00813E5E" w14:paraId="253D2F0E" w14:textId="77777777" w:rsidTr="00464B6C">
        <w:trPr>
          <w:cantSplit/>
          <w:trHeight w:val="23"/>
        </w:trPr>
        <w:tc>
          <w:tcPr>
            <w:tcW w:w="6911" w:type="dxa"/>
            <w:vMerge w:val="restart"/>
          </w:tcPr>
          <w:p w14:paraId="58147A16" w14:textId="547B1135" w:rsidR="002A2188" w:rsidRPr="00E85629" w:rsidRDefault="00D04E39" w:rsidP="001E44D9">
            <w:pPr>
              <w:tabs>
                <w:tab w:val="left" w:pos="851"/>
              </w:tabs>
              <w:spacing w:before="0" w:line="240" w:lineRule="atLeast"/>
              <w:rPr>
                <w:b/>
              </w:rPr>
            </w:pPr>
            <w:bookmarkStart w:id="2" w:name="dmeeting" w:colFirst="0" w:colLast="0"/>
            <w:bookmarkStart w:id="3" w:name="dnum" w:colFirst="1" w:colLast="1"/>
            <w:r>
              <w:rPr>
                <w:b/>
              </w:rPr>
              <w:t xml:space="preserve">Agenda item: PL </w:t>
            </w:r>
            <w:r w:rsidR="001E44D9">
              <w:rPr>
                <w:b/>
              </w:rPr>
              <w:t>2.</w:t>
            </w:r>
            <w:r w:rsidR="00C27445">
              <w:rPr>
                <w:b/>
              </w:rPr>
              <w:t>9</w:t>
            </w:r>
          </w:p>
        </w:tc>
        <w:tc>
          <w:tcPr>
            <w:tcW w:w="3120" w:type="dxa"/>
          </w:tcPr>
          <w:p w14:paraId="249C8F96" w14:textId="009C17A2" w:rsidR="002A2188" w:rsidRPr="00E85629" w:rsidRDefault="002A2188" w:rsidP="00E64F42">
            <w:pPr>
              <w:tabs>
                <w:tab w:val="left" w:pos="851"/>
              </w:tabs>
              <w:spacing w:before="0" w:line="240" w:lineRule="atLeast"/>
              <w:rPr>
                <w:b/>
              </w:rPr>
            </w:pPr>
            <w:r>
              <w:rPr>
                <w:b/>
              </w:rPr>
              <w:t>Document C</w:t>
            </w:r>
            <w:r w:rsidR="00E64F42">
              <w:rPr>
                <w:b/>
              </w:rPr>
              <w:t>20</w:t>
            </w:r>
            <w:r>
              <w:rPr>
                <w:b/>
              </w:rPr>
              <w:t>/</w:t>
            </w:r>
            <w:r w:rsidR="00C27445">
              <w:rPr>
                <w:b/>
              </w:rPr>
              <w:t>5</w:t>
            </w:r>
            <w:r>
              <w:rPr>
                <w:b/>
              </w:rPr>
              <w:t>-E</w:t>
            </w:r>
          </w:p>
        </w:tc>
      </w:tr>
      <w:tr w:rsidR="002A2188" w:rsidRPr="00813E5E" w14:paraId="0A938691" w14:textId="77777777" w:rsidTr="00464B6C">
        <w:trPr>
          <w:cantSplit/>
          <w:trHeight w:val="23"/>
        </w:trPr>
        <w:tc>
          <w:tcPr>
            <w:tcW w:w="6911" w:type="dxa"/>
            <w:vMerge/>
          </w:tcPr>
          <w:p w14:paraId="37430374" w14:textId="77777777"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14:paraId="20E84B0A" w14:textId="66A2C5C0" w:rsidR="002A2188" w:rsidRPr="00E85629" w:rsidRDefault="00C27445" w:rsidP="00E64F42">
            <w:pPr>
              <w:tabs>
                <w:tab w:val="left" w:pos="993"/>
              </w:tabs>
              <w:spacing w:before="0"/>
              <w:rPr>
                <w:b/>
              </w:rPr>
            </w:pPr>
            <w:r>
              <w:rPr>
                <w:b/>
              </w:rPr>
              <w:t>3</w:t>
            </w:r>
            <w:r w:rsidR="001E44D9">
              <w:rPr>
                <w:b/>
              </w:rPr>
              <w:t xml:space="preserve"> </w:t>
            </w:r>
            <w:r w:rsidR="00E64F42">
              <w:rPr>
                <w:b/>
              </w:rPr>
              <w:t>March</w:t>
            </w:r>
            <w:r w:rsidR="002A2188">
              <w:rPr>
                <w:b/>
              </w:rPr>
              <w:t xml:space="preserve"> 20</w:t>
            </w:r>
            <w:r w:rsidR="00E64F42">
              <w:rPr>
                <w:b/>
              </w:rPr>
              <w:t>20</w:t>
            </w:r>
          </w:p>
        </w:tc>
      </w:tr>
      <w:tr w:rsidR="002A2188" w:rsidRPr="00813E5E" w14:paraId="1DA9DD81" w14:textId="77777777" w:rsidTr="00464B6C">
        <w:trPr>
          <w:cantSplit/>
          <w:trHeight w:val="23"/>
        </w:trPr>
        <w:tc>
          <w:tcPr>
            <w:tcW w:w="6911" w:type="dxa"/>
            <w:vMerge/>
          </w:tcPr>
          <w:p w14:paraId="589E2A89" w14:textId="77777777"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14:paraId="46D2BD02" w14:textId="77777777" w:rsidR="002A2188" w:rsidRPr="00E85629" w:rsidRDefault="002A2188" w:rsidP="00464B6C">
            <w:pPr>
              <w:tabs>
                <w:tab w:val="left" w:pos="993"/>
              </w:tabs>
              <w:spacing w:before="0"/>
              <w:rPr>
                <w:b/>
              </w:rPr>
            </w:pPr>
            <w:r>
              <w:rPr>
                <w:b/>
              </w:rPr>
              <w:t>Original: English</w:t>
            </w:r>
          </w:p>
        </w:tc>
      </w:tr>
      <w:tr w:rsidR="002A2188" w:rsidRPr="00813E5E" w14:paraId="4FBE8262" w14:textId="77777777" w:rsidTr="00464B6C">
        <w:trPr>
          <w:cantSplit/>
        </w:trPr>
        <w:tc>
          <w:tcPr>
            <w:tcW w:w="10031" w:type="dxa"/>
            <w:gridSpan w:val="2"/>
          </w:tcPr>
          <w:p w14:paraId="18A3674C" w14:textId="77777777" w:rsidR="002A2188" w:rsidRPr="00813E5E" w:rsidRDefault="00D04E39" w:rsidP="00464B6C">
            <w:pPr>
              <w:pStyle w:val="Source"/>
            </w:pPr>
            <w:bookmarkStart w:id="6" w:name="dsource" w:colFirst="0" w:colLast="0"/>
            <w:bookmarkEnd w:id="5"/>
            <w:r w:rsidRPr="00D04E39">
              <w:t>Report by the Secretary-General</w:t>
            </w:r>
          </w:p>
        </w:tc>
      </w:tr>
      <w:tr w:rsidR="002A2188" w:rsidRPr="00813E5E" w14:paraId="4DF695B6" w14:textId="77777777" w:rsidTr="00464B6C">
        <w:trPr>
          <w:cantSplit/>
        </w:trPr>
        <w:tc>
          <w:tcPr>
            <w:tcW w:w="10031" w:type="dxa"/>
            <w:gridSpan w:val="2"/>
          </w:tcPr>
          <w:p w14:paraId="5A9CD725" w14:textId="1D176CE7" w:rsidR="002A2188" w:rsidRPr="00813E5E" w:rsidRDefault="00BD054C" w:rsidP="00F07C9D">
            <w:pPr>
              <w:pStyle w:val="Title1"/>
            </w:pPr>
            <w:bookmarkStart w:id="7" w:name="dtitle1" w:colFirst="0" w:colLast="0"/>
            <w:bookmarkEnd w:id="6"/>
            <w:r>
              <w:t xml:space="preserve">PREPARATIONS FOR </w:t>
            </w:r>
            <w:r w:rsidR="00C27445">
              <w:t>the</w:t>
            </w:r>
            <w:r w:rsidR="00C27445" w:rsidRPr="00F07C9D">
              <w:t xml:space="preserve"> World Telecommunication/ICT Policy Forum</w:t>
            </w:r>
            <w:r w:rsidR="00C27445">
              <w:br/>
              <w:t>(</w:t>
            </w:r>
            <w:r w:rsidR="00F07C9D">
              <w:t>WTPF-21</w:t>
            </w:r>
            <w:r w:rsidR="00C27445">
              <w:t>)</w:t>
            </w:r>
          </w:p>
        </w:tc>
      </w:tr>
      <w:bookmarkEnd w:id="7"/>
    </w:tbl>
    <w:p w14:paraId="07DA36D8"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A9291B0"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5976BA22" w14:textId="77777777" w:rsidR="002A2188" w:rsidRPr="00813E5E" w:rsidRDefault="002A2188" w:rsidP="00860A1A">
            <w:pPr>
              <w:pStyle w:val="Headingb"/>
              <w:spacing w:before="120" w:after="120"/>
            </w:pPr>
            <w:r w:rsidRPr="00813E5E">
              <w:t>Summary</w:t>
            </w:r>
          </w:p>
          <w:p w14:paraId="3ACF9700" w14:textId="77777777" w:rsidR="002A2188" w:rsidRPr="001E44D9" w:rsidRDefault="000D67F1" w:rsidP="00E64F42">
            <w:pPr>
              <w:spacing w:after="120"/>
              <w:rPr>
                <w:sz w:val="28"/>
                <w:szCs w:val="22"/>
              </w:rPr>
            </w:pPr>
            <w:r w:rsidRPr="001E44D9">
              <w:rPr>
                <w:rFonts w:cs="Calibri"/>
                <w:szCs w:val="24"/>
                <w:lang w:eastAsia="zh-CN"/>
              </w:rPr>
              <w:t xml:space="preserve">Resolution 2 (Rev. Dubai, 2018) </w:t>
            </w:r>
            <w:r w:rsidRPr="001E44D9">
              <w:rPr>
                <w:rFonts w:ascii="Calibri-Italic" w:hAnsi="Calibri-Italic" w:cs="Calibri-Italic"/>
                <w:i/>
                <w:iCs/>
                <w:sz w:val="22"/>
                <w:szCs w:val="22"/>
                <w:lang w:eastAsia="zh-CN"/>
              </w:rPr>
              <w:t>resolves</w:t>
            </w:r>
            <w:r w:rsidRPr="001E44D9">
              <w:rPr>
                <w:rFonts w:ascii="Calibri-Italic" w:hAnsi="Calibri-Italic" w:cs="Calibri-Italic"/>
                <w:i/>
                <w:iCs/>
                <w:szCs w:val="24"/>
                <w:lang w:eastAsia="zh-CN"/>
              </w:rPr>
              <w:t xml:space="preserve"> </w:t>
            </w:r>
            <w:r w:rsidR="000166A2">
              <w:rPr>
                <w:rFonts w:cs="Calibri"/>
                <w:szCs w:val="24"/>
                <w:lang w:eastAsia="zh-CN"/>
              </w:rPr>
              <w:t>to hold WTPF preferably back-</w:t>
            </w:r>
            <w:r w:rsidRPr="001E44D9">
              <w:rPr>
                <w:rFonts w:cs="Calibri"/>
                <w:szCs w:val="24"/>
                <w:lang w:eastAsia="zh-CN"/>
              </w:rPr>
              <w:t>to</w:t>
            </w:r>
            <w:r w:rsidR="000166A2">
              <w:rPr>
                <w:rFonts w:cs="Calibri"/>
                <w:szCs w:val="24"/>
                <w:lang w:eastAsia="zh-CN"/>
              </w:rPr>
              <w:t>-</w:t>
            </w:r>
            <w:r w:rsidRPr="001E44D9">
              <w:rPr>
                <w:rFonts w:cs="Calibri"/>
                <w:szCs w:val="24"/>
                <w:lang w:eastAsia="zh-CN"/>
              </w:rPr>
              <w:t xml:space="preserve">back with the WSIS Forum 2021, taking account of the need to ensure adequate preparation by Member States. </w:t>
            </w:r>
            <w:r w:rsidR="00290277" w:rsidRPr="001E44D9">
              <w:rPr>
                <w:rFonts w:cs="Calibri"/>
                <w:szCs w:val="24"/>
                <w:lang w:eastAsia="zh-CN"/>
              </w:rPr>
              <w:t xml:space="preserve">This document provides </w:t>
            </w:r>
            <w:r w:rsidR="00E64F42">
              <w:rPr>
                <w:rFonts w:cs="Calibri"/>
                <w:szCs w:val="24"/>
                <w:lang w:eastAsia="zh-CN"/>
              </w:rPr>
              <w:t xml:space="preserve">an update on the current status of the preparatory process for </w:t>
            </w:r>
            <w:r w:rsidR="00290277" w:rsidRPr="001E44D9">
              <w:rPr>
                <w:rFonts w:cs="Calibri"/>
                <w:szCs w:val="24"/>
                <w:lang w:eastAsia="zh-CN"/>
              </w:rPr>
              <w:t>WTPF</w:t>
            </w:r>
            <w:r w:rsidR="00E64F42">
              <w:rPr>
                <w:rFonts w:cs="Calibri"/>
                <w:szCs w:val="24"/>
                <w:lang w:eastAsia="zh-CN"/>
              </w:rPr>
              <w:t>-21</w:t>
            </w:r>
            <w:r w:rsidR="008B17D3" w:rsidRPr="001E44D9">
              <w:rPr>
                <w:rFonts w:cs="Calibri"/>
                <w:szCs w:val="24"/>
                <w:lang w:eastAsia="zh-CN"/>
              </w:rPr>
              <w:t>.</w:t>
            </w:r>
            <w:r w:rsidR="00290277" w:rsidRPr="001E44D9">
              <w:rPr>
                <w:rFonts w:cs="Calibri"/>
                <w:szCs w:val="24"/>
                <w:lang w:eastAsia="zh-CN"/>
              </w:rPr>
              <w:t xml:space="preserve"> </w:t>
            </w:r>
          </w:p>
          <w:p w14:paraId="48E09D03" w14:textId="77777777" w:rsidR="002A2188" w:rsidRPr="00813E5E" w:rsidRDefault="002A2188" w:rsidP="00860A1A">
            <w:pPr>
              <w:pStyle w:val="Headingb"/>
              <w:spacing w:before="120" w:after="120"/>
            </w:pPr>
            <w:r w:rsidRPr="00813E5E">
              <w:t>Action required</w:t>
            </w:r>
          </w:p>
          <w:p w14:paraId="6BF456E7" w14:textId="77777777" w:rsidR="000D67F1" w:rsidRPr="001E44D9" w:rsidRDefault="000166A2" w:rsidP="00F578B0">
            <w:pPr>
              <w:tabs>
                <w:tab w:val="clear" w:pos="567"/>
                <w:tab w:val="clear" w:pos="1134"/>
                <w:tab w:val="clear" w:pos="1701"/>
                <w:tab w:val="clear" w:pos="2268"/>
                <w:tab w:val="clear" w:pos="2835"/>
              </w:tabs>
              <w:overflowPunct/>
              <w:spacing w:after="120"/>
              <w:textAlignment w:val="auto"/>
              <w:rPr>
                <w:rFonts w:cs="Calibri"/>
                <w:szCs w:val="24"/>
                <w:lang w:eastAsia="zh-CN"/>
              </w:rPr>
            </w:pPr>
            <w:r>
              <w:rPr>
                <w:rFonts w:cs="Calibri"/>
                <w:szCs w:val="24"/>
                <w:lang w:eastAsia="zh-CN"/>
              </w:rPr>
              <w:t xml:space="preserve">The </w:t>
            </w:r>
            <w:r w:rsidR="000D67F1" w:rsidRPr="001E44D9">
              <w:rPr>
                <w:rFonts w:cs="Calibri"/>
                <w:szCs w:val="24"/>
                <w:lang w:eastAsia="zh-CN"/>
              </w:rPr>
              <w:t>Council is instructed to</w:t>
            </w:r>
            <w:r w:rsidR="00E64F42">
              <w:rPr>
                <w:rFonts w:cs="Calibri"/>
                <w:szCs w:val="24"/>
                <w:lang w:eastAsia="zh-CN"/>
              </w:rPr>
              <w:t xml:space="preserve"> </w:t>
            </w:r>
            <w:r w:rsidR="00E64F42" w:rsidRPr="00E64F42">
              <w:rPr>
                <w:rFonts w:cs="Calibri"/>
                <w:b/>
                <w:bCs/>
                <w:szCs w:val="24"/>
                <w:lang w:eastAsia="zh-CN"/>
              </w:rPr>
              <w:t>note</w:t>
            </w:r>
            <w:r w:rsidR="00E64F42">
              <w:rPr>
                <w:rFonts w:cs="Calibri"/>
                <w:szCs w:val="24"/>
                <w:lang w:eastAsia="zh-CN"/>
              </w:rPr>
              <w:t xml:space="preserve"> the </w:t>
            </w:r>
            <w:r w:rsidR="00F578B0">
              <w:rPr>
                <w:rFonts w:cs="Calibri"/>
                <w:szCs w:val="24"/>
                <w:lang w:eastAsia="zh-CN"/>
              </w:rPr>
              <w:t>R</w:t>
            </w:r>
            <w:r w:rsidR="00E64F42">
              <w:rPr>
                <w:rFonts w:cs="Calibri"/>
                <w:szCs w:val="24"/>
                <w:lang w:eastAsia="zh-CN"/>
              </w:rPr>
              <w:t>eport.</w:t>
            </w:r>
          </w:p>
          <w:p w14:paraId="17B6BB74" w14:textId="77777777" w:rsidR="002A2188" w:rsidRPr="00813E5E" w:rsidRDefault="002A2188" w:rsidP="00860A1A">
            <w:pPr>
              <w:pStyle w:val="Table"/>
              <w:keepNext w:val="0"/>
              <w:spacing w:before="120"/>
              <w:rPr>
                <w:rFonts w:ascii="Calibri" w:hAnsi="Calibri"/>
                <w:caps w:val="0"/>
                <w:sz w:val="22"/>
              </w:rPr>
            </w:pPr>
            <w:r w:rsidRPr="00813E5E">
              <w:rPr>
                <w:rFonts w:ascii="Calibri" w:hAnsi="Calibri"/>
                <w:caps w:val="0"/>
                <w:sz w:val="22"/>
              </w:rPr>
              <w:t>____________</w:t>
            </w:r>
          </w:p>
          <w:p w14:paraId="58421B65" w14:textId="77777777" w:rsidR="002A2188" w:rsidRPr="00813E5E" w:rsidRDefault="002A2188" w:rsidP="00860A1A">
            <w:pPr>
              <w:pStyle w:val="Headingb"/>
              <w:spacing w:before="120" w:after="120"/>
            </w:pPr>
            <w:r w:rsidRPr="00813E5E">
              <w:t>References</w:t>
            </w:r>
          </w:p>
          <w:p w14:paraId="7B21CBC0" w14:textId="23D5A579" w:rsidR="002A2188" w:rsidRPr="00813E5E" w:rsidRDefault="00CF454E" w:rsidP="0080405A">
            <w:pPr>
              <w:spacing w:after="120"/>
              <w:rPr>
                <w:i/>
                <w:iCs/>
              </w:rPr>
            </w:pPr>
            <w:bookmarkStart w:id="8" w:name="_Hlk33779898"/>
            <w:r w:rsidRPr="001E44D9">
              <w:t>Doc</w:t>
            </w:r>
            <w:r w:rsidR="001E44D9">
              <w:t>ument</w:t>
            </w:r>
            <w:r w:rsidRPr="001E44D9">
              <w:t xml:space="preserve"> </w:t>
            </w:r>
            <w:hyperlink r:id="rId12" w:history="1">
              <w:r w:rsidRPr="001E44D9">
                <w:rPr>
                  <w:rStyle w:val="Hyperlink"/>
                </w:rPr>
                <w:t>C13/64(Rev1)</w:t>
              </w:r>
            </w:hyperlink>
            <w:r w:rsidRPr="001E44D9">
              <w:t>;</w:t>
            </w:r>
            <w:r>
              <w:rPr>
                <w:i/>
                <w:iCs/>
              </w:rPr>
              <w:t xml:space="preserve"> </w:t>
            </w:r>
            <w:hyperlink r:id="rId13" w:history="1">
              <w:r w:rsidRPr="001E44D9">
                <w:rPr>
                  <w:rStyle w:val="Hyperlink"/>
                  <w:rFonts w:asciiTheme="minorHAnsi" w:hAnsiTheme="minorHAnsi" w:cstheme="minorHAnsi"/>
                  <w:szCs w:val="24"/>
                </w:rPr>
                <w:t>Resolution 2 (Rev. Dubai, 2018)</w:t>
              </w:r>
            </w:hyperlink>
            <w:r w:rsidR="00133750" w:rsidRPr="00C27445">
              <w:rPr>
                <w:rStyle w:val="Hyperlink"/>
                <w:rFonts w:asciiTheme="minorHAnsi" w:hAnsiTheme="minorHAnsi" w:cstheme="minorHAnsi"/>
                <w:szCs w:val="24"/>
                <w:u w:val="none"/>
              </w:rPr>
              <w:t xml:space="preserve">; </w:t>
            </w:r>
            <w:hyperlink r:id="rId14" w:history="1">
              <w:r w:rsidR="00C27445">
                <w:rPr>
                  <w:rStyle w:val="Hyperlink"/>
                  <w:rFonts w:asciiTheme="minorHAnsi" w:hAnsiTheme="minorHAnsi" w:cstheme="minorHAnsi"/>
                  <w:szCs w:val="24"/>
                </w:rPr>
                <w:t>Council Decision</w:t>
              </w:r>
              <w:r w:rsidR="00E64F42" w:rsidRPr="00C27445">
                <w:rPr>
                  <w:rStyle w:val="Hyperlink"/>
                  <w:rFonts w:asciiTheme="minorHAnsi" w:hAnsiTheme="minorHAnsi" w:cstheme="minorHAnsi"/>
                  <w:szCs w:val="24"/>
                </w:rPr>
                <w:t xml:space="preserve"> 611</w:t>
              </w:r>
            </w:hyperlink>
            <w:r w:rsidR="00C27445">
              <w:rPr>
                <w:rStyle w:val="Hyperlink"/>
                <w:rFonts w:asciiTheme="minorHAnsi" w:hAnsiTheme="minorHAnsi" w:cstheme="minorHAnsi"/>
                <w:szCs w:val="24"/>
                <w:u w:val="none"/>
              </w:rPr>
              <w:t>;</w:t>
            </w:r>
            <w:r w:rsidR="00133750" w:rsidRPr="00C27445">
              <w:rPr>
                <w:rStyle w:val="Hyperlink"/>
                <w:rFonts w:asciiTheme="minorHAnsi" w:hAnsiTheme="minorHAnsi" w:cstheme="minorHAnsi"/>
                <w:szCs w:val="24"/>
                <w:u w:val="none"/>
              </w:rPr>
              <w:t xml:space="preserve"> </w:t>
            </w:r>
            <w:hyperlink r:id="rId15" w:history="1">
              <w:r w:rsidR="00133750" w:rsidRPr="00C27445">
                <w:rPr>
                  <w:rStyle w:val="Hyperlink"/>
                  <w:rFonts w:asciiTheme="minorHAnsi" w:hAnsiTheme="minorHAnsi" w:cstheme="minorHAnsi"/>
                  <w:szCs w:val="24"/>
                </w:rPr>
                <w:t>C19/119</w:t>
              </w:r>
              <w:bookmarkEnd w:id="8"/>
            </w:hyperlink>
          </w:p>
        </w:tc>
      </w:tr>
    </w:tbl>
    <w:p w14:paraId="43EC0067" w14:textId="480C28CA" w:rsidR="000D67F1" w:rsidRPr="00F07C9D" w:rsidRDefault="00127B16" w:rsidP="00860A1A">
      <w:pPr>
        <w:tabs>
          <w:tab w:val="clear" w:pos="567"/>
          <w:tab w:val="clear" w:pos="1134"/>
          <w:tab w:val="clear" w:pos="1701"/>
          <w:tab w:val="clear" w:pos="2268"/>
          <w:tab w:val="clear" w:pos="2835"/>
        </w:tabs>
        <w:snapToGrid w:val="0"/>
        <w:spacing w:before="720" w:after="120"/>
        <w:jc w:val="both"/>
      </w:pPr>
      <w:bookmarkStart w:id="9" w:name="dstart"/>
      <w:bookmarkStart w:id="10" w:name="dbreak"/>
      <w:bookmarkEnd w:id="9"/>
      <w:bookmarkEnd w:id="10"/>
      <w:r w:rsidRPr="00F07C9D">
        <w:t>1.</w:t>
      </w:r>
      <w:r w:rsidR="001E44D9">
        <w:tab/>
      </w:r>
      <w:r w:rsidR="0004566C" w:rsidRPr="00F07C9D">
        <w:t xml:space="preserve">The ITU World Telecommunication/ICT Policy Forum (WTPF) was established by the 1994 Kyoto Plenipotentiary Conference and is covered by the provisions of </w:t>
      </w:r>
      <w:hyperlink r:id="rId16" w:history="1">
        <w:r w:rsidR="0004566C" w:rsidRPr="00415A21">
          <w:rPr>
            <w:rStyle w:val="Hyperlink"/>
          </w:rPr>
          <w:t>Resolution 2 (Rev. Dubai, 2018)</w:t>
        </w:r>
      </w:hyperlink>
      <w:r w:rsidR="0004566C" w:rsidRPr="00F07C9D">
        <w:t>.</w:t>
      </w:r>
      <w:r w:rsidRPr="004F1D6C">
        <w:rPr>
          <w:spacing w:val="-2"/>
        </w:rPr>
        <w:t xml:space="preserve"> </w:t>
      </w:r>
      <w:r w:rsidR="0004566C" w:rsidRPr="004F1D6C">
        <w:rPr>
          <w:spacing w:val="-2"/>
        </w:rPr>
        <w:t>WTPF was successfully convened in 1996, 1998, 2001, 2009</w:t>
      </w:r>
      <w:r w:rsidR="000166A2" w:rsidRPr="004F1D6C">
        <w:rPr>
          <w:spacing w:val="-2"/>
        </w:rPr>
        <w:t>,</w:t>
      </w:r>
      <w:r w:rsidR="0004566C" w:rsidRPr="004F1D6C">
        <w:rPr>
          <w:spacing w:val="-2"/>
        </w:rPr>
        <w:t xml:space="preserve"> and 2013. </w:t>
      </w:r>
      <w:r w:rsidR="002720CA" w:rsidRPr="004F1D6C">
        <w:rPr>
          <w:spacing w:val="-2"/>
          <w:lang w:val="en-US"/>
        </w:rPr>
        <w:t xml:space="preserve">The report on </w:t>
      </w:r>
      <w:r w:rsidR="002720CA" w:rsidRPr="00F07C9D">
        <w:rPr>
          <w:lang w:val="en-US"/>
        </w:rPr>
        <w:t xml:space="preserve">WTPF-13 is available in document </w:t>
      </w:r>
      <w:hyperlink r:id="rId17" w:history="1">
        <w:r w:rsidR="0080405A">
          <w:rPr>
            <w:rStyle w:val="Hyperlink"/>
          </w:rPr>
          <w:t>C13/64</w:t>
        </w:r>
        <w:r w:rsidR="001E44D9" w:rsidRPr="001E44D9">
          <w:rPr>
            <w:rStyle w:val="Hyperlink"/>
          </w:rPr>
          <w:t>(Rev</w:t>
        </w:r>
        <w:r w:rsidR="000166A2">
          <w:rPr>
            <w:rStyle w:val="Hyperlink"/>
          </w:rPr>
          <w:t>.</w:t>
        </w:r>
        <w:r w:rsidR="001E44D9" w:rsidRPr="001E44D9">
          <w:rPr>
            <w:rStyle w:val="Hyperlink"/>
          </w:rPr>
          <w:t>1)</w:t>
        </w:r>
      </w:hyperlink>
      <w:r w:rsidR="0049424C">
        <w:rPr>
          <w:lang w:val="en-US"/>
        </w:rPr>
        <w:t>.</w:t>
      </w:r>
    </w:p>
    <w:p w14:paraId="4FD845BC" w14:textId="77777777" w:rsidR="00F07C9D" w:rsidRPr="00F07C9D" w:rsidRDefault="000D67F1" w:rsidP="00860A1A">
      <w:pPr>
        <w:tabs>
          <w:tab w:val="clear" w:pos="567"/>
          <w:tab w:val="clear" w:pos="1134"/>
          <w:tab w:val="clear" w:pos="1701"/>
          <w:tab w:val="clear" w:pos="2268"/>
          <w:tab w:val="clear" w:pos="2835"/>
        </w:tabs>
        <w:snapToGrid w:val="0"/>
        <w:spacing w:after="120"/>
        <w:jc w:val="both"/>
        <w:rPr>
          <w:rFonts w:cs="Calibri"/>
          <w:lang w:eastAsia="zh-CN"/>
        </w:rPr>
      </w:pPr>
      <w:r w:rsidRPr="00F07C9D">
        <w:t>2.</w:t>
      </w:r>
      <w:r w:rsidR="001E44D9">
        <w:tab/>
      </w:r>
      <w:r w:rsidR="00127B16" w:rsidRPr="00F07C9D">
        <w:t>T</w:t>
      </w:r>
      <w:r w:rsidR="00127B16" w:rsidRPr="00F07C9D">
        <w:rPr>
          <w:rFonts w:cs="Calibri"/>
          <w:lang w:eastAsia="zh-CN"/>
        </w:rPr>
        <w:t>he purpose of WTPF is to provide 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49424C">
        <w:rPr>
          <w:rFonts w:cs="Calibri"/>
          <w:lang w:eastAsia="zh-CN"/>
        </w:rPr>
        <w:t>.</w:t>
      </w:r>
      <w:r w:rsidR="00127B16" w:rsidRPr="00F07C9D">
        <w:rPr>
          <w:rFonts w:cs="Calibri"/>
          <w:lang w:eastAsia="zh-CN"/>
        </w:rPr>
        <w:t xml:space="preserve"> </w:t>
      </w:r>
    </w:p>
    <w:p w14:paraId="36F820BA" w14:textId="5D5B1118" w:rsidR="00F07C9D" w:rsidRPr="00F07C9D" w:rsidRDefault="00F07C9D" w:rsidP="00860A1A">
      <w:pPr>
        <w:tabs>
          <w:tab w:val="clear" w:pos="567"/>
          <w:tab w:val="clear" w:pos="1134"/>
          <w:tab w:val="clear" w:pos="1701"/>
          <w:tab w:val="clear" w:pos="2268"/>
          <w:tab w:val="clear" w:pos="2835"/>
        </w:tabs>
        <w:snapToGrid w:val="0"/>
        <w:spacing w:after="120"/>
        <w:jc w:val="both"/>
        <w:rPr>
          <w:rFonts w:cs="Calibri"/>
          <w:lang w:eastAsia="zh-CN"/>
        </w:rPr>
      </w:pPr>
      <w:r w:rsidRPr="00F07C9D">
        <w:rPr>
          <w:rFonts w:cs="Calibri"/>
          <w:lang w:eastAsia="zh-CN"/>
        </w:rPr>
        <w:lastRenderedPageBreak/>
        <w:t>3.</w:t>
      </w:r>
      <w:r w:rsidR="001E44D9">
        <w:rPr>
          <w:rFonts w:cs="Calibri"/>
          <w:lang w:eastAsia="zh-CN"/>
        </w:rPr>
        <w:tab/>
      </w:r>
      <w:r w:rsidR="00127B16" w:rsidRPr="00F07C9D">
        <w:rPr>
          <w:rFonts w:cs="Calibri"/>
          <w:lang w:eastAsia="zh-CN"/>
        </w:rPr>
        <w:t>WTPF should continue to give special attention to the interests and needs of the developing countries</w:t>
      </w:r>
      <w:r w:rsidR="00062EFB">
        <w:rPr>
          <w:rStyle w:val="FootnoteReference"/>
          <w:rFonts w:cs="Calibri"/>
          <w:lang w:eastAsia="zh-CN"/>
        </w:rPr>
        <w:footnoteReference w:id="1"/>
      </w:r>
      <w:r w:rsidR="00127B16" w:rsidRPr="00F07C9D">
        <w:rPr>
          <w:rFonts w:cs="Calibri"/>
          <w:lang w:eastAsia="zh-CN"/>
        </w:rPr>
        <w:t xml:space="preserve">, where modern technologies and services can contribute significantly to telecommunication infrastructure development. </w:t>
      </w:r>
    </w:p>
    <w:p w14:paraId="3D05805C" w14:textId="60E99038" w:rsidR="00127B16" w:rsidRPr="00142438" w:rsidRDefault="00ED023A" w:rsidP="00860A1A">
      <w:pPr>
        <w:tabs>
          <w:tab w:val="clear" w:pos="567"/>
          <w:tab w:val="clear" w:pos="1134"/>
          <w:tab w:val="clear" w:pos="1701"/>
          <w:tab w:val="clear" w:pos="2268"/>
          <w:tab w:val="clear" w:pos="2835"/>
        </w:tabs>
        <w:snapToGrid w:val="0"/>
        <w:spacing w:after="120"/>
        <w:jc w:val="both"/>
      </w:pPr>
      <w:r>
        <w:t>4</w:t>
      </w:r>
      <w:r w:rsidR="00885E2C" w:rsidRPr="00142438">
        <w:t>.</w:t>
      </w:r>
      <w:r w:rsidR="001E44D9" w:rsidRPr="00142438">
        <w:tab/>
      </w:r>
      <w:r w:rsidR="00127B16" w:rsidRPr="00142438">
        <w:t>WTPF shall not produce prescriptive regulatory outcomes; however, it shall prepare reports and adopt opinions by consensus for consideration by Member States, Sector Members</w:t>
      </w:r>
      <w:r w:rsidR="000166A2">
        <w:t>,</w:t>
      </w:r>
      <w:r w:rsidR="00127B16" w:rsidRPr="00142438">
        <w:t xml:space="preserve"> and relevant ITU meetings</w:t>
      </w:r>
      <w:r w:rsidR="0049424C" w:rsidRPr="00142438">
        <w:t>.</w:t>
      </w:r>
    </w:p>
    <w:p w14:paraId="171A213E" w14:textId="7B4EA5C8" w:rsidR="00127B16" w:rsidRPr="00142438" w:rsidRDefault="00ED023A" w:rsidP="00860A1A">
      <w:pPr>
        <w:tabs>
          <w:tab w:val="clear" w:pos="567"/>
          <w:tab w:val="clear" w:pos="1134"/>
          <w:tab w:val="clear" w:pos="1701"/>
          <w:tab w:val="clear" w:pos="2268"/>
          <w:tab w:val="clear" w:pos="2835"/>
        </w:tabs>
        <w:snapToGrid w:val="0"/>
        <w:spacing w:after="120"/>
        <w:jc w:val="both"/>
      </w:pPr>
      <w:r>
        <w:t>5</w:t>
      </w:r>
      <w:r w:rsidR="00F07C9D" w:rsidRPr="00142438">
        <w:t>.</w:t>
      </w:r>
      <w:r w:rsidR="001E44D9" w:rsidRPr="00142438">
        <w:tab/>
      </w:r>
      <w:r w:rsidR="00127B16" w:rsidRPr="00142438">
        <w:t xml:space="preserve">WTPF shall be open to all Member States and Sector Members; however, if appropriate, by decision of </w:t>
      </w:r>
      <w:proofErr w:type="gramStart"/>
      <w:r w:rsidR="00127B16" w:rsidRPr="00142438">
        <w:t>a majority of</w:t>
      </w:r>
      <w:proofErr w:type="gramEnd"/>
      <w:r w:rsidR="00127B16" w:rsidRPr="00142438">
        <w:t xml:space="preserve"> the representatives of Member States, a special session may be held for Member States only</w:t>
      </w:r>
      <w:r w:rsidR="0049424C" w:rsidRPr="00142438">
        <w:t>.</w:t>
      </w:r>
      <w:r w:rsidR="00127B16" w:rsidRPr="00142438">
        <w:t xml:space="preserve"> </w:t>
      </w:r>
    </w:p>
    <w:p w14:paraId="6079F680" w14:textId="2525903C" w:rsidR="00E64F42" w:rsidRDefault="00ED023A" w:rsidP="008906F2">
      <w:pPr>
        <w:jc w:val="both"/>
        <w:rPr>
          <w:rFonts w:cstheme="minorHAnsi"/>
        </w:rPr>
      </w:pPr>
      <w:r>
        <w:rPr>
          <w:rFonts w:cstheme="minorHAnsi"/>
        </w:rPr>
        <w:t>6</w:t>
      </w:r>
      <w:r w:rsidR="00E64F42">
        <w:rPr>
          <w:rFonts w:cstheme="minorHAnsi"/>
        </w:rPr>
        <w:t>.</w:t>
      </w:r>
      <w:r w:rsidR="00E64F42">
        <w:rPr>
          <w:rFonts w:cstheme="minorHAnsi"/>
        </w:rPr>
        <w:tab/>
        <w:t xml:space="preserve">In accordance with </w:t>
      </w:r>
      <w:r w:rsidR="00E64F42" w:rsidRPr="002A7177">
        <w:rPr>
          <w:rFonts w:cstheme="minorHAnsi"/>
        </w:rPr>
        <w:t>Resolution 2 (Rev. Dubai 2018),</w:t>
      </w:r>
      <w:r w:rsidR="00E64F42">
        <w:rPr>
          <w:rFonts w:cstheme="minorHAnsi"/>
        </w:rPr>
        <w:t xml:space="preserve"> b</w:t>
      </w:r>
      <w:r w:rsidR="00E64F42" w:rsidRPr="00F66CF9">
        <w:rPr>
          <w:rFonts w:cstheme="minorHAnsi"/>
        </w:rPr>
        <w:t xml:space="preserve">y </w:t>
      </w:r>
      <w:hyperlink r:id="rId18" w:history="1">
        <w:r w:rsidR="00E64F42" w:rsidRPr="00E64F42">
          <w:rPr>
            <w:rStyle w:val="Hyperlink"/>
            <w:rFonts w:cstheme="minorHAnsi"/>
          </w:rPr>
          <w:t>Decision 611 (Council 2019)</w:t>
        </w:r>
      </w:hyperlink>
      <w:r w:rsidR="00E64F42" w:rsidRPr="00F66CF9">
        <w:rPr>
          <w:rFonts w:cstheme="minorHAnsi"/>
        </w:rPr>
        <w:t>, the 2019 session of ITU Council decided</w:t>
      </w:r>
      <w:r w:rsidR="00E64F42">
        <w:rPr>
          <w:rFonts w:cstheme="minorHAnsi"/>
        </w:rPr>
        <w:t xml:space="preserve"> </w:t>
      </w:r>
      <w:r w:rsidR="00E64F42" w:rsidRPr="00926997">
        <w:rPr>
          <w:rFonts w:asciiTheme="minorHAnsi" w:hAnsiTheme="minorHAnsi" w:cstheme="minorHAnsi"/>
        </w:rPr>
        <w:t>to convene the sixth WTPF in Geneva, Switzerland, for a duration of three days, preferably</w:t>
      </w:r>
      <w:r w:rsidR="00E64F42" w:rsidRPr="00926997">
        <w:rPr>
          <w:rFonts w:asciiTheme="minorHAnsi" w:hAnsiTheme="minorHAnsi" w:cstheme="minorHAnsi"/>
          <w:b/>
        </w:rPr>
        <w:t xml:space="preserve"> </w:t>
      </w:r>
      <w:r w:rsidR="00E64F42" w:rsidRPr="00926997">
        <w:rPr>
          <w:rFonts w:asciiTheme="minorHAnsi" w:hAnsiTheme="minorHAnsi" w:cstheme="minorHAnsi"/>
        </w:rPr>
        <w:t>back to back with the WSIS Forum 2021 (WTPF-21)</w:t>
      </w:r>
      <w:r w:rsidR="00E64F42">
        <w:rPr>
          <w:rFonts w:cstheme="minorHAnsi"/>
        </w:rPr>
        <w:t xml:space="preserve">. </w:t>
      </w:r>
      <w:r>
        <w:rPr>
          <w:rFonts w:cstheme="minorHAnsi"/>
        </w:rPr>
        <w:t>I</w:t>
      </w:r>
      <w:r>
        <w:rPr>
          <w:rFonts w:cstheme="minorHAnsi"/>
          <w:szCs w:val="24"/>
        </w:rPr>
        <w:t xml:space="preserve">t was further agreed at this 2019 Council session that the </w:t>
      </w:r>
      <w:r>
        <w:rPr>
          <w:lang w:val="en-CA"/>
        </w:rPr>
        <w:t xml:space="preserve">approach taken </w:t>
      </w:r>
      <w:r w:rsidR="001913CF">
        <w:rPr>
          <w:lang w:val="en-CA"/>
        </w:rPr>
        <w:t xml:space="preserve">for WTPF-13 would be replicated for WTPF-21, </w:t>
      </w:r>
      <w:r>
        <w:rPr>
          <w:lang w:val="en-CA"/>
        </w:rPr>
        <w:t xml:space="preserve">namely </w:t>
      </w:r>
      <w:r w:rsidR="001913CF">
        <w:rPr>
          <w:lang w:val="en-CA"/>
        </w:rPr>
        <w:t xml:space="preserve">by having the WSIS Forum 2021 and WTPF-21 </w:t>
      </w:r>
      <w:r>
        <w:rPr>
          <w:lang w:val="en-CA"/>
        </w:rPr>
        <w:t>overlap possibly by two days so as to limit additional costs and make the most of the presence of high-level participants.</w:t>
      </w:r>
      <w:r>
        <w:rPr>
          <w:rFonts w:cstheme="minorHAnsi"/>
          <w:szCs w:val="24"/>
        </w:rPr>
        <w:t xml:space="preserve"> </w:t>
      </w:r>
      <w:r w:rsidR="001913CF">
        <w:rPr>
          <w:rFonts w:cstheme="minorHAnsi"/>
          <w:szCs w:val="24"/>
        </w:rPr>
        <w:t xml:space="preserve">Accordingly, </w:t>
      </w:r>
      <w:r w:rsidRPr="00302703">
        <w:rPr>
          <w:rFonts w:cstheme="minorHAnsi"/>
          <w:szCs w:val="24"/>
        </w:rPr>
        <w:t xml:space="preserve">WSIS Forum </w:t>
      </w:r>
      <w:r w:rsidR="001913CF">
        <w:rPr>
          <w:rFonts w:cstheme="minorHAnsi"/>
          <w:szCs w:val="24"/>
        </w:rPr>
        <w:t xml:space="preserve">2021 </w:t>
      </w:r>
      <w:r w:rsidRPr="00302703">
        <w:rPr>
          <w:rFonts w:cstheme="minorHAnsi"/>
          <w:szCs w:val="24"/>
        </w:rPr>
        <w:t xml:space="preserve">will </w:t>
      </w:r>
      <w:r w:rsidR="001913CF">
        <w:rPr>
          <w:rFonts w:cstheme="minorHAnsi"/>
          <w:szCs w:val="24"/>
        </w:rPr>
        <w:t xml:space="preserve">be held from </w:t>
      </w:r>
      <w:r w:rsidRPr="00302703">
        <w:rPr>
          <w:rFonts w:cstheme="minorHAnsi"/>
          <w:szCs w:val="24"/>
        </w:rPr>
        <w:t>16</w:t>
      </w:r>
      <w:r w:rsidR="001913CF">
        <w:rPr>
          <w:rFonts w:cstheme="minorHAnsi"/>
          <w:szCs w:val="24"/>
        </w:rPr>
        <w:t xml:space="preserve"> </w:t>
      </w:r>
      <w:r w:rsidRPr="00302703">
        <w:rPr>
          <w:rFonts w:cstheme="minorHAnsi"/>
          <w:szCs w:val="24"/>
        </w:rPr>
        <w:t xml:space="preserve">May </w:t>
      </w:r>
      <w:r w:rsidR="001913CF">
        <w:rPr>
          <w:rFonts w:cstheme="minorHAnsi"/>
          <w:szCs w:val="24"/>
        </w:rPr>
        <w:t xml:space="preserve">(Sunday) to 20 </w:t>
      </w:r>
      <w:r w:rsidRPr="00302703">
        <w:rPr>
          <w:rFonts w:cstheme="minorHAnsi"/>
          <w:szCs w:val="24"/>
        </w:rPr>
        <w:t>May</w:t>
      </w:r>
      <w:r w:rsidR="001913CF">
        <w:rPr>
          <w:rFonts w:cstheme="minorHAnsi"/>
          <w:szCs w:val="24"/>
        </w:rPr>
        <w:t xml:space="preserve"> 2021 (Thursday), and </w:t>
      </w:r>
      <w:r w:rsidRPr="00302703">
        <w:rPr>
          <w:rFonts w:cstheme="minorHAnsi"/>
          <w:szCs w:val="24"/>
        </w:rPr>
        <w:t>WTPF</w:t>
      </w:r>
      <w:r w:rsidR="001913CF">
        <w:rPr>
          <w:rFonts w:cstheme="minorHAnsi"/>
          <w:szCs w:val="24"/>
        </w:rPr>
        <w:t>-21</w:t>
      </w:r>
      <w:r w:rsidRPr="00302703">
        <w:rPr>
          <w:rFonts w:cstheme="minorHAnsi"/>
          <w:szCs w:val="24"/>
        </w:rPr>
        <w:t xml:space="preserve"> will </w:t>
      </w:r>
      <w:r w:rsidR="001913CF">
        <w:rPr>
          <w:rFonts w:cstheme="minorHAnsi"/>
          <w:szCs w:val="24"/>
        </w:rPr>
        <w:t xml:space="preserve">be organized from 19 </w:t>
      </w:r>
      <w:r w:rsidRPr="00302703">
        <w:rPr>
          <w:rFonts w:cstheme="minorHAnsi"/>
          <w:szCs w:val="24"/>
        </w:rPr>
        <w:t xml:space="preserve">May </w:t>
      </w:r>
      <w:r w:rsidR="001913CF">
        <w:rPr>
          <w:rFonts w:cstheme="minorHAnsi"/>
          <w:szCs w:val="24"/>
        </w:rPr>
        <w:t xml:space="preserve">(Wednesday) to 21 </w:t>
      </w:r>
      <w:r w:rsidRPr="00302703">
        <w:rPr>
          <w:rFonts w:cstheme="minorHAnsi"/>
          <w:szCs w:val="24"/>
        </w:rPr>
        <w:t>May</w:t>
      </w:r>
      <w:r w:rsidR="001913CF">
        <w:rPr>
          <w:rFonts w:cstheme="minorHAnsi"/>
          <w:szCs w:val="24"/>
        </w:rPr>
        <w:t xml:space="preserve"> 2021 (Friday)</w:t>
      </w:r>
      <w:r>
        <w:rPr>
          <w:rFonts w:cstheme="minorHAnsi"/>
          <w:szCs w:val="24"/>
        </w:rPr>
        <w:t>.</w:t>
      </w:r>
      <w:r w:rsidR="00E64F42">
        <w:rPr>
          <w:rFonts w:cstheme="minorHAnsi"/>
        </w:rPr>
        <w:t xml:space="preserve"> </w:t>
      </w:r>
    </w:p>
    <w:p w14:paraId="41F2886E" w14:textId="787261F1" w:rsidR="00E64F42" w:rsidRPr="00CC76F7" w:rsidRDefault="00ED023A" w:rsidP="00E64F42">
      <w:pPr>
        <w:spacing w:before="160"/>
        <w:jc w:val="both"/>
        <w:rPr>
          <w:rFonts w:cstheme="minorHAnsi"/>
        </w:rPr>
      </w:pPr>
      <w:r>
        <w:rPr>
          <w:rFonts w:cstheme="minorHAnsi"/>
        </w:rPr>
        <w:t>7</w:t>
      </w:r>
      <w:r w:rsidR="00E64F42">
        <w:rPr>
          <w:rFonts w:cstheme="minorHAnsi"/>
        </w:rPr>
        <w:t>.</w:t>
      </w:r>
      <w:r w:rsidR="00E64F42">
        <w:rPr>
          <w:rFonts w:cstheme="minorHAnsi"/>
        </w:rPr>
        <w:tab/>
      </w:r>
      <w:r w:rsidR="00E64F42" w:rsidRPr="00CC76F7">
        <w:rPr>
          <w:rFonts w:cstheme="minorHAnsi"/>
        </w:rPr>
        <w:t xml:space="preserve">By </w:t>
      </w:r>
      <w:hyperlink r:id="rId19" w:history="1">
        <w:r w:rsidR="00E64F42" w:rsidRPr="00CC76F7">
          <w:rPr>
            <w:rStyle w:val="Hyperlink"/>
            <w:rFonts w:cstheme="minorHAnsi"/>
          </w:rPr>
          <w:t>Decision 611</w:t>
        </w:r>
      </w:hyperlink>
      <w:r w:rsidR="00E64F42">
        <w:rPr>
          <w:rStyle w:val="Hyperlink"/>
          <w:rFonts w:cstheme="minorHAnsi"/>
        </w:rPr>
        <w:t xml:space="preserve"> </w:t>
      </w:r>
      <w:r w:rsidR="00E64F42" w:rsidRPr="008005D9">
        <w:rPr>
          <w:rStyle w:val="Hyperlink"/>
          <w:rFonts w:cstheme="minorHAnsi"/>
        </w:rPr>
        <w:t>(Council 2019)</w:t>
      </w:r>
      <w:r w:rsidR="00E64F42" w:rsidRPr="008005D9">
        <w:rPr>
          <w:rFonts w:cstheme="minorHAnsi"/>
        </w:rPr>
        <w:t>,</w:t>
      </w:r>
      <w:r w:rsidR="00E64F42" w:rsidRPr="00CC76F7">
        <w:rPr>
          <w:rFonts w:cstheme="minorHAnsi"/>
        </w:rPr>
        <w:t xml:space="preserve"> ITU Council decided that the theme for WTPF-21 is as follows:</w:t>
      </w:r>
    </w:p>
    <w:p w14:paraId="1068CE70" w14:textId="77777777" w:rsidR="00E64F42" w:rsidRPr="00CC76F7" w:rsidRDefault="00E64F42" w:rsidP="00E64F42">
      <w:pPr>
        <w:spacing w:before="160"/>
        <w:jc w:val="both"/>
        <w:rPr>
          <w:rFonts w:cstheme="minorHAnsi"/>
          <w:bCs/>
          <w:i/>
        </w:rPr>
      </w:pPr>
      <w:r w:rsidRPr="00CC76F7">
        <w:rPr>
          <w:rFonts w:cstheme="minorHAnsi"/>
        </w:rPr>
        <w:t>“</w:t>
      </w:r>
      <w:r w:rsidRPr="00CC76F7">
        <w:rPr>
          <w:rFonts w:cstheme="minorHAnsi"/>
          <w:i/>
        </w:rPr>
        <w:t>P</w:t>
      </w:r>
      <w:r w:rsidRPr="00CC76F7">
        <w:rPr>
          <w:rFonts w:cstheme="minorHAnsi"/>
          <w:bCs/>
          <w:i/>
        </w:rPr>
        <w:t>olicies for mobilizing new and emerging telecommunications/ICTs for sustainable development:</w:t>
      </w:r>
    </w:p>
    <w:p w14:paraId="1FC45670" w14:textId="77777777" w:rsidR="00E64F42" w:rsidRDefault="00E64F42" w:rsidP="00E64F42">
      <w:pPr>
        <w:spacing w:before="160"/>
        <w:jc w:val="both"/>
        <w:rPr>
          <w:rFonts w:cstheme="minorHAnsi"/>
        </w:rPr>
      </w:pPr>
      <w:r w:rsidRPr="00CC76F7">
        <w:rPr>
          <w:rFonts w:cstheme="minorHAnsi"/>
          <w:bCs/>
        </w:rPr>
        <w:t>T</w:t>
      </w:r>
      <w:r w:rsidRPr="00CC76F7">
        <w:rPr>
          <w:rFonts w:cstheme="minorHAnsi"/>
        </w:rPr>
        <w:t>he WTPF-21 would discuss how new and emerging digital technologies and trends are enablers of the global transition to the digital economy. Themes for consideration include AI, IoT, 5G, Big Data, OTTs etc. In this regard, the WTPF-21 will focus on opportunities, challenges and policies to foster sustainable development.”</w:t>
      </w:r>
    </w:p>
    <w:p w14:paraId="4A34BF8F" w14:textId="2B637BD4" w:rsidR="00E64F42" w:rsidRDefault="00ED023A" w:rsidP="00E64F42">
      <w:pPr>
        <w:spacing w:before="160"/>
        <w:jc w:val="both"/>
        <w:rPr>
          <w:rFonts w:cstheme="minorHAnsi"/>
        </w:rPr>
      </w:pPr>
      <w:r>
        <w:rPr>
          <w:rFonts w:cstheme="minorHAnsi"/>
        </w:rPr>
        <w:t>8</w:t>
      </w:r>
      <w:r w:rsidR="00E64F42">
        <w:rPr>
          <w:rFonts w:cstheme="minorHAnsi"/>
        </w:rPr>
        <w:t xml:space="preserve">. </w:t>
      </w:r>
      <w:r w:rsidR="008565B2">
        <w:rPr>
          <w:rFonts w:cstheme="minorHAnsi"/>
        </w:rPr>
        <w:tab/>
      </w:r>
      <w:r w:rsidR="00E64F42" w:rsidRPr="00CC76F7">
        <w:rPr>
          <w:rFonts w:cstheme="minorHAnsi"/>
        </w:rPr>
        <w:t>Discussions at WTPF-21 shall be based solely on a single report by the ITU Secretary-General, 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 (</w:t>
      </w:r>
      <w:hyperlink r:id="rId20" w:history="1">
        <w:r w:rsidR="00E64F42" w:rsidRPr="00CC76F7">
          <w:rPr>
            <w:rStyle w:val="Hyperlink"/>
            <w:rFonts w:cstheme="minorHAnsi"/>
          </w:rPr>
          <w:t>Resolution 2 (Rev. Dubai, 2018)</w:t>
        </w:r>
      </w:hyperlink>
      <w:r w:rsidR="00E64F42" w:rsidRPr="00CC76F7">
        <w:rPr>
          <w:rFonts w:cstheme="minorHAnsi"/>
        </w:rPr>
        <w:t>). This report by the Secretary-General (“Report”) outlines a potential scope for discussions and presents some of the policy issues under consideration among different stakeholder groups on mobilizing new and emerging digital technologies and trends for sustainable development.</w:t>
      </w:r>
    </w:p>
    <w:p w14:paraId="64A5A59E" w14:textId="6395E767" w:rsidR="00E64F42" w:rsidRDefault="00ED023A" w:rsidP="00E64F42">
      <w:pPr>
        <w:spacing w:before="160"/>
        <w:jc w:val="both"/>
        <w:rPr>
          <w:rFonts w:cstheme="minorHAnsi"/>
        </w:rPr>
      </w:pPr>
      <w:r>
        <w:rPr>
          <w:rFonts w:cstheme="minorHAnsi"/>
        </w:rPr>
        <w:t>9</w:t>
      </w:r>
      <w:r w:rsidR="00E64F42">
        <w:rPr>
          <w:rFonts w:cstheme="minorHAnsi"/>
        </w:rPr>
        <w:t>.</w:t>
      </w:r>
      <w:r w:rsidR="00E64F42" w:rsidRPr="00CC76F7">
        <w:rPr>
          <w:rFonts w:cstheme="minorHAnsi"/>
        </w:rPr>
        <w:tab/>
        <w:t xml:space="preserve">In accordance with </w:t>
      </w:r>
      <w:hyperlink r:id="rId21" w:history="1">
        <w:r w:rsidR="00E64F42" w:rsidRPr="00CC76F7">
          <w:rPr>
            <w:rStyle w:val="Hyperlink"/>
            <w:rFonts w:cstheme="minorHAnsi"/>
          </w:rPr>
          <w:t>Decision 61</w:t>
        </w:r>
        <w:r w:rsidR="00415A21">
          <w:rPr>
            <w:rStyle w:val="Hyperlink"/>
            <w:rFonts w:cstheme="minorHAnsi"/>
          </w:rPr>
          <w:t>1 (Council 2019)</w:t>
        </w:r>
      </w:hyperlink>
      <w:r w:rsidR="00E64F42" w:rsidRPr="00CC76F7">
        <w:rPr>
          <w:rFonts w:cstheme="minorHAnsi"/>
        </w:rPr>
        <w:t xml:space="preserve">, the ITU Secretary-General </w:t>
      </w:r>
      <w:r w:rsidR="00E64F42">
        <w:rPr>
          <w:rFonts w:cstheme="minorHAnsi"/>
        </w:rPr>
        <w:t xml:space="preserve">has </w:t>
      </w:r>
      <w:r w:rsidR="00E64F42" w:rsidRPr="00CC76F7">
        <w:rPr>
          <w:rFonts w:cstheme="minorHAnsi"/>
        </w:rPr>
        <w:t>convene</w:t>
      </w:r>
      <w:r w:rsidR="00E64F42">
        <w:rPr>
          <w:rFonts w:cstheme="minorHAnsi"/>
        </w:rPr>
        <w:t>d</w:t>
      </w:r>
      <w:r w:rsidR="00E64F42" w:rsidRPr="00CC76F7">
        <w:rPr>
          <w:rFonts w:cstheme="minorHAnsi"/>
        </w:rPr>
        <w:t xml:space="preserve"> an Informal Experts Group (IEG), each of whom is active in preparing for WTPF-21</w:t>
      </w:r>
      <w:r w:rsidR="00E64F42">
        <w:rPr>
          <w:rFonts w:cstheme="minorHAnsi"/>
        </w:rPr>
        <w:t xml:space="preserve"> in this regard</w:t>
      </w:r>
      <w:r w:rsidR="00E64F42" w:rsidRPr="00CC76F7">
        <w:rPr>
          <w:rFonts w:cstheme="minorHAnsi"/>
        </w:rPr>
        <w:t>.</w:t>
      </w:r>
      <w:r w:rsidR="00E64F42">
        <w:rPr>
          <w:rFonts w:cstheme="minorHAnsi"/>
        </w:rPr>
        <w:t xml:space="preserve"> </w:t>
      </w:r>
      <w:r w:rsidR="00E64F42" w:rsidRPr="009679B4">
        <w:rPr>
          <w:rFonts w:cstheme="minorHAnsi"/>
        </w:rPr>
        <w:t>Member States, Sector Members, Associates, and Academia of ITU, as well as the State of Palestine and Organizations which have the right to attend ITU Conferences and meetings</w:t>
      </w:r>
      <w:r w:rsidR="00E64F42">
        <w:rPr>
          <w:rFonts w:cstheme="minorHAnsi"/>
        </w:rPr>
        <w:t xml:space="preserve"> as observers, were invited to</w:t>
      </w:r>
      <w:r w:rsidR="008224EC">
        <w:rPr>
          <w:rFonts w:cstheme="minorHAnsi"/>
        </w:rPr>
        <w:t xml:space="preserve"> </w:t>
      </w:r>
      <w:r w:rsidR="00E64F42">
        <w:rPr>
          <w:rFonts w:cstheme="minorHAnsi"/>
        </w:rPr>
        <w:t>nominate</w:t>
      </w:r>
      <w:r w:rsidR="00E64F42" w:rsidRPr="009679B4">
        <w:rPr>
          <w:rFonts w:cstheme="minorHAnsi"/>
        </w:rPr>
        <w:t xml:space="preserve"> their experts</w:t>
      </w:r>
      <w:r w:rsidR="00E64F42">
        <w:rPr>
          <w:rFonts w:cstheme="minorHAnsi"/>
        </w:rPr>
        <w:t xml:space="preserve">. The List of IEG members is available at: </w:t>
      </w:r>
      <w:hyperlink r:id="rId22" w:history="1">
        <w:r w:rsidR="00E64F42">
          <w:rPr>
            <w:rStyle w:val="Hyperlink"/>
          </w:rPr>
          <w:t>https://www.itu.int/en/wtpf-21/Documents/IEG-WTPF-21-nominated-experts.pdf</w:t>
        </w:r>
      </w:hyperlink>
      <w:r w:rsidR="00E64F42">
        <w:rPr>
          <w:rFonts w:cstheme="minorHAnsi"/>
        </w:rPr>
        <w:t>.</w:t>
      </w:r>
    </w:p>
    <w:p w14:paraId="41CF81FA" w14:textId="5A4883B7" w:rsidR="00E64F42" w:rsidRDefault="00E64F42" w:rsidP="00E64F42">
      <w:pPr>
        <w:spacing w:before="160"/>
        <w:jc w:val="both"/>
        <w:rPr>
          <w:rFonts w:cstheme="minorHAnsi"/>
        </w:rPr>
      </w:pPr>
      <w:r>
        <w:rPr>
          <w:rFonts w:cstheme="minorHAnsi"/>
        </w:rPr>
        <w:t>1</w:t>
      </w:r>
      <w:r w:rsidR="00ED023A">
        <w:rPr>
          <w:rFonts w:cstheme="minorHAnsi"/>
        </w:rPr>
        <w:t>0</w:t>
      </w:r>
      <w:r>
        <w:rPr>
          <w:rFonts w:cstheme="minorHAnsi"/>
        </w:rPr>
        <w:t>.</w:t>
      </w:r>
      <w:r>
        <w:rPr>
          <w:rFonts w:cstheme="minorHAnsi"/>
        </w:rPr>
        <w:tab/>
        <w:t xml:space="preserve">Council 2019 confirmed Mr. Fabio </w:t>
      </w:r>
      <w:proofErr w:type="spellStart"/>
      <w:r>
        <w:rPr>
          <w:rFonts w:cstheme="minorHAnsi"/>
        </w:rPr>
        <w:t>Bigi</w:t>
      </w:r>
      <w:proofErr w:type="spellEnd"/>
      <w:r>
        <w:rPr>
          <w:rFonts w:cstheme="minorHAnsi"/>
        </w:rPr>
        <w:t>, Italy, as the chairman of the IEG.</w:t>
      </w:r>
    </w:p>
    <w:p w14:paraId="50BA3D05" w14:textId="33898972" w:rsidR="00E64F42" w:rsidRPr="00CC76F7" w:rsidRDefault="00E64F42" w:rsidP="008906F2">
      <w:pPr>
        <w:spacing w:before="160"/>
        <w:jc w:val="both"/>
      </w:pPr>
      <w:r>
        <w:lastRenderedPageBreak/>
        <w:t>1</w:t>
      </w:r>
      <w:r w:rsidR="00ED023A">
        <w:t>1</w:t>
      </w:r>
      <w:r>
        <w:t>.</w:t>
      </w:r>
      <w:r w:rsidRPr="00CC76F7">
        <w:tab/>
        <w:t xml:space="preserve">The preparatory process </w:t>
      </w:r>
      <w:r>
        <w:t>is</w:t>
      </w:r>
      <w:r w:rsidRPr="00CC76F7">
        <w:t xml:space="preserve"> guided by the timetable set out as Annex 2 in </w:t>
      </w:r>
      <w:hyperlink r:id="rId23" w:history="1">
        <w:r w:rsidRPr="00CC76F7">
          <w:rPr>
            <w:rStyle w:val="Hyperlink"/>
            <w:rFonts w:cstheme="minorHAnsi"/>
          </w:rPr>
          <w:t>Decision 61</w:t>
        </w:r>
        <w:r w:rsidR="00415A21">
          <w:rPr>
            <w:rStyle w:val="Hyperlink"/>
            <w:rFonts w:cstheme="minorHAnsi"/>
          </w:rPr>
          <w:t>1 (Council 2019)</w:t>
        </w:r>
      </w:hyperlink>
      <w:r w:rsidRPr="00CC76F7">
        <w:t xml:space="preserve"> </w:t>
      </w:r>
      <w:r w:rsidR="008906F2">
        <w:t>as reflected</w:t>
      </w:r>
      <w:r w:rsidRPr="00CC76F7">
        <w:t xml:space="preserve"> in Table 1 below</w:t>
      </w:r>
      <w:r>
        <w:rPr>
          <w:rStyle w:val="FootnoteReference"/>
        </w:rPr>
        <w:footnoteReference w:id="2"/>
      </w:r>
      <w:r w:rsidRPr="00CC76F7">
        <w:t>.</w:t>
      </w:r>
    </w:p>
    <w:p w14:paraId="13C3C38F" w14:textId="77777777" w:rsidR="00E64F42" w:rsidRPr="00CC76F7" w:rsidRDefault="00E64F42" w:rsidP="00E64F42">
      <w:pPr>
        <w:spacing w:before="360" w:after="120"/>
        <w:ind w:left="720" w:hanging="720"/>
        <w:jc w:val="center"/>
        <w:rPr>
          <w:rFonts w:cstheme="minorHAnsi"/>
          <w:b/>
          <w:szCs w:val="24"/>
        </w:rPr>
      </w:pPr>
      <w:r w:rsidRPr="00CC76F7">
        <w:rPr>
          <w:rFonts w:cstheme="minorHAnsi"/>
          <w:b/>
          <w:szCs w:val="24"/>
        </w:rPr>
        <w:t>Table 1: Timetable for the elaboration of the ITU Secretary-General’s Report</w:t>
      </w:r>
    </w:p>
    <w:tbl>
      <w:tblPr>
        <w:tblStyle w:val="TableGrid0"/>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E64F42" w:rsidRPr="00CC76F7" w14:paraId="211F0B51" w14:textId="77777777" w:rsidTr="00B57A5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831F726" w14:textId="77777777" w:rsidR="00E64F42" w:rsidRPr="00CC76F7" w:rsidRDefault="00E64F42" w:rsidP="00B57A50">
            <w:pPr>
              <w:spacing w:before="60" w:after="60"/>
              <w:ind w:right="50"/>
              <w:jc w:val="center"/>
              <w:rPr>
                <w:rFonts w:cstheme="minorHAnsi"/>
              </w:rPr>
            </w:pPr>
            <w:r w:rsidRPr="00CC76F7">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FE36179" w14:textId="77777777" w:rsidR="00E64F42" w:rsidRPr="00CC76F7" w:rsidRDefault="00E64F42" w:rsidP="00B57A50">
            <w:pPr>
              <w:spacing w:before="60" w:after="60"/>
              <w:jc w:val="both"/>
              <w:rPr>
                <w:rFonts w:cstheme="minorHAnsi"/>
              </w:rPr>
            </w:pPr>
            <w:r w:rsidRPr="00CC76F7">
              <w:rPr>
                <w:rFonts w:cstheme="minorHAnsi"/>
              </w:rPr>
              <w:t>A First Draft outline of the report by the Secretary-General shall be posted online for comments</w:t>
            </w:r>
          </w:p>
        </w:tc>
      </w:tr>
      <w:tr w:rsidR="00E64F42" w:rsidRPr="00CC76F7" w14:paraId="22CD1844" w14:textId="77777777" w:rsidTr="00B57A5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F01EA48" w14:textId="77777777" w:rsidR="00E64F42" w:rsidRPr="00CC76F7" w:rsidRDefault="00E64F42" w:rsidP="00B57A50">
            <w:pPr>
              <w:spacing w:before="60" w:after="60"/>
              <w:ind w:right="51"/>
              <w:jc w:val="center"/>
              <w:rPr>
                <w:rFonts w:cstheme="minorHAnsi"/>
              </w:rPr>
            </w:pPr>
            <w:r w:rsidRPr="00CC76F7">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785AD6A" w14:textId="77777777" w:rsidR="00E64F42" w:rsidRPr="00CC76F7" w:rsidRDefault="00E64F42" w:rsidP="00B57A50">
            <w:pPr>
              <w:spacing w:before="60" w:after="60"/>
              <w:jc w:val="both"/>
              <w:rPr>
                <w:rFonts w:cstheme="minorHAnsi"/>
              </w:rPr>
            </w:pPr>
            <w:r w:rsidRPr="00CC76F7">
              <w:rPr>
                <w:rFonts w:cstheme="minorHAnsi"/>
              </w:rPr>
              <w:t>Deadline for receipt of comments on the First Draft</w:t>
            </w:r>
          </w:p>
          <w:p w14:paraId="6E5A8C81" w14:textId="77777777" w:rsidR="00E64F42" w:rsidRPr="00CC76F7" w:rsidRDefault="00E64F42" w:rsidP="00B57A50">
            <w:pPr>
              <w:spacing w:after="60"/>
              <w:ind w:right="45"/>
              <w:jc w:val="both"/>
              <w:rPr>
                <w:rFonts w:cstheme="minorHAnsi"/>
              </w:rPr>
            </w:pPr>
            <w:r w:rsidRPr="00CC76F7">
              <w:rPr>
                <w:rFonts w:cstheme="minorHAnsi"/>
              </w:rPr>
              <w:t>Deadline for nominations for a balanced group of experts to advise the Secretary-General on further elaboration of the report and of draft opinions associated with it</w:t>
            </w:r>
          </w:p>
        </w:tc>
      </w:tr>
      <w:tr w:rsidR="00E64F42" w:rsidRPr="00CC76F7" w14:paraId="4BDBC5D1" w14:textId="77777777" w:rsidTr="00B57A5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128B5A8" w14:textId="1C953884" w:rsidR="00E64F42" w:rsidRPr="00CC76F7" w:rsidRDefault="00E64F42" w:rsidP="00403A73">
            <w:pPr>
              <w:spacing w:before="60" w:after="60"/>
              <w:ind w:right="50"/>
              <w:jc w:val="center"/>
              <w:rPr>
                <w:rFonts w:cstheme="minorHAnsi"/>
              </w:rPr>
            </w:pPr>
            <w:r w:rsidRPr="00CC76F7">
              <w:rPr>
                <w:rFonts w:cstheme="minorHAnsi"/>
                <w:b/>
              </w:rPr>
              <w:t xml:space="preserve">1st IEG Meeting </w:t>
            </w:r>
            <w:r w:rsidR="008224EC">
              <w:rPr>
                <w:rFonts w:cstheme="minorHAnsi"/>
                <w:b/>
              </w:rPr>
              <w:br/>
            </w:r>
            <w:r w:rsidRPr="00CC76F7">
              <w:rPr>
                <w:rFonts w:cstheme="minorHAnsi"/>
                <w:b/>
              </w:rPr>
              <w:t>(</w:t>
            </w:r>
            <w:r w:rsidR="00403A73">
              <w:rPr>
                <w:rFonts w:cstheme="minorHAnsi"/>
                <w:b/>
              </w:rPr>
              <w:t xml:space="preserve">23, 24 </w:t>
            </w:r>
            <w:r w:rsidRPr="00CC76F7">
              <w:rPr>
                <w:rFonts w:cstheme="minorHAnsi"/>
                <w:b/>
              </w:rPr>
              <w:t>September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1CDB66B" w14:textId="77777777" w:rsidR="00E64F42" w:rsidRPr="00CC76F7" w:rsidRDefault="00E64F42" w:rsidP="00B57A50">
            <w:pPr>
              <w:spacing w:before="60" w:after="60"/>
              <w:jc w:val="both"/>
              <w:rPr>
                <w:rFonts w:cstheme="minorHAnsi"/>
              </w:rPr>
            </w:pPr>
            <w:r w:rsidRPr="00CC76F7">
              <w:rPr>
                <w:rFonts w:cstheme="minorHAnsi"/>
              </w:rPr>
              <w:t>First meeting of the group of experts to discuss the First Draft of the report by the Secretary-General and the comments received</w:t>
            </w:r>
          </w:p>
        </w:tc>
      </w:tr>
      <w:tr w:rsidR="00E64F42" w:rsidRPr="00CC76F7" w14:paraId="7995D9AF" w14:textId="77777777" w:rsidTr="00B57A5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940BD71" w14:textId="77777777" w:rsidR="00E64F42" w:rsidRPr="00CC76F7" w:rsidRDefault="00E64F42" w:rsidP="00B57A50">
            <w:pPr>
              <w:spacing w:before="60" w:after="60"/>
              <w:ind w:right="49"/>
              <w:jc w:val="center"/>
              <w:rPr>
                <w:rFonts w:cstheme="minorHAnsi"/>
              </w:rPr>
            </w:pPr>
            <w:r w:rsidRPr="00CC76F7">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3B072B7" w14:textId="77777777" w:rsidR="00E64F42" w:rsidRPr="00CC76F7" w:rsidRDefault="00E64F42" w:rsidP="00B57A50">
            <w:pPr>
              <w:spacing w:before="60" w:after="60"/>
              <w:jc w:val="both"/>
              <w:rPr>
                <w:rFonts w:cstheme="minorHAnsi"/>
              </w:rPr>
            </w:pPr>
            <w:r w:rsidRPr="00CC76F7">
              <w:rPr>
                <w:rFonts w:cstheme="minorHAnsi"/>
              </w:rPr>
              <w:t>The Second Draft of the report by the Secretary-General will be posted online, incorporating discussions from the 1st IEG meeting</w:t>
            </w:r>
          </w:p>
          <w:p w14:paraId="332DA814" w14:textId="77777777" w:rsidR="00E64F42" w:rsidRPr="00CC76F7" w:rsidRDefault="00E64F42" w:rsidP="00B57A50">
            <w:pPr>
              <w:spacing w:after="60"/>
              <w:jc w:val="both"/>
              <w:rPr>
                <w:rFonts w:cstheme="minorHAnsi"/>
              </w:rPr>
            </w:pPr>
            <w:r w:rsidRPr="00CC76F7">
              <w:rPr>
                <w:rFonts w:cstheme="minorHAnsi"/>
              </w:rPr>
              <w:t>This draft will also be made available online for open public consultations</w:t>
            </w:r>
          </w:p>
        </w:tc>
      </w:tr>
      <w:tr w:rsidR="00E64F42" w:rsidRPr="00CC76F7" w14:paraId="4836131A" w14:textId="77777777" w:rsidTr="00B57A5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04CD074A" w14:textId="77777777" w:rsidR="00E64F42" w:rsidRPr="00CC76F7" w:rsidRDefault="00E64F42" w:rsidP="00B57A50">
            <w:pPr>
              <w:spacing w:before="60" w:after="60"/>
              <w:ind w:right="51"/>
              <w:jc w:val="center"/>
              <w:rPr>
                <w:rFonts w:cstheme="minorHAnsi"/>
              </w:rPr>
            </w:pPr>
            <w:r w:rsidRPr="00CC76F7">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489D46F9" w14:textId="77777777" w:rsidR="00E64F42" w:rsidRPr="00CC76F7" w:rsidRDefault="00E64F42" w:rsidP="00B57A50">
            <w:pPr>
              <w:spacing w:before="60" w:after="60"/>
              <w:ind w:right="48"/>
              <w:jc w:val="both"/>
              <w:rPr>
                <w:rFonts w:cstheme="minorHAnsi"/>
              </w:rPr>
            </w:pPr>
            <w:r w:rsidRPr="00CC76F7">
              <w:rPr>
                <w:rFonts w:cstheme="minorHAnsi"/>
              </w:rPr>
              <w:t xml:space="preserve">Deadline for receipt of comments on the Second Draft, and for contribution on broad outlines for possible draft opinions </w:t>
            </w:r>
          </w:p>
          <w:p w14:paraId="54B894EC" w14:textId="77777777" w:rsidR="00E64F42" w:rsidRPr="00CC76F7" w:rsidRDefault="00E64F42" w:rsidP="00B57A50">
            <w:pPr>
              <w:spacing w:after="60"/>
              <w:ind w:right="48"/>
              <w:jc w:val="both"/>
              <w:rPr>
                <w:rFonts w:cstheme="minorHAnsi"/>
              </w:rPr>
            </w:pPr>
            <w:r w:rsidRPr="00CC76F7">
              <w:rPr>
                <w:rFonts w:cstheme="minorHAnsi"/>
              </w:rPr>
              <w:t>Deadline for inputs from the open public consultations</w:t>
            </w:r>
          </w:p>
        </w:tc>
      </w:tr>
      <w:tr w:rsidR="00E64F42" w:rsidRPr="00CC76F7" w14:paraId="35895D24" w14:textId="77777777" w:rsidTr="00B57A5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5D879F77" w14:textId="77777777" w:rsidR="00E64F42" w:rsidRPr="00CC76F7" w:rsidRDefault="00E64F42" w:rsidP="00E64F42">
            <w:pPr>
              <w:spacing w:before="60" w:after="60"/>
              <w:ind w:right="50"/>
              <w:jc w:val="center"/>
              <w:rPr>
                <w:rFonts w:cstheme="minorHAnsi"/>
              </w:rPr>
            </w:pPr>
            <w:r w:rsidRPr="00CC76F7">
              <w:rPr>
                <w:rFonts w:cstheme="minorHAnsi"/>
                <w:b/>
              </w:rPr>
              <w:t>2nd IEG Meeting (</w:t>
            </w:r>
            <w:r>
              <w:rPr>
                <w:rFonts w:cstheme="minorHAnsi"/>
                <w:b/>
              </w:rPr>
              <w:t xml:space="preserve">10,11 </w:t>
            </w:r>
            <w:r w:rsidRPr="00CC76F7">
              <w:rPr>
                <w:rFonts w:cstheme="minorHAnsi"/>
                <w:b/>
              </w:rPr>
              <w:t>February 2020</w:t>
            </w:r>
            <w:r>
              <w:rPr>
                <w:rFonts w:cstheme="minorHAnsi"/>
                <w:b/>
              </w:rPr>
              <w:t>)</w:t>
            </w:r>
            <w:r w:rsidRPr="00CC76F7">
              <w:rPr>
                <w:rFonts w:cstheme="minorHAnsi"/>
                <w:b/>
              </w:rPr>
              <w:t xml:space="preserve"> </w:t>
            </w:r>
          </w:p>
        </w:tc>
        <w:tc>
          <w:tcPr>
            <w:tcW w:w="6946" w:type="dxa"/>
            <w:tcBorders>
              <w:top w:val="single" w:sz="8" w:space="0" w:color="000000"/>
              <w:left w:val="single" w:sz="8" w:space="0" w:color="000000"/>
              <w:bottom w:val="single" w:sz="8" w:space="0" w:color="000000"/>
              <w:right w:val="single" w:sz="8" w:space="0" w:color="000000"/>
            </w:tcBorders>
            <w:shd w:val="clear" w:color="auto" w:fill="EEECE1" w:themeFill="background2"/>
          </w:tcPr>
          <w:p w14:paraId="36FD7BF6" w14:textId="77777777" w:rsidR="00E64F42" w:rsidRPr="00CC76F7" w:rsidRDefault="00E64F42" w:rsidP="00B57A50">
            <w:pPr>
              <w:spacing w:before="60" w:after="60"/>
              <w:jc w:val="both"/>
              <w:rPr>
                <w:rFonts w:cstheme="minorHAnsi"/>
              </w:rPr>
            </w:pPr>
            <w:r w:rsidRPr="00CC76F7">
              <w:rPr>
                <w:rFonts w:cstheme="minorHAnsi"/>
              </w:rPr>
              <w:t>Second meeting of the group of experts to discuss the Second Draft of the report by the Secretary-General and the comments received, including from the open public consultation</w:t>
            </w:r>
          </w:p>
        </w:tc>
      </w:tr>
      <w:tr w:rsidR="00E64F42" w:rsidRPr="00CC76F7" w14:paraId="54BA4765" w14:textId="77777777" w:rsidTr="00B57A5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1C70092" w14:textId="77777777" w:rsidR="00E64F42" w:rsidRPr="00CC76F7" w:rsidRDefault="00E64F42" w:rsidP="00B57A50">
            <w:pPr>
              <w:spacing w:before="60" w:after="60"/>
              <w:ind w:right="49"/>
              <w:jc w:val="center"/>
              <w:rPr>
                <w:rFonts w:cstheme="minorHAnsi"/>
              </w:rPr>
            </w:pPr>
            <w:r w:rsidRPr="00CC76F7">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A6DE0B7" w14:textId="77777777" w:rsidR="00E64F42" w:rsidRPr="00CC76F7" w:rsidRDefault="00E64F42" w:rsidP="00B57A50">
            <w:pPr>
              <w:spacing w:before="60" w:after="60"/>
              <w:jc w:val="both"/>
              <w:rPr>
                <w:rFonts w:cstheme="minorHAnsi"/>
              </w:rPr>
            </w:pPr>
            <w:r w:rsidRPr="00CC76F7">
              <w:rPr>
                <w:rFonts w:cstheme="minorHAnsi"/>
              </w:rPr>
              <w:t>The Third Draft of the report by the Secretary-General will be posted online, incorporating discussions from the 2</w:t>
            </w:r>
            <w:r w:rsidRPr="00CC76F7">
              <w:rPr>
                <w:rFonts w:cstheme="minorHAnsi"/>
                <w:vertAlign w:val="superscript"/>
              </w:rPr>
              <w:t>nd</w:t>
            </w:r>
            <w:r w:rsidRPr="00CC76F7">
              <w:rPr>
                <w:rFonts w:cstheme="minorHAnsi"/>
              </w:rPr>
              <w:t xml:space="preserve"> IEG meeting and including outlines of draft Opinions</w:t>
            </w:r>
          </w:p>
          <w:p w14:paraId="6452BA19" w14:textId="77777777" w:rsidR="00E64F42" w:rsidRPr="00CC76F7" w:rsidRDefault="00E64F42" w:rsidP="00B57A50">
            <w:pPr>
              <w:spacing w:after="60"/>
              <w:jc w:val="both"/>
              <w:rPr>
                <w:rFonts w:cstheme="minorHAnsi"/>
              </w:rPr>
            </w:pPr>
            <w:r w:rsidRPr="00CC76F7">
              <w:rPr>
                <w:rFonts w:cstheme="minorHAnsi"/>
              </w:rPr>
              <w:t>This draft will also be made available online for open public consultations</w:t>
            </w:r>
          </w:p>
        </w:tc>
      </w:tr>
      <w:tr w:rsidR="00E64F42" w:rsidRPr="00CC76F7" w14:paraId="156E51F0" w14:textId="77777777" w:rsidTr="00B57A5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049AAA0" w14:textId="23A5E81C" w:rsidR="00E64F42" w:rsidRPr="00CC76F7" w:rsidRDefault="00E64F42" w:rsidP="008224EC">
            <w:pPr>
              <w:spacing w:before="60" w:after="60"/>
              <w:jc w:val="center"/>
              <w:rPr>
                <w:rFonts w:cstheme="minorHAnsi"/>
                <w:b/>
              </w:rPr>
            </w:pPr>
            <w:r w:rsidRPr="00CC76F7">
              <w:rPr>
                <w:rFonts w:cstheme="minorHAnsi"/>
                <w:b/>
              </w:rPr>
              <w:t>15 June,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5237F43" w14:textId="77777777" w:rsidR="00E64F42" w:rsidRPr="00CC76F7" w:rsidRDefault="00E64F42" w:rsidP="00B57A50">
            <w:pPr>
              <w:spacing w:before="60" w:after="60"/>
              <w:jc w:val="both"/>
              <w:rPr>
                <w:rFonts w:cstheme="minorHAnsi"/>
                <w:spacing w:val="-2"/>
              </w:rPr>
            </w:pPr>
            <w:r w:rsidRPr="00CC76F7">
              <w:rPr>
                <w:rFonts w:cstheme="minorHAnsi"/>
                <w:spacing w:val="-2"/>
              </w:rPr>
              <w:t>Deadline for receipt of comments on the Third Draft, and for contribution on possible draft Opinions</w:t>
            </w:r>
          </w:p>
          <w:p w14:paraId="7DD5FD96" w14:textId="77777777" w:rsidR="00E64F42" w:rsidRPr="00CC76F7" w:rsidRDefault="00E64F42" w:rsidP="00B57A50">
            <w:pPr>
              <w:spacing w:after="60"/>
              <w:ind w:right="48"/>
              <w:jc w:val="both"/>
              <w:rPr>
                <w:rFonts w:cstheme="minorHAnsi"/>
              </w:rPr>
            </w:pPr>
            <w:r w:rsidRPr="00CC76F7">
              <w:rPr>
                <w:rFonts w:cstheme="minorHAnsi"/>
              </w:rPr>
              <w:t xml:space="preserve">Deadline for inputs from the open public consultations </w:t>
            </w:r>
          </w:p>
        </w:tc>
      </w:tr>
      <w:tr w:rsidR="00E64F42" w:rsidRPr="00CC76F7" w14:paraId="51D4D1CD" w14:textId="77777777" w:rsidTr="00B57A5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44A3423" w14:textId="77777777" w:rsidR="00E64F42" w:rsidRPr="00CC76F7" w:rsidRDefault="00E64F42" w:rsidP="00B57A50">
            <w:pPr>
              <w:spacing w:before="60" w:after="60"/>
              <w:jc w:val="center"/>
              <w:rPr>
                <w:rFonts w:cstheme="minorHAnsi"/>
              </w:rPr>
            </w:pPr>
            <w:r w:rsidRPr="00CC76F7">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DBEF549" w14:textId="77777777" w:rsidR="00E64F42" w:rsidRPr="00CC76F7" w:rsidRDefault="00E64F42" w:rsidP="00B57A50">
            <w:pPr>
              <w:spacing w:before="60" w:after="60"/>
              <w:jc w:val="both"/>
              <w:rPr>
                <w:rFonts w:cstheme="minorHAnsi"/>
              </w:rPr>
            </w:pPr>
            <w:r w:rsidRPr="00CC76F7">
              <w:rPr>
                <w:rFonts w:cstheme="minorHAnsi"/>
              </w:rPr>
              <w:t>Third meeting of the group of experts to discuss the Third Draft of the report by the Secretary-General and the comments received, including from the open public consultation</w:t>
            </w:r>
          </w:p>
        </w:tc>
      </w:tr>
      <w:tr w:rsidR="00E64F42" w:rsidRPr="00CC76F7" w14:paraId="24F26FBA" w14:textId="77777777" w:rsidTr="00B57A5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6C818F0B" w14:textId="77777777" w:rsidR="00E64F42" w:rsidRPr="00CC76F7" w:rsidRDefault="00E64F42" w:rsidP="00B57A50">
            <w:pPr>
              <w:spacing w:before="60" w:after="60"/>
              <w:ind w:right="50"/>
              <w:jc w:val="center"/>
              <w:rPr>
                <w:rFonts w:cstheme="minorHAnsi"/>
              </w:rPr>
            </w:pPr>
            <w:r w:rsidRPr="00CC76F7">
              <w:rPr>
                <w:rFonts w:cstheme="minorHAnsi"/>
                <w:b/>
              </w:rPr>
              <w:lastRenderedPageBreak/>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1599693" w14:textId="77777777" w:rsidR="00E64F42" w:rsidRPr="00CC76F7" w:rsidRDefault="00E64F42" w:rsidP="00B57A50">
            <w:pPr>
              <w:spacing w:before="60" w:after="60"/>
              <w:jc w:val="both"/>
              <w:rPr>
                <w:rFonts w:cstheme="minorHAnsi"/>
              </w:rPr>
            </w:pPr>
            <w:r w:rsidRPr="00CC76F7">
              <w:rPr>
                <w:rFonts w:cstheme="minorHAnsi"/>
              </w:rPr>
              <w:t>The Fourth Draft of the report by the Secretary-General will be posted online, including the draft Opinions, and incorporating discussions from the 3rd IEG meeting</w:t>
            </w:r>
          </w:p>
        </w:tc>
      </w:tr>
      <w:tr w:rsidR="00E64F42" w:rsidRPr="00CC76F7" w14:paraId="2700746C" w14:textId="77777777" w:rsidTr="00B57A5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03B502BF" w14:textId="77777777" w:rsidR="00E64F42" w:rsidRPr="00CC76F7" w:rsidRDefault="00E64F42" w:rsidP="00B57A50">
            <w:pPr>
              <w:spacing w:before="60" w:after="60"/>
              <w:ind w:right="51"/>
              <w:jc w:val="center"/>
              <w:rPr>
                <w:rFonts w:cstheme="minorHAnsi"/>
              </w:rPr>
            </w:pPr>
            <w:r w:rsidRPr="00CC76F7">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2371A80" w14:textId="77777777" w:rsidR="00E64F42" w:rsidRPr="00CC76F7" w:rsidRDefault="00E64F42" w:rsidP="00B57A50">
            <w:pPr>
              <w:spacing w:before="60" w:after="60"/>
              <w:jc w:val="both"/>
              <w:rPr>
                <w:rFonts w:cstheme="minorHAnsi"/>
              </w:rPr>
            </w:pPr>
            <w:r w:rsidRPr="00CC76F7">
              <w:rPr>
                <w:rFonts w:cstheme="minorHAnsi"/>
              </w:rPr>
              <w:t>Deadline for receipt of comments on the Fourth Draft</w:t>
            </w:r>
          </w:p>
        </w:tc>
      </w:tr>
      <w:tr w:rsidR="00E64F42" w:rsidRPr="00CC76F7" w14:paraId="5DEBD748" w14:textId="77777777" w:rsidTr="00B57A5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77F177E" w14:textId="77777777" w:rsidR="00E64F42" w:rsidRPr="00CC76F7" w:rsidRDefault="00E64F42" w:rsidP="00B57A50">
            <w:pPr>
              <w:spacing w:before="60" w:after="60"/>
              <w:jc w:val="center"/>
              <w:rPr>
                <w:rFonts w:cstheme="minorHAnsi"/>
              </w:rPr>
            </w:pPr>
            <w:r w:rsidRPr="00CC76F7">
              <w:rPr>
                <w:rFonts w:cstheme="minorHAnsi"/>
                <w:b/>
              </w:rPr>
              <w:t>4th IEG Meeting (February 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1B528D2" w14:textId="77777777" w:rsidR="00E64F42" w:rsidRPr="00CC76F7" w:rsidRDefault="00E64F42" w:rsidP="00B57A50">
            <w:pPr>
              <w:spacing w:before="60" w:after="60"/>
              <w:jc w:val="both"/>
              <w:rPr>
                <w:rFonts w:cstheme="minorHAnsi"/>
              </w:rPr>
            </w:pPr>
            <w:r w:rsidRPr="00CC76F7">
              <w:rPr>
                <w:rFonts w:cstheme="minorHAnsi"/>
              </w:rPr>
              <w:t>Fourth meeting of the group of experts to discuss the Fourth Draft of the report by the Secretary-General, including the draft Opinions, and the comments received</w:t>
            </w:r>
          </w:p>
        </w:tc>
      </w:tr>
      <w:tr w:rsidR="00E64F42" w:rsidRPr="00CC76F7" w14:paraId="46115E8A" w14:textId="77777777" w:rsidTr="00B57A5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BAEBA93" w14:textId="77777777" w:rsidR="00E64F42" w:rsidRPr="00CC76F7" w:rsidRDefault="00E64F42" w:rsidP="00B57A50">
            <w:pPr>
              <w:spacing w:before="60" w:after="60"/>
              <w:ind w:right="50"/>
              <w:jc w:val="center"/>
              <w:rPr>
                <w:rFonts w:cstheme="minorHAnsi"/>
              </w:rPr>
            </w:pPr>
            <w:r w:rsidRPr="00CC76F7">
              <w:rPr>
                <w:rFonts w:cstheme="minorHAnsi"/>
                <w:b/>
              </w:rPr>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93875F1" w14:textId="77777777" w:rsidR="00E64F42" w:rsidRPr="00CC76F7" w:rsidRDefault="00E64F42" w:rsidP="00B57A50">
            <w:pPr>
              <w:spacing w:before="60" w:after="60"/>
              <w:jc w:val="both"/>
              <w:rPr>
                <w:rFonts w:cstheme="minorHAnsi"/>
              </w:rPr>
            </w:pPr>
            <w:r w:rsidRPr="00CC76F7">
              <w:rPr>
                <w:rFonts w:cstheme="minorHAnsi"/>
              </w:rPr>
              <w:t>The final report of the Secretary-General to WTPF will be posted online, including the draft Opinions</w:t>
            </w:r>
          </w:p>
        </w:tc>
      </w:tr>
      <w:tr w:rsidR="00E64F42" w:rsidRPr="00CC76F7" w14:paraId="53269F99" w14:textId="77777777" w:rsidTr="00B57A5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364B29F" w14:textId="77777777" w:rsidR="00E64F42" w:rsidRPr="00CC76F7" w:rsidRDefault="00E64F42" w:rsidP="00B57A50">
            <w:pPr>
              <w:spacing w:before="60" w:after="60"/>
              <w:ind w:right="50"/>
              <w:jc w:val="center"/>
              <w:rPr>
                <w:rFonts w:cstheme="minorHAnsi"/>
                <w:b/>
              </w:rPr>
            </w:pPr>
            <w:r w:rsidRPr="00CC76F7">
              <w:rPr>
                <w:rFonts w:cstheme="minorHAnsi"/>
                <w:b/>
              </w:rPr>
              <w:t>Mid-</w:t>
            </w:r>
            <w:proofErr w:type="gramStart"/>
            <w:r w:rsidRPr="00CC76F7">
              <w:rPr>
                <w:rFonts w:cstheme="minorHAnsi"/>
                <w:b/>
              </w:rPr>
              <w:t>May,</w:t>
            </w:r>
            <w:proofErr w:type="gramEnd"/>
            <w:r w:rsidRPr="00CC76F7">
              <w:rPr>
                <w:rFonts w:cstheme="minorHAnsi"/>
                <w:b/>
              </w:rPr>
              <w:t xml:space="preserve"> 2021 (back </w:t>
            </w:r>
            <w:r w:rsidRPr="00CC76F7">
              <w:rPr>
                <w:b/>
                <w:bCs/>
              </w:rPr>
              <w:t>to back</w:t>
            </w:r>
            <w:r w:rsidRPr="00CC76F7">
              <w:rPr>
                <w:rFonts w:cstheme="minorHAnsi"/>
                <w:b/>
              </w:rPr>
              <w:t xml:space="preserve"> with WSIS 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925331C" w14:textId="77777777" w:rsidR="00E64F42" w:rsidRPr="00CC76F7" w:rsidRDefault="00E64F42" w:rsidP="00B57A50">
            <w:pPr>
              <w:spacing w:before="60" w:after="60"/>
              <w:jc w:val="both"/>
              <w:rPr>
                <w:rFonts w:cstheme="minorHAnsi"/>
              </w:rPr>
            </w:pPr>
            <w:r w:rsidRPr="00CC76F7">
              <w:rPr>
                <w:rFonts w:cstheme="minorHAnsi"/>
              </w:rPr>
              <w:t>Sixth World Telecommunication/Information and Communication Technology Policy Forum</w:t>
            </w:r>
          </w:p>
        </w:tc>
      </w:tr>
    </w:tbl>
    <w:p w14:paraId="3619AEDD" w14:textId="61D2CCDA" w:rsidR="00E64F42" w:rsidRDefault="00E64F42" w:rsidP="005C66B0">
      <w:pPr>
        <w:spacing w:before="160"/>
        <w:jc w:val="both"/>
        <w:rPr>
          <w:rFonts w:cstheme="minorHAnsi"/>
        </w:rPr>
      </w:pPr>
      <w:r>
        <w:rPr>
          <w:rFonts w:cstheme="minorHAnsi"/>
        </w:rPr>
        <w:t>1</w:t>
      </w:r>
      <w:r w:rsidR="001913CF">
        <w:rPr>
          <w:rFonts w:cstheme="minorHAnsi"/>
        </w:rPr>
        <w:t>2</w:t>
      </w:r>
      <w:r>
        <w:rPr>
          <w:rFonts w:cstheme="minorHAnsi"/>
        </w:rPr>
        <w:t>.</w:t>
      </w:r>
      <w:r>
        <w:rPr>
          <w:rFonts w:cstheme="minorHAnsi"/>
        </w:rPr>
        <w:tab/>
        <w:t>The IEG has held two meetings</w:t>
      </w:r>
      <w:r w:rsidR="005C66B0">
        <w:rPr>
          <w:rFonts w:cstheme="minorHAnsi"/>
        </w:rPr>
        <w:t>:</w:t>
      </w:r>
      <w:r>
        <w:rPr>
          <w:rFonts w:cstheme="minorHAnsi"/>
        </w:rPr>
        <w:t xml:space="preserve"> </w:t>
      </w:r>
      <w:r w:rsidR="005C66B0">
        <w:rPr>
          <w:rFonts w:cstheme="minorHAnsi"/>
        </w:rPr>
        <w:t xml:space="preserve">on </w:t>
      </w:r>
      <w:r w:rsidRPr="00C17979">
        <w:rPr>
          <w:rFonts w:cstheme="minorHAnsi"/>
        </w:rPr>
        <w:t>23-24 September 2019</w:t>
      </w:r>
      <w:r>
        <w:rPr>
          <w:rFonts w:cstheme="minorHAnsi"/>
        </w:rPr>
        <w:t xml:space="preserve"> and </w:t>
      </w:r>
      <w:r w:rsidRPr="00C17979">
        <w:rPr>
          <w:rFonts w:cstheme="minorHAnsi"/>
        </w:rPr>
        <w:t>10-11 February 2020</w:t>
      </w:r>
      <w:r>
        <w:rPr>
          <w:rFonts w:cstheme="minorHAnsi"/>
        </w:rPr>
        <w:t>.</w:t>
      </w:r>
      <w:r w:rsidR="002459AD">
        <w:rPr>
          <w:rFonts w:cstheme="minorHAnsi"/>
        </w:rPr>
        <w:t xml:space="preserve"> The IEG </w:t>
      </w:r>
      <w:r w:rsidR="00ED023A">
        <w:rPr>
          <w:rFonts w:cstheme="minorHAnsi"/>
        </w:rPr>
        <w:t xml:space="preserve">has </w:t>
      </w:r>
      <w:r w:rsidR="002459AD">
        <w:rPr>
          <w:rFonts w:cstheme="minorHAnsi"/>
        </w:rPr>
        <w:t>gather</w:t>
      </w:r>
      <w:r w:rsidR="00ED023A">
        <w:rPr>
          <w:rFonts w:cstheme="minorHAnsi"/>
        </w:rPr>
        <w:t>ed</w:t>
      </w:r>
      <w:r w:rsidR="002459AD">
        <w:rPr>
          <w:rFonts w:cstheme="minorHAnsi"/>
        </w:rPr>
        <w:t xml:space="preserve"> 143 nominated experts. The list is available at </w:t>
      </w:r>
      <w:hyperlink r:id="rId24" w:history="1">
        <w:r w:rsidR="002459AD">
          <w:rPr>
            <w:rStyle w:val="Hyperlink"/>
          </w:rPr>
          <w:t>https://www.itu.int/en/wtpf-21/Documents/IEG-WTPF-21-nominated-experts.pdf</w:t>
        </w:r>
      </w:hyperlink>
      <w:r w:rsidR="002459AD">
        <w:rPr>
          <w:rFonts w:cstheme="minorHAnsi"/>
        </w:rPr>
        <w:t xml:space="preserve"> </w:t>
      </w:r>
    </w:p>
    <w:p w14:paraId="125614BA" w14:textId="6F09C00D" w:rsidR="00E64F42" w:rsidRDefault="00E64F42" w:rsidP="005C66B0">
      <w:pPr>
        <w:keepNext/>
        <w:keepLines/>
        <w:spacing w:before="160"/>
        <w:jc w:val="both"/>
        <w:rPr>
          <w:rFonts w:cstheme="minorHAnsi"/>
        </w:rPr>
      </w:pPr>
      <w:r>
        <w:rPr>
          <w:rFonts w:cstheme="minorHAnsi"/>
        </w:rPr>
        <w:t>1</w:t>
      </w:r>
      <w:r w:rsidR="001913CF">
        <w:rPr>
          <w:rFonts w:cstheme="minorHAnsi"/>
        </w:rPr>
        <w:t>3</w:t>
      </w:r>
      <w:r>
        <w:rPr>
          <w:rFonts w:cstheme="minorHAnsi"/>
        </w:rPr>
        <w:t>.</w:t>
      </w:r>
      <w:r>
        <w:rPr>
          <w:rFonts w:cstheme="minorHAnsi"/>
        </w:rPr>
        <w:tab/>
        <w:t xml:space="preserve">All documents related to the preparatory process are available on the IEG website: </w:t>
      </w:r>
      <w:hyperlink r:id="rId25" w:history="1">
        <w:r>
          <w:rPr>
            <w:rStyle w:val="Hyperlink"/>
          </w:rPr>
          <w:t>https://www.itu.int/en/wtpf-21/Pages/ieg-wtpf-21.aspx</w:t>
        </w:r>
      </w:hyperlink>
      <w:r>
        <w:rPr>
          <w:rFonts w:cstheme="minorHAnsi"/>
        </w:rPr>
        <w:t>. These include the various drafts of the Secretary-General’s Report to WTPF-21</w:t>
      </w:r>
      <w:r w:rsidR="005F115D">
        <w:rPr>
          <w:rFonts w:cstheme="minorHAnsi"/>
        </w:rPr>
        <w:t xml:space="preserve">, </w:t>
      </w:r>
      <w:r>
        <w:rPr>
          <w:rFonts w:cstheme="minorHAnsi"/>
        </w:rPr>
        <w:t>contributions received from IEG members</w:t>
      </w:r>
      <w:r w:rsidR="005F115D">
        <w:rPr>
          <w:rFonts w:cstheme="minorHAnsi"/>
        </w:rPr>
        <w:t xml:space="preserve"> (</w:t>
      </w:r>
      <w:r>
        <w:rPr>
          <w:rFonts w:cstheme="minorHAnsi"/>
        </w:rPr>
        <w:t xml:space="preserve">including </w:t>
      </w:r>
      <w:r w:rsidR="00ED023A">
        <w:rPr>
          <w:rFonts w:cstheme="minorHAnsi"/>
        </w:rPr>
        <w:t xml:space="preserve">possible </w:t>
      </w:r>
      <w:r>
        <w:rPr>
          <w:rFonts w:cstheme="minorHAnsi"/>
        </w:rPr>
        <w:t>draft Opinions</w:t>
      </w:r>
      <w:r w:rsidR="005F115D">
        <w:rPr>
          <w:rFonts w:cstheme="minorHAnsi"/>
        </w:rPr>
        <w:t>) and the feedback received from the online open public consultation process</w:t>
      </w:r>
      <w:r>
        <w:rPr>
          <w:rFonts w:cstheme="minorHAnsi"/>
        </w:rPr>
        <w:t>.</w:t>
      </w:r>
    </w:p>
    <w:p w14:paraId="0B65DF24" w14:textId="77777777" w:rsidR="00142438" w:rsidRPr="00142438" w:rsidRDefault="00860A1A" w:rsidP="00860A1A">
      <w:pPr>
        <w:snapToGrid w:val="0"/>
        <w:spacing w:before="840"/>
        <w:jc w:val="center"/>
        <w:rPr>
          <w:rFonts w:cs="Calibri"/>
          <w:szCs w:val="24"/>
          <w:u w:val="single"/>
          <w:lang w:val="en-US" w:eastAsia="zh-CN"/>
        </w:rPr>
      </w:pPr>
      <w:r>
        <w:rPr>
          <w:rFonts w:cs="Calibri"/>
          <w:szCs w:val="24"/>
          <w:u w:val="single"/>
          <w:lang w:val="en-US" w:eastAsia="zh-CN"/>
        </w:rPr>
        <w:t>________________</w:t>
      </w:r>
      <w:bookmarkStart w:id="11" w:name="_GoBack"/>
      <w:bookmarkEnd w:id="11"/>
    </w:p>
    <w:sectPr w:rsidR="00142438" w:rsidRPr="00142438" w:rsidSect="004D1851">
      <w:head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41D05" w14:textId="77777777" w:rsidR="007C7DFD" w:rsidRDefault="007C7DFD">
      <w:r>
        <w:separator/>
      </w:r>
    </w:p>
  </w:endnote>
  <w:endnote w:type="continuationSeparator" w:id="0">
    <w:p w14:paraId="03CDFF9E" w14:textId="77777777" w:rsidR="007C7DFD" w:rsidRDefault="007C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0F8A4"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4644C" w14:textId="77777777" w:rsidR="007C7DFD" w:rsidRDefault="007C7DFD">
      <w:r>
        <w:t>____________________</w:t>
      </w:r>
    </w:p>
  </w:footnote>
  <w:footnote w:type="continuationSeparator" w:id="0">
    <w:p w14:paraId="270717AE" w14:textId="77777777" w:rsidR="007C7DFD" w:rsidRDefault="007C7DFD">
      <w:r>
        <w:continuationSeparator/>
      </w:r>
    </w:p>
  </w:footnote>
  <w:footnote w:id="1">
    <w:p w14:paraId="09ABBC2F" w14:textId="18057A67" w:rsidR="00062EFB" w:rsidRPr="00062EFB" w:rsidRDefault="00062EFB">
      <w:pPr>
        <w:pStyle w:val="FootnoteText"/>
        <w:rPr>
          <w:lang w:val="en-US"/>
        </w:rPr>
      </w:pPr>
      <w:r>
        <w:rPr>
          <w:rStyle w:val="FootnoteReference"/>
        </w:rPr>
        <w:footnoteRef/>
      </w:r>
      <w:r>
        <w:t xml:space="preserve"> </w:t>
      </w:r>
      <w:r>
        <w:rPr>
          <w:lang w:val="en-US"/>
        </w:rPr>
        <w:tab/>
      </w:r>
      <w:r w:rsidRPr="00290776">
        <w:t>These include the least developed countries, small island developing states, landlocked developing countries and countries with economies in transition</w:t>
      </w:r>
    </w:p>
  </w:footnote>
  <w:footnote w:id="2">
    <w:p w14:paraId="5E6B0BDD" w14:textId="77777777" w:rsidR="00E64F42" w:rsidRDefault="00E64F42" w:rsidP="005C66B0">
      <w:pPr>
        <w:pStyle w:val="FootnoteText"/>
      </w:pPr>
      <w:r>
        <w:rPr>
          <w:rStyle w:val="FootnoteReference"/>
        </w:rPr>
        <w:footnoteRef/>
      </w:r>
      <w:r>
        <w:t xml:space="preserve"> The portion </w:t>
      </w:r>
      <w:r w:rsidR="005C66B0">
        <w:t xml:space="preserve">highlighted </w:t>
      </w:r>
      <w:r>
        <w:t>in grey indicate</w:t>
      </w:r>
      <w:r w:rsidR="005C66B0">
        <w:t>s</w:t>
      </w:r>
      <w:r>
        <w:t xml:space="preserve"> the current status of the preparatory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31DE" w14:textId="77777777" w:rsidR="00322D0D" w:rsidRDefault="006535F1" w:rsidP="00CE433C">
    <w:pPr>
      <w:pStyle w:val="Header"/>
    </w:pPr>
    <w:r>
      <w:fldChar w:fldCharType="begin"/>
    </w:r>
    <w:r>
      <w:instrText>PAGE</w:instrText>
    </w:r>
    <w:r>
      <w:fldChar w:fldCharType="separate"/>
    </w:r>
    <w:r w:rsidR="009F5F73">
      <w:rPr>
        <w:noProof/>
      </w:rPr>
      <w:t>4</w:t>
    </w:r>
    <w:r>
      <w:rPr>
        <w:noProof/>
      </w:rPr>
      <w:fldChar w:fldCharType="end"/>
    </w:r>
  </w:p>
  <w:p w14:paraId="42C7FC32" w14:textId="2CE2B4A1" w:rsidR="00322D0D" w:rsidRPr="00623AE3" w:rsidRDefault="00FA4575" w:rsidP="001E44D9">
    <w:pPr>
      <w:pStyle w:val="Header"/>
      <w:rPr>
        <w:bCs/>
      </w:rPr>
    </w:pPr>
    <w:r>
      <w:rPr>
        <w:bCs/>
      </w:rPr>
      <w:t>C</w:t>
    </w:r>
    <w:r w:rsidR="0042324D">
      <w:rPr>
        <w:bCs/>
      </w:rPr>
      <w:t>20</w:t>
    </w:r>
    <w:r w:rsidR="00623AE3" w:rsidRPr="00623AE3">
      <w:rPr>
        <w:bCs/>
      </w:rPr>
      <w:t>/</w:t>
    </w:r>
    <w:r w:rsidR="001E44D9">
      <w:rPr>
        <w:bCs/>
      </w:rPr>
      <w:t>5</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A01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3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6A6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046A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E610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BABF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90D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6453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E46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78A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5E1C68"/>
    <w:multiLevelType w:val="hybridMultilevel"/>
    <w:tmpl w:val="0070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30A7C"/>
    <w:multiLevelType w:val="hybridMultilevel"/>
    <w:tmpl w:val="B5E46852"/>
    <w:lvl w:ilvl="0" w:tplc="622CBF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4A2F79"/>
    <w:multiLevelType w:val="hybridMultilevel"/>
    <w:tmpl w:val="7214ECA0"/>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C9A52DB"/>
    <w:multiLevelType w:val="hybridMultilevel"/>
    <w:tmpl w:val="EA72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1729F"/>
    <w:multiLevelType w:val="hybridMultilevel"/>
    <w:tmpl w:val="8EB0A1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220DD7"/>
    <w:multiLevelType w:val="hybridMultilevel"/>
    <w:tmpl w:val="60D4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4"/>
  </w:num>
  <w:num w:numId="4">
    <w:abstractNumId w:val="15"/>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6B17"/>
    <w:rsid w:val="000166A2"/>
    <w:rsid w:val="000210D4"/>
    <w:rsid w:val="0004566C"/>
    <w:rsid w:val="00062EFB"/>
    <w:rsid w:val="00063016"/>
    <w:rsid w:val="00066795"/>
    <w:rsid w:val="00076AF6"/>
    <w:rsid w:val="00085CF2"/>
    <w:rsid w:val="000B1705"/>
    <w:rsid w:val="000D67F1"/>
    <w:rsid w:val="000D75B2"/>
    <w:rsid w:val="000F71F8"/>
    <w:rsid w:val="001121F5"/>
    <w:rsid w:val="00127B16"/>
    <w:rsid w:val="00133750"/>
    <w:rsid w:val="001400DC"/>
    <w:rsid w:val="00140CE1"/>
    <w:rsid w:val="00142438"/>
    <w:rsid w:val="0017539C"/>
    <w:rsid w:val="00175AC2"/>
    <w:rsid w:val="0017609F"/>
    <w:rsid w:val="001859E0"/>
    <w:rsid w:val="001913CF"/>
    <w:rsid w:val="001C628E"/>
    <w:rsid w:val="001E0F7B"/>
    <w:rsid w:val="001E44D9"/>
    <w:rsid w:val="002119FD"/>
    <w:rsid w:val="002130E0"/>
    <w:rsid w:val="00231C42"/>
    <w:rsid w:val="002459AD"/>
    <w:rsid w:val="00264425"/>
    <w:rsid w:val="00265875"/>
    <w:rsid w:val="002720CA"/>
    <w:rsid w:val="0027303B"/>
    <w:rsid w:val="00277DCF"/>
    <w:rsid w:val="0028109B"/>
    <w:rsid w:val="00290277"/>
    <w:rsid w:val="002A2188"/>
    <w:rsid w:val="002B1F58"/>
    <w:rsid w:val="002C1C7A"/>
    <w:rsid w:val="0030160F"/>
    <w:rsid w:val="00302703"/>
    <w:rsid w:val="00322D0D"/>
    <w:rsid w:val="0035396E"/>
    <w:rsid w:val="003942D4"/>
    <w:rsid w:val="003958A8"/>
    <w:rsid w:val="003C2533"/>
    <w:rsid w:val="003E45F5"/>
    <w:rsid w:val="00403A73"/>
    <w:rsid w:val="0040435A"/>
    <w:rsid w:val="00404CA7"/>
    <w:rsid w:val="00415A21"/>
    <w:rsid w:val="00416A24"/>
    <w:rsid w:val="0042324D"/>
    <w:rsid w:val="00431D9E"/>
    <w:rsid w:val="00433CE8"/>
    <w:rsid w:val="00434A5C"/>
    <w:rsid w:val="004544D9"/>
    <w:rsid w:val="00490E72"/>
    <w:rsid w:val="00491157"/>
    <w:rsid w:val="004921C8"/>
    <w:rsid w:val="0049424C"/>
    <w:rsid w:val="004D1851"/>
    <w:rsid w:val="004D599D"/>
    <w:rsid w:val="004E2EA5"/>
    <w:rsid w:val="004E3AEB"/>
    <w:rsid w:val="004F1D6C"/>
    <w:rsid w:val="004F6DB4"/>
    <w:rsid w:val="0050223C"/>
    <w:rsid w:val="005243FF"/>
    <w:rsid w:val="00564FBC"/>
    <w:rsid w:val="00582442"/>
    <w:rsid w:val="005A754A"/>
    <w:rsid w:val="005C66B0"/>
    <w:rsid w:val="005F115D"/>
    <w:rsid w:val="005F2155"/>
    <w:rsid w:val="005F3269"/>
    <w:rsid w:val="00623AE3"/>
    <w:rsid w:val="006266B8"/>
    <w:rsid w:val="0064737F"/>
    <w:rsid w:val="006535F1"/>
    <w:rsid w:val="0065557D"/>
    <w:rsid w:val="00662984"/>
    <w:rsid w:val="006716BB"/>
    <w:rsid w:val="006B6680"/>
    <w:rsid w:val="006B6DCC"/>
    <w:rsid w:val="00702DEF"/>
    <w:rsid w:val="00706861"/>
    <w:rsid w:val="0073368D"/>
    <w:rsid w:val="0075051B"/>
    <w:rsid w:val="00756932"/>
    <w:rsid w:val="00793188"/>
    <w:rsid w:val="00794D34"/>
    <w:rsid w:val="007C7DFD"/>
    <w:rsid w:val="007E526A"/>
    <w:rsid w:val="0080405A"/>
    <w:rsid w:val="00813E5E"/>
    <w:rsid w:val="008175E5"/>
    <w:rsid w:val="008224EC"/>
    <w:rsid w:val="00830E55"/>
    <w:rsid w:val="0083581B"/>
    <w:rsid w:val="008565B2"/>
    <w:rsid w:val="00860A1A"/>
    <w:rsid w:val="00864AFF"/>
    <w:rsid w:val="00885E2C"/>
    <w:rsid w:val="008906F2"/>
    <w:rsid w:val="008B17D3"/>
    <w:rsid w:val="008B4A6A"/>
    <w:rsid w:val="008C7E27"/>
    <w:rsid w:val="008F2965"/>
    <w:rsid w:val="009173EF"/>
    <w:rsid w:val="00932906"/>
    <w:rsid w:val="00947424"/>
    <w:rsid w:val="00961B0B"/>
    <w:rsid w:val="00975A31"/>
    <w:rsid w:val="009B38C3"/>
    <w:rsid w:val="009E17BD"/>
    <w:rsid w:val="009E485A"/>
    <w:rsid w:val="009F5F73"/>
    <w:rsid w:val="00A04CEC"/>
    <w:rsid w:val="00A05B99"/>
    <w:rsid w:val="00A27F92"/>
    <w:rsid w:val="00A32257"/>
    <w:rsid w:val="00A36D20"/>
    <w:rsid w:val="00A55622"/>
    <w:rsid w:val="00A80FE4"/>
    <w:rsid w:val="00A83502"/>
    <w:rsid w:val="00AD15B3"/>
    <w:rsid w:val="00AE1412"/>
    <w:rsid w:val="00AF6E49"/>
    <w:rsid w:val="00B04A67"/>
    <w:rsid w:val="00B0583C"/>
    <w:rsid w:val="00B12908"/>
    <w:rsid w:val="00B40A81"/>
    <w:rsid w:val="00B44910"/>
    <w:rsid w:val="00B72267"/>
    <w:rsid w:val="00B76EB6"/>
    <w:rsid w:val="00B7737B"/>
    <w:rsid w:val="00B824C8"/>
    <w:rsid w:val="00B865FB"/>
    <w:rsid w:val="00BC251A"/>
    <w:rsid w:val="00BD032B"/>
    <w:rsid w:val="00BD054C"/>
    <w:rsid w:val="00BE2640"/>
    <w:rsid w:val="00C01189"/>
    <w:rsid w:val="00C14301"/>
    <w:rsid w:val="00C27445"/>
    <w:rsid w:val="00C374DE"/>
    <w:rsid w:val="00C47AD4"/>
    <w:rsid w:val="00C52D81"/>
    <w:rsid w:val="00C54922"/>
    <w:rsid w:val="00C55198"/>
    <w:rsid w:val="00C76BE8"/>
    <w:rsid w:val="00CA6393"/>
    <w:rsid w:val="00CB18FF"/>
    <w:rsid w:val="00CD0C08"/>
    <w:rsid w:val="00CE03FB"/>
    <w:rsid w:val="00CE433C"/>
    <w:rsid w:val="00CF33F3"/>
    <w:rsid w:val="00CF454E"/>
    <w:rsid w:val="00D04E39"/>
    <w:rsid w:val="00D06183"/>
    <w:rsid w:val="00D22C42"/>
    <w:rsid w:val="00D44929"/>
    <w:rsid w:val="00D52BAD"/>
    <w:rsid w:val="00D65041"/>
    <w:rsid w:val="00DB384B"/>
    <w:rsid w:val="00DD5488"/>
    <w:rsid w:val="00E10E80"/>
    <w:rsid w:val="00E124F0"/>
    <w:rsid w:val="00E60F04"/>
    <w:rsid w:val="00E64F42"/>
    <w:rsid w:val="00E854E4"/>
    <w:rsid w:val="00EB0D6F"/>
    <w:rsid w:val="00EB2232"/>
    <w:rsid w:val="00EC5337"/>
    <w:rsid w:val="00ED023A"/>
    <w:rsid w:val="00F07C9D"/>
    <w:rsid w:val="00F2150A"/>
    <w:rsid w:val="00F231D8"/>
    <w:rsid w:val="00F46C5F"/>
    <w:rsid w:val="00F578B0"/>
    <w:rsid w:val="00F94A63"/>
    <w:rsid w:val="00FA1C28"/>
    <w:rsid w:val="00FA4575"/>
    <w:rsid w:val="00FA72F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D882F4"/>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127B16"/>
    <w:pPr>
      <w:ind w:left="720"/>
      <w:contextualSpacing/>
    </w:pPr>
  </w:style>
  <w:style w:type="table" w:styleId="TableGrid">
    <w:name w:val="Table Grid"/>
    <w:basedOn w:val="TableNormal"/>
    <w:rsid w:val="000D6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2720C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720CA"/>
    <w:rPr>
      <w:rFonts w:ascii="Segoe UI" w:hAnsi="Segoe UI" w:cs="Segoe UI"/>
      <w:sz w:val="18"/>
      <w:szCs w:val="18"/>
      <w:lang w:val="en-GB" w:eastAsia="en-US"/>
    </w:rPr>
  </w:style>
  <w:style w:type="character" w:customStyle="1" w:styleId="FootnoteTextChar">
    <w:name w:val="Footnote Text Char"/>
    <w:basedOn w:val="DefaultParagraphFont"/>
    <w:link w:val="FootnoteText"/>
    <w:uiPriority w:val="99"/>
    <w:rsid w:val="00E64F42"/>
    <w:rPr>
      <w:rFonts w:ascii="Calibri" w:hAnsi="Calibri"/>
      <w:sz w:val="24"/>
      <w:lang w:val="en-GB" w:eastAsia="en-US"/>
    </w:rPr>
  </w:style>
  <w:style w:type="table" w:customStyle="1" w:styleId="TableGrid0">
    <w:name w:val="TableGrid"/>
    <w:rsid w:val="00E64F42"/>
    <w:rPr>
      <w:rFonts w:asciiTheme="minorHAnsi" w:eastAsiaTheme="minorEastAsia" w:hAnsiTheme="minorHAnsi" w:cstheme="minorBidi"/>
      <w:sz w:val="22"/>
      <w:szCs w:val="22"/>
      <w:lang w:val="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27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7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002-E.pdf" TargetMode="External"/><Relationship Id="rId18" Type="http://schemas.openxmlformats.org/officeDocument/2006/relationships/hyperlink" Target="https://www.itu.int/md/S19-CL-C-0128/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tu.int/md/S19-CL-C-0128/en" TargetMode="External"/><Relationship Id="rId7" Type="http://schemas.openxmlformats.org/officeDocument/2006/relationships/settings" Target="settings.xml"/><Relationship Id="rId12" Type="http://schemas.openxmlformats.org/officeDocument/2006/relationships/hyperlink" Target="https://www.itu.int/md/S13-CL-C-0064/en" TargetMode="External"/><Relationship Id="rId17" Type="http://schemas.openxmlformats.org/officeDocument/2006/relationships/hyperlink" Target="https://www.itu.int/md/S13-CL-C-0064/en" TargetMode="External"/><Relationship Id="rId25" Type="http://schemas.openxmlformats.org/officeDocument/2006/relationships/hyperlink" Target="https://www.itu.int/en/wtpf-21/Pages/ieg-wtpf-21.aspx" TargetMode="External"/><Relationship Id="rId2" Type="http://schemas.openxmlformats.org/officeDocument/2006/relationships/customXml" Target="../customXml/item2.xml"/><Relationship Id="rId16" Type="http://schemas.openxmlformats.org/officeDocument/2006/relationships/hyperlink" Target="https://www.itu.int/en/council/Documents/basic-texts/RES-002-E.pdf" TargetMode="External"/><Relationship Id="rId20" Type="http://schemas.openxmlformats.org/officeDocument/2006/relationships/hyperlink" Target="https://www.itu.int/en/council/Documents/basic-texts/RES-002-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en/wtpf-21/Documents/IEG-WTPF-21-nominated-experts.pdf" TargetMode="External"/><Relationship Id="rId5" Type="http://schemas.openxmlformats.org/officeDocument/2006/relationships/numbering" Target="numbering.xml"/><Relationship Id="rId15" Type="http://schemas.openxmlformats.org/officeDocument/2006/relationships/hyperlink" Target="https://www.itu.int/md/S19-CL-C-0119/en" TargetMode="External"/><Relationship Id="rId23" Type="http://schemas.openxmlformats.org/officeDocument/2006/relationships/hyperlink" Target="https://www.itu.int/md/S19-CL-C-0128/e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S19-CL-C-012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128/en" TargetMode="External"/><Relationship Id="rId22" Type="http://schemas.openxmlformats.org/officeDocument/2006/relationships/hyperlink" Target="https://www.itu.int/en/wtpf-21/Documents/IEG-WTPF-21-nominated-experts.pdf"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267C67A46430418F62106170425C16" ma:contentTypeVersion="1" ma:contentTypeDescription="Create a new document." ma:contentTypeScope="" ma:versionID="2c09da0939b6a4fb666d3978e812aebe">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573E1-D26E-4451-9124-732DBF80D7E7}">
  <ds:schemaRefs>
    <ds:schemaRef ds:uri="http://schemas.microsoft.com/sharepoint/v3/contenttype/forms"/>
  </ds:schemaRefs>
</ds:datastoreItem>
</file>

<file path=customXml/itemProps2.xml><?xml version="1.0" encoding="utf-8"?>
<ds:datastoreItem xmlns:ds="http://schemas.openxmlformats.org/officeDocument/2006/customXml" ds:itemID="{68932388-E1AC-4B1C-B059-6A1FD7BA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60D9C-4AA0-4AC4-B62A-7096940A5162}">
  <ds:schemaRefs>
    <ds:schemaRef ds:uri="http://schemas.openxmlformats.org/package/2006/metadata/core-properties"/>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f413e73c-0d45-446a-a106-728708596ba9"/>
  </ds:schemaRefs>
</ds:datastoreItem>
</file>

<file path=customXml/itemProps4.xml><?xml version="1.0" encoding="utf-8"?>
<ds:datastoreItem xmlns:ds="http://schemas.openxmlformats.org/officeDocument/2006/customXml" ds:itemID="{7A7B7FCD-79F2-4582-A53A-D55D7843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1232</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C19/05 - Preparations for WTPF-21</vt:lpstr>
    </vt:vector>
  </TitlesOfParts>
  <Manager>General Secretariat - Pool</Manager>
  <Company>International Telecommunication Union (ITU)</Company>
  <LinksUpToDate>false</LinksUpToDate>
  <CharactersWithSpaces>9084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WTPF</dc:title>
  <dc:subject>Council 2019</dc:subject>
  <dc:creator>Brouard, Ricarda</dc:creator>
  <cp:keywords>C2020, C20</cp:keywords>
  <dc:description/>
  <cp:lastModifiedBy>Janin, Patricia</cp:lastModifiedBy>
  <cp:revision>6</cp:revision>
  <cp:lastPrinted>2019-03-06T08:31:00Z</cp:lastPrinted>
  <dcterms:created xsi:type="dcterms:W3CDTF">2020-02-28T10:05:00Z</dcterms:created>
  <dcterms:modified xsi:type="dcterms:W3CDTF">2020-03-02T15:01:00Z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0x010100C4267C67A46430418F62106170425C16</vt:lpwstr>
  </property>
</Properties>
</file>