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B67DFCD" w14:textId="77777777" w:rsidTr="73EAA821">
        <w:trPr>
          <w:cantSplit/>
        </w:trPr>
        <w:tc>
          <w:tcPr>
            <w:tcW w:w="6911" w:type="dxa"/>
          </w:tcPr>
          <w:p w14:paraId="68FABD28" w14:textId="44E5C996" w:rsidR="002A2188" w:rsidRPr="00813E5E" w:rsidRDefault="002A2188" w:rsidP="00945F67">
            <w:pPr>
              <w:spacing w:before="360" w:after="48" w:line="240" w:lineRule="atLeast"/>
            </w:pPr>
            <w:bookmarkStart w:id="0" w:name="dc06"/>
            <w:bookmarkEnd w:id="0"/>
            <w:r w:rsidRPr="00E85629">
              <w:rPr>
                <w:b/>
                <w:bCs/>
                <w:position w:val="6"/>
                <w:sz w:val="30"/>
                <w:szCs w:val="30"/>
                <w:lang w:val="fr-CH"/>
              </w:rPr>
              <w:t>Council 20</w:t>
            </w:r>
            <w:r w:rsidR="731DB1DB" w:rsidRPr="00E85629">
              <w:rPr>
                <w:b/>
                <w:bCs/>
                <w:position w:val="6"/>
                <w:sz w:val="30"/>
                <w:szCs w:val="30"/>
                <w:lang w:val="fr-CH"/>
              </w:rPr>
              <w:t>20</w:t>
            </w:r>
            <w:r w:rsidRPr="00E85629">
              <w:rPr>
                <w:rFonts w:cs="Times"/>
                <w:b/>
                <w:position w:val="6"/>
                <w:sz w:val="26"/>
                <w:szCs w:val="26"/>
                <w:lang w:val="en-US"/>
              </w:rPr>
              <w:br/>
            </w:r>
            <w:r w:rsidRPr="73EAA821">
              <w:rPr>
                <w:b/>
                <w:bCs/>
                <w:position w:val="6"/>
                <w:lang w:val="fr-CH"/>
              </w:rPr>
              <w:t xml:space="preserve">Geneva, </w:t>
            </w:r>
            <w:r w:rsidR="72BA5002" w:rsidRPr="73EAA821">
              <w:rPr>
                <w:b/>
                <w:bCs/>
                <w:position w:val="6"/>
                <w:lang w:val="fr-CH"/>
              </w:rPr>
              <w:t>9</w:t>
            </w:r>
            <w:r w:rsidR="00945F67" w:rsidRPr="73EAA821">
              <w:rPr>
                <w:b/>
                <w:bCs/>
                <w:position w:val="6"/>
                <w:lang w:val="fr-CH"/>
              </w:rPr>
              <w:t>-</w:t>
            </w:r>
            <w:r w:rsidR="5AAB9B9D" w:rsidRPr="73EAA821">
              <w:rPr>
                <w:b/>
                <w:bCs/>
                <w:position w:val="6"/>
                <w:lang w:val="fr-CH"/>
              </w:rPr>
              <w:t>19</w:t>
            </w:r>
            <w:r w:rsidR="00945F67" w:rsidRPr="73EAA821">
              <w:rPr>
                <w:b/>
                <w:bCs/>
                <w:position w:val="6"/>
                <w:lang w:val="fr-CH"/>
              </w:rPr>
              <w:t xml:space="preserve"> June 20</w:t>
            </w:r>
            <w:r w:rsidR="17B00FE4" w:rsidRPr="73EAA821">
              <w:rPr>
                <w:b/>
                <w:bCs/>
                <w:position w:val="6"/>
                <w:lang w:val="fr-CH"/>
              </w:rPr>
              <w:t>20</w:t>
            </w:r>
          </w:p>
        </w:tc>
        <w:tc>
          <w:tcPr>
            <w:tcW w:w="3120" w:type="dxa"/>
          </w:tcPr>
          <w:p w14:paraId="763787F6" w14:textId="5FA71B3F" w:rsidR="002A2188" w:rsidRPr="00813E5E" w:rsidRDefault="00832C22" w:rsidP="00832C22">
            <w:pPr>
              <w:spacing w:before="0" w:line="240" w:lineRule="atLeast"/>
            </w:pPr>
            <w:bookmarkStart w:id="1" w:name="ditulogo"/>
            <w:bookmarkEnd w:id="1"/>
            <w:r>
              <w:rPr>
                <w:noProof/>
                <w:lang w:eastAsia="zh-CN"/>
              </w:rPr>
              <w:drawing>
                <wp:inline distT="0" distB="0" distL="0" distR="0" wp14:anchorId="28CD24AB" wp14:editId="6104735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FE902A8" w14:textId="77777777" w:rsidTr="73EAA821">
        <w:trPr>
          <w:cantSplit/>
        </w:trPr>
        <w:tc>
          <w:tcPr>
            <w:tcW w:w="6911" w:type="dxa"/>
            <w:tcBorders>
              <w:bottom w:val="single" w:sz="12" w:space="0" w:color="auto"/>
            </w:tcBorders>
          </w:tcPr>
          <w:p w14:paraId="6B01A9FD" w14:textId="77777777" w:rsidR="002A2188" w:rsidRPr="00813E5E" w:rsidRDefault="002A2188" w:rsidP="007C7EDC">
            <w:pPr>
              <w:spacing w:before="0" w:after="48" w:line="240" w:lineRule="atLeast"/>
              <w:rPr>
                <w:b/>
                <w:smallCaps/>
                <w:szCs w:val="24"/>
              </w:rPr>
            </w:pPr>
          </w:p>
        </w:tc>
        <w:tc>
          <w:tcPr>
            <w:tcW w:w="3120" w:type="dxa"/>
            <w:tcBorders>
              <w:bottom w:val="single" w:sz="12" w:space="0" w:color="auto"/>
            </w:tcBorders>
          </w:tcPr>
          <w:p w14:paraId="39E34C0B" w14:textId="77777777" w:rsidR="002A2188" w:rsidRPr="00813E5E" w:rsidRDefault="002A2188" w:rsidP="007C7EDC">
            <w:pPr>
              <w:spacing w:before="0" w:line="240" w:lineRule="atLeast"/>
              <w:rPr>
                <w:szCs w:val="24"/>
              </w:rPr>
            </w:pPr>
          </w:p>
        </w:tc>
      </w:tr>
      <w:tr w:rsidR="002A2188" w:rsidRPr="00813E5E" w14:paraId="78B2B2A6" w14:textId="77777777" w:rsidTr="73EAA821">
        <w:trPr>
          <w:cantSplit/>
        </w:trPr>
        <w:tc>
          <w:tcPr>
            <w:tcW w:w="6911" w:type="dxa"/>
            <w:tcBorders>
              <w:top w:val="single" w:sz="12" w:space="0" w:color="auto"/>
            </w:tcBorders>
          </w:tcPr>
          <w:p w14:paraId="0917DDDF" w14:textId="77777777" w:rsidR="002A2188" w:rsidRPr="00813E5E" w:rsidRDefault="002A2188" w:rsidP="007C7EDC">
            <w:pPr>
              <w:spacing w:before="0" w:after="48" w:line="240" w:lineRule="atLeast"/>
              <w:rPr>
                <w:b/>
                <w:smallCaps/>
                <w:szCs w:val="24"/>
              </w:rPr>
            </w:pPr>
          </w:p>
        </w:tc>
        <w:tc>
          <w:tcPr>
            <w:tcW w:w="3120" w:type="dxa"/>
            <w:tcBorders>
              <w:top w:val="single" w:sz="12" w:space="0" w:color="auto"/>
            </w:tcBorders>
          </w:tcPr>
          <w:p w14:paraId="73A76AA2" w14:textId="77777777" w:rsidR="002A2188" w:rsidRPr="00813E5E" w:rsidRDefault="002A2188" w:rsidP="007C7EDC">
            <w:pPr>
              <w:spacing w:before="0" w:line="240" w:lineRule="atLeast"/>
              <w:rPr>
                <w:szCs w:val="24"/>
              </w:rPr>
            </w:pPr>
          </w:p>
        </w:tc>
      </w:tr>
      <w:tr w:rsidR="002A2188" w:rsidRPr="00813E5E" w14:paraId="63294C31" w14:textId="77777777" w:rsidTr="73EAA821">
        <w:trPr>
          <w:cantSplit/>
          <w:trHeight w:val="23"/>
        </w:trPr>
        <w:tc>
          <w:tcPr>
            <w:tcW w:w="6911" w:type="dxa"/>
            <w:vMerge w:val="restart"/>
          </w:tcPr>
          <w:p w14:paraId="7A7C766C" w14:textId="577212AD" w:rsidR="002A2188" w:rsidRPr="00E85629" w:rsidRDefault="00D04E39" w:rsidP="00632727">
            <w:pPr>
              <w:tabs>
                <w:tab w:val="left" w:pos="851"/>
              </w:tabs>
              <w:spacing w:before="0" w:line="240" w:lineRule="atLeast"/>
              <w:rPr>
                <w:b/>
              </w:rPr>
            </w:pPr>
            <w:bookmarkStart w:id="2" w:name="dmeeting" w:colFirst="0" w:colLast="0"/>
            <w:bookmarkStart w:id="3" w:name="dnum" w:colFirst="1" w:colLast="1"/>
            <w:r>
              <w:rPr>
                <w:b/>
              </w:rPr>
              <w:t>Agenda item</w:t>
            </w:r>
            <w:r w:rsidRPr="00832C22">
              <w:rPr>
                <w:b/>
              </w:rPr>
              <w:t xml:space="preserve">: </w:t>
            </w:r>
            <w:r w:rsidR="00B20073" w:rsidRPr="00832C22">
              <w:rPr>
                <w:b/>
              </w:rPr>
              <w:t>PL 1.</w:t>
            </w:r>
            <w:r w:rsidR="00632727" w:rsidRPr="00832C22">
              <w:rPr>
                <w:b/>
              </w:rPr>
              <w:t>9</w:t>
            </w:r>
          </w:p>
        </w:tc>
        <w:tc>
          <w:tcPr>
            <w:tcW w:w="3120" w:type="dxa"/>
          </w:tcPr>
          <w:p w14:paraId="13D811A3" w14:textId="2735B64D" w:rsidR="002A2188" w:rsidRPr="00E85629" w:rsidRDefault="002A2188" w:rsidP="73EAA821">
            <w:pPr>
              <w:tabs>
                <w:tab w:val="left" w:pos="851"/>
              </w:tabs>
              <w:spacing w:before="0" w:line="240" w:lineRule="atLeast"/>
              <w:rPr>
                <w:b/>
                <w:bCs/>
              </w:rPr>
            </w:pPr>
            <w:r w:rsidRPr="73EAA821">
              <w:rPr>
                <w:b/>
                <w:bCs/>
              </w:rPr>
              <w:t xml:space="preserve">Document </w:t>
            </w:r>
            <w:r w:rsidRPr="00832C22">
              <w:rPr>
                <w:b/>
                <w:bCs/>
              </w:rPr>
              <w:t>C</w:t>
            </w:r>
            <w:r w:rsidR="4B07BAB6" w:rsidRPr="00832C22">
              <w:rPr>
                <w:b/>
                <w:bCs/>
              </w:rPr>
              <w:t>20</w:t>
            </w:r>
            <w:r w:rsidRPr="00832C22">
              <w:rPr>
                <w:b/>
                <w:bCs/>
              </w:rPr>
              <w:t>/</w:t>
            </w:r>
            <w:r w:rsidR="008047BE" w:rsidRPr="00832C22">
              <w:rPr>
                <w:b/>
                <w:bCs/>
              </w:rPr>
              <w:t>6</w:t>
            </w:r>
            <w:r w:rsidRPr="00832C22">
              <w:rPr>
                <w:b/>
                <w:bCs/>
              </w:rPr>
              <w:t>-E</w:t>
            </w:r>
          </w:p>
        </w:tc>
      </w:tr>
      <w:tr w:rsidR="002A2188" w:rsidRPr="00813E5E" w14:paraId="1D9AC401" w14:textId="77777777" w:rsidTr="73EAA821">
        <w:trPr>
          <w:cantSplit/>
          <w:trHeight w:val="23"/>
        </w:trPr>
        <w:tc>
          <w:tcPr>
            <w:tcW w:w="6911" w:type="dxa"/>
            <w:vMerge/>
          </w:tcPr>
          <w:p w14:paraId="425CD38F" w14:textId="77777777" w:rsidR="002A2188" w:rsidRPr="00813E5E" w:rsidRDefault="002A2188" w:rsidP="007C7EDC">
            <w:pPr>
              <w:tabs>
                <w:tab w:val="left" w:pos="851"/>
              </w:tabs>
              <w:spacing w:line="240" w:lineRule="atLeast"/>
              <w:rPr>
                <w:b/>
              </w:rPr>
            </w:pPr>
            <w:bookmarkStart w:id="4" w:name="ddate" w:colFirst="1" w:colLast="1"/>
            <w:bookmarkEnd w:id="2"/>
            <w:bookmarkEnd w:id="3"/>
          </w:p>
        </w:tc>
        <w:tc>
          <w:tcPr>
            <w:tcW w:w="3120" w:type="dxa"/>
          </w:tcPr>
          <w:p w14:paraId="7E2CF408" w14:textId="17677AFF" w:rsidR="002A2188" w:rsidRPr="00577A79" w:rsidRDefault="00832C22" w:rsidP="73EAA821">
            <w:pPr>
              <w:tabs>
                <w:tab w:val="left" w:pos="993"/>
              </w:tabs>
              <w:spacing w:before="0"/>
              <w:rPr>
                <w:b/>
                <w:bCs/>
              </w:rPr>
            </w:pPr>
            <w:r>
              <w:rPr>
                <w:b/>
                <w:bCs/>
              </w:rPr>
              <w:t>3</w:t>
            </w:r>
            <w:r w:rsidR="001D4D6F" w:rsidRPr="73EAA821">
              <w:rPr>
                <w:b/>
                <w:bCs/>
              </w:rPr>
              <w:t xml:space="preserve"> March</w:t>
            </w:r>
            <w:r w:rsidR="002A2188" w:rsidRPr="73EAA821">
              <w:rPr>
                <w:b/>
                <w:bCs/>
              </w:rPr>
              <w:t xml:space="preserve"> 20</w:t>
            </w:r>
            <w:r>
              <w:rPr>
                <w:b/>
                <w:bCs/>
              </w:rPr>
              <w:t>20</w:t>
            </w:r>
          </w:p>
        </w:tc>
      </w:tr>
      <w:tr w:rsidR="002A2188" w:rsidRPr="00813E5E" w14:paraId="35516B71" w14:textId="77777777" w:rsidTr="73EAA821">
        <w:trPr>
          <w:cantSplit/>
          <w:trHeight w:val="23"/>
        </w:trPr>
        <w:tc>
          <w:tcPr>
            <w:tcW w:w="6911" w:type="dxa"/>
            <w:vMerge/>
          </w:tcPr>
          <w:p w14:paraId="555E1FD2" w14:textId="77777777" w:rsidR="002A2188" w:rsidRPr="00813E5E" w:rsidRDefault="002A2188" w:rsidP="007C7EDC">
            <w:pPr>
              <w:tabs>
                <w:tab w:val="left" w:pos="851"/>
              </w:tabs>
              <w:spacing w:line="240" w:lineRule="atLeast"/>
              <w:rPr>
                <w:b/>
              </w:rPr>
            </w:pPr>
            <w:bookmarkStart w:id="5" w:name="dorlang" w:colFirst="1" w:colLast="1"/>
            <w:bookmarkEnd w:id="4"/>
          </w:p>
        </w:tc>
        <w:tc>
          <w:tcPr>
            <w:tcW w:w="3120" w:type="dxa"/>
          </w:tcPr>
          <w:p w14:paraId="16F7A3BE" w14:textId="4346EB1E" w:rsidR="002A2188" w:rsidRPr="00E85629" w:rsidRDefault="002A2188" w:rsidP="007C7EDC">
            <w:pPr>
              <w:tabs>
                <w:tab w:val="left" w:pos="993"/>
              </w:tabs>
              <w:spacing w:before="0"/>
              <w:rPr>
                <w:b/>
              </w:rPr>
            </w:pPr>
            <w:r>
              <w:rPr>
                <w:b/>
              </w:rPr>
              <w:t>Original: English</w:t>
            </w:r>
          </w:p>
        </w:tc>
      </w:tr>
      <w:tr w:rsidR="002A2188" w:rsidRPr="00813E5E" w14:paraId="2ED904C9" w14:textId="77777777" w:rsidTr="73EAA821">
        <w:trPr>
          <w:cantSplit/>
        </w:trPr>
        <w:tc>
          <w:tcPr>
            <w:tcW w:w="10031" w:type="dxa"/>
            <w:gridSpan w:val="2"/>
          </w:tcPr>
          <w:p w14:paraId="0F93A977" w14:textId="77777777" w:rsidR="002A2188" w:rsidRPr="00813E5E" w:rsidRDefault="00D04E39" w:rsidP="007C7EDC">
            <w:pPr>
              <w:pStyle w:val="Source"/>
            </w:pPr>
            <w:bookmarkStart w:id="6" w:name="dsource" w:colFirst="0" w:colLast="0"/>
            <w:bookmarkEnd w:id="5"/>
            <w:r w:rsidRPr="00D04E39">
              <w:t>Report by the Secretary-General</w:t>
            </w:r>
          </w:p>
        </w:tc>
      </w:tr>
      <w:tr w:rsidR="002A2188" w:rsidRPr="00813E5E" w14:paraId="5568374F" w14:textId="77777777" w:rsidTr="73EAA821">
        <w:trPr>
          <w:cantSplit/>
        </w:trPr>
        <w:tc>
          <w:tcPr>
            <w:tcW w:w="10031" w:type="dxa"/>
            <w:gridSpan w:val="2"/>
          </w:tcPr>
          <w:p w14:paraId="56996298" w14:textId="75C823FE" w:rsidR="002A2188" w:rsidRPr="00813E5E" w:rsidRDefault="00F52905" w:rsidP="007C7EDC">
            <w:pPr>
              <w:pStyle w:val="Title1"/>
            </w:pPr>
            <w:bookmarkStart w:id="7" w:name="dtitle1"/>
            <w:bookmarkEnd w:id="6"/>
            <w:r>
              <w:t xml:space="preserve">ITU’S ACTIVITIES RELATED TO RESOLUTION 70 (REV. </w:t>
            </w:r>
            <w:r w:rsidR="003F4E70">
              <w:t>Dubai</w:t>
            </w:r>
            <w:r>
              <w:t xml:space="preserve">, </w:t>
            </w:r>
            <w:r w:rsidR="003F4E70">
              <w:t>2018</w:t>
            </w:r>
            <w:r>
              <w:t>)</w:t>
            </w:r>
            <w:r w:rsidR="00B20073">
              <w:t xml:space="preserve"> </w:t>
            </w:r>
          </w:p>
        </w:tc>
      </w:tr>
      <w:bookmarkEnd w:id="7"/>
    </w:tbl>
    <w:p w14:paraId="1A1EC697"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700B233A" w14:textId="77777777" w:rsidTr="73EAA821">
        <w:trPr>
          <w:trHeight w:val="3372"/>
        </w:trPr>
        <w:tc>
          <w:tcPr>
            <w:tcW w:w="8080" w:type="dxa"/>
            <w:tcBorders>
              <w:top w:val="single" w:sz="12" w:space="0" w:color="auto"/>
              <w:left w:val="single" w:sz="12" w:space="0" w:color="auto"/>
              <w:bottom w:val="single" w:sz="12" w:space="0" w:color="auto"/>
              <w:right w:val="single" w:sz="12" w:space="0" w:color="auto"/>
            </w:tcBorders>
          </w:tcPr>
          <w:p w14:paraId="29B5501F" w14:textId="77777777" w:rsidR="002A2188" w:rsidRPr="00813E5E" w:rsidRDefault="002A2188" w:rsidP="007C7EDC">
            <w:pPr>
              <w:pStyle w:val="Headingb"/>
            </w:pPr>
            <w:r w:rsidRPr="00813E5E">
              <w:t>Summary</w:t>
            </w:r>
          </w:p>
          <w:p w14:paraId="2BCF70C2" w14:textId="66B0AB8D" w:rsidR="002A2188" w:rsidRPr="00813E5E" w:rsidRDefault="00F52905" w:rsidP="000D1E22">
            <w:pPr>
              <w:jc w:val="both"/>
            </w:pPr>
            <w:r>
              <w:t xml:space="preserve">This document summarizes ITU’s activities </w:t>
            </w:r>
            <w:r w:rsidR="00E379F1">
              <w:t>related to</w:t>
            </w:r>
            <w:r>
              <w:t xml:space="preserve"> the implementation of Resolution</w:t>
            </w:r>
            <w:r w:rsidR="008047BE">
              <w:t> </w:t>
            </w:r>
            <w:r>
              <w:t xml:space="preserve">70 (Rev. </w:t>
            </w:r>
            <w:r w:rsidR="003F4E70">
              <w:t>Dubai</w:t>
            </w:r>
            <w:r>
              <w:t xml:space="preserve">, </w:t>
            </w:r>
            <w:r w:rsidR="003F4E70">
              <w:t>2018</w:t>
            </w:r>
            <w:r>
              <w:t xml:space="preserve">) </w:t>
            </w:r>
            <w:r w:rsidR="00A66117">
              <w:t>since</w:t>
            </w:r>
            <w:r w:rsidR="001D4D6F">
              <w:t xml:space="preserve"> Council 201</w:t>
            </w:r>
            <w:r w:rsidR="51FD80FC">
              <w:t>9</w:t>
            </w:r>
            <w:r w:rsidR="00AE7E48">
              <w:t>.</w:t>
            </w:r>
          </w:p>
          <w:p w14:paraId="50257E7E" w14:textId="77777777" w:rsidR="002A2188" w:rsidRPr="00813E5E" w:rsidRDefault="002A2188" w:rsidP="007C7EDC">
            <w:pPr>
              <w:pStyle w:val="Headingb"/>
            </w:pPr>
            <w:r w:rsidRPr="00813E5E">
              <w:t>Action required</w:t>
            </w:r>
          </w:p>
          <w:p w14:paraId="49729492" w14:textId="77777777" w:rsidR="002A2188" w:rsidRPr="00813E5E" w:rsidRDefault="00F52905" w:rsidP="00D04E39">
            <w:pPr>
              <w:spacing w:after="120"/>
            </w:pPr>
            <w:r w:rsidRPr="00F52905">
              <w:t xml:space="preserve">The Council is invited </w:t>
            </w:r>
            <w:r w:rsidRPr="008047BE">
              <w:rPr>
                <w:b/>
                <w:bCs/>
              </w:rPr>
              <w:t>to note</w:t>
            </w:r>
            <w:r w:rsidRPr="00F52905">
              <w:t xml:space="preserve"> the report.</w:t>
            </w:r>
          </w:p>
          <w:p w14:paraId="4BBA74FD" w14:textId="77777777"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14:paraId="4B26E07B" w14:textId="77777777" w:rsidR="002A2188" w:rsidRPr="00813E5E" w:rsidRDefault="002A2188" w:rsidP="007C7EDC">
            <w:pPr>
              <w:pStyle w:val="Headingb"/>
            </w:pPr>
            <w:r w:rsidRPr="00813E5E">
              <w:t>References</w:t>
            </w:r>
          </w:p>
          <w:p w14:paraId="2D7EAEF8" w14:textId="76635602" w:rsidR="002A2188" w:rsidRPr="00813E5E" w:rsidRDefault="00F52905" w:rsidP="004B57DE">
            <w:pPr>
              <w:spacing w:after="120"/>
              <w:rPr>
                <w:i/>
                <w:iCs/>
              </w:rPr>
            </w:pPr>
            <w:r w:rsidRPr="004317A9">
              <w:rPr>
                <w:i/>
                <w:iCs/>
              </w:rPr>
              <w:t xml:space="preserve">PP </w:t>
            </w:r>
            <w:hyperlink r:id="rId12" w:history="1">
              <w:r w:rsidR="007C4416" w:rsidRPr="00561BE6">
                <w:rPr>
                  <w:rStyle w:val="Hyperlink"/>
                  <w:i/>
                  <w:iCs/>
                </w:rPr>
                <w:t>Resolution 70 (Rev. Dubai, 2018)</w:t>
              </w:r>
            </w:hyperlink>
            <w:r w:rsidRPr="004317A9">
              <w:rPr>
                <w:i/>
                <w:iCs/>
              </w:rPr>
              <w:t xml:space="preserve">; Council documents </w:t>
            </w:r>
            <w:hyperlink r:id="rId13" w:history="1">
              <w:r w:rsidRPr="004317A9">
                <w:rPr>
                  <w:rStyle w:val="Hyperlink"/>
                  <w:i/>
                  <w:iCs/>
                </w:rPr>
                <w:t>C13/INF/11</w:t>
              </w:r>
            </w:hyperlink>
            <w:r w:rsidRPr="004317A9">
              <w:rPr>
                <w:i/>
                <w:iCs/>
              </w:rPr>
              <w:t xml:space="preserve">, </w:t>
            </w:r>
            <w:hyperlink r:id="rId14" w:history="1">
              <w:r w:rsidRPr="004317A9">
                <w:rPr>
                  <w:rStyle w:val="Hyperlink"/>
                  <w:i/>
                  <w:iCs/>
                </w:rPr>
                <w:t>C13/39</w:t>
              </w:r>
            </w:hyperlink>
            <w:r w:rsidRPr="004317A9">
              <w:rPr>
                <w:i/>
                <w:iCs/>
              </w:rPr>
              <w:t xml:space="preserve">, </w:t>
            </w:r>
            <w:hyperlink r:id="rId15" w:history="1">
              <w:r w:rsidRPr="004317A9">
                <w:rPr>
                  <w:rStyle w:val="Hyperlink"/>
                  <w:i/>
                  <w:iCs/>
                </w:rPr>
                <w:t>C14/6</w:t>
              </w:r>
            </w:hyperlink>
            <w:r w:rsidRPr="00EE1126">
              <w:rPr>
                <w:rStyle w:val="Hyperlink"/>
                <w:i/>
                <w:iCs/>
              </w:rPr>
              <w:t xml:space="preserve">, </w:t>
            </w:r>
            <w:hyperlink r:id="rId16" w:history="1">
              <w:r w:rsidRPr="004317A9">
                <w:rPr>
                  <w:rStyle w:val="Hyperlink"/>
                  <w:i/>
                  <w:iCs/>
                </w:rPr>
                <w:t>C15/6</w:t>
              </w:r>
            </w:hyperlink>
            <w:r>
              <w:t xml:space="preserve">, </w:t>
            </w:r>
            <w:hyperlink r:id="rId17" w:history="1">
              <w:r w:rsidRPr="00EE1126">
                <w:rPr>
                  <w:rStyle w:val="Hyperlink"/>
                  <w:i/>
                  <w:iCs/>
                </w:rPr>
                <w:t>C16/6</w:t>
              </w:r>
            </w:hyperlink>
            <w:r w:rsidRPr="00EE1126">
              <w:t>,</w:t>
            </w:r>
            <w:r w:rsidRPr="003206FF">
              <w:rPr>
                <w:rStyle w:val="Hyperlink"/>
                <w:i/>
                <w:iCs/>
              </w:rPr>
              <w:t xml:space="preserve"> </w:t>
            </w:r>
            <w:hyperlink r:id="rId18" w:history="1">
              <w:r w:rsidRPr="008047BE">
                <w:rPr>
                  <w:rStyle w:val="Hyperlink"/>
                  <w:i/>
                  <w:iCs/>
                </w:rPr>
                <w:t>C17/6</w:t>
              </w:r>
            </w:hyperlink>
            <w:r w:rsidRPr="008047BE">
              <w:rPr>
                <w:rStyle w:val="Hyperlink"/>
                <w:i/>
                <w:iCs/>
                <w:u w:val="none"/>
              </w:rPr>
              <w:t xml:space="preserve">, </w:t>
            </w:r>
            <w:hyperlink r:id="rId19" w:history="1">
              <w:r w:rsidR="00537A8B" w:rsidRPr="008047BE">
                <w:rPr>
                  <w:rStyle w:val="Hyperlink"/>
                  <w:i/>
                  <w:iCs/>
                </w:rPr>
                <w:t>C1</w:t>
              </w:r>
              <w:r w:rsidR="00537A8B">
                <w:rPr>
                  <w:rStyle w:val="Hyperlink"/>
                  <w:i/>
                  <w:iCs/>
                </w:rPr>
                <w:t>8</w:t>
              </w:r>
              <w:r w:rsidR="00537A8B" w:rsidRPr="008047BE">
                <w:rPr>
                  <w:rStyle w:val="Hyperlink"/>
                  <w:i/>
                  <w:iCs/>
                </w:rPr>
                <w:t>/6</w:t>
              </w:r>
            </w:hyperlink>
            <w:r w:rsidR="00537A8B" w:rsidRPr="008047BE">
              <w:rPr>
                <w:rStyle w:val="Hyperlink"/>
                <w:i/>
                <w:iCs/>
                <w:u w:val="none"/>
              </w:rPr>
              <w:t xml:space="preserve">, </w:t>
            </w:r>
            <w:hyperlink r:id="rId20" w:history="1">
              <w:r w:rsidRPr="008047BE">
                <w:rPr>
                  <w:rStyle w:val="Hyperlink"/>
                  <w:i/>
                  <w:iCs/>
                </w:rPr>
                <w:t>C18/INF/3</w:t>
              </w:r>
            </w:hyperlink>
            <w:r w:rsidR="00C14992">
              <w:rPr>
                <w:rStyle w:val="Hyperlink"/>
                <w:i/>
                <w:iCs/>
                <w:u w:val="none"/>
              </w:rPr>
              <w:t xml:space="preserve">, </w:t>
            </w:r>
            <w:hyperlink r:id="rId21" w:history="1">
              <w:r w:rsidR="00C14992">
                <w:rPr>
                  <w:rStyle w:val="Hyperlink"/>
                  <w:i/>
                  <w:iCs/>
                </w:rPr>
                <w:t>C19/INF/2</w:t>
              </w:r>
            </w:hyperlink>
            <w:r w:rsidR="00C14992" w:rsidRPr="00DB7C5A">
              <w:rPr>
                <w:rStyle w:val="Hyperlink"/>
                <w:i/>
                <w:iCs/>
                <w:u w:val="none"/>
              </w:rPr>
              <w:t xml:space="preserve">, </w:t>
            </w:r>
            <w:hyperlink r:id="rId22" w:history="1">
              <w:r w:rsidR="00C14992" w:rsidRPr="00DB7C5A">
                <w:rPr>
                  <w:rStyle w:val="Hyperlink"/>
                  <w:i/>
                  <w:iCs/>
                </w:rPr>
                <w:t>C19/24</w:t>
              </w:r>
            </w:hyperlink>
            <w:r w:rsidR="0013654D" w:rsidRPr="00B83AF7">
              <w:rPr>
                <w:rStyle w:val="Hyperlink"/>
                <w:i/>
                <w:iCs/>
                <w:u w:val="none"/>
              </w:rPr>
              <w:t xml:space="preserve">, </w:t>
            </w:r>
            <w:hyperlink r:id="rId23" w:history="1">
              <w:r w:rsidR="0013654D" w:rsidRPr="00B83AF7">
                <w:rPr>
                  <w:rStyle w:val="Hyperlink"/>
                  <w:i/>
                  <w:iCs/>
                </w:rPr>
                <w:t>C20/INF/</w:t>
              </w:r>
              <w:r w:rsidR="00B83AF7" w:rsidRPr="00B83AF7">
                <w:rPr>
                  <w:rStyle w:val="Hyperlink"/>
                  <w:i/>
                  <w:iCs/>
                </w:rPr>
                <w:t>2</w:t>
              </w:r>
            </w:hyperlink>
          </w:p>
        </w:tc>
      </w:tr>
    </w:tbl>
    <w:p w14:paraId="76535EAE" w14:textId="77777777"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rPr>
          <w:caps/>
          <w:sz w:val="24"/>
          <w:szCs w:val="24"/>
        </w:rPr>
      </w:pPr>
      <w:bookmarkStart w:id="8" w:name="dstart"/>
      <w:bookmarkStart w:id="9" w:name="dbreak"/>
      <w:bookmarkEnd w:id="8"/>
      <w:bookmarkEnd w:id="9"/>
      <w:r w:rsidRPr="00EE1126">
        <w:rPr>
          <w:sz w:val="24"/>
          <w:szCs w:val="24"/>
        </w:rPr>
        <w:t>1</w:t>
      </w:r>
      <w:r w:rsidRPr="00EE1126">
        <w:rPr>
          <w:sz w:val="24"/>
          <w:szCs w:val="24"/>
        </w:rPr>
        <w:tab/>
        <w:t>Introduction</w:t>
      </w:r>
    </w:p>
    <w:p w14:paraId="776427BA" w14:textId="232CE767" w:rsidR="008047BE" w:rsidRPr="00EE1126" w:rsidRDefault="008047BE" w:rsidP="73EAA821">
      <w:pPr>
        <w:tabs>
          <w:tab w:val="clear" w:pos="567"/>
          <w:tab w:val="clear" w:pos="1134"/>
          <w:tab w:val="clear" w:pos="1701"/>
          <w:tab w:val="clear" w:pos="2268"/>
          <w:tab w:val="clear" w:pos="2835"/>
        </w:tabs>
        <w:snapToGrid w:val="0"/>
        <w:spacing w:after="120"/>
        <w:jc w:val="both"/>
        <w:rPr>
          <w:rFonts w:cstheme="minorBidi"/>
        </w:rPr>
      </w:pPr>
      <w:r w:rsidRPr="73EAA821">
        <w:rPr>
          <w:rFonts w:cstheme="minorBidi"/>
        </w:rPr>
        <w:t xml:space="preserve">Resolution 70 (Rev. </w:t>
      </w:r>
      <w:r w:rsidR="003F4E70" w:rsidRPr="73EAA821">
        <w:rPr>
          <w:rFonts w:cstheme="minorBidi"/>
        </w:rPr>
        <w:t>Dubai</w:t>
      </w:r>
      <w:r w:rsidRPr="73EAA821">
        <w:rPr>
          <w:rFonts w:cstheme="minorBidi"/>
        </w:rPr>
        <w:t xml:space="preserve">, </w:t>
      </w:r>
      <w:r w:rsidR="003F4E70" w:rsidRPr="73EAA821">
        <w:rPr>
          <w:rFonts w:cstheme="minorBidi"/>
        </w:rPr>
        <w:t>2018</w:t>
      </w:r>
      <w:r w:rsidRPr="73EAA821">
        <w:rPr>
          <w:rFonts w:cstheme="minorBidi"/>
        </w:rPr>
        <w:t xml:space="preserve">) highlights the </w:t>
      </w:r>
      <w:r w:rsidR="003F4E70" w:rsidRPr="73EAA821">
        <w:rPr>
          <w:rFonts w:cstheme="minorBidi"/>
        </w:rPr>
        <w:t xml:space="preserve">importance of mainstreaming a gender perspective in ITU and promoting gender equality and the empowerment of women through telecommunications/information and communication technologies (ICTs). </w:t>
      </w:r>
      <w:r w:rsidRPr="73EAA821">
        <w:rPr>
          <w:rFonts w:cstheme="minorBidi"/>
        </w:rPr>
        <w:t xml:space="preserve">This document provides a </w:t>
      </w:r>
      <w:r w:rsidR="00E379F1" w:rsidRPr="73EAA821">
        <w:rPr>
          <w:rFonts w:cstheme="minorBidi"/>
        </w:rPr>
        <w:t xml:space="preserve">summary </w:t>
      </w:r>
      <w:r w:rsidRPr="73EAA821">
        <w:rPr>
          <w:rFonts w:cstheme="minorBidi"/>
        </w:rPr>
        <w:t xml:space="preserve">review of relevant activities and developments </w:t>
      </w:r>
      <w:r w:rsidR="007C4416" w:rsidRPr="73EAA821">
        <w:rPr>
          <w:rFonts w:cstheme="minorBidi"/>
        </w:rPr>
        <w:t>since Council 201</w:t>
      </w:r>
      <w:r w:rsidR="6545340C" w:rsidRPr="73EAA821">
        <w:rPr>
          <w:rFonts w:cstheme="minorBidi"/>
        </w:rPr>
        <w:t>9</w:t>
      </w:r>
      <w:r w:rsidRPr="73EAA821">
        <w:rPr>
          <w:rFonts w:cstheme="minorBidi"/>
        </w:rPr>
        <w:t xml:space="preserve">. </w:t>
      </w:r>
      <w:r w:rsidRPr="73EAA821">
        <w:rPr>
          <w:rFonts w:eastAsia="SimSun"/>
        </w:rPr>
        <w:t xml:space="preserve">Further information related to gender and ICTs can be found on </w:t>
      </w:r>
      <w:hyperlink r:id="rId24">
        <w:r w:rsidRPr="73EAA821">
          <w:rPr>
            <w:rStyle w:val="Hyperlink"/>
            <w:rFonts w:eastAsia="SimSun"/>
          </w:rPr>
          <w:t>ITU’s gender webpage</w:t>
        </w:r>
      </w:hyperlink>
      <w:r w:rsidRPr="73EAA821">
        <w:rPr>
          <w:rFonts w:eastAsia="SimSun"/>
        </w:rPr>
        <w:t>.</w:t>
      </w:r>
    </w:p>
    <w:p w14:paraId="585507C6" w14:textId="77777777"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rPr>
          <w:rFonts w:eastAsia="SimSun"/>
          <w:sz w:val="24"/>
          <w:szCs w:val="24"/>
        </w:rPr>
      </w:pPr>
      <w:r w:rsidRPr="00EE1126">
        <w:rPr>
          <w:sz w:val="24"/>
          <w:szCs w:val="24"/>
        </w:rPr>
        <w:t>2</w:t>
      </w:r>
      <w:r w:rsidRPr="00EE1126">
        <w:rPr>
          <w:sz w:val="24"/>
          <w:szCs w:val="24"/>
        </w:rPr>
        <w:tab/>
        <w:t>Data Gathering and Tracking</w:t>
      </w:r>
    </w:p>
    <w:p w14:paraId="02C0132F" w14:textId="3A1AAB5D" w:rsidR="58ED3530" w:rsidRDefault="008047BE" w:rsidP="0013654D">
      <w:pPr>
        <w:tabs>
          <w:tab w:val="clear" w:pos="567"/>
          <w:tab w:val="clear" w:pos="1134"/>
          <w:tab w:val="clear" w:pos="1701"/>
          <w:tab w:val="clear" w:pos="2268"/>
          <w:tab w:val="clear" w:pos="2835"/>
        </w:tabs>
        <w:snapToGrid w:val="0"/>
        <w:spacing w:after="120"/>
        <w:jc w:val="both"/>
      </w:pPr>
      <w:r>
        <w:t xml:space="preserve">ITU regularly collects and disseminates ICT indicators </w:t>
      </w:r>
      <w:r w:rsidRPr="73EAA821">
        <w:rPr>
          <w:rFonts w:eastAsia="SimSun"/>
        </w:rPr>
        <w:t xml:space="preserve">related to individuals accessing and using ICTs. These indicators can </w:t>
      </w:r>
      <w:r w:rsidR="00FE61D1">
        <w:t xml:space="preserve">be </w:t>
      </w:r>
      <w:r w:rsidRPr="73EAA821">
        <w:rPr>
          <w:rFonts w:eastAsia="SimSun"/>
        </w:rPr>
        <w:t xml:space="preserve">disaggregated by </w:t>
      </w:r>
      <w:r w:rsidR="00FE61D1" w:rsidRPr="73EAA821">
        <w:rPr>
          <w:rFonts w:eastAsia="SimSun"/>
        </w:rPr>
        <w:t xml:space="preserve">gender, </w:t>
      </w:r>
      <w:r w:rsidRPr="73EAA821">
        <w:rPr>
          <w:rFonts w:eastAsia="SimSun"/>
        </w:rPr>
        <w:t xml:space="preserve">age, education, labour force status, and occupation. </w:t>
      </w:r>
      <w:r>
        <w:t xml:space="preserve">ITU monitors and tracks three gender-related indicators that are included in the SDG Indicators Monitoring Framework: (1) </w:t>
      </w:r>
      <w:r w:rsidR="00E1721A">
        <w:t>“</w:t>
      </w:r>
      <w:r w:rsidRPr="73EAA821">
        <w:rPr>
          <w:i/>
          <w:iCs/>
        </w:rPr>
        <w:t>proportion of individuals who own a mobile telephone, by sex</w:t>
      </w:r>
      <w:r w:rsidR="00E1721A">
        <w:t>”</w:t>
      </w:r>
      <w:r>
        <w:t xml:space="preserve"> (which is one of the gender-related indicators</w:t>
      </w:r>
      <w:r w:rsidR="28BBA1EA">
        <w:t xml:space="preserve"> monitoring SDG 5</w:t>
      </w:r>
      <w:r>
        <w:t xml:space="preserve">), (2) </w:t>
      </w:r>
      <w:r w:rsidR="00E1721A">
        <w:t>“</w:t>
      </w:r>
      <w:r w:rsidRPr="73EAA821">
        <w:rPr>
          <w:i/>
          <w:iCs/>
        </w:rPr>
        <w:t>proportion of individuals using the Internet, by sex</w:t>
      </w:r>
      <w:r w:rsidR="00E1721A">
        <w:t>”</w:t>
      </w:r>
      <w:r>
        <w:t xml:space="preserve">, and (3) </w:t>
      </w:r>
      <w:r w:rsidR="00E1721A">
        <w:t>“</w:t>
      </w:r>
      <w:r w:rsidRPr="73EAA821">
        <w:rPr>
          <w:i/>
          <w:iCs/>
        </w:rPr>
        <w:t>proportion of individuals with ICT skills, by sex</w:t>
      </w:r>
      <w:r w:rsidR="00E1721A">
        <w:t>”</w:t>
      </w:r>
      <w:r>
        <w:t xml:space="preserve">. </w:t>
      </w:r>
      <w:r w:rsidR="58ED3530" w:rsidRPr="73EAA821">
        <w:rPr>
          <w:rFonts w:eastAsia="Calibri" w:cs="Calibri"/>
          <w:szCs w:val="24"/>
        </w:rPr>
        <w:t xml:space="preserve">Latest figures as published in </w:t>
      </w:r>
      <w:hyperlink r:id="rId25">
        <w:r w:rsidR="58ED3530" w:rsidRPr="73EAA821">
          <w:rPr>
            <w:rStyle w:val="Hyperlink"/>
            <w:rFonts w:eastAsia="Calibri" w:cs="Calibri"/>
            <w:szCs w:val="24"/>
          </w:rPr>
          <w:t>ITU’s Measuring digital development: Facts and figures 2019</w:t>
        </w:r>
      </w:hyperlink>
      <w:r w:rsidR="58ED3530" w:rsidRPr="73EAA821">
        <w:rPr>
          <w:rFonts w:eastAsia="Calibri" w:cs="Calibri"/>
          <w:szCs w:val="24"/>
        </w:rPr>
        <w:t xml:space="preserve"> show that while Internet use continues to spread, the digital gender gap is also growing. More effective action is </w:t>
      </w:r>
      <w:r w:rsidR="58ED3530" w:rsidRPr="73EAA821">
        <w:rPr>
          <w:rFonts w:eastAsia="Calibri" w:cs="Calibri"/>
          <w:szCs w:val="24"/>
        </w:rPr>
        <w:lastRenderedPageBreak/>
        <w:t>urgently needed to address a range of barriers – cultural, financial and skills-related – that are impeding Internet uptake, especially among women.</w:t>
      </w:r>
    </w:p>
    <w:p w14:paraId="2EBFDECD" w14:textId="0A1A680E" w:rsidR="001D4D6F" w:rsidRDefault="008047BE" w:rsidP="00700045">
      <w:pPr>
        <w:tabs>
          <w:tab w:val="clear" w:pos="567"/>
          <w:tab w:val="clear" w:pos="1134"/>
          <w:tab w:val="clear" w:pos="1701"/>
          <w:tab w:val="clear" w:pos="2268"/>
          <w:tab w:val="clear" w:pos="2835"/>
        </w:tabs>
        <w:snapToGrid w:val="0"/>
        <w:spacing w:after="120"/>
        <w:jc w:val="both"/>
      </w:pPr>
      <w:bookmarkStart w:id="10" w:name="_Hlk2678733"/>
      <w:r>
        <w:t xml:space="preserve">ITU’s </w:t>
      </w:r>
      <w:hyperlink r:id="rId26">
        <w:r w:rsidR="001A328B">
          <w:rPr>
            <w:rStyle w:val="Hyperlink"/>
          </w:rPr>
          <w:t>g</w:t>
        </w:r>
        <w:r w:rsidRPr="73EAA821">
          <w:rPr>
            <w:rStyle w:val="Hyperlink"/>
          </w:rPr>
          <w:t xml:space="preserve">ender </w:t>
        </w:r>
        <w:r w:rsidR="001A328B">
          <w:rPr>
            <w:rStyle w:val="Hyperlink"/>
          </w:rPr>
          <w:t>d</w:t>
        </w:r>
        <w:r w:rsidRPr="73EAA821">
          <w:rPr>
            <w:rStyle w:val="Hyperlink"/>
          </w:rPr>
          <w:t>ashboard</w:t>
        </w:r>
      </w:hyperlink>
      <w:r>
        <w:t xml:space="preserve"> provides a visual overview of gender</w:t>
      </w:r>
      <w:r w:rsidR="001569D3">
        <w:t xml:space="preserve"> in the ICT </w:t>
      </w:r>
      <w:r w:rsidR="00264CF5">
        <w:t xml:space="preserve">arena, in ITU meetings, and within ITU. </w:t>
      </w:r>
      <w:r w:rsidR="00D30DF8">
        <w:t>The last tab presents</w:t>
      </w:r>
      <w:r w:rsidR="001B09CB">
        <w:t xml:space="preserve"> ITU’s </w:t>
      </w:r>
      <w:r w:rsidR="001569D3">
        <w:t xml:space="preserve">overall </w:t>
      </w:r>
      <w:r w:rsidR="001B09CB">
        <w:t>staff</w:t>
      </w:r>
      <w:r w:rsidR="001569D3">
        <w:t xml:space="preserve"> composition</w:t>
      </w:r>
      <w:r w:rsidR="008C32A4">
        <w:t xml:space="preserve"> by </w:t>
      </w:r>
      <w:r w:rsidR="00D30DF8">
        <w:t xml:space="preserve">gender and </w:t>
      </w:r>
      <w:r w:rsidR="008C32A4">
        <w:t>grade</w:t>
      </w:r>
      <w:r>
        <w:t xml:space="preserve">, </w:t>
      </w:r>
      <w:r w:rsidR="001569D3">
        <w:t>as well as</w:t>
      </w:r>
      <w:r w:rsidR="001B09CB">
        <w:t xml:space="preserve"> </w:t>
      </w:r>
      <w:r w:rsidR="00D30DF8">
        <w:t xml:space="preserve">gender representation </w:t>
      </w:r>
      <w:r w:rsidR="001B09CB">
        <w:t xml:space="preserve">in </w:t>
      </w:r>
      <w:r w:rsidR="001569D3">
        <w:t xml:space="preserve">the </w:t>
      </w:r>
      <w:r w:rsidR="001B09CB">
        <w:t xml:space="preserve">recruitment and selection </w:t>
      </w:r>
      <w:r w:rsidR="001569D3">
        <w:t>processes</w:t>
      </w:r>
      <w:r w:rsidR="001B09CB">
        <w:t xml:space="preserve">. Gender representation in </w:t>
      </w:r>
      <w:r w:rsidR="0020315E">
        <w:t>statutory committees</w:t>
      </w:r>
      <w:r w:rsidR="001569D3">
        <w:t xml:space="preserve"> is also reported.</w:t>
      </w:r>
      <w:r w:rsidR="008C32A4">
        <w:t xml:space="preserve"> </w:t>
      </w:r>
      <w:r w:rsidR="00D30DF8">
        <w:t>Further g</w:t>
      </w:r>
      <w:r w:rsidR="008C32A4">
        <w:t xml:space="preserve">ender equality </w:t>
      </w:r>
      <w:r w:rsidR="00D30DF8">
        <w:t>efforts in human resources</w:t>
      </w:r>
      <w:r w:rsidR="008C32A4">
        <w:t xml:space="preserve"> is available in the </w:t>
      </w:r>
      <w:hyperlink r:id="rId27">
        <w:r w:rsidR="008C32A4" w:rsidRPr="001F5A04">
          <w:rPr>
            <w:rStyle w:val="Hyperlink"/>
          </w:rPr>
          <w:t>Report to Council on Resolution 48</w:t>
        </w:r>
      </w:hyperlink>
      <w:r w:rsidR="008C32A4" w:rsidRPr="001F5A04">
        <w:t>.</w:t>
      </w:r>
      <w:r w:rsidR="008C32A4">
        <w:t xml:space="preserve"> </w:t>
      </w:r>
    </w:p>
    <w:bookmarkEnd w:id="10"/>
    <w:p w14:paraId="13CD0340" w14:textId="0985622A"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ind w:left="709" w:hanging="709"/>
        <w:jc w:val="both"/>
        <w:rPr>
          <w:rFonts w:eastAsia="SimSun"/>
          <w:sz w:val="24"/>
          <w:szCs w:val="24"/>
        </w:rPr>
      </w:pPr>
      <w:r w:rsidRPr="00EE1126">
        <w:rPr>
          <w:rFonts w:eastAsia="SimSun"/>
          <w:sz w:val="24"/>
          <w:szCs w:val="24"/>
        </w:rPr>
        <w:t>3</w:t>
      </w:r>
      <w:r w:rsidRPr="00EE1126">
        <w:rPr>
          <w:rFonts w:eastAsia="SimSun"/>
          <w:sz w:val="24"/>
          <w:szCs w:val="24"/>
        </w:rPr>
        <w:tab/>
      </w:r>
      <w:r w:rsidR="005C648E">
        <w:rPr>
          <w:rFonts w:eastAsia="SimSun"/>
          <w:sz w:val="24"/>
          <w:szCs w:val="24"/>
        </w:rPr>
        <w:t xml:space="preserve">Advancing Agenda 2030 </w:t>
      </w:r>
      <w:r w:rsidR="00B20073">
        <w:rPr>
          <w:rFonts w:eastAsia="SimSun"/>
          <w:sz w:val="24"/>
          <w:szCs w:val="24"/>
        </w:rPr>
        <w:t>and</w:t>
      </w:r>
      <w:r w:rsidR="005C648E">
        <w:rPr>
          <w:rFonts w:eastAsia="SimSun"/>
          <w:sz w:val="24"/>
          <w:szCs w:val="24"/>
        </w:rPr>
        <w:t xml:space="preserve"> </w:t>
      </w:r>
      <w:r w:rsidRPr="00EE1126">
        <w:rPr>
          <w:rFonts w:eastAsia="SimSun"/>
          <w:sz w:val="24"/>
          <w:szCs w:val="24"/>
        </w:rPr>
        <w:t xml:space="preserve">Bridging the Digital Gender Divide </w:t>
      </w:r>
    </w:p>
    <w:p w14:paraId="3B026DCA" w14:textId="3C01BDBD"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bookmarkStart w:id="11" w:name="_Hlk2676846"/>
      <w:r>
        <w:rPr>
          <w:szCs w:val="24"/>
        </w:rPr>
        <w:t>3.1</w:t>
      </w:r>
      <w:r>
        <w:rPr>
          <w:szCs w:val="24"/>
        </w:rPr>
        <w:tab/>
      </w:r>
      <w:r w:rsidR="005C648E">
        <w:rPr>
          <w:szCs w:val="24"/>
        </w:rPr>
        <w:t>World Summit on the Information Society (WSIS)</w:t>
      </w:r>
    </w:p>
    <w:bookmarkEnd w:id="11"/>
    <w:p w14:paraId="14819AEF" w14:textId="3335ADA6" w:rsidR="005C648E" w:rsidRDefault="005C648E" w:rsidP="73EAA821">
      <w:pPr>
        <w:spacing w:after="120"/>
        <w:jc w:val="both"/>
        <w:rPr>
          <w:rFonts w:asciiTheme="minorHAnsi" w:hAnsiTheme="minorHAnsi"/>
        </w:rPr>
      </w:pPr>
      <w:r w:rsidRPr="73EAA821">
        <w:rPr>
          <w:rFonts w:asciiTheme="minorHAnsi" w:hAnsiTheme="minorHAnsi"/>
        </w:rPr>
        <w:t>The</w:t>
      </w:r>
      <w:r w:rsidRPr="73EAA821">
        <w:rPr>
          <w:rFonts w:asciiTheme="minorHAnsi" w:hAnsiTheme="minorHAnsi"/>
          <w:b/>
          <w:bCs/>
        </w:rPr>
        <w:t xml:space="preserve"> </w:t>
      </w:r>
      <w:hyperlink r:id="rId28">
        <w:r w:rsidR="001236E9" w:rsidRPr="73EAA821">
          <w:rPr>
            <w:rStyle w:val="Hyperlink"/>
            <w:rFonts w:asciiTheme="minorHAnsi" w:hAnsiTheme="minorHAnsi"/>
          </w:rPr>
          <w:t>WSIS+10 Statement on Implementation of WSIS Outcomes and the WSIS+10 Vision for WSIS Beyond 2015</w:t>
        </w:r>
      </w:hyperlink>
      <w:r w:rsidR="001236E9" w:rsidRPr="73EAA821">
        <w:rPr>
          <w:rFonts w:asciiTheme="minorHAnsi" w:hAnsiTheme="minorHAnsi"/>
          <w:b/>
          <w:bCs/>
        </w:rPr>
        <w:t xml:space="preserve"> </w:t>
      </w:r>
      <w:r w:rsidRPr="73EAA821">
        <w:rPr>
          <w:rFonts w:asciiTheme="minorHAnsi" w:hAnsiTheme="minorHAnsi"/>
        </w:rPr>
        <w:t>invite all</w:t>
      </w:r>
      <w:r w:rsidRPr="73EAA821">
        <w:rPr>
          <w:rFonts w:asciiTheme="minorHAnsi" w:hAnsiTheme="minorHAnsi"/>
          <w:b/>
          <w:bCs/>
        </w:rPr>
        <w:t xml:space="preserve"> </w:t>
      </w:r>
      <w:r w:rsidRPr="73EAA821">
        <w:rPr>
          <w:rFonts w:asciiTheme="minorHAnsi" w:hAnsiTheme="minorHAnsi"/>
        </w:rPr>
        <w:t xml:space="preserve">WSIS Stakeholders to mainstream a gender equality perspective and use ICTs as a tool to that end. As the coordinator of the WSIS Process, the ITU has been working with the UN WSIS Action Line focal points and </w:t>
      </w:r>
      <w:r w:rsidR="0048335F" w:rsidRPr="73EAA821">
        <w:rPr>
          <w:rFonts w:asciiTheme="minorHAnsi" w:hAnsiTheme="minorHAnsi"/>
        </w:rPr>
        <w:t>across</w:t>
      </w:r>
      <w:r w:rsidRPr="73EAA821">
        <w:rPr>
          <w:rFonts w:asciiTheme="minorHAnsi" w:hAnsiTheme="minorHAnsi"/>
        </w:rPr>
        <w:t xml:space="preserve"> ITU</w:t>
      </w:r>
      <w:r w:rsidR="00A62AE1">
        <w:rPr>
          <w:rFonts w:asciiTheme="minorHAnsi" w:hAnsiTheme="minorHAnsi"/>
        </w:rPr>
        <w:t xml:space="preserve"> </w:t>
      </w:r>
      <w:r w:rsidRPr="73EAA821">
        <w:rPr>
          <w:rFonts w:asciiTheme="minorHAnsi" w:hAnsiTheme="minorHAnsi"/>
        </w:rPr>
        <w:t xml:space="preserve">to fully integrate </w:t>
      </w:r>
      <w:r w:rsidR="45D9EAD6" w:rsidRPr="73EAA821">
        <w:rPr>
          <w:rFonts w:asciiTheme="minorHAnsi" w:hAnsiTheme="minorHAnsi"/>
        </w:rPr>
        <w:t>g</w:t>
      </w:r>
      <w:r w:rsidRPr="73EAA821">
        <w:rPr>
          <w:rFonts w:asciiTheme="minorHAnsi" w:hAnsiTheme="minorHAnsi"/>
        </w:rPr>
        <w:t>ender equality perspectives in WSIS related strategies</w:t>
      </w:r>
      <w:r w:rsidR="0048335F" w:rsidRPr="73EAA821">
        <w:rPr>
          <w:rFonts w:asciiTheme="minorHAnsi" w:hAnsiTheme="minorHAnsi"/>
        </w:rPr>
        <w:t>.</w:t>
      </w:r>
      <w:r w:rsidRPr="73EAA821">
        <w:rPr>
          <w:rFonts w:asciiTheme="minorHAnsi" w:hAnsiTheme="minorHAnsi"/>
        </w:rPr>
        <w:t xml:space="preserve"> </w:t>
      </w:r>
      <w:r w:rsidR="4054509D" w:rsidRPr="73EAA821">
        <w:rPr>
          <w:rFonts w:eastAsia="Calibri" w:cs="Calibri"/>
          <w:szCs w:val="24"/>
        </w:rPr>
        <w:t>Some activities planned for the WSIS Forum 2020, includ</w:t>
      </w:r>
      <w:r w:rsidR="003F010F">
        <w:rPr>
          <w:rFonts w:eastAsia="Calibri" w:cs="Calibri"/>
          <w:szCs w:val="24"/>
        </w:rPr>
        <w:t>e</w:t>
      </w:r>
      <w:r w:rsidR="4054509D" w:rsidRPr="73EAA821">
        <w:rPr>
          <w:rFonts w:eastAsia="Calibri" w:cs="Calibri"/>
          <w:szCs w:val="24"/>
        </w:rPr>
        <w:t xml:space="preserve">: (i) a </w:t>
      </w:r>
      <w:r w:rsidR="0013654D">
        <w:rPr>
          <w:rFonts w:eastAsia="Calibri" w:cs="Calibri"/>
          <w:szCs w:val="24"/>
        </w:rPr>
        <w:t>w</w:t>
      </w:r>
      <w:r w:rsidR="4054509D" w:rsidRPr="73EAA821">
        <w:rPr>
          <w:rFonts w:eastAsia="Calibri" w:cs="Calibri"/>
          <w:szCs w:val="24"/>
        </w:rPr>
        <w:t>omen</w:t>
      </w:r>
      <w:r w:rsidR="003F010F">
        <w:rPr>
          <w:rFonts w:eastAsia="Calibri" w:cs="Calibri"/>
          <w:szCs w:val="24"/>
        </w:rPr>
        <w:t>’s</w:t>
      </w:r>
      <w:r w:rsidR="4054509D" w:rsidRPr="73EAA821">
        <w:rPr>
          <w:rFonts w:eastAsia="Calibri" w:cs="Calibri"/>
          <w:szCs w:val="24"/>
        </w:rPr>
        <w:t xml:space="preserve"> </w:t>
      </w:r>
      <w:r w:rsidR="0013654D">
        <w:rPr>
          <w:rFonts w:eastAsia="Calibri" w:cs="Calibri"/>
          <w:szCs w:val="24"/>
        </w:rPr>
        <w:t>networking b</w:t>
      </w:r>
      <w:r w:rsidR="4054509D" w:rsidRPr="73EAA821">
        <w:rPr>
          <w:rFonts w:eastAsia="Calibri" w:cs="Calibri"/>
          <w:szCs w:val="24"/>
        </w:rPr>
        <w:t>reakfast</w:t>
      </w:r>
      <w:r w:rsidR="00E1721A">
        <w:rPr>
          <w:rFonts w:eastAsia="Calibri" w:cs="Calibri"/>
          <w:szCs w:val="24"/>
        </w:rPr>
        <w:t>;</w:t>
      </w:r>
      <w:r w:rsidR="4054509D" w:rsidRPr="73EAA821">
        <w:rPr>
          <w:rFonts w:eastAsia="Calibri" w:cs="Calibri"/>
          <w:szCs w:val="24"/>
        </w:rPr>
        <w:t xml:space="preserve"> (ii) workshops and display </w:t>
      </w:r>
      <w:r w:rsidR="001A02FE">
        <w:rPr>
          <w:rFonts w:eastAsia="Calibri" w:cs="Calibri"/>
          <w:szCs w:val="24"/>
        </w:rPr>
        <w:t>on</w:t>
      </w:r>
      <w:r w:rsidR="4054509D" w:rsidRPr="73EAA821">
        <w:rPr>
          <w:rFonts w:eastAsia="Calibri" w:cs="Calibri"/>
          <w:szCs w:val="24"/>
        </w:rPr>
        <w:t xml:space="preserve"> Gender and ICTs; and (iii) trainings that encourage women to be active by building their skills and confidence, as well as providing motivation, especially to young women to pursue technology careers.</w:t>
      </w:r>
      <w:r w:rsidR="003F010F">
        <w:rPr>
          <w:rFonts w:eastAsia="Calibri" w:cs="Calibri"/>
          <w:szCs w:val="24"/>
        </w:rPr>
        <w:t xml:space="preserve"> More: </w:t>
      </w:r>
      <w:hyperlink r:id="rId29" w:history="1">
        <w:r w:rsidR="003F010F" w:rsidRPr="003F010F">
          <w:rPr>
            <w:rStyle w:val="Hyperlink"/>
            <w:rFonts w:eastAsia="Calibri" w:cs="Calibri"/>
            <w:szCs w:val="24"/>
          </w:rPr>
          <w:t>www.wsis.org/forum</w:t>
        </w:r>
      </w:hyperlink>
    </w:p>
    <w:p w14:paraId="11BB38B4" w14:textId="4266C9D5" w:rsidR="002A3899" w:rsidRPr="00EE1126" w:rsidRDefault="002A3899" w:rsidP="002A3899">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Pr>
          <w:szCs w:val="24"/>
        </w:rPr>
        <w:t>3.2</w:t>
      </w:r>
      <w:r>
        <w:rPr>
          <w:szCs w:val="24"/>
        </w:rPr>
        <w:tab/>
        <w:t>African Girls Can Code Initiative</w:t>
      </w:r>
      <w:r w:rsidR="000D1E22">
        <w:rPr>
          <w:szCs w:val="24"/>
        </w:rPr>
        <w:t xml:space="preserve"> (AGCCI)</w:t>
      </w:r>
    </w:p>
    <w:p w14:paraId="47C5F1D7" w14:textId="3AEEEC59" w:rsidR="001A404F" w:rsidRDefault="002A3899" w:rsidP="73EAA821">
      <w:pPr>
        <w:tabs>
          <w:tab w:val="clear" w:pos="567"/>
          <w:tab w:val="clear" w:pos="1134"/>
          <w:tab w:val="clear" w:pos="1701"/>
          <w:tab w:val="clear" w:pos="2268"/>
          <w:tab w:val="clear" w:pos="2835"/>
        </w:tabs>
        <w:snapToGrid w:val="0"/>
        <w:spacing w:after="120"/>
        <w:jc w:val="both"/>
        <w:rPr>
          <w:rFonts w:eastAsia="SimSun"/>
        </w:rPr>
      </w:pPr>
      <w:r w:rsidRPr="73EAA821">
        <w:rPr>
          <w:rFonts w:eastAsia="SimSun"/>
        </w:rPr>
        <w:t>The AGCCI is a four-year programme that aims to train and empower girls and young women aged 17 to 20 years old across Africa to become computer programmers, creators and designers. The key objectives are to promote ICTs for girls and digital skills for young women and girls; encourage African countries to mainstream ICT studies to provide girls and young women with more opportunities to learn digital skills; establish a network of women in ICT</w:t>
      </w:r>
      <w:r w:rsidR="000D1E22" w:rsidRPr="73EAA821">
        <w:rPr>
          <w:rFonts w:eastAsia="SimSun"/>
        </w:rPr>
        <w:t>s</w:t>
      </w:r>
      <w:r w:rsidRPr="73EAA821">
        <w:rPr>
          <w:rFonts w:eastAsia="SimSun"/>
        </w:rPr>
        <w:t xml:space="preserve"> who will act as role-models; and create an online community platform for sharing coding experiences.</w:t>
      </w:r>
      <w:r w:rsidR="00017A5E">
        <w:rPr>
          <w:rFonts w:eastAsia="SimSun"/>
        </w:rPr>
        <w:t xml:space="preserve"> Read the ITU news </w:t>
      </w:r>
      <w:hyperlink r:id="rId30" w:history="1">
        <w:r w:rsidR="00017A5E" w:rsidRPr="00017A5E">
          <w:rPr>
            <w:rStyle w:val="Hyperlink"/>
            <w:rFonts w:eastAsia="SimSun"/>
          </w:rPr>
          <w:t>article</w:t>
        </w:r>
      </w:hyperlink>
      <w:r w:rsidR="00017A5E">
        <w:rPr>
          <w:rFonts w:eastAsia="SimSun"/>
        </w:rPr>
        <w:t>.</w:t>
      </w:r>
    </w:p>
    <w:p w14:paraId="6F1A0507" w14:textId="2E82D122" w:rsidR="00A62AE1" w:rsidRPr="00EE1126" w:rsidRDefault="00A62AE1" w:rsidP="00A62AE1">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Pr>
          <w:szCs w:val="24"/>
        </w:rPr>
        <w:t>3.</w:t>
      </w:r>
      <w:r w:rsidR="00F20828">
        <w:rPr>
          <w:szCs w:val="24"/>
        </w:rPr>
        <w:t>3</w:t>
      </w:r>
      <w:r>
        <w:rPr>
          <w:szCs w:val="24"/>
        </w:rPr>
        <w:tab/>
        <w:t>America</w:t>
      </w:r>
      <w:r w:rsidR="00E1721A">
        <w:rPr>
          <w:szCs w:val="24"/>
        </w:rPr>
        <w:t>s</w:t>
      </w:r>
      <w:r>
        <w:rPr>
          <w:szCs w:val="24"/>
        </w:rPr>
        <w:t xml:space="preserve"> Girls Can Code Initiative (AGCCI)</w:t>
      </w:r>
    </w:p>
    <w:p w14:paraId="303D025E" w14:textId="7A1C4A37" w:rsidR="0C6D56DA" w:rsidRDefault="0C6D56DA" w:rsidP="73EAA821">
      <w:pPr>
        <w:spacing w:after="120"/>
        <w:jc w:val="both"/>
      </w:pPr>
      <w:r w:rsidRPr="73EAA821">
        <w:rPr>
          <w:rFonts w:eastAsia="Calibri" w:cs="Calibri"/>
          <w:szCs w:val="24"/>
        </w:rPr>
        <w:t xml:space="preserve">The Americas Girls Can Code initiative was built on the </w:t>
      </w:r>
      <w:r w:rsidR="008D2009">
        <w:rPr>
          <w:rFonts w:eastAsia="Calibri" w:cs="Calibri"/>
          <w:szCs w:val="24"/>
        </w:rPr>
        <w:t xml:space="preserve">2018 </w:t>
      </w:r>
      <w:r w:rsidRPr="73EAA821">
        <w:rPr>
          <w:rFonts w:eastAsia="Calibri" w:cs="Calibri"/>
          <w:szCs w:val="24"/>
        </w:rPr>
        <w:t xml:space="preserve">TIC TAC Workshops in Technology launched by the ITU Americas Regional Office. </w:t>
      </w:r>
      <w:r w:rsidR="008D2009">
        <w:rPr>
          <w:rFonts w:eastAsia="Calibri" w:cs="Calibri"/>
          <w:szCs w:val="24"/>
        </w:rPr>
        <w:t>ITU announced</w:t>
      </w:r>
      <w:r w:rsidRPr="73EAA821">
        <w:rPr>
          <w:rFonts w:eastAsia="Calibri" w:cs="Calibri"/>
          <w:szCs w:val="24"/>
        </w:rPr>
        <w:t xml:space="preserve"> its Americas Girls Can Code </w:t>
      </w:r>
      <w:r w:rsidR="001A02FE">
        <w:rPr>
          <w:rFonts w:eastAsia="Calibri" w:cs="Calibri"/>
          <w:szCs w:val="24"/>
        </w:rPr>
        <w:t>I</w:t>
      </w:r>
      <w:r w:rsidRPr="73EAA821">
        <w:rPr>
          <w:rFonts w:eastAsia="Calibri" w:cs="Calibri"/>
          <w:szCs w:val="24"/>
        </w:rPr>
        <w:t>nitiative</w:t>
      </w:r>
      <w:r w:rsidR="008D2009">
        <w:rPr>
          <w:rFonts w:eastAsia="Calibri" w:cs="Calibri"/>
          <w:szCs w:val="24"/>
        </w:rPr>
        <w:t xml:space="preserve"> in 2019</w:t>
      </w:r>
      <w:r w:rsidR="00C401FE">
        <w:rPr>
          <w:rFonts w:eastAsia="Calibri" w:cs="Calibri"/>
          <w:szCs w:val="24"/>
        </w:rPr>
        <w:t xml:space="preserve"> and has since reached </w:t>
      </w:r>
      <w:r w:rsidRPr="73EAA821">
        <w:rPr>
          <w:rFonts w:eastAsia="Calibri" w:cs="Calibri"/>
          <w:szCs w:val="24"/>
        </w:rPr>
        <w:t>300 girls</w:t>
      </w:r>
      <w:r w:rsidR="00C401FE">
        <w:rPr>
          <w:rFonts w:eastAsia="Calibri" w:cs="Calibri"/>
          <w:szCs w:val="24"/>
        </w:rPr>
        <w:t xml:space="preserve">. </w:t>
      </w:r>
      <w:r w:rsidRPr="73EAA821">
        <w:rPr>
          <w:rFonts w:eastAsia="Calibri" w:cs="Calibri"/>
          <w:szCs w:val="24"/>
        </w:rPr>
        <w:t xml:space="preserve"> </w:t>
      </w:r>
      <w:r w:rsidR="00C401FE">
        <w:rPr>
          <w:rFonts w:eastAsia="Calibri" w:cs="Calibri"/>
          <w:szCs w:val="24"/>
        </w:rPr>
        <w:t>S</w:t>
      </w:r>
      <w:r w:rsidRPr="73EAA821">
        <w:rPr>
          <w:rFonts w:eastAsia="Calibri" w:cs="Calibri"/>
          <w:szCs w:val="24"/>
        </w:rPr>
        <w:t xml:space="preserve">everal partners </w:t>
      </w:r>
      <w:r w:rsidR="00C401FE">
        <w:rPr>
          <w:rFonts w:eastAsia="Calibri" w:cs="Calibri"/>
          <w:szCs w:val="24"/>
        </w:rPr>
        <w:t>have supported the initiative with</w:t>
      </w:r>
      <w:r w:rsidRPr="73EAA821">
        <w:rPr>
          <w:rFonts w:eastAsia="Calibri" w:cs="Calibri"/>
          <w:szCs w:val="24"/>
        </w:rPr>
        <w:t xml:space="preserve"> in</w:t>
      </w:r>
      <w:r w:rsidR="00017A5E">
        <w:rPr>
          <w:rFonts w:eastAsia="Calibri" w:cs="Calibri"/>
          <w:szCs w:val="24"/>
        </w:rPr>
        <w:t>-</w:t>
      </w:r>
      <w:r w:rsidRPr="73EAA821">
        <w:rPr>
          <w:rFonts w:eastAsia="Calibri" w:cs="Calibri"/>
          <w:szCs w:val="24"/>
        </w:rPr>
        <w:t>kind contribution</w:t>
      </w:r>
      <w:r w:rsidR="00017A5E">
        <w:rPr>
          <w:rFonts w:eastAsia="Calibri" w:cs="Calibri"/>
          <w:szCs w:val="24"/>
        </w:rPr>
        <w:t>s</w:t>
      </w:r>
      <w:r w:rsidR="00C401FE">
        <w:rPr>
          <w:rFonts w:eastAsia="Calibri" w:cs="Calibri"/>
          <w:szCs w:val="24"/>
        </w:rPr>
        <w:t xml:space="preserve">, including </w:t>
      </w:r>
      <w:r w:rsidRPr="73EAA821">
        <w:rPr>
          <w:rFonts w:eastAsia="Calibri" w:cs="Calibri"/>
          <w:szCs w:val="24"/>
        </w:rPr>
        <w:t xml:space="preserve">UN Women, the Brazilian Federal Institute, ANATEL, SERPRO, the Municipality of Campinas, the University of Brasilia, UNICEPLAC, </w:t>
      </w:r>
      <w:r w:rsidR="00017A5E">
        <w:rPr>
          <w:rFonts w:eastAsia="Calibri" w:cs="Calibri"/>
          <w:szCs w:val="24"/>
        </w:rPr>
        <w:t xml:space="preserve">and </w:t>
      </w:r>
      <w:r w:rsidRPr="73EAA821">
        <w:rPr>
          <w:rFonts w:eastAsia="Calibri" w:cs="Calibri"/>
          <w:szCs w:val="24"/>
        </w:rPr>
        <w:t>Women from Brazil Group</w:t>
      </w:r>
      <w:r w:rsidR="00017A5E">
        <w:rPr>
          <w:rFonts w:eastAsia="Calibri" w:cs="Calibri"/>
          <w:szCs w:val="24"/>
        </w:rPr>
        <w:t xml:space="preserve">. </w:t>
      </w:r>
      <w:r w:rsidR="00A62AE1">
        <w:rPr>
          <w:rFonts w:eastAsia="Calibri" w:cs="Calibri"/>
          <w:szCs w:val="24"/>
        </w:rPr>
        <w:t xml:space="preserve">Watch the </w:t>
      </w:r>
      <w:hyperlink r:id="rId31" w:history="1">
        <w:r w:rsidRPr="00F85061">
          <w:rPr>
            <w:rStyle w:val="Hyperlink"/>
            <w:rFonts w:eastAsia="Calibri" w:cs="Calibri"/>
            <w:szCs w:val="24"/>
          </w:rPr>
          <w:t>America</w:t>
        </w:r>
        <w:r w:rsidR="00E1721A">
          <w:rPr>
            <w:rStyle w:val="Hyperlink"/>
            <w:rFonts w:eastAsia="Calibri" w:cs="Calibri"/>
            <w:szCs w:val="24"/>
          </w:rPr>
          <w:t>s</w:t>
        </w:r>
        <w:r w:rsidRPr="00F85061">
          <w:rPr>
            <w:rStyle w:val="Hyperlink"/>
            <w:rFonts w:eastAsia="Calibri" w:cs="Calibri"/>
            <w:szCs w:val="24"/>
          </w:rPr>
          <w:t xml:space="preserve"> Girls Can Code</w:t>
        </w:r>
        <w:r w:rsidR="00A62AE1" w:rsidRPr="00F85061">
          <w:rPr>
            <w:rStyle w:val="Hyperlink"/>
            <w:rFonts w:eastAsia="Calibri" w:cs="Calibri"/>
            <w:szCs w:val="24"/>
          </w:rPr>
          <w:t xml:space="preserve"> video</w:t>
        </w:r>
      </w:hyperlink>
      <w:r w:rsidR="00A62AE1">
        <w:rPr>
          <w:rFonts w:eastAsia="Calibri" w:cs="Calibri"/>
          <w:szCs w:val="24"/>
        </w:rPr>
        <w:t>.</w:t>
      </w:r>
    </w:p>
    <w:p w14:paraId="52E8324F" w14:textId="281142F4" w:rsidR="00D714F1" w:rsidRPr="00D714F1" w:rsidRDefault="008047BE" w:rsidP="001F3BAF">
      <w:pPr>
        <w:tabs>
          <w:tab w:val="clear" w:pos="567"/>
          <w:tab w:val="clear" w:pos="1134"/>
          <w:tab w:val="clear" w:pos="1701"/>
          <w:tab w:val="clear" w:pos="2268"/>
          <w:tab w:val="clear" w:pos="2835"/>
        </w:tabs>
        <w:snapToGrid w:val="0"/>
        <w:spacing w:after="120"/>
        <w:jc w:val="both"/>
        <w:rPr>
          <w:szCs w:val="24"/>
        </w:rPr>
      </w:pPr>
      <w:bookmarkStart w:id="12" w:name="_Hlk2686851"/>
      <w:r w:rsidRPr="00D714F1">
        <w:rPr>
          <w:b/>
          <w:bCs/>
          <w:szCs w:val="24"/>
        </w:rPr>
        <w:t>3.</w:t>
      </w:r>
      <w:r w:rsidR="004F653E">
        <w:rPr>
          <w:b/>
          <w:bCs/>
          <w:szCs w:val="24"/>
        </w:rPr>
        <w:t>4</w:t>
      </w:r>
      <w:r w:rsidRPr="00D714F1">
        <w:rPr>
          <w:b/>
          <w:bCs/>
          <w:szCs w:val="24"/>
        </w:rPr>
        <w:tab/>
        <w:t>Girls in ICT Day</w:t>
      </w:r>
    </w:p>
    <w:p w14:paraId="038A2B4C" w14:textId="42DFBB55" w:rsidR="008047BE" w:rsidRPr="00EE1126" w:rsidRDefault="001269C1" w:rsidP="00AD180F">
      <w:pPr>
        <w:tabs>
          <w:tab w:val="clear" w:pos="567"/>
          <w:tab w:val="clear" w:pos="1134"/>
          <w:tab w:val="clear" w:pos="1701"/>
          <w:tab w:val="clear" w:pos="2268"/>
          <w:tab w:val="clear" w:pos="2835"/>
        </w:tabs>
        <w:snapToGrid w:val="0"/>
        <w:spacing w:after="120"/>
        <w:jc w:val="both"/>
      </w:pPr>
      <w:r>
        <w:rPr>
          <w:lang w:val="en"/>
        </w:rPr>
        <w:t>Launched in 2011 and n</w:t>
      </w:r>
      <w:r w:rsidR="00A62AE1">
        <w:rPr>
          <w:lang w:val="en"/>
        </w:rPr>
        <w:t xml:space="preserve">ow </w:t>
      </w:r>
      <w:r w:rsidR="00A62AE1" w:rsidRPr="73EAA821">
        <w:rPr>
          <w:lang w:val="en"/>
        </w:rPr>
        <w:t xml:space="preserve">a </w:t>
      </w:r>
      <w:hyperlink r:id="rId32" w:history="1">
        <w:r w:rsidR="00A62AE1" w:rsidRPr="73EAA821">
          <w:rPr>
            <w:rStyle w:val="Hyperlink"/>
            <w:lang w:val="en"/>
          </w:rPr>
          <w:t>UN observance</w:t>
        </w:r>
      </w:hyperlink>
      <w:r w:rsidR="00A62AE1">
        <w:rPr>
          <w:lang w:val="en"/>
        </w:rPr>
        <w:t>, t</w:t>
      </w:r>
      <w:r w:rsidR="008047BE" w:rsidRPr="73EAA821">
        <w:rPr>
          <w:lang w:val="en"/>
        </w:rPr>
        <w:t xml:space="preserve">he </w:t>
      </w:r>
      <w:hyperlink r:id="rId33" w:history="1">
        <w:r w:rsidR="008047BE" w:rsidRPr="73EAA821">
          <w:rPr>
            <w:rStyle w:val="Hyperlink"/>
            <w:lang w:val="en"/>
          </w:rPr>
          <w:t>International Girls in ICT Day</w:t>
        </w:r>
      </w:hyperlink>
      <w:r w:rsidR="008047BE" w:rsidRPr="73EAA821">
        <w:rPr>
          <w:lang w:val="en"/>
        </w:rPr>
        <w:t xml:space="preserve"> takes place every fourth Thursday of April to encourage more girls and young women to take up ICT careers and studies. </w:t>
      </w:r>
      <w:r w:rsidR="00A62AE1">
        <w:rPr>
          <w:rFonts w:eastAsia="Calibri" w:cs="Calibri"/>
          <w:szCs w:val="24"/>
          <w:lang w:val="en"/>
        </w:rPr>
        <w:t>In 2019</w:t>
      </w:r>
      <w:r w:rsidR="49770679" w:rsidRPr="73EAA821">
        <w:rPr>
          <w:rFonts w:eastAsia="Calibri" w:cs="Calibri"/>
          <w:szCs w:val="24"/>
          <w:lang w:val="en"/>
        </w:rPr>
        <w:t>, 102 countries celebrated International Girls in ICT Day. For the first time</w:t>
      </w:r>
      <w:r>
        <w:rPr>
          <w:rFonts w:eastAsia="Calibri" w:cs="Calibri"/>
          <w:szCs w:val="24"/>
          <w:lang w:val="en"/>
        </w:rPr>
        <w:t xml:space="preserve">, </w:t>
      </w:r>
      <w:r w:rsidR="49770679" w:rsidRPr="73EAA821">
        <w:rPr>
          <w:rFonts w:eastAsia="Calibri" w:cs="Calibri"/>
          <w:szCs w:val="24"/>
          <w:lang w:val="en"/>
        </w:rPr>
        <w:t xml:space="preserve">global celebration </w:t>
      </w:r>
      <w:r>
        <w:rPr>
          <w:rFonts w:eastAsia="Calibri" w:cs="Calibri"/>
          <w:szCs w:val="24"/>
          <w:lang w:val="en"/>
        </w:rPr>
        <w:t>took place in</w:t>
      </w:r>
      <w:r w:rsidR="49770679" w:rsidRPr="73EAA821">
        <w:rPr>
          <w:rFonts w:eastAsia="Calibri" w:cs="Calibri"/>
          <w:szCs w:val="24"/>
          <w:lang w:val="en"/>
        </w:rPr>
        <w:t xml:space="preserve"> Addis Ababa</w:t>
      </w:r>
      <w:r w:rsidR="00E1721A">
        <w:rPr>
          <w:rFonts w:eastAsia="Calibri" w:cs="Calibri"/>
          <w:szCs w:val="24"/>
          <w:lang w:val="en"/>
        </w:rPr>
        <w:t>,</w:t>
      </w:r>
      <w:r w:rsidR="49770679" w:rsidRPr="73EAA821">
        <w:rPr>
          <w:rFonts w:eastAsia="Calibri" w:cs="Calibri"/>
          <w:szCs w:val="24"/>
          <w:lang w:val="en"/>
        </w:rPr>
        <w:t xml:space="preserve"> Ethiopia</w:t>
      </w:r>
      <w:r w:rsidR="001A02FE">
        <w:rPr>
          <w:rFonts w:eastAsia="Calibri" w:cs="Calibri"/>
          <w:szCs w:val="24"/>
          <w:lang w:val="en"/>
        </w:rPr>
        <w:t xml:space="preserve"> with </w:t>
      </w:r>
      <w:r w:rsidR="001A02FE" w:rsidRPr="73EAA821">
        <w:rPr>
          <w:rFonts w:eastAsia="Calibri" w:cs="Calibri"/>
          <w:szCs w:val="24"/>
          <w:lang w:val="en"/>
        </w:rPr>
        <w:t>high-level panels</w:t>
      </w:r>
      <w:r w:rsidR="001A02FE">
        <w:rPr>
          <w:rFonts w:eastAsia="Calibri" w:cs="Calibri"/>
          <w:szCs w:val="24"/>
          <w:lang w:val="en"/>
        </w:rPr>
        <w:t xml:space="preserve">, </w:t>
      </w:r>
      <w:r w:rsidR="49770679" w:rsidRPr="73EAA821">
        <w:rPr>
          <w:rFonts w:eastAsia="Calibri" w:cs="Calibri"/>
          <w:szCs w:val="24"/>
          <w:lang w:val="en"/>
        </w:rPr>
        <w:t>hands-on workshops for school-age girls</w:t>
      </w:r>
      <w:r w:rsidR="008D2009">
        <w:rPr>
          <w:rFonts w:eastAsia="Calibri" w:cs="Calibri"/>
          <w:szCs w:val="24"/>
          <w:lang w:val="en"/>
        </w:rPr>
        <w:t>,</w:t>
      </w:r>
      <w:r w:rsidR="49770679" w:rsidRPr="73EAA821">
        <w:rPr>
          <w:rFonts w:eastAsia="Calibri" w:cs="Calibri"/>
          <w:szCs w:val="24"/>
          <w:lang w:val="en"/>
        </w:rPr>
        <w:t xml:space="preserve"> and interactive dialogues with nearly 200 participating girls from local schools. It also featured an additional full-day site visit to two local schools to talk with teachers and girls. </w:t>
      </w:r>
      <w:r w:rsidR="0026751F">
        <w:rPr>
          <w:rFonts w:eastAsia="Calibri" w:cs="Calibri"/>
          <w:szCs w:val="24"/>
          <w:lang w:val="en"/>
        </w:rPr>
        <w:t xml:space="preserve">Back in Geneva, </w:t>
      </w:r>
      <w:r w:rsidR="0026751F" w:rsidRPr="0026751F">
        <w:rPr>
          <w:rFonts w:eastAsia="Calibri" w:cs="Calibri"/>
          <w:szCs w:val="24"/>
          <w:lang w:val="en"/>
        </w:rPr>
        <w:t xml:space="preserve">ITU staff participated </w:t>
      </w:r>
      <w:r w:rsidR="0026751F">
        <w:rPr>
          <w:rFonts w:eastAsia="Calibri" w:cs="Calibri"/>
          <w:szCs w:val="24"/>
          <w:lang w:val="en"/>
        </w:rPr>
        <w:t>in an</w:t>
      </w:r>
      <w:r w:rsidR="0026751F" w:rsidRPr="0026751F">
        <w:rPr>
          <w:rFonts w:eastAsia="Calibri" w:cs="Calibri"/>
          <w:szCs w:val="24"/>
          <w:lang w:val="en"/>
        </w:rPr>
        <w:t xml:space="preserve"> EBU</w:t>
      </w:r>
      <w:r w:rsidR="00E1721A">
        <w:rPr>
          <w:rFonts w:eastAsia="Calibri" w:cs="Calibri"/>
          <w:szCs w:val="24"/>
          <w:lang w:val="en"/>
        </w:rPr>
        <w:t>-</w:t>
      </w:r>
      <w:r w:rsidR="0026751F" w:rsidRPr="0026751F">
        <w:rPr>
          <w:rFonts w:eastAsia="Calibri" w:cs="Calibri"/>
          <w:szCs w:val="24"/>
          <w:lang w:val="en"/>
        </w:rPr>
        <w:t xml:space="preserve"> and BBC</w:t>
      </w:r>
      <w:r w:rsidR="00E1721A">
        <w:rPr>
          <w:rFonts w:eastAsia="Calibri" w:cs="Calibri"/>
          <w:szCs w:val="24"/>
          <w:lang w:val="en"/>
        </w:rPr>
        <w:t>-</w:t>
      </w:r>
      <w:r w:rsidR="0026751F">
        <w:rPr>
          <w:rFonts w:eastAsia="Calibri" w:cs="Calibri"/>
          <w:szCs w:val="24"/>
          <w:lang w:val="en"/>
        </w:rPr>
        <w:t>organized event</w:t>
      </w:r>
      <w:r w:rsidR="008D2009">
        <w:rPr>
          <w:rFonts w:eastAsia="Calibri" w:cs="Calibri"/>
          <w:szCs w:val="24"/>
          <w:lang w:val="en"/>
        </w:rPr>
        <w:t xml:space="preserve"> where w</w:t>
      </w:r>
      <w:r w:rsidR="0026751F" w:rsidRPr="0026751F">
        <w:rPr>
          <w:rFonts w:eastAsia="Calibri" w:cs="Calibri"/>
          <w:szCs w:val="24"/>
          <w:lang w:val="en"/>
        </w:rPr>
        <w:t>omen</w:t>
      </w:r>
      <w:r w:rsidR="00BA11B7">
        <w:rPr>
          <w:rFonts w:eastAsia="Calibri" w:cs="Calibri"/>
          <w:szCs w:val="24"/>
          <w:lang w:val="en"/>
        </w:rPr>
        <w:t>-</w:t>
      </w:r>
      <w:r w:rsidR="0026751F" w:rsidRPr="0026751F">
        <w:rPr>
          <w:rFonts w:eastAsia="Calibri" w:cs="Calibri"/>
          <w:szCs w:val="24"/>
          <w:lang w:val="en"/>
        </w:rPr>
        <w:t>in</w:t>
      </w:r>
      <w:r w:rsidR="00BA11B7">
        <w:rPr>
          <w:rFonts w:eastAsia="Calibri" w:cs="Calibri"/>
          <w:szCs w:val="24"/>
          <w:lang w:val="en"/>
        </w:rPr>
        <w:t>-</w:t>
      </w:r>
      <w:r w:rsidR="0026751F" w:rsidRPr="0026751F">
        <w:rPr>
          <w:rFonts w:eastAsia="Calibri" w:cs="Calibri"/>
          <w:szCs w:val="24"/>
          <w:lang w:val="en"/>
        </w:rPr>
        <w:t xml:space="preserve">tech role models shared their personal and experience with girls, via live TV link between EBU HQ </w:t>
      </w:r>
      <w:r w:rsidR="00BA11B7">
        <w:rPr>
          <w:rFonts w:eastAsia="Calibri" w:cs="Calibri"/>
          <w:szCs w:val="24"/>
          <w:lang w:val="en"/>
        </w:rPr>
        <w:t xml:space="preserve">in </w:t>
      </w:r>
      <w:r w:rsidR="0026751F" w:rsidRPr="0026751F">
        <w:rPr>
          <w:rFonts w:eastAsia="Calibri" w:cs="Calibri"/>
          <w:szCs w:val="24"/>
          <w:lang w:val="en"/>
        </w:rPr>
        <w:t xml:space="preserve">Geneva and the BBC studios in Birmingham and Manchester. Additionally, a panel discussion </w:t>
      </w:r>
      <w:r w:rsidR="00E1721A">
        <w:rPr>
          <w:rFonts w:eastAsia="Calibri" w:cs="Calibri"/>
          <w:szCs w:val="24"/>
          <w:lang w:val="en"/>
        </w:rPr>
        <w:t>“</w:t>
      </w:r>
      <w:hyperlink r:id="rId34" w:history="1">
        <w:r w:rsidR="0026751F" w:rsidRPr="0026751F">
          <w:rPr>
            <w:rStyle w:val="Hyperlink"/>
            <w:rFonts w:eastAsia="Calibri" w:cs="Calibri"/>
            <w:szCs w:val="24"/>
            <w:lang w:val="en"/>
          </w:rPr>
          <w:t>How to Close the Gender Gap in the Digital World</w:t>
        </w:r>
      </w:hyperlink>
      <w:r w:rsidR="00E1721A">
        <w:rPr>
          <w:rFonts w:eastAsia="Calibri" w:cs="Calibri"/>
          <w:szCs w:val="24"/>
          <w:lang w:val="en"/>
        </w:rPr>
        <w:t>“</w:t>
      </w:r>
      <w:r w:rsidR="0026751F" w:rsidRPr="0026751F">
        <w:rPr>
          <w:rFonts w:eastAsia="Calibri" w:cs="Calibri"/>
          <w:szCs w:val="24"/>
          <w:lang w:val="en"/>
        </w:rPr>
        <w:t xml:space="preserve"> was held at UN Palais in Geneva with </w:t>
      </w:r>
      <w:r w:rsidR="0026751F">
        <w:rPr>
          <w:rFonts w:eastAsia="Calibri" w:cs="Calibri"/>
          <w:szCs w:val="24"/>
          <w:lang w:val="en"/>
        </w:rPr>
        <w:t>ITU’s participation.</w:t>
      </w:r>
      <w:r w:rsidR="0026751F" w:rsidRPr="0026751F">
        <w:rPr>
          <w:rFonts w:eastAsia="Calibri" w:cs="Calibri"/>
          <w:szCs w:val="24"/>
          <w:lang w:val="en"/>
        </w:rPr>
        <w:t xml:space="preserve"> </w:t>
      </w:r>
    </w:p>
    <w:p w14:paraId="2AB8D275" w14:textId="19476C92" w:rsidR="008047BE" w:rsidRPr="00EE1126" w:rsidRDefault="49770679" w:rsidP="00AD180F">
      <w:pPr>
        <w:tabs>
          <w:tab w:val="clear" w:pos="567"/>
          <w:tab w:val="clear" w:pos="1134"/>
          <w:tab w:val="clear" w:pos="1701"/>
          <w:tab w:val="clear" w:pos="2268"/>
          <w:tab w:val="clear" w:pos="2835"/>
        </w:tabs>
        <w:snapToGrid w:val="0"/>
        <w:spacing w:after="120"/>
        <w:jc w:val="both"/>
      </w:pPr>
      <w:r w:rsidRPr="73EAA821">
        <w:rPr>
          <w:rFonts w:eastAsia="Calibri" w:cs="Calibri"/>
          <w:szCs w:val="24"/>
          <w:lang w:val="en"/>
        </w:rPr>
        <w:lastRenderedPageBreak/>
        <w:t>The 2020 event</w:t>
      </w:r>
      <w:r w:rsidR="0026751F">
        <w:rPr>
          <w:rFonts w:eastAsia="Calibri" w:cs="Calibri"/>
          <w:szCs w:val="24"/>
          <w:lang w:val="en"/>
        </w:rPr>
        <w:t xml:space="preserve"> of </w:t>
      </w:r>
      <w:r w:rsidRPr="73EAA821">
        <w:rPr>
          <w:rFonts w:eastAsia="Calibri" w:cs="Calibri"/>
          <w:szCs w:val="24"/>
          <w:lang w:val="en"/>
        </w:rPr>
        <w:t xml:space="preserve">23 April in the Samoan capital of Apia, will be the first time ITU’s own Girls in ICT Day celebration </w:t>
      </w:r>
      <w:r w:rsidR="0026751F">
        <w:rPr>
          <w:rFonts w:eastAsia="Calibri" w:cs="Calibri"/>
          <w:szCs w:val="24"/>
          <w:lang w:val="en"/>
        </w:rPr>
        <w:t>will be</w:t>
      </w:r>
      <w:r w:rsidRPr="73EAA821">
        <w:rPr>
          <w:rFonts w:eastAsia="Calibri" w:cs="Calibri"/>
          <w:szCs w:val="24"/>
          <w:lang w:val="en"/>
        </w:rPr>
        <w:t xml:space="preserve"> held in the southern hemisphere. With the theme </w:t>
      </w:r>
      <w:r w:rsidRPr="0026751F">
        <w:rPr>
          <w:rFonts w:eastAsia="Calibri" w:cs="Calibri"/>
          <w:i/>
          <w:iCs/>
          <w:szCs w:val="24"/>
          <w:lang w:val="en"/>
        </w:rPr>
        <w:t xml:space="preserve">Expand </w:t>
      </w:r>
      <w:r w:rsidR="0026751F" w:rsidRPr="0026751F">
        <w:rPr>
          <w:rFonts w:eastAsia="Calibri" w:cs="Calibri"/>
          <w:i/>
          <w:iCs/>
          <w:szCs w:val="24"/>
          <w:lang w:val="en"/>
        </w:rPr>
        <w:t>H</w:t>
      </w:r>
      <w:r w:rsidRPr="0026751F">
        <w:rPr>
          <w:rFonts w:eastAsia="Calibri" w:cs="Calibri"/>
          <w:i/>
          <w:iCs/>
          <w:szCs w:val="24"/>
          <w:lang w:val="en"/>
        </w:rPr>
        <w:t xml:space="preserve">orizons, </w:t>
      </w:r>
      <w:r w:rsidR="0026751F" w:rsidRPr="0026751F">
        <w:rPr>
          <w:rFonts w:eastAsia="Calibri" w:cs="Calibri"/>
          <w:i/>
          <w:iCs/>
          <w:szCs w:val="24"/>
          <w:lang w:val="en"/>
        </w:rPr>
        <w:t>C</w:t>
      </w:r>
      <w:r w:rsidRPr="0026751F">
        <w:rPr>
          <w:rFonts w:eastAsia="Calibri" w:cs="Calibri"/>
          <w:i/>
          <w:iCs/>
          <w:szCs w:val="24"/>
          <w:lang w:val="en"/>
        </w:rPr>
        <w:t xml:space="preserve">hange </w:t>
      </w:r>
      <w:r w:rsidR="0026751F" w:rsidRPr="0026751F">
        <w:rPr>
          <w:rFonts w:eastAsia="Calibri" w:cs="Calibri"/>
          <w:i/>
          <w:iCs/>
          <w:szCs w:val="24"/>
          <w:lang w:val="en"/>
        </w:rPr>
        <w:t>A</w:t>
      </w:r>
      <w:r w:rsidRPr="0026751F">
        <w:rPr>
          <w:rFonts w:eastAsia="Calibri" w:cs="Calibri"/>
          <w:i/>
          <w:iCs/>
          <w:szCs w:val="24"/>
          <w:lang w:val="en"/>
        </w:rPr>
        <w:t>ttitudes</w:t>
      </w:r>
      <w:r w:rsidRPr="73EAA821">
        <w:rPr>
          <w:rFonts w:eastAsia="Calibri" w:cs="Calibri"/>
          <w:szCs w:val="24"/>
          <w:lang w:val="en"/>
        </w:rPr>
        <w:t xml:space="preserve">, the event is expected to welcome some 1,000 local school-age girls from Samoa and abroad for a day of fun, interactive tech workshops, talks by industry experts, and high-level discussions around ways to boost regional capacity building for digital skills development. The global event in Apia will also feature winners from national competitions across the region. </w:t>
      </w:r>
    </w:p>
    <w:bookmarkEnd w:id="12"/>
    <w:p w14:paraId="71FF5FF4" w14:textId="42DC16F1"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t>3.</w:t>
      </w:r>
      <w:r w:rsidR="004F653E">
        <w:rPr>
          <w:szCs w:val="24"/>
        </w:rPr>
        <w:t>5</w:t>
      </w:r>
      <w:r>
        <w:rPr>
          <w:szCs w:val="24"/>
        </w:rPr>
        <w:tab/>
      </w:r>
      <w:r w:rsidRPr="00EE1126">
        <w:rPr>
          <w:szCs w:val="24"/>
        </w:rPr>
        <w:t>EQUALS: The Global Partnership to Bridge the Gender Digital Divide</w:t>
      </w:r>
      <w:r w:rsidR="00E90554">
        <w:rPr>
          <w:szCs w:val="24"/>
        </w:rPr>
        <w:t xml:space="preserve"> and Telecom World</w:t>
      </w:r>
    </w:p>
    <w:p w14:paraId="0CA5B005" w14:textId="610C2C4F" w:rsidR="514B7F23" w:rsidRPr="00E90554" w:rsidRDefault="00AB527F" w:rsidP="00E90554">
      <w:pPr>
        <w:tabs>
          <w:tab w:val="clear" w:pos="567"/>
          <w:tab w:val="clear" w:pos="1134"/>
          <w:tab w:val="clear" w:pos="1701"/>
          <w:tab w:val="clear" w:pos="2268"/>
          <w:tab w:val="clear" w:pos="2835"/>
        </w:tabs>
        <w:snapToGrid w:val="0"/>
        <w:spacing w:after="120"/>
        <w:jc w:val="both"/>
        <w:rPr>
          <w:rFonts w:asciiTheme="minorHAnsi" w:eastAsia="SimSun" w:hAnsiTheme="minorHAnsi"/>
          <w:lang w:val="en-US"/>
        </w:rPr>
      </w:pPr>
      <w:r>
        <w:t xml:space="preserve">The </w:t>
      </w:r>
      <w:hyperlink r:id="rId35">
        <w:r w:rsidR="008047BE" w:rsidRPr="73EAA821">
          <w:rPr>
            <w:rStyle w:val="Hyperlink"/>
            <w:rFonts w:eastAsia="SimSun"/>
          </w:rPr>
          <w:t>EQUALS</w:t>
        </w:r>
      </w:hyperlink>
      <w:r w:rsidR="008047BE" w:rsidRPr="73EAA821">
        <w:rPr>
          <w:rFonts w:eastAsia="SimSun"/>
        </w:rPr>
        <w:t xml:space="preserve"> </w:t>
      </w:r>
      <w:r>
        <w:rPr>
          <w:rFonts w:eastAsia="SimSun"/>
        </w:rPr>
        <w:t xml:space="preserve">network (5 </w:t>
      </w:r>
      <w:r w:rsidR="008047BE" w:rsidRPr="73EAA821">
        <w:rPr>
          <w:rFonts w:eastAsia="SimSun"/>
        </w:rPr>
        <w:t>co-founders: GSMA, ITC, ITU, UNU</w:t>
      </w:r>
      <w:r w:rsidR="000D1E22" w:rsidRPr="73EAA821">
        <w:rPr>
          <w:rFonts w:eastAsia="SimSun"/>
        </w:rPr>
        <w:t>,</w:t>
      </w:r>
      <w:r w:rsidR="008047BE" w:rsidRPr="73EAA821">
        <w:rPr>
          <w:rFonts w:eastAsia="SimSun"/>
        </w:rPr>
        <w:t xml:space="preserve"> and UN Women; </w:t>
      </w:r>
      <w:r w:rsidR="22AB3831" w:rsidRPr="73EAA821">
        <w:rPr>
          <w:rFonts w:eastAsia="SimSun"/>
        </w:rPr>
        <w:t>5</w:t>
      </w:r>
      <w:r w:rsidR="004034FF" w:rsidRPr="73EAA821">
        <w:rPr>
          <w:rFonts w:eastAsia="SimSun"/>
        </w:rPr>
        <w:t>0</w:t>
      </w:r>
      <w:r w:rsidR="008047BE" w:rsidRPr="73EAA821">
        <w:rPr>
          <w:rFonts w:eastAsia="SimSun"/>
        </w:rPr>
        <w:t xml:space="preserve"> partners and 26</w:t>
      </w:r>
      <w:r w:rsidR="00AD180F" w:rsidRPr="73EAA821">
        <w:rPr>
          <w:rFonts w:eastAsia="SimSun"/>
        </w:rPr>
        <w:t> </w:t>
      </w:r>
      <w:r w:rsidR="008047BE" w:rsidRPr="73EAA821">
        <w:rPr>
          <w:rFonts w:eastAsia="SimSun"/>
        </w:rPr>
        <w:t>Research group members</w:t>
      </w:r>
      <w:r>
        <w:rPr>
          <w:rFonts w:eastAsia="SimSun"/>
        </w:rPr>
        <w:t>)</w:t>
      </w:r>
      <w:r w:rsidR="008047BE" w:rsidRPr="73EAA821">
        <w:rPr>
          <w:rFonts w:eastAsia="SimSun"/>
        </w:rPr>
        <w:t xml:space="preserve"> </w:t>
      </w:r>
      <w:r w:rsidR="00E90554">
        <w:rPr>
          <w:rFonts w:eastAsia="SimSun"/>
        </w:rPr>
        <w:t>continues its work</w:t>
      </w:r>
      <w:r w:rsidR="008047BE" w:rsidRPr="73EAA821">
        <w:rPr>
          <w:rFonts w:eastAsia="SimSun"/>
        </w:rPr>
        <w:t xml:space="preserve"> to address the digital gender divide. The global framework of action focuses on three complementary and cross-cutting areas of action</w:t>
      </w:r>
      <w:r w:rsidR="008047BE" w:rsidRPr="00F20828">
        <w:rPr>
          <w:rFonts w:eastAsia="SimSun"/>
        </w:rPr>
        <w:t>:</w:t>
      </w:r>
      <w:r w:rsidR="00AD756F" w:rsidRPr="00F20828">
        <w:rPr>
          <w:rFonts w:asciiTheme="minorHAnsi" w:eastAsia="SimSun" w:hAnsiTheme="minorHAnsi"/>
        </w:rPr>
        <w:t xml:space="preserve"> (1) </w:t>
      </w:r>
      <w:r w:rsidR="008047BE" w:rsidRPr="00F20828">
        <w:rPr>
          <w:rFonts w:asciiTheme="minorHAnsi" w:eastAsia="SimSun" w:hAnsiTheme="minorHAnsi"/>
          <w:lang w:val="en-US"/>
        </w:rPr>
        <w:t>Access</w:t>
      </w:r>
      <w:r w:rsidR="00AD756F" w:rsidRPr="00F20828">
        <w:rPr>
          <w:rFonts w:asciiTheme="minorHAnsi" w:eastAsia="SimSun" w:hAnsiTheme="minorHAnsi"/>
          <w:lang w:val="en-US"/>
        </w:rPr>
        <w:t xml:space="preserve">, (2) </w:t>
      </w:r>
      <w:r w:rsidR="008047BE" w:rsidRPr="00F20828">
        <w:rPr>
          <w:rFonts w:asciiTheme="minorHAnsi" w:eastAsia="SimSun" w:hAnsiTheme="minorHAnsi"/>
          <w:lang w:val="en-US"/>
        </w:rPr>
        <w:t>Skills</w:t>
      </w:r>
      <w:r w:rsidR="00AD756F" w:rsidRPr="00F20828">
        <w:rPr>
          <w:rFonts w:asciiTheme="minorHAnsi" w:eastAsia="SimSun" w:hAnsiTheme="minorHAnsi"/>
          <w:lang w:val="en-US"/>
        </w:rPr>
        <w:t xml:space="preserve">, and (3) </w:t>
      </w:r>
      <w:r w:rsidR="008047BE" w:rsidRPr="00F20828">
        <w:rPr>
          <w:rFonts w:asciiTheme="minorHAnsi" w:eastAsia="SimSun" w:hAnsiTheme="minorHAnsi"/>
          <w:lang w:val="en-US"/>
        </w:rPr>
        <w:t>Leadership</w:t>
      </w:r>
      <w:r w:rsidR="00544804" w:rsidRPr="00F20828">
        <w:rPr>
          <w:rFonts w:asciiTheme="minorHAnsi" w:eastAsia="SimSun" w:hAnsiTheme="minorHAnsi"/>
          <w:lang w:val="en-US"/>
        </w:rPr>
        <w:t>.</w:t>
      </w:r>
      <w:r w:rsidR="008047BE" w:rsidRPr="00F20828">
        <w:rPr>
          <w:rFonts w:asciiTheme="minorHAnsi" w:eastAsia="SimSun" w:hAnsiTheme="minorHAnsi"/>
          <w:lang w:val="en-US"/>
        </w:rPr>
        <w:t xml:space="preserve"> </w:t>
      </w:r>
      <w:r w:rsidR="00063568" w:rsidRPr="00F20828">
        <w:rPr>
          <w:rFonts w:asciiTheme="minorHAnsi" w:eastAsia="SimSun" w:hAnsiTheme="minorHAnsi"/>
          <w:lang w:val="en-US"/>
        </w:rPr>
        <w:t>I</w:t>
      </w:r>
      <w:r w:rsidR="00063568">
        <w:rPr>
          <w:rFonts w:asciiTheme="minorHAnsi" w:eastAsia="SimSun" w:hAnsiTheme="minorHAnsi"/>
          <w:lang w:val="en-US"/>
        </w:rPr>
        <w:t xml:space="preserve">n 2019 there was a special focus on </w:t>
      </w:r>
      <w:r w:rsidR="514B7F23" w:rsidRPr="73EAA821">
        <w:rPr>
          <w:rFonts w:eastAsia="Calibri" w:cs="Calibri"/>
          <w:szCs w:val="24"/>
          <w:lang w:val="en-US"/>
        </w:rPr>
        <w:t>EQUALS Entrepreneurs at ITU Telecom World</w:t>
      </w:r>
      <w:r w:rsidR="00063568">
        <w:rPr>
          <w:rFonts w:eastAsia="Calibri" w:cs="Calibri"/>
          <w:szCs w:val="24"/>
          <w:lang w:val="en-US"/>
        </w:rPr>
        <w:t xml:space="preserve"> in </w:t>
      </w:r>
      <w:r w:rsidR="00E90554">
        <w:rPr>
          <w:rFonts w:eastAsia="Calibri" w:cs="Calibri"/>
          <w:szCs w:val="24"/>
          <w:lang w:val="en-US"/>
        </w:rPr>
        <w:t>Budapest Hungary. With the aim of improving gender ba</w:t>
      </w:r>
      <w:r w:rsidR="00E90554">
        <w:rPr>
          <w:rFonts w:asciiTheme="minorHAnsi" w:eastAsia="SimSun" w:hAnsiTheme="minorHAnsi"/>
          <w:lang w:val="en-US"/>
        </w:rPr>
        <w:t xml:space="preserve">lance at the event </w:t>
      </w:r>
      <w:r w:rsidR="514B7F23" w:rsidRPr="73EAA821">
        <w:rPr>
          <w:rFonts w:eastAsia="Calibri" w:cs="Calibri"/>
          <w:szCs w:val="24"/>
          <w:lang w:val="en-US"/>
        </w:rPr>
        <w:t>and to support female entrepreneurship in the industry, 24 SMEs led by women in developing countries were selected out of 140 applications to attend and learn at ITU Telecom Word</w:t>
      </w:r>
      <w:r w:rsidR="00E90554">
        <w:rPr>
          <w:rFonts w:eastAsia="Calibri" w:cs="Calibri"/>
          <w:szCs w:val="24"/>
          <w:lang w:val="en-US"/>
        </w:rPr>
        <w:t xml:space="preserve"> 2019</w:t>
      </w:r>
      <w:r w:rsidR="514B7F23" w:rsidRPr="73EAA821">
        <w:rPr>
          <w:rFonts w:eastAsia="Calibri" w:cs="Calibri"/>
          <w:szCs w:val="24"/>
          <w:lang w:val="en-US"/>
        </w:rPr>
        <w:t xml:space="preserve">. </w:t>
      </w:r>
      <w:r w:rsidR="00E90554">
        <w:rPr>
          <w:rFonts w:eastAsia="Calibri" w:cs="Calibri"/>
          <w:szCs w:val="24"/>
          <w:lang w:val="en-US"/>
        </w:rPr>
        <w:t xml:space="preserve">Representing </w:t>
      </w:r>
      <w:r w:rsidR="514B7F23" w:rsidRPr="73EAA821">
        <w:rPr>
          <w:rFonts w:eastAsia="Calibri" w:cs="Calibri"/>
          <w:szCs w:val="24"/>
          <w:lang w:val="en-US"/>
        </w:rPr>
        <w:t xml:space="preserve">14 countries </w:t>
      </w:r>
      <w:r w:rsidR="008D2009">
        <w:rPr>
          <w:rFonts w:eastAsia="Calibri" w:cs="Calibri"/>
          <w:szCs w:val="24"/>
          <w:lang w:val="en-US"/>
        </w:rPr>
        <w:t>and various</w:t>
      </w:r>
      <w:r w:rsidR="514B7F23" w:rsidRPr="73EAA821">
        <w:rPr>
          <w:rFonts w:eastAsia="Calibri" w:cs="Calibri"/>
          <w:szCs w:val="24"/>
          <w:lang w:val="en-US"/>
        </w:rPr>
        <w:t xml:space="preserve"> tech</w:t>
      </w:r>
      <w:r w:rsidR="00E1721A">
        <w:rPr>
          <w:rFonts w:eastAsia="Calibri" w:cs="Calibri"/>
          <w:szCs w:val="24"/>
          <w:lang w:val="en-US"/>
        </w:rPr>
        <w:t xml:space="preserve"> </w:t>
      </w:r>
      <w:r w:rsidR="514B7F23" w:rsidRPr="73EAA821">
        <w:rPr>
          <w:rFonts w:eastAsia="Calibri" w:cs="Calibri"/>
          <w:szCs w:val="24"/>
          <w:lang w:val="en-US"/>
        </w:rPr>
        <w:t xml:space="preserve">sectors such as health, education, </w:t>
      </w:r>
      <w:r w:rsidR="008D2009">
        <w:rPr>
          <w:rFonts w:eastAsia="Calibri" w:cs="Calibri"/>
          <w:szCs w:val="24"/>
          <w:lang w:val="en-US"/>
        </w:rPr>
        <w:t>e</w:t>
      </w:r>
      <w:r w:rsidR="514B7F23" w:rsidRPr="73EAA821">
        <w:rPr>
          <w:rFonts w:eastAsia="Calibri" w:cs="Calibri"/>
          <w:szCs w:val="24"/>
          <w:lang w:val="en-US"/>
        </w:rPr>
        <w:t xml:space="preserve">commerce, </w:t>
      </w:r>
      <w:r w:rsidR="008D2009">
        <w:rPr>
          <w:rFonts w:eastAsia="Calibri" w:cs="Calibri"/>
          <w:szCs w:val="24"/>
          <w:lang w:val="en-US"/>
        </w:rPr>
        <w:t xml:space="preserve">and </w:t>
      </w:r>
      <w:r w:rsidR="514B7F23" w:rsidRPr="73EAA821">
        <w:rPr>
          <w:rFonts w:eastAsia="Calibri" w:cs="Calibri"/>
          <w:szCs w:val="24"/>
          <w:lang w:val="en-US"/>
        </w:rPr>
        <w:t>cybersecurity</w:t>
      </w:r>
      <w:r w:rsidR="00E90554">
        <w:rPr>
          <w:rFonts w:eastAsia="Calibri" w:cs="Calibri"/>
          <w:szCs w:val="24"/>
          <w:lang w:val="en-US"/>
        </w:rPr>
        <w:t>,</w:t>
      </w:r>
      <w:r w:rsidR="514B7F23" w:rsidRPr="73EAA821">
        <w:rPr>
          <w:rFonts w:eastAsia="Calibri" w:cs="Calibri"/>
          <w:szCs w:val="24"/>
          <w:lang w:val="en-US"/>
        </w:rPr>
        <w:t xml:space="preserve"> </w:t>
      </w:r>
      <w:r w:rsidR="00E90554">
        <w:rPr>
          <w:rFonts w:eastAsia="Calibri" w:cs="Calibri"/>
          <w:szCs w:val="24"/>
          <w:lang w:val="en-US"/>
        </w:rPr>
        <w:t>were able to participate at the event</w:t>
      </w:r>
      <w:r w:rsidR="514B7F23" w:rsidRPr="73EAA821">
        <w:rPr>
          <w:rFonts w:eastAsia="Calibri" w:cs="Calibri"/>
          <w:szCs w:val="24"/>
          <w:lang w:val="en-US"/>
        </w:rPr>
        <w:t xml:space="preserve"> and scale their businesses </w:t>
      </w:r>
      <w:r w:rsidR="00E90554">
        <w:rPr>
          <w:rFonts w:eastAsia="Calibri" w:cs="Calibri"/>
          <w:szCs w:val="24"/>
          <w:lang w:val="en-US"/>
        </w:rPr>
        <w:t>with global exposure and industry knowledge and engagement</w:t>
      </w:r>
      <w:r w:rsidR="514B7F23" w:rsidRPr="73EAA821">
        <w:rPr>
          <w:rFonts w:eastAsia="Calibri" w:cs="Calibri"/>
          <w:szCs w:val="24"/>
          <w:lang w:val="en-US"/>
        </w:rPr>
        <w:t xml:space="preserve">.  </w:t>
      </w:r>
    </w:p>
    <w:p w14:paraId="44248C5A" w14:textId="266405F3" w:rsidR="008047BE" w:rsidRPr="00555FEC" w:rsidRDefault="000D1E22"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t>3.</w:t>
      </w:r>
      <w:r w:rsidR="004F653E">
        <w:rPr>
          <w:szCs w:val="24"/>
        </w:rPr>
        <w:t>6</w:t>
      </w:r>
      <w:r w:rsidR="008047BE" w:rsidRPr="00EE1126">
        <w:rPr>
          <w:szCs w:val="24"/>
        </w:rPr>
        <w:tab/>
      </w:r>
      <w:r w:rsidR="008047BE" w:rsidRPr="00555FEC">
        <w:rPr>
          <w:szCs w:val="24"/>
        </w:rPr>
        <w:t>EQUALS in Tech Awards</w:t>
      </w:r>
    </w:p>
    <w:p w14:paraId="46837084" w14:textId="2B205422" w:rsidR="008047BE" w:rsidRPr="00EE1126" w:rsidRDefault="008047BE" w:rsidP="00FE61D1">
      <w:pPr>
        <w:tabs>
          <w:tab w:val="clear" w:pos="567"/>
          <w:tab w:val="clear" w:pos="1134"/>
          <w:tab w:val="clear" w:pos="1701"/>
          <w:tab w:val="clear" w:pos="2268"/>
          <w:tab w:val="clear" w:pos="2835"/>
        </w:tabs>
        <w:snapToGrid w:val="0"/>
        <w:spacing w:after="120"/>
        <w:jc w:val="both"/>
      </w:pPr>
      <w:r w:rsidRPr="00555FEC">
        <w:t xml:space="preserve">The </w:t>
      </w:r>
      <w:r w:rsidR="004034FF">
        <w:t>fifth</w:t>
      </w:r>
      <w:r w:rsidR="004034FF" w:rsidRPr="00555FEC">
        <w:t xml:space="preserve"> </w:t>
      </w:r>
      <w:r w:rsidRPr="00555FEC">
        <w:t xml:space="preserve">annual </w:t>
      </w:r>
      <w:hyperlink r:id="rId36" w:history="1">
        <w:r w:rsidRPr="00555FEC">
          <w:rPr>
            <w:rStyle w:val="Hyperlink"/>
          </w:rPr>
          <w:t>EQUALS in Tech Awards</w:t>
        </w:r>
      </w:hyperlink>
      <w:r w:rsidRPr="00555FEC">
        <w:t xml:space="preserve"> </w:t>
      </w:r>
      <w:r w:rsidR="212A0A76">
        <w:t xml:space="preserve">was held on 27 November 2019 in Germany in the context of the Internet Governance Forum. </w:t>
      </w:r>
      <w:r w:rsidR="001A02FE">
        <w:t>There were more than</w:t>
      </w:r>
      <w:r w:rsidR="212A0A76">
        <w:t xml:space="preserve"> 200 nominations from 68</w:t>
      </w:r>
      <w:r w:rsidR="00973DBF">
        <w:t xml:space="preserve"> countries. </w:t>
      </w:r>
      <w:r w:rsidR="212A0A76" w:rsidRPr="73EAA821">
        <w:rPr>
          <w:rFonts w:eastAsia="Calibri" w:cs="Calibri"/>
          <w:szCs w:val="24"/>
        </w:rPr>
        <w:t xml:space="preserve">The Awards celebrated five winners in the categories of Access, Skills, Research and Leadership I and II from a pool of 15 outstanding finalists from 12 countries. The EQUALS in Tech Awards was made possible through partnership with the Swiss Federal Office of Communication (OFCOM), the Internet Society and support from Inmarsat. </w:t>
      </w:r>
      <w:r w:rsidR="007430F7">
        <w:rPr>
          <w:rFonts w:eastAsia="Calibri" w:cs="Calibri"/>
          <w:szCs w:val="24"/>
        </w:rPr>
        <w:t xml:space="preserve">See also: </w:t>
      </w:r>
      <w:r w:rsidR="007A6375">
        <w:t xml:space="preserve">For the EQUALS investor work please see </w:t>
      </w:r>
      <w:hyperlink r:id="rId37" w:history="1">
        <w:r w:rsidR="007A6375" w:rsidRPr="001A404F">
          <w:rPr>
            <w:rStyle w:val="Hyperlink"/>
          </w:rPr>
          <w:t>here</w:t>
        </w:r>
      </w:hyperlink>
      <w:r w:rsidR="008D2009">
        <w:t xml:space="preserve">, </w:t>
      </w:r>
      <w:r w:rsidR="007A6375">
        <w:t>and f</w:t>
      </w:r>
      <w:r w:rsidR="007A6375">
        <w:rPr>
          <w:color w:val="000000"/>
        </w:rPr>
        <w:t xml:space="preserve">or 25 ways to be a more inclusive engineer see </w:t>
      </w:r>
      <w:hyperlink r:id="rId38" w:history="1">
        <w:r w:rsidR="007A6375" w:rsidRPr="001A404F">
          <w:rPr>
            <w:rStyle w:val="Hyperlink"/>
          </w:rPr>
          <w:t>here</w:t>
        </w:r>
      </w:hyperlink>
      <w:r w:rsidR="212A0A76" w:rsidRPr="73EAA821">
        <w:rPr>
          <w:rFonts w:eastAsia="Calibri" w:cs="Calibri"/>
          <w:szCs w:val="24"/>
        </w:rPr>
        <w:t>.</w:t>
      </w:r>
    </w:p>
    <w:p w14:paraId="308B5F38" w14:textId="003A14C0" w:rsidR="0013654D" w:rsidRPr="00555FEC" w:rsidRDefault="0013654D" w:rsidP="0013654D">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t>3.</w:t>
      </w:r>
      <w:r w:rsidR="004F653E">
        <w:rPr>
          <w:szCs w:val="24"/>
        </w:rPr>
        <w:t>7</w:t>
      </w:r>
      <w:r w:rsidRPr="00EE1126">
        <w:rPr>
          <w:szCs w:val="24"/>
        </w:rPr>
        <w:tab/>
      </w:r>
      <w:r w:rsidRPr="0013654D">
        <w:rPr>
          <w:szCs w:val="24"/>
        </w:rPr>
        <w:t xml:space="preserve">Exploring technologies and hands-on STEM experience for Girls </w:t>
      </w:r>
    </w:p>
    <w:p w14:paraId="394040EA" w14:textId="064E1511" w:rsidR="5171D844" w:rsidRDefault="5171D844" w:rsidP="73EAA821">
      <w:pPr>
        <w:jc w:val="both"/>
        <w:rPr>
          <w:rFonts w:eastAsia="Calibri" w:cs="Calibri"/>
          <w:szCs w:val="24"/>
        </w:rPr>
      </w:pPr>
      <w:r w:rsidRPr="73EAA821">
        <w:rPr>
          <w:rFonts w:eastAsia="Calibri" w:cs="Calibri"/>
          <w:szCs w:val="24"/>
        </w:rPr>
        <w:t xml:space="preserve">In order to strengthen links and interaction between ITU and the local community, ITU HQ staff provided volunteer support and organized a </w:t>
      </w:r>
      <w:hyperlink r:id="rId39">
        <w:r w:rsidRPr="007A6375">
          <w:rPr>
            <w:rStyle w:val="Hyperlink"/>
            <w:rFonts w:eastAsia="Calibri" w:cs="Calibri"/>
            <w:color w:val="auto"/>
            <w:szCs w:val="24"/>
            <w:u w:val="none"/>
          </w:rPr>
          <w:t>workshop on robotics</w:t>
        </w:r>
      </w:hyperlink>
      <w:r w:rsidRPr="007A6375">
        <w:rPr>
          <w:rFonts w:eastAsia="Calibri" w:cs="Calibri"/>
          <w:szCs w:val="24"/>
        </w:rPr>
        <w:t xml:space="preserve"> at the 2019 edition of the biennial event </w:t>
      </w:r>
      <w:r w:rsidR="00E1721A">
        <w:rPr>
          <w:rFonts w:eastAsia="Calibri" w:cs="Calibri"/>
          <w:szCs w:val="24"/>
        </w:rPr>
        <w:t>“</w:t>
      </w:r>
      <w:r w:rsidRPr="007A6375">
        <w:rPr>
          <w:rFonts w:eastAsia="Calibri" w:cs="Calibri"/>
          <w:szCs w:val="24"/>
        </w:rPr>
        <w:t>Science technology Day for Girls</w:t>
      </w:r>
      <w:r w:rsidR="00E1721A">
        <w:rPr>
          <w:rFonts w:eastAsia="Calibri" w:cs="Calibri"/>
          <w:szCs w:val="24"/>
        </w:rPr>
        <w:t>”</w:t>
      </w:r>
      <w:r w:rsidRPr="007A6375">
        <w:rPr>
          <w:rFonts w:eastAsia="Calibri" w:cs="Calibri"/>
          <w:szCs w:val="24"/>
        </w:rPr>
        <w:t>. This was the third participation to this event (editions 2015, 2017</w:t>
      </w:r>
      <w:r w:rsidR="00E1721A">
        <w:rPr>
          <w:rFonts w:eastAsia="Calibri" w:cs="Calibri"/>
          <w:szCs w:val="24"/>
        </w:rPr>
        <w:t>,</w:t>
      </w:r>
      <w:r w:rsidRPr="007A6375">
        <w:rPr>
          <w:rFonts w:eastAsia="Calibri" w:cs="Calibri"/>
          <w:szCs w:val="24"/>
        </w:rPr>
        <w:t xml:space="preserve"> and 2019), hosted at the University of Geneva in November 2019. This event is designed to encourage girls aged 11 to 14 to study science, mathematics, engineering</w:t>
      </w:r>
      <w:r w:rsidR="00E1721A">
        <w:rPr>
          <w:rFonts w:eastAsia="Calibri" w:cs="Calibri"/>
          <w:szCs w:val="24"/>
        </w:rPr>
        <w:t>,</w:t>
      </w:r>
      <w:r w:rsidRPr="007A6375">
        <w:rPr>
          <w:rFonts w:eastAsia="Calibri" w:cs="Calibri"/>
          <w:szCs w:val="24"/>
        </w:rPr>
        <w:t xml:space="preserve"> and technology (STEM) subjects.</w:t>
      </w:r>
    </w:p>
    <w:p w14:paraId="4FE15F73" w14:textId="1CAADE0A" w:rsidR="002D331D" w:rsidRPr="00555FEC" w:rsidRDefault="002D331D" w:rsidP="002D331D">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t>3.</w:t>
      </w:r>
      <w:r w:rsidR="004F653E">
        <w:rPr>
          <w:szCs w:val="24"/>
        </w:rPr>
        <w:t>8</w:t>
      </w:r>
      <w:r w:rsidRPr="00EE1126">
        <w:rPr>
          <w:szCs w:val="24"/>
        </w:rPr>
        <w:tab/>
      </w:r>
      <w:r>
        <w:rPr>
          <w:szCs w:val="24"/>
        </w:rPr>
        <w:t>Liaison Office in New York</w:t>
      </w:r>
    </w:p>
    <w:p w14:paraId="14178DFB" w14:textId="2B0CB7DB" w:rsidR="002D331D" w:rsidRPr="00EE1126" w:rsidRDefault="002D331D" w:rsidP="002D331D">
      <w:pPr>
        <w:tabs>
          <w:tab w:val="clear" w:pos="567"/>
          <w:tab w:val="clear" w:pos="1134"/>
          <w:tab w:val="clear" w:pos="1701"/>
          <w:tab w:val="clear" w:pos="2268"/>
          <w:tab w:val="clear" w:pos="2835"/>
        </w:tabs>
        <w:snapToGrid w:val="0"/>
        <w:spacing w:after="120"/>
        <w:jc w:val="both"/>
      </w:pPr>
      <w:r>
        <w:t xml:space="preserve">ITU’s </w:t>
      </w:r>
      <w:r w:rsidRPr="002D331D">
        <w:t xml:space="preserve">liaison office at the UN in New York </w:t>
      </w:r>
      <w:r>
        <w:t xml:space="preserve">is also actively engaged in </w:t>
      </w:r>
      <w:r w:rsidRPr="002D331D">
        <w:t xml:space="preserve">communications and partnership building activities to support implementation of </w:t>
      </w:r>
      <w:r w:rsidR="005279FA">
        <w:t>R</w:t>
      </w:r>
      <w:r>
        <w:t>esolution 70</w:t>
      </w:r>
      <w:r w:rsidRPr="002D331D">
        <w:t xml:space="preserve">. This includes promoting </w:t>
      </w:r>
      <w:r>
        <w:t xml:space="preserve">ITU </w:t>
      </w:r>
      <w:r w:rsidR="005279FA">
        <w:t xml:space="preserve">initiatives </w:t>
      </w:r>
      <w:r w:rsidRPr="002D331D">
        <w:t xml:space="preserve">at </w:t>
      </w:r>
      <w:r>
        <w:t xml:space="preserve">UN and other external </w:t>
      </w:r>
      <w:r w:rsidRPr="002D331D">
        <w:t>events</w:t>
      </w:r>
      <w:r>
        <w:t>.</w:t>
      </w:r>
      <w:r w:rsidRPr="002D331D">
        <w:t xml:space="preserve"> </w:t>
      </w:r>
      <w:r w:rsidR="005279FA" w:rsidRPr="002D331D">
        <w:t>Side events organized at UN Headquarters during 2019 addressed gender equality themes including</w:t>
      </w:r>
      <w:r w:rsidR="00F20828">
        <w:t>: gender equality/</w:t>
      </w:r>
      <w:r w:rsidR="005279FA" w:rsidRPr="002D331D">
        <w:t>women</w:t>
      </w:r>
      <w:r w:rsidR="00F20828">
        <w:t xml:space="preserve"> </w:t>
      </w:r>
      <w:r w:rsidR="005279FA" w:rsidRPr="002D331D">
        <w:t>in the tech sector, women</w:t>
      </w:r>
      <w:r w:rsidR="00F20828">
        <w:t>-</w:t>
      </w:r>
      <w:r w:rsidR="005279FA" w:rsidRPr="002D331D">
        <w:t>in</w:t>
      </w:r>
      <w:r w:rsidR="00F20828">
        <w:t>-</w:t>
      </w:r>
      <w:r w:rsidR="005279FA" w:rsidRPr="002D331D">
        <w:t xml:space="preserve">tech with disabilities, </w:t>
      </w:r>
      <w:r w:rsidR="00F20828">
        <w:t xml:space="preserve">digital gender </w:t>
      </w:r>
      <w:r w:rsidR="00F20828" w:rsidRPr="002D331D">
        <w:t xml:space="preserve">divide, </w:t>
      </w:r>
      <w:r w:rsidR="005279FA" w:rsidRPr="002D331D">
        <w:t xml:space="preserve">digital skills for women and girls and impacts of AI/automation on women.  </w:t>
      </w:r>
      <w:r w:rsidR="005279FA">
        <w:t>ITU’s</w:t>
      </w:r>
      <w:r w:rsidRPr="002D331D">
        <w:t xml:space="preserve"> long-standing partnership with the New York City Mayor’s office </w:t>
      </w:r>
      <w:r w:rsidR="005279FA">
        <w:t>involves</w:t>
      </w:r>
      <w:r w:rsidRPr="002D331D">
        <w:t xml:space="preserve"> activities to inspire local girls’ interest in ICT studies and careers</w:t>
      </w:r>
      <w:r w:rsidR="005279FA">
        <w:t>.</w:t>
      </w:r>
      <w:r w:rsidRPr="002D331D">
        <w:t xml:space="preserve"> ITU NY also co-chairs the gender working group of the UN Inter-agency </w:t>
      </w:r>
      <w:r w:rsidR="00F85061">
        <w:t>t</w:t>
      </w:r>
      <w:r w:rsidRPr="002D331D">
        <w:t>ask</w:t>
      </w:r>
      <w:r w:rsidR="00F85061">
        <w:t>-</w:t>
      </w:r>
      <w:r w:rsidRPr="002D331D">
        <w:t xml:space="preserve">team in Science, Technology and Innovation.  </w:t>
      </w:r>
    </w:p>
    <w:p w14:paraId="01090FB1" w14:textId="77777777"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ind w:left="0" w:firstLine="0"/>
        <w:rPr>
          <w:rFonts w:eastAsia="SimSun"/>
          <w:sz w:val="24"/>
          <w:szCs w:val="24"/>
        </w:rPr>
      </w:pPr>
      <w:r w:rsidRPr="00EE1126">
        <w:rPr>
          <w:sz w:val="24"/>
          <w:szCs w:val="24"/>
        </w:rPr>
        <w:lastRenderedPageBreak/>
        <w:t>4</w:t>
      </w:r>
      <w:r w:rsidRPr="00EE1126">
        <w:rPr>
          <w:sz w:val="24"/>
          <w:szCs w:val="24"/>
        </w:rPr>
        <w:tab/>
        <w:t>Reinforcing Women</w:t>
      </w:r>
      <w:r>
        <w:rPr>
          <w:sz w:val="24"/>
          <w:szCs w:val="24"/>
        </w:rPr>
        <w:t>’</w:t>
      </w:r>
      <w:r w:rsidRPr="00EE1126">
        <w:rPr>
          <w:sz w:val="24"/>
          <w:szCs w:val="24"/>
        </w:rPr>
        <w:t>s Participation in ITU</w:t>
      </w:r>
      <w:r>
        <w:rPr>
          <w:sz w:val="24"/>
          <w:szCs w:val="24"/>
        </w:rPr>
        <w:t>’</w:t>
      </w:r>
      <w:r w:rsidRPr="00EE1126">
        <w:rPr>
          <w:sz w:val="24"/>
          <w:szCs w:val="24"/>
        </w:rPr>
        <w:t xml:space="preserve">s </w:t>
      </w:r>
      <w:r>
        <w:rPr>
          <w:sz w:val="24"/>
          <w:szCs w:val="24"/>
        </w:rPr>
        <w:t xml:space="preserve">Meetings and </w:t>
      </w:r>
      <w:r w:rsidRPr="00EE1126">
        <w:rPr>
          <w:sz w:val="24"/>
          <w:szCs w:val="24"/>
        </w:rPr>
        <w:t>Conferences</w:t>
      </w:r>
    </w:p>
    <w:p w14:paraId="53AB9F97" w14:textId="77777777"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lang w:val="en-CA"/>
        </w:rPr>
      </w:pPr>
      <w:r>
        <w:rPr>
          <w:szCs w:val="24"/>
          <w:lang w:val="en-CA"/>
        </w:rPr>
        <w:t>4.1</w:t>
      </w:r>
      <w:r w:rsidRPr="00EE1126">
        <w:rPr>
          <w:szCs w:val="24"/>
          <w:lang w:val="en-CA"/>
        </w:rPr>
        <w:tab/>
        <w:t>Gender Equality in Delegations</w:t>
      </w:r>
      <w:r w:rsidR="00FF786C">
        <w:rPr>
          <w:szCs w:val="24"/>
          <w:lang w:val="en-CA"/>
        </w:rPr>
        <w:t xml:space="preserve"> and Conferences</w:t>
      </w:r>
    </w:p>
    <w:p w14:paraId="7A1636B9" w14:textId="010B3718" w:rsidR="008047BE" w:rsidRDefault="00A10B11" w:rsidP="008047BE">
      <w:pPr>
        <w:tabs>
          <w:tab w:val="clear" w:pos="567"/>
          <w:tab w:val="clear" w:pos="1134"/>
          <w:tab w:val="clear" w:pos="1701"/>
          <w:tab w:val="clear" w:pos="2268"/>
          <w:tab w:val="clear" w:pos="2835"/>
        </w:tabs>
        <w:snapToGrid w:val="0"/>
        <w:spacing w:after="120"/>
        <w:jc w:val="both"/>
        <w:rPr>
          <w:szCs w:val="24"/>
          <w:lang w:val="en-CA"/>
        </w:rPr>
      </w:pPr>
      <w:r>
        <w:rPr>
          <w:szCs w:val="24"/>
          <w:lang w:val="en-CA"/>
        </w:rPr>
        <w:t xml:space="preserve">Stemming from </w:t>
      </w:r>
      <w:r w:rsidR="008047BE" w:rsidRPr="00EE1126">
        <w:rPr>
          <w:szCs w:val="24"/>
          <w:lang w:val="en-CA"/>
        </w:rPr>
        <w:t>ITU</w:t>
      </w:r>
      <w:r w:rsidR="008047BE">
        <w:rPr>
          <w:szCs w:val="24"/>
          <w:lang w:val="en-CA"/>
        </w:rPr>
        <w:t>’s collaboration</w:t>
      </w:r>
      <w:r w:rsidR="008047BE" w:rsidRPr="00EE1126">
        <w:rPr>
          <w:szCs w:val="24"/>
          <w:lang w:val="en-CA"/>
        </w:rPr>
        <w:t xml:space="preserve"> on the publication </w:t>
      </w:r>
      <w:r w:rsidR="00E1721A">
        <w:rPr>
          <w:szCs w:val="24"/>
          <w:lang w:val="en-CA"/>
        </w:rPr>
        <w:t>“</w:t>
      </w:r>
      <w:hyperlink r:id="rId40" w:history="1">
        <w:r w:rsidR="008047BE" w:rsidRPr="009B6FAE">
          <w:rPr>
            <w:rStyle w:val="Hyperlink"/>
            <w:szCs w:val="24"/>
            <w:lang w:val="en-CA"/>
          </w:rPr>
          <w:t>Shaping the international agenda: Raising women’s voices in intergovernmental forums</w:t>
        </w:r>
      </w:hyperlink>
      <w:r w:rsidR="00E1721A">
        <w:rPr>
          <w:szCs w:val="24"/>
          <w:lang w:val="en-CA"/>
        </w:rPr>
        <w:t>“</w:t>
      </w:r>
      <w:r w:rsidR="00394DFF">
        <w:rPr>
          <w:szCs w:val="24"/>
          <w:lang w:val="en-CA"/>
        </w:rPr>
        <w:t>,</w:t>
      </w:r>
      <w:r w:rsidR="008047BE">
        <w:rPr>
          <w:szCs w:val="24"/>
          <w:lang w:val="en-CA"/>
        </w:rPr>
        <w:t xml:space="preserve"> ITU </w:t>
      </w:r>
      <w:r>
        <w:rPr>
          <w:szCs w:val="24"/>
          <w:lang w:val="en-CA"/>
        </w:rPr>
        <w:t xml:space="preserve">continues efforts to increase participation of women in </w:t>
      </w:r>
      <w:r w:rsidR="00973DBF">
        <w:rPr>
          <w:szCs w:val="24"/>
          <w:lang w:val="en-CA"/>
        </w:rPr>
        <w:t xml:space="preserve">ITU </w:t>
      </w:r>
      <w:r>
        <w:rPr>
          <w:szCs w:val="24"/>
          <w:lang w:val="en-CA"/>
        </w:rPr>
        <w:t>events</w:t>
      </w:r>
      <w:r w:rsidR="00973DBF">
        <w:rPr>
          <w:szCs w:val="24"/>
          <w:lang w:val="en-CA"/>
        </w:rPr>
        <w:t>.</w:t>
      </w:r>
      <w:r w:rsidR="00AE7E48">
        <w:rPr>
          <w:szCs w:val="24"/>
          <w:lang w:val="en-CA"/>
        </w:rPr>
        <w:t xml:space="preserve"> </w:t>
      </w:r>
      <w:r w:rsidR="00973DBF">
        <w:rPr>
          <w:szCs w:val="24"/>
          <w:lang w:val="en-CA"/>
        </w:rPr>
        <w:t>An</w:t>
      </w:r>
      <w:r w:rsidR="00AE7E48">
        <w:rPr>
          <w:szCs w:val="24"/>
          <w:lang w:val="en-CA"/>
        </w:rPr>
        <w:t xml:space="preserve"> </w:t>
      </w:r>
      <w:r w:rsidR="00973DBF">
        <w:rPr>
          <w:szCs w:val="24"/>
          <w:lang w:val="en-CA"/>
        </w:rPr>
        <w:t xml:space="preserve">internal </w:t>
      </w:r>
      <w:r w:rsidR="00AE7E48">
        <w:rPr>
          <w:szCs w:val="24"/>
          <w:lang w:val="en-CA"/>
        </w:rPr>
        <w:t xml:space="preserve">checklist </w:t>
      </w:r>
      <w:r w:rsidR="00973DBF">
        <w:rPr>
          <w:szCs w:val="24"/>
          <w:lang w:val="en-CA"/>
        </w:rPr>
        <w:t xml:space="preserve">supports staff </w:t>
      </w:r>
      <w:r w:rsidR="00AE7E48">
        <w:rPr>
          <w:szCs w:val="24"/>
          <w:lang w:val="en-CA"/>
        </w:rPr>
        <w:t>in planning gender-responsive events.</w:t>
      </w:r>
      <w:r>
        <w:rPr>
          <w:szCs w:val="24"/>
          <w:lang w:val="en-CA"/>
        </w:rPr>
        <w:t xml:space="preserve"> </w:t>
      </w:r>
      <w:r w:rsidR="00ED128F">
        <w:rPr>
          <w:szCs w:val="24"/>
          <w:lang w:val="en-CA"/>
        </w:rPr>
        <w:t>Conference c</w:t>
      </w:r>
      <w:r w:rsidR="008047BE">
        <w:rPr>
          <w:szCs w:val="24"/>
          <w:lang w:val="en-CA"/>
        </w:rPr>
        <w:t xml:space="preserve">ircular letters </w:t>
      </w:r>
      <w:r w:rsidR="00B9201A">
        <w:rPr>
          <w:szCs w:val="24"/>
          <w:lang w:val="en-CA"/>
        </w:rPr>
        <w:t xml:space="preserve">to membership </w:t>
      </w:r>
      <w:r w:rsidR="00ED128F">
        <w:rPr>
          <w:szCs w:val="24"/>
          <w:lang w:val="en-CA"/>
        </w:rPr>
        <w:t xml:space="preserve">and event invitations </w:t>
      </w:r>
      <w:r w:rsidR="008047BE">
        <w:rPr>
          <w:szCs w:val="24"/>
          <w:lang w:val="en-CA"/>
        </w:rPr>
        <w:t xml:space="preserve">encourage gender-balanced representation and invite nominations of women for key roles. </w:t>
      </w:r>
      <w:r w:rsidR="00F20828">
        <w:rPr>
          <w:szCs w:val="24"/>
          <w:lang w:val="en-CA"/>
        </w:rPr>
        <w:t>S</w:t>
      </w:r>
      <w:r w:rsidR="00B9201A">
        <w:rPr>
          <w:szCs w:val="24"/>
          <w:lang w:val="en-CA"/>
        </w:rPr>
        <w:t xml:space="preserve">tatistics are reported on event pages (see Council 2019) and ITU’s </w:t>
      </w:r>
      <w:hyperlink r:id="rId41" w:history="1">
        <w:r w:rsidR="001A328B">
          <w:rPr>
            <w:rStyle w:val="Hyperlink"/>
            <w:szCs w:val="24"/>
            <w:lang w:val="en-CA"/>
          </w:rPr>
          <w:t>g</w:t>
        </w:r>
        <w:r w:rsidR="00B9201A" w:rsidRPr="000F187B">
          <w:rPr>
            <w:rStyle w:val="Hyperlink"/>
            <w:szCs w:val="24"/>
            <w:lang w:val="en-CA"/>
          </w:rPr>
          <w:t xml:space="preserve">ender </w:t>
        </w:r>
        <w:r w:rsidR="001A328B">
          <w:rPr>
            <w:rStyle w:val="Hyperlink"/>
            <w:szCs w:val="24"/>
            <w:lang w:val="en-CA"/>
          </w:rPr>
          <w:t>d</w:t>
        </w:r>
        <w:r w:rsidR="00B9201A" w:rsidRPr="000F187B">
          <w:rPr>
            <w:rStyle w:val="Hyperlink"/>
            <w:szCs w:val="24"/>
            <w:lang w:val="en-CA"/>
          </w:rPr>
          <w:t>ashboard</w:t>
        </w:r>
      </w:hyperlink>
      <w:r w:rsidR="00B9201A">
        <w:rPr>
          <w:szCs w:val="24"/>
          <w:lang w:val="en-CA"/>
        </w:rPr>
        <w:t>.</w:t>
      </w:r>
    </w:p>
    <w:p w14:paraId="413E5ED4" w14:textId="110D228B"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lang w:val="en-CA"/>
        </w:rPr>
      </w:pPr>
      <w:bookmarkStart w:id="13" w:name="_Hlk2341777"/>
      <w:r>
        <w:rPr>
          <w:szCs w:val="24"/>
          <w:lang w:val="en-CA"/>
        </w:rPr>
        <w:t>4.2</w:t>
      </w:r>
      <w:r w:rsidRPr="00EE1126">
        <w:rPr>
          <w:szCs w:val="24"/>
          <w:lang w:val="en-CA"/>
        </w:rPr>
        <w:tab/>
      </w:r>
      <w:r w:rsidR="000F187B">
        <w:rPr>
          <w:szCs w:val="24"/>
          <w:lang w:val="en-CA"/>
        </w:rPr>
        <w:t>Machine Learning to Determine Speaking Time</w:t>
      </w:r>
      <w:r w:rsidR="003273CC" w:rsidDel="00FF786C">
        <w:rPr>
          <w:szCs w:val="24"/>
          <w:lang w:val="en-CA"/>
        </w:rPr>
        <w:t xml:space="preserve"> </w:t>
      </w:r>
    </w:p>
    <w:p w14:paraId="10C8BC2B" w14:textId="2407B539" w:rsidR="008047BE" w:rsidRPr="00D35101" w:rsidRDefault="00A10B11" w:rsidP="004C6C96">
      <w:pPr>
        <w:jc w:val="both"/>
        <w:rPr>
          <w:rFonts w:asciiTheme="minorHAnsi" w:hAnsiTheme="minorHAnsi"/>
          <w:szCs w:val="24"/>
        </w:rPr>
      </w:pPr>
      <w:r>
        <w:rPr>
          <w:rFonts w:asciiTheme="minorHAnsi" w:hAnsiTheme="minorHAnsi"/>
        </w:rPr>
        <w:t xml:space="preserve">ITU </w:t>
      </w:r>
      <w:r w:rsidR="0013534A">
        <w:rPr>
          <w:rFonts w:asciiTheme="minorHAnsi" w:hAnsiTheme="minorHAnsi"/>
        </w:rPr>
        <w:t>is</w:t>
      </w:r>
      <w:r>
        <w:rPr>
          <w:rFonts w:asciiTheme="minorHAnsi" w:hAnsiTheme="minorHAnsi"/>
        </w:rPr>
        <w:t xml:space="preserve"> collaborating with the </w:t>
      </w:r>
      <w:r w:rsidRPr="00A10B11">
        <w:rPr>
          <w:rFonts w:asciiTheme="minorHAnsi" w:hAnsiTheme="minorHAnsi"/>
        </w:rPr>
        <w:t>University of Southern California’s Signal Analysis and Interpretation Laboratory (USC/SAIL)</w:t>
      </w:r>
      <w:r>
        <w:rPr>
          <w:rFonts w:asciiTheme="minorHAnsi" w:hAnsiTheme="minorHAnsi"/>
        </w:rPr>
        <w:t xml:space="preserve"> to</w:t>
      </w:r>
      <w:r w:rsidR="00D75F91">
        <w:rPr>
          <w:rFonts w:asciiTheme="minorHAnsi" w:hAnsiTheme="minorHAnsi"/>
        </w:rPr>
        <w:t xml:space="preserve"> use ICT</w:t>
      </w:r>
      <w:r>
        <w:rPr>
          <w:rFonts w:asciiTheme="minorHAnsi" w:hAnsiTheme="minorHAnsi"/>
        </w:rPr>
        <w:t xml:space="preserve"> </w:t>
      </w:r>
      <w:r w:rsidR="00D75F91">
        <w:rPr>
          <w:rFonts w:asciiTheme="minorHAnsi" w:hAnsiTheme="minorHAnsi"/>
        </w:rPr>
        <w:t xml:space="preserve">to </w:t>
      </w:r>
      <w:r>
        <w:rPr>
          <w:rFonts w:asciiTheme="minorHAnsi" w:hAnsiTheme="minorHAnsi"/>
        </w:rPr>
        <w:t xml:space="preserve">better understand participation of women at ITU events. </w:t>
      </w:r>
      <w:r w:rsidR="0013534A">
        <w:rPr>
          <w:rFonts w:asciiTheme="minorHAnsi" w:hAnsiTheme="minorHAnsi"/>
        </w:rPr>
        <w:t>Based on the premise that you cannot fix what you cannot see, m</w:t>
      </w:r>
      <w:r w:rsidR="009C3FA6">
        <w:rPr>
          <w:rFonts w:asciiTheme="minorHAnsi" w:hAnsiTheme="minorHAnsi"/>
        </w:rPr>
        <w:t>achine learning-based software is used to analyse</w:t>
      </w:r>
      <w:r w:rsidR="00D75F91">
        <w:rPr>
          <w:rFonts w:asciiTheme="minorHAnsi" w:hAnsiTheme="minorHAnsi"/>
        </w:rPr>
        <w:t xml:space="preserve"> </w:t>
      </w:r>
      <w:r w:rsidR="009C3FA6">
        <w:rPr>
          <w:rFonts w:asciiTheme="minorHAnsi" w:hAnsiTheme="minorHAnsi"/>
        </w:rPr>
        <w:t>conference webcasts</w:t>
      </w:r>
      <w:r w:rsidR="00D75F91">
        <w:rPr>
          <w:rFonts w:asciiTheme="minorHAnsi" w:hAnsiTheme="minorHAnsi"/>
        </w:rPr>
        <w:t xml:space="preserve"> in the original language </w:t>
      </w:r>
      <w:r w:rsidR="009C3FA6">
        <w:rPr>
          <w:rFonts w:asciiTheme="minorHAnsi" w:hAnsiTheme="minorHAnsi"/>
        </w:rPr>
        <w:t xml:space="preserve">to </w:t>
      </w:r>
      <w:r w:rsidR="00D75F91">
        <w:rPr>
          <w:rFonts w:asciiTheme="minorHAnsi" w:hAnsiTheme="minorHAnsi"/>
        </w:rPr>
        <w:t xml:space="preserve">determine </w:t>
      </w:r>
      <w:r w:rsidR="009C3FA6">
        <w:rPr>
          <w:rFonts w:asciiTheme="minorHAnsi" w:hAnsiTheme="minorHAnsi"/>
        </w:rPr>
        <w:t xml:space="preserve">percentage of </w:t>
      </w:r>
      <w:r w:rsidR="00D75F91">
        <w:rPr>
          <w:rFonts w:asciiTheme="minorHAnsi" w:hAnsiTheme="minorHAnsi"/>
        </w:rPr>
        <w:t>female and male voices</w:t>
      </w:r>
      <w:r w:rsidR="009C3FA6">
        <w:rPr>
          <w:rFonts w:asciiTheme="minorHAnsi" w:hAnsiTheme="minorHAnsi"/>
        </w:rPr>
        <w:t xml:space="preserve">. </w:t>
      </w:r>
      <w:r w:rsidR="00973DBF">
        <w:rPr>
          <w:rFonts w:asciiTheme="minorHAnsi" w:hAnsiTheme="minorHAnsi"/>
        </w:rPr>
        <w:t>Results</w:t>
      </w:r>
      <w:r w:rsidR="009C3FA6">
        <w:rPr>
          <w:rFonts w:asciiTheme="minorHAnsi" w:hAnsiTheme="minorHAnsi"/>
        </w:rPr>
        <w:t xml:space="preserve"> </w:t>
      </w:r>
      <w:r w:rsidR="00973DBF">
        <w:rPr>
          <w:rFonts w:asciiTheme="minorHAnsi" w:hAnsiTheme="minorHAnsi"/>
        </w:rPr>
        <w:t>are made available</w:t>
      </w:r>
      <w:r w:rsidR="009C3FA6">
        <w:rPr>
          <w:rFonts w:asciiTheme="minorHAnsi" w:hAnsiTheme="minorHAnsi"/>
        </w:rPr>
        <w:t xml:space="preserve"> on the </w:t>
      </w:r>
      <w:hyperlink r:id="rId42" w:history="1">
        <w:r w:rsidR="009C3FA6" w:rsidRPr="00264CF5">
          <w:rPr>
            <w:rStyle w:val="Hyperlink"/>
            <w:rFonts w:asciiTheme="minorHAnsi" w:hAnsiTheme="minorHAnsi"/>
          </w:rPr>
          <w:t>gender dashboard</w:t>
        </w:r>
      </w:hyperlink>
      <w:r w:rsidR="009C3FA6">
        <w:rPr>
          <w:rFonts w:asciiTheme="minorHAnsi" w:hAnsiTheme="minorHAnsi"/>
        </w:rPr>
        <w:t xml:space="preserve">. </w:t>
      </w:r>
      <w:r w:rsidR="009C3FA6" w:rsidRPr="00D35101">
        <w:rPr>
          <w:rFonts w:asciiTheme="minorHAnsi" w:hAnsiTheme="minorHAnsi"/>
        </w:rPr>
        <w:t xml:space="preserve"> </w:t>
      </w:r>
      <w:r w:rsidR="003F4E70">
        <w:rPr>
          <w:rFonts w:asciiTheme="minorHAnsi" w:hAnsiTheme="minorHAnsi"/>
        </w:rPr>
        <w:t xml:space="preserve"> </w:t>
      </w:r>
      <w:bookmarkEnd w:id="13"/>
      <w:r w:rsidR="008047BE" w:rsidRPr="00D35101">
        <w:rPr>
          <w:rFonts w:asciiTheme="minorHAnsi" w:hAnsiTheme="minorHAnsi"/>
        </w:rPr>
        <w:t xml:space="preserve"> </w:t>
      </w:r>
    </w:p>
    <w:p w14:paraId="7FE7663B" w14:textId="77777777"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rFonts w:eastAsia="SimSun"/>
          <w:szCs w:val="24"/>
        </w:rPr>
      </w:pPr>
      <w:r w:rsidRPr="00EE1126">
        <w:rPr>
          <w:szCs w:val="24"/>
        </w:rPr>
        <w:t>4.</w:t>
      </w:r>
      <w:r>
        <w:rPr>
          <w:szCs w:val="24"/>
        </w:rPr>
        <w:t>3</w:t>
      </w:r>
      <w:r w:rsidRPr="00EE1126">
        <w:rPr>
          <w:szCs w:val="24"/>
        </w:rPr>
        <w:tab/>
        <w:t>ITU Network of Women for WRC (NOW)</w:t>
      </w:r>
    </w:p>
    <w:p w14:paraId="4C8CBA5D" w14:textId="18CF4511" w:rsidR="00AD059F" w:rsidRDefault="00F20828" w:rsidP="73EAA821">
      <w:pPr>
        <w:jc w:val="both"/>
        <w:rPr>
          <w:rFonts w:eastAsia="Calibri" w:cs="Calibri"/>
          <w:szCs w:val="24"/>
          <w:lang w:val="en"/>
        </w:rPr>
      </w:pPr>
      <w:r>
        <w:rPr>
          <w:rFonts w:eastAsia="Calibri" w:cs="Calibri"/>
          <w:szCs w:val="24"/>
          <w:lang w:val="en"/>
        </w:rPr>
        <w:t>The</w:t>
      </w:r>
      <w:r w:rsidR="75BECBE4" w:rsidRPr="73EAA821">
        <w:rPr>
          <w:rFonts w:eastAsia="Calibri" w:cs="Calibri"/>
          <w:szCs w:val="24"/>
          <w:lang w:val="en"/>
        </w:rPr>
        <w:t xml:space="preserve"> </w:t>
      </w:r>
      <w:r w:rsidR="75BECBE4" w:rsidRPr="001269C1">
        <w:rPr>
          <w:rFonts w:eastAsia="Calibri" w:cs="Calibri"/>
          <w:szCs w:val="24"/>
          <w:lang w:val="en-US"/>
        </w:rPr>
        <w:t>Network of Women for WRC-19</w:t>
      </w:r>
      <w:r w:rsidR="001269C1">
        <w:rPr>
          <w:rFonts w:eastAsia="Calibri" w:cs="Calibri"/>
          <w:szCs w:val="24"/>
          <w:lang w:val="en-US"/>
        </w:rPr>
        <w:t xml:space="preserve"> (#NOW4WRC19) </w:t>
      </w:r>
      <w:r w:rsidR="00B9201A" w:rsidRPr="001269C1">
        <w:rPr>
          <w:rFonts w:eastAsia="Calibri" w:cs="Calibri"/>
          <w:szCs w:val="24"/>
          <w:lang w:val="en"/>
        </w:rPr>
        <w:t>is</w:t>
      </w:r>
      <w:r w:rsidR="00B9201A">
        <w:rPr>
          <w:rFonts w:eastAsia="Calibri" w:cs="Calibri"/>
          <w:szCs w:val="24"/>
          <w:lang w:val="en"/>
        </w:rPr>
        <w:t xml:space="preserve"> a </w:t>
      </w:r>
      <w:r w:rsidR="75BECBE4" w:rsidRPr="73EAA821">
        <w:rPr>
          <w:rFonts w:eastAsia="Calibri" w:cs="Calibri"/>
          <w:szCs w:val="24"/>
          <w:lang w:val="en"/>
        </w:rPr>
        <w:t xml:space="preserve">knowledge sharing and mentoring </w:t>
      </w:r>
      <w:r w:rsidR="0013534A">
        <w:rPr>
          <w:rFonts w:eastAsia="Calibri" w:cs="Calibri"/>
          <w:szCs w:val="24"/>
          <w:lang w:val="en"/>
        </w:rPr>
        <w:t xml:space="preserve">network </w:t>
      </w:r>
      <w:r w:rsidR="00B9201A">
        <w:rPr>
          <w:rFonts w:eastAsia="Calibri" w:cs="Calibri"/>
          <w:szCs w:val="24"/>
          <w:lang w:val="en"/>
        </w:rPr>
        <w:t xml:space="preserve">that </w:t>
      </w:r>
      <w:r w:rsidR="75BECBE4" w:rsidRPr="73EAA821">
        <w:rPr>
          <w:rFonts w:eastAsia="Calibri" w:cs="Calibri"/>
          <w:szCs w:val="24"/>
          <w:lang w:val="en"/>
        </w:rPr>
        <w:t xml:space="preserve">encourages gender balance in decision-making bodies, panels, statutory committees, and study groups at ITU-R events. </w:t>
      </w:r>
      <w:r w:rsidR="00AE7E48">
        <w:rPr>
          <w:rFonts w:eastAsia="Calibri" w:cs="Calibri"/>
          <w:szCs w:val="24"/>
          <w:lang w:val="en"/>
        </w:rPr>
        <w:t>T</w:t>
      </w:r>
      <w:r w:rsidR="00AD059F" w:rsidRPr="00F34E44">
        <w:rPr>
          <w:rFonts w:eastAsia="Calibri" w:cs="Calibri"/>
          <w:szCs w:val="24"/>
          <w:lang w:val="en"/>
        </w:rPr>
        <w:t xml:space="preserve">he </w:t>
      </w:r>
      <w:hyperlink r:id="rId43">
        <w:r w:rsidR="00AD059F" w:rsidRPr="00F34E44">
          <w:rPr>
            <w:rStyle w:val="Hyperlink"/>
            <w:rFonts w:eastAsia="Calibri" w:cs="Calibri"/>
            <w:color w:val="auto"/>
            <w:szCs w:val="24"/>
            <w:u w:val="none"/>
            <w:lang w:val="en-US"/>
          </w:rPr>
          <w:t>NOW</w:t>
        </w:r>
      </w:hyperlink>
      <w:r w:rsidR="00AD059F" w:rsidRPr="00F34E44">
        <w:rPr>
          <w:rFonts w:eastAsia="Calibri" w:cs="Calibri"/>
          <w:szCs w:val="24"/>
          <w:lang w:val="en-US"/>
        </w:rPr>
        <w:t xml:space="preserve"> mentorship </w:t>
      </w:r>
      <w:proofErr w:type="spellStart"/>
      <w:r w:rsidR="00AD059F" w:rsidRPr="00F34E44">
        <w:rPr>
          <w:rFonts w:eastAsia="Calibri" w:cs="Calibri"/>
          <w:szCs w:val="24"/>
          <w:lang w:val="en-US"/>
        </w:rPr>
        <w:t>programme</w:t>
      </w:r>
      <w:proofErr w:type="spellEnd"/>
      <w:r w:rsidR="00AD059F" w:rsidRPr="00F34E44">
        <w:rPr>
          <w:rFonts w:eastAsia="Calibri" w:cs="Calibri"/>
          <w:szCs w:val="24"/>
          <w:lang w:val="en-US"/>
        </w:rPr>
        <w:t xml:space="preserve"> (at CPM19-2 and WRC-19) brought together new and experienced delegates (205 enrolments) from 70 countries</w:t>
      </w:r>
      <w:r w:rsidR="0013534A">
        <w:rPr>
          <w:rFonts w:eastAsia="Calibri" w:cs="Calibri"/>
          <w:szCs w:val="24"/>
          <w:lang w:val="en-US"/>
        </w:rPr>
        <w:t>,</w:t>
      </w:r>
      <w:r w:rsidR="00AD059F" w:rsidRPr="00F34E44">
        <w:rPr>
          <w:rFonts w:eastAsia="Calibri" w:cs="Calibri"/>
          <w:szCs w:val="24"/>
          <w:lang w:val="en-US"/>
        </w:rPr>
        <w:t xml:space="preserve"> and matched over 180 mentor/mentee pairs to share knowledge and encourage a larger and more active participation of women in the WRC process. </w:t>
      </w:r>
      <w:r w:rsidR="002F47B9" w:rsidRPr="00F34E44">
        <w:rPr>
          <w:rFonts w:eastAsia="Calibri" w:cs="Calibri"/>
          <w:szCs w:val="24"/>
          <w:lang w:val="en-US"/>
        </w:rPr>
        <w:t>NOW participated</w:t>
      </w:r>
      <w:r w:rsidR="002F47B9">
        <w:rPr>
          <w:rFonts w:eastAsia="Calibri" w:cs="Calibri"/>
          <w:szCs w:val="24"/>
          <w:lang w:val="en-US"/>
        </w:rPr>
        <w:t xml:space="preserve"> in </w:t>
      </w:r>
      <w:r w:rsidR="00613533">
        <w:rPr>
          <w:rFonts w:eastAsia="Calibri" w:cs="Calibri"/>
          <w:szCs w:val="24"/>
          <w:lang w:val="en"/>
        </w:rPr>
        <w:t>a</w:t>
      </w:r>
      <w:r w:rsidR="002F47B9" w:rsidRPr="00F34E44">
        <w:rPr>
          <w:rFonts w:eastAsia="Calibri" w:cs="Calibri"/>
          <w:szCs w:val="24"/>
          <w:lang w:val="en"/>
        </w:rPr>
        <w:t xml:space="preserve"> </w:t>
      </w:r>
      <w:hyperlink r:id="rId44" w:history="1">
        <w:r w:rsidR="002F47B9" w:rsidRPr="002F47B9">
          <w:rPr>
            <w:rStyle w:val="Hyperlink"/>
            <w:rFonts w:eastAsia="Calibri" w:cs="Calibri"/>
            <w:szCs w:val="24"/>
            <w:lang w:val="en"/>
          </w:rPr>
          <w:t>Gender Mainstreaming 50/50</w:t>
        </w:r>
      </w:hyperlink>
      <w:r w:rsidR="00613533">
        <w:rPr>
          <w:rStyle w:val="Hyperlink"/>
          <w:rFonts w:eastAsia="Calibri" w:cs="Calibri"/>
          <w:color w:val="auto"/>
          <w:szCs w:val="24"/>
          <w:u w:val="none"/>
          <w:lang w:val="en"/>
        </w:rPr>
        <w:t xml:space="preserve"> </w:t>
      </w:r>
      <w:r w:rsidR="00613533">
        <w:rPr>
          <w:rFonts w:eastAsia="Calibri" w:cs="Calibri"/>
          <w:szCs w:val="24"/>
          <w:lang w:val="en"/>
        </w:rPr>
        <w:t>WSIS panel in March 2019.</w:t>
      </w:r>
      <w:r w:rsidR="002F47B9" w:rsidRPr="00F34E44">
        <w:rPr>
          <w:rFonts w:eastAsia="Calibri" w:cs="Calibri"/>
          <w:szCs w:val="24"/>
          <w:lang w:val="en"/>
        </w:rPr>
        <w:t xml:space="preserve"> </w:t>
      </w:r>
      <w:r w:rsidR="00693313">
        <w:rPr>
          <w:rFonts w:eastAsia="Calibri" w:cs="Calibri"/>
          <w:szCs w:val="24"/>
          <w:lang w:val="en"/>
        </w:rPr>
        <w:t>S</w:t>
      </w:r>
      <w:r w:rsidR="75BECBE4" w:rsidRPr="73EAA821">
        <w:rPr>
          <w:rFonts w:eastAsia="Calibri" w:cs="Calibri"/>
          <w:szCs w:val="24"/>
          <w:lang w:val="en"/>
        </w:rPr>
        <w:t xml:space="preserve">essions and social events were </w:t>
      </w:r>
      <w:r w:rsidR="00B9201A" w:rsidRPr="73EAA821">
        <w:rPr>
          <w:rFonts w:eastAsia="Calibri" w:cs="Calibri"/>
          <w:szCs w:val="24"/>
          <w:lang w:val="en"/>
        </w:rPr>
        <w:t>organized</w:t>
      </w:r>
      <w:r w:rsidR="75BECBE4" w:rsidRPr="73EAA821">
        <w:rPr>
          <w:rFonts w:eastAsia="Calibri" w:cs="Calibri"/>
          <w:szCs w:val="24"/>
          <w:lang w:val="en"/>
        </w:rPr>
        <w:t xml:space="preserve"> at CPM19-2 in Geneva and at WRC-19 in Sharm El-Sheikh</w:t>
      </w:r>
      <w:r w:rsidR="00E54DE7">
        <w:rPr>
          <w:rFonts w:eastAsia="Calibri" w:cs="Calibri"/>
          <w:szCs w:val="24"/>
          <w:lang w:val="en"/>
        </w:rPr>
        <w:t>. D</w:t>
      </w:r>
      <w:r w:rsidR="00E54DE7" w:rsidRPr="00F34E44">
        <w:rPr>
          <w:rFonts w:eastAsia="Calibri" w:cs="Calibri"/>
          <w:szCs w:val="24"/>
          <w:lang w:val="en"/>
        </w:rPr>
        <w:t xml:space="preserve">etails are available on the </w:t>
      </w:r>
      <w:hyperlink r:id="rId45" w:history="1">
        <w:r w:rsidR="00E54DE7" w:rsidRPr="00E54DE7">
          <w:rPr>
            <w:rStyle w:val="Hyperlink"/>
            <w:rFonts w:eastAsia="Calibri" w:cs="Calibri"/>
            <w:szCs w:val="24"/>
            <w:lang w:val="en"/>
          </w:rPr>
          <w:t>NOW web portal</w:t>
        </w:r>
      </w:hyperlink>
      <w:r w:rsidR="00E54DE7">
        <w:rPr>
          <w:rFonts w:eastAsia="Calibri" w:cs="Calibri"/>
          <w:szCs w:val="24"/>
          <w:lang w:val="en"/>
        </w:rPr>
        <w:t xml:space="preserve">, </w:t>
      </w:r>
      <w:r w:rsidR="00693313">
        <w:rPr>
          <w:rFonts w:eastAsia="Calibri" w:cs="Calibri"/>
          <w:szCs w:val="24"/>
          <w:lang w:val="en"/>
        </w:rPr>
        <w:t>including</w:t>
      </w:r>
      <w:r w:rsidR="00E54DE7">
        <w:rPr>
          <w:rFonts w:eastAsia="Calibri" w:cs="Calibri"/>
          <w:szCs w:val="24"/>
          <w:lang w:val="en"/>
        </w:rPr>
        <w:t xml:space="preserve"> </w:t>
      </w:r>
      <w:hyperlink r:id="rId46" w:history="1">
        <w:r w:rsidR="00E54DE7" w:rsidRPr="00BB76D2">
          <w:rPr>
            <w:rStyle w:val="Hyperlink"/>
            <w:rFonts w:eastAsia="Calibri" w:cs="Calibri"/>
            <w:szCs w:val="24"/>
            <w:lang w:val="en"/>
          </w:rPr>
          <w:t xml:space="preserve">photos from the </w:t>
        </w:r>
        <w:r w:rsidR="75BECBE4" w:rsidRPr="00BB76D2">
          <w:rPr>
            <w:rStyle w:val="Hyperlink"/>
            <w:rFonts w:eastAsia="Calibri" w:cs="Calibri"/>
            <w:szCs w:val="24"/>
            <w:lang w:val="en"/>
          </w:rPr>
          <w:t>WRC-19 reception</w:t>
        </w:r>
      </w:hyperlink>
      <w:r w:rsidR="75BECBE4" w:rsidRPr="73EAA821">
        <w:rPr>
          <w:rFonts w:eastAsia="Calibri" w:cs="Calibri"/>
          <w:szCs w:val="24"/>
          <w:lang w:val="en"/>
        </w:rPr>
        <w:t xml:space="preserve"> hosted by Egypt</w:t>
      </w:r>
      <w:r w:rsidR="75BECBE4" w:rsidRPr="00F34E44">
        <w:rPr>
          <w:rFonts w:eastAsia="Calibri" w:cs="Calibri"/>
          <w:szCs w:val="24"/>
          <w:lang w:val="en"/>
        </w:rPr>
        <w:t xml:space="preserve">. </w:t>
      </w:r>
    </w:p>
    <w:p w14:paraId="3508FB5C" w14:textId="70DCCA75" w:rsidR="75BECBE4" w:rsidRPr="00F34E44" w:rsidRDefault="00BB76D2" w:rsidP="73EAA821">
      <w:pPr>
        <w:jc w:val="both"/>
      </w:pPr>
      <w:r>
        <w:rPr>
          <w:rFonts w:eastAsia="Calibri" w:cs="Calibri"/>
          <w:szCs w:val="24"/>
          <w:lang w:val="en"/>
        </w:rPr>
        <w:t>A</w:t>
      </w:r>
      <w:r w:rsidR="75BECBE4" w:rsidRPr="00F34E44">
        <w:rPr>
          <w:rFonts w:eastAsia="Calibri" w:cs="Calibri"/>
          <w:szCs w:val="24"/>
          <w:lang w:val="en"/>
        </w:rPr>
        <w:t xml:space="preserve"> </w:t>
      </w:r>
      <w:r w:rsidR="0013534A">
        <w:rPr>
          <w:rFonts w:eastAsia="Calibri" w:cs="Calibri"/>
          <w:szCs w:val="24"/>
          <w:lang w:val="en"/>
        </w:rPr>
        <w:t>D</w:t>
      </w:r>
      <w:r w:rsidR="75BECBE4" w:rsidRPr="00F34E44">
        <w:rPr>
          <w:rFonts w:eastAsia="Calibri" w:cs="Calibri"/>
          <w:szCs w:val="24"/>
          <w:lang w:val="en"/>
        </w:rPr>
        <w:t xml:space="preserve">eclaration on Promoting Gender Equality, Equity and Parity in the ITU Radiocommunication Sector </w:t>
      </w:r>
      <w:r w:rsidR="00E54DE7">
        <w:rPr>
          <w:rFonts w:eastAsia="Calibri" w:cs="Calibri"/>
          <w:szCs w:val="24"/>
          <w:lang w:val="en"/>
        </w:rPr>
        <w:t xml:space="preserve">was adopted at </w:t>
      </w:r>
      <w:r w:rsidR="75BECBE4" w:rsidRPr="00F34E44">
        <w:rPr>
          <w:rFonts w:eastAsia="Calibri" w:cs="Calibri"/>
          <w:szCs w:val="24"/>
          <w:lang w:val="en"/>
        </w:rPr>
        <w:t>WRC</w:t>
      </w:r>
      <w:r w:rsidR="00E54DE7">
        <w:rPr>
          <w:rFonts w:eastAsia="Calibri" w:cs="Calibri"/>
          <w:szCs w:val="24"/>
          <w:lang w:val="en"/>
        </w:rPr>
        <w:t>,</w:t>
      </w:r>
      <w:r w:rsidR="75BECBE4" w:rsidRPr="00F34E44">
        <w:rPr>
          <w:rFonts w:eastAsia="Calibri" w:cs="Calibri"/>
          <w:szCs w:val="24"/>
          <w:lang w:val="en"/>
        </w:rPr>
        <w:t xml:space="preserve"> recogniz</w:t>
      </w:r>
      <w:r w:rsidR="00E54DE7">
        <w:rPr>
          <w:rFonts w:eastAsia="Calibri" w:cs="Calibri"/>
          <w:szCs w:val="24"/>
          <w:lang w:val="en"/>
        </w:rPr>
        <w:t>ing the</w:t>
      </w:r>
      <w:r w:rsidR="75BECBE4" w:rsidRPr="00F34E44">
        <w:rPr>
          <w:rFonts w:eastAsia="Calibri" w:cs="Calibri"/>
          <w:szCs w:val="24"/>
          <w:lang w:val="en"/>
        </w:rPr>
        <w:t xml:space="preserve"> need to accelerate efforts towards gender equality, equity and parity in ITU community.</w:t>
      </w:r>
      <w:r w:rsidR="75BECBE4" w:rsidRPr="00AD059F">
        <w:rPr>
          <w:rFonts w:eastAsia="Calibri" w:cs="Calibri"/>
          <w:szCs w:val="24"/>
          <w:lang w:val="en"/>
        </w:rPr>
        <w:t xml:space="preserve"> </w:t>
      </w:r>
      <w:r w:rsidR="0013534A">
        <w:rPr>
          <w:rFonts w:eastAsia="Calibri" w:cs="Calibri"/>
          <w:szCs w:val="24"/>
          <w:lang w:val="en"/>
        </w:rPr>
        <w:t xml:space="preserve">Read also: </w:t>
      </w:r>
      <w:hyperlink r:id="rId47" w:history="1">
        <w:r w:rsidR="00F34E44" w:rsidRPr="0013534A">
          <w:rPr>
            <w:rStyle w:val="Hyperlink"/>
            <w:rFonts w:eastAsia="Calibri" w:cs="Calibri"/>
            <w:szCs w:val="24"/>
            <w:lang w:val="en"/>
          </w:rPr>
          <w:t>BR Director’s Statement</w:t>
        </w:r>
      </w:hyperlink>
      <w:r w:rsidR="0013534A">
        <w:rPr>
          <w:rFonts w:eastAsia="Calibri" w:cs="Calibri"/>
          <w:szCs w:val="24"/>
          <w:lang w:val="en"/>
        </w:rPr>
        <w:t xml:space="preserve"> and</w:t>
      </w:r>
      <w:r w:rsidR="00F34E44" w:rsidRPr="00AD059F">
        <w:rPr>
          <w:rFonts w:eastAsia="Calibri" w:cs="Calibri"/>
          <w:szCs w:val="24"/>
          <w:lang w:val="en"/>
        </w:rPr>
        <w:t xml:space="preserve"> </w:t>
      </w:r>
      <w:hyperlink r:id="rId48" w:history="1">
        <w:r w:rsidR="0013534A" w:rsidRPr="0013534A">
          <w:rPr>
            <w:rStyle w:val="Hyperlink"/>
            <w:rFonts w:eastAsia="Calibri" w:cs="Calibri"/>
            <w:szCs w:val="24"/>
            <w:lang w:val="en"/>
          </w:rPr>
          <w:t xml:space="preserve">ITU </w:t>
        </w:r>
        <w:r w:rsidR="00F34E44" w:rsidRPr="0013534A">
          <w:rPr>
            <w:rStyle w:val="Hyperlink"/>
            <w:rFonts w:eastAsia="Calibri" w:cs="Calibri"/>
            <w:szCs w:val="24"/>
            <w:lang w:val="en"/>
          </w:rPr>
          <w:t>Communiqué</w:t>
        </w:r>
      </w:hyperlink>
      <w:r w:rsidR="0013534A" w:rsidRPr="0013534A">
        <w:rPr>
          <w:rFonts w:eastAsia="Calibri" w:cs="Calibri"/>
          <w:szCs w:val="24"/>
          <w:lang w:val="en"/>
        </w:rPr>
        <w:t>.</w:t>
      </w:r>
    </w:p>
    <w:p w14:paraId="09D0D46F" w14:textId="71241A68"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sidRPr="00EE1126">
        <w:rPr>
          <w:szCs w:val="24"/>
        </w:rPr>
        <w:t>4</w:t>
      </w:r>
      <w:r>
        <w:rPr>
          <w:szCs w:val="24"/>
        </w:rPr>
        <w:t>.4</w:t>
      </w:r>
      <w:r w:rsidRPr="00EE1126">
        <w:rPr>
          <w:szCs w:val="24"/>
        </w:rPr>
        <w:tab/>
      </w:r>
      <w:r w:rsidR="00136C27">
        <w:rPr>
          <w:szCs w:val="24"/>
        </w:rPr>
        <w:t xml:space="preserve">Setting the </w:t>
      </w:r>
      <w:r w:rsidR="00644E56">
        <w:rPr>
          <w:szCs w:val="24"/>
        </w:rPr>
        <w:t>S</w:t>
      </w:r>
      <w:r w:rsidR="00136C27">
        <w:rPr>
          <w:szCs w:val="24"/>
        </w:rPr>
        <w:t xml:space="preserve">tandard for </w:t>
      </w:r>
      <w:r w:rsidR="00644E56">
        <w:rPr>
          <w:szCs w:val="24"/>
        </w:rPr>
        <w:t>G</w:t>
      </w:r>
      <w:r w:rsidR="00136C27">
        <w:rPr>
          <w:szCs w:val="24"/>
        </w:rPr>
        <w:t xml:space="preserve">ender </w:t>
      </w:r>
      <w:r w:rsidR="00644E56">
        <w:rPr>
          <w:szCs w:val="24"/>
        </w:rPr>
        <w:t>E</w:t>
      </w:r>
      <w:r w:rsidR="00136C27">
        <w:rPr>
          <w:szCs w:val="24"/>
        </w:rPr>
        <w:t>quality</w:t>
      </w:r>
    </w:p>
    <w:p w14:paraId="2B726BA2" w14:textId="6CDC3506" w:rsidR="008047BE" w:rsidRDefault="00561A99" w:rsidP="00561A99">
      <w:pPr>
        <w:tabs>
          <w:tab w:val="clear" w:pos="567"/>
          <w:tab w:val="clear" w:pos="1134"/>
          <w:tab w:val="clear" w:pos="1701"/>
          <w:tab w:val="clear" w:pos="2268"/>
          <w:tab w:val="clear" w:pos="2835"/>
        </w:tabs>
        <w:snapToGrid w:val="0"/>
        <w:spacing w:after="120"/>
        <w:jc w:val="both"/>
        <w:rPr>
          <w:rFonts w:eastAsia="SimSun"/>
          <w:szCs w:val="24"/>
        </w:rPr>
      </w:pPr>
      <w:bookmarkStart w:id="14" w:name="_Hlk2181458"/>
      <w:r w:rsidRPr="00561A99">
        <w:rPr>
          <w:rFonts w:eastAsia="SimSun"/>
          <w:szCs w:val="24"/>
        </w:rPr>
        <w:t xml:space="preserve">The Director of TSB, Dr Chaesub Lee, continues to undertake actions to improve gender equality in TSB and ITU-T. In 2019, 80 per cent of promotion into higher grades in TSB were awarded to women mainly in the professional category. Further, the Secretariat is using in-house talent to develop software and applications such as Deep Voice Recognition (DVR) to help track data on active participation by men and women in ITU-T activities with the aim to encourage more participation by women.  The AI for Good Summit, a TSB initiative, continues to focus on increasing the number of female speakers on technical topics; 36 per cent of expert speakers at the AI Summit 2019 were women. TSB </w:t>
      </w:r>
      <w:r>
        <w:rPr>
          <w:rFonts w:eastAsia="SimSun"/>
          <w:szCs w:val="24"/>
        </w:rPr>
        <w:t xml:space="preserve">also </w:t>
      </w:r>
      <w:r w:rsidRPr="00561A99">
        <w:rPr>
          <w:rFonts w:eastAsia="SimSun"/>
          <w:szCs w:val="24"/>
        </w:rPr>
        <w:t xml:space="preserve">continues the collaboration with other Standards Development Organizations and UN agencies on ensuring that the standards development processes are </w:t>
      </w:r>
      <w:proofErr w:type="gramStart"/>
      <w:r w:rsidRPr="00561A99">
        <w:rPr>
          <w:rFonts w:eastAsia="SimSun"/>
          <w:szCs w:val="24"/>
        </w:rPr>
        <w:t>inclusive</w:t>
      </w:r>
      <w:proofErr w:type="gramEnd"/>
      <w:r w:rsidRPr="00561A99">
        <w:rPr>
          <w:rFonts w:eastAsia="SimSun"/>
          <w:szCs w:val="24"/>
        </w:rPr>
        <w:t xml:space="preserve"> and the standards developed are gender responsive.</w:t>
      </w:r>
    </w:p>
    <w:p w14:paraId="043F8F15" w14:textId="50E09F9A" w:rsidR="00BB76D2" w:rsidRPr="00EE1126" w:rsidRDefault="00BB76D2" w:rsidP="00C7338F">
      <w:pPr>
        <w:pStyle w:val="Heading3"/>
        <w:tabs>
          <w:tab w:val="clear" w:pos="567"/>
          <w:tab w:val="clear" w:pos="1134"/>
          <w:tab w:val="clear" w:pos="1701"/>
          <w:tab w:val="clear" w:pos="2268"/>
          <w:tab w:val="clear" w:pos="2835"/>
        </w:tabs>
        <w:snapToGrid w:val="0"/>
        <w:spacing w:before="240" w:after="120"/>
        <w:ind w:left="0" w:firstLine="0"/>
        <w:rPr>
          <w:szCs w:val="24"/>
        </w:rPr>
      </w:pPr>
      <w:r w:rsidRPr="00EE1126">
        <w:rPr>
          <w:szCs w:val="24"/>
        </w:rPr>
        <w:lastRenderedPageBreak/>
        <w:t>4</w:t>
      </w:r>
      <w:r>
        <w:rPr>
          <w:szCs w:val="24"/>
        </w:rPr>
        <w:t>.</w:t>
      </w:r>
      <w:r w:rsidR="0013534A">
        <w:rPr>
          <w:szCs w:val="24"/>
        </w:rPr>
        <w:t>5</w:t>
      </w:r>
      <w:r w:rsidRPr="00EE1126">
        <w:rPr>
          <w:szCs w:val="24"/>
        </w:rPr>
        <w:tab/>
      </w:r>
      <w:r w:rsidRPr="00BB76D2">
        <w:rPr>
          <w:szCs w:val="24"/>
        </w:rPr>
        <w:t>ITU Telecom World</w:t>
      </w:r>
      <w:r>
        <w:rPr>
          <w:szCs w:val="24"/>
        </w:rPr>
        <w:t xml:space="preserve"> 2019</w:t>
      </w:r>
    </w:p>
    <w:p w14:paraId="6FC9D03D" w14:textId="387BD679" w:rsidR="00BB76D2" w:rsidRPr="00EE1126" w:rsidRDefault="00BB76D2" w:rsidP="00C7338F">
      <w:pPr>
        <w:keepNext/>
        <w:keepLines/>
        <w:tabs>
          <w:tab w:val="clear" w:pos="567"/>
          <w:tab w:val="clear" w:pos="1134"/>
          <w:tab w:val="clear" w:pos="1701"/>
          <w:tab w:val="clear" w:pos="2268"/>
          <w:tab w:val="clear" w:pos="2835"/>
        </w:tabs>
        <w:snapToGrid w:val="0"/>
        <w:spacing w:after="120"/>
        <w:jc w:val="both"/>
        <w:rPr>
          <w:rFonts w:eastAsia="SimSun"/>
          <w:szCs w:val="24"/>
        </w:rPr>
      </w:pPr>
      <w:r w:rsidRPr="00BB76D2">
        <w:rPr>
          <w:rFonts w:eastAsia="SimSun"/>
          <w:szCs w:val="24"/>
        </w:rPr>
        <w:t>As part of ITU’s commitment to implementing the principles of the International Gender Champions panel parity pledge, ITU Telecom World 2019 continued efforts to balance gender within Forum sessions, reaching 30% female speakers in 2019, the highest ratio yet, with only one male only panel. ITU Telecom World will continue to work towards the goal of achieving full parity in sessions.</w:t>
      </w:r>
      <w:r>
        <w:rPr>
          <w:rFonts w:eastAsia="SimSun"/>
          <w:szCs w:val="24"/>
        </w:rPr>
        <w:t xml:space="preserve"> </w:t>
      </w:r>
    </w:p>
    <w:bookmarkEnd w:id="14"/>
    <w:p w14:paraId="5F98005D" w14:textId="77777777"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ind w:left="0" w:firstLine="0"/>
        <w:jc w:val="both"/>
        <w:rPr>
          <w:sz w:val="24"/>
          <w:szCs w:val="24"/>
        </w:rPr>
      </w:pPr>
      <w:r w:rsidRPr="00EE1126">
        <w:rPr>
          <w:sz w:val="24"/>
          <w:szCs w:val="24"/>
        </w:rPr>
        <w:t>5</w:t>
      </w:r>
      <w:r w:rsidRPr="00EE1126">
        <w:rPr>
          <w:sz w:val="24"/>
          <w:szCs w:val="24"/>
        </w:rPr>
        <w:tab/>
        <w:t>Institutional Awareness of Gender Equality and Mainstreaming</w:t>
      </w:r>
    </w:p>
    <w:p w14:paraId="0FA50F1F" w14:textId="3D7EE9F7" w:rsidR="00CE26C1" w:rsidRPr="00EE1126" w:rsidRDefault="00CE26C1" w:rsidP="00CE26C1">
      <w:pPr>
        <w:pStyle w:val="Heading3"/>
        <w:keepNext w:val="0"/>
        <w:keepLines w:val="0"/>
        <w:tabs>
          <w:tab w:val="clear" w:pos="567"/>
          <w:tab w:val="clear" w:pos="1134"/>
          <w:tab w:val="clear" w:pos="1701"/>
          <w:tab w:val="clear" w:pos="2268"/>
          <w:tab w:val="clear" w:pos="2835"/>
        </w:tabs>
        <w:snapToGrid w:val="0"/>
        <w:spacing w:before="240" w:after="120"/>
        <w:ind w:left="0" w:firstLine="0"/>
        <w:rPr>
          <w:rFonts w:eastAsia="SimSun"/>
          <w:szCs w:val="24"/>
        </w:rPr>
      </w:pPr>
      <w:r w:rsidRPr="00EE1126">
        <w:rPr>
          <w:szCs w:val="24"/>
        </w:rPr>
        <w:t>5.</w:t>
      </w:r>
      <w:r>
        <w:rPr>
          <w:szCs w:val="24"/>
        </w:rPr>
        <w:t>1</w:t>
      </w:r>
      <w:r w:rsidRPr="00EE1126">
        <w:rPr>
          <w:szCs w:val="24"/>
        </w:rPr>
        <w:tab/>
        <w:t>International Gender Champion</w:t>
      </w:r>
      <w:r w:rsidR="000D1E22">
        <w:rPr>
          <w:szCs w:val="24"/>
        </w:rPr>
        <w:t>s</w:t>
      </w:r>
      <w:r w:rsidRPr="00EE1126">
        <w:rPr>
          <w:szCs w:val="24"/>
        </w:rPr>
        <w:t xml:space="preserve"> of Geneva</w:t>
      </w:r>
    </w:p>
    <w:p w14:paraId="4A41C2F8" w14:textId="2E5CE411" w:rsidR="00CE26C1" w:rsidRPr="00EE1126" w:rsidRDefault="00CE26C1" w:rsidP="00CE26C1">
      <w:pPr>
        <w:tabs>
          <w:tab w:val="clear" w:pos="567"/>
          <w:tab w:val="clear" w:pos="1134"/>
          <w:tab w:val="clear" w:pos="1701"/>
          <w:tab w:val="clear" w:pos="2268"/>
          <w:tab w:val="clear" w:pos="2835"/>
        </w:tabs>
        <w:snapToGrid w:val="0"/>
        <w:spacing w:after="120"/>
        <w:jc w:val="both"/>
        <w:rPr>
          <w:rFonts w:cs="Calibri"/>
          <w:bCs/>
          <w:szCs w:val="24"/>
        </w:rPr>
      </w:pPr>
      <w:r w:rsidRPr="00EE1126">
        <w:rPr>
          <w:rFonts w:cs="Calibri"/>
          <w:bCs/>
          <w:szCs w:val="24"/>
        </w:rPr>
        <w:t>The ITU Secretary-General is a founding member of the</w:t>
      </w:r>
      <w:r w:rsidR="005917B5">
        <w:rPr>
          <w:rFonts w:cs="Calibri"/>
          <w:bCs/>
          <w:szCs w:val="24"/>
        </w:rPr>
        <w:t xml:space="preserve"> Geneva chapter of the </w:t>
      </w:r>
      <w:hyperlink r:id="rId49" w:history="1">
        <w:r w:rsidR="005917B5" w:rsidRPr="005917B5">
          <w:rPr>
            <w:rStyle w:val="Hyperlink"/>
            <w:rFonts w:cs="Calibri"/>
            <w:bCs/>
            <w:szCs w:val="24"/>
          </w:rPr>
          <w:t>International Gender Champions</w:t>
        </w:r>
      </w:hyperlink>
      <w:r w:rsidR="004448F6">
        <w:rPr>
          <w:rStyle w:val="Hyperlink"/>
          <w:rFonts w:cs="Calibri"/>
          <w:bCs/>
          <w:szCs w:val="24"/>
        </w:rPr>
        <w:t xml:space="preserve"> (IGC)</w:t>
      </w:r>
      <w:r w:rsidR="00517628">
        <w:rPr>
          <w:rFonts w:cs="Calibri"/>
          <w:bCs/>
          <w:szCs w:val="24"/>
        </w:rPr>
        <w:t xml:space="preserve">. In addition to the </w:t>
      </w:r>
      <w:r>
        <w:rPr>
          <w:rFonts w:cs="Calibri"/>
          <w:bCs/>
          <w:szCs w:val="24"/>
        </w:rPr>
        <w:t>panel-parity pledge to avoid single-sex panels</w:t>
      </w:r>
      <w:r w:rsidR="004448F6">
        <w:rPr>
          <w:rFonts w:cs="Calibri"/>
          <w:bCs/>
          <w:szCs w:val="24"/>
        </w:rPr>
        <w:t xml:space="preserve">, the </w:t>
      </w:r>
      <w:r w:rsidR="004448F6">
        <w:rPr>
          <w:szCs w:val="24"/>
          <w:lang w:val="en-CA"/>
        </w:rPr>
        <w:t>SG</w:t>
      </w:r>
      <w:r w:rsidR="000D1E22">
        <w:rPr>
          <w:szCs w:val="24"/>
          <w:lang w:val="en-CA"/>
        </w:rPr>
        <w:t xml:space="preserve"> </w:t>
      </w:r>
      <w:hyperlink r:id="rId50" w:history="1">
        <w:r w:rsidR="006564B5" w:rsidRPr="006564B5">
          <w:rPr>
            <w:rStyle w:val="Hyperlink"/>
          </w:rPr>
          <w:t>commits</w:t>
        </w:r>
      </w:hyperlink>
      <w:r w:rsidR="006564B5">
        <w:t xml:space="preserve"> </w:t>
      </w:r>
      <w:r w:rsidR="004448F6">
        <w:t xml:space="preserve">to </w:t>
      </w:r>
      <w:r w:rsidR="005C6BCF">
        <w:t xml:space="preserve">further </w:t>
      </w:r>
      <w:r w:rsidR="00726116">
        <w:t xml:space="preserve">work </w:t>
      </w:r>
      <w:r w:rsidR="006564B5">
        <w:rPr>
          <w:rFonts w:cs="Calibri"/>
          <w:bCs/>
          <w:szCs w:val="24"/>
        </w:rPr>
        <w:t>on</w:t>
      </w:r>
      <w:r w:rsidRPr="00EE1126">
        <w:rPr>
          <w:rFonts w:cs="Calibri"/>
          <w:bCs/>
          <w:szCs w:val="24"/>
        </w:rPr>
        <w:t>: (</w:t>
      </w:r>
      <w:r>
        <w:rPr>
          <w:rFonts w:cs="Calibri"/>
          <w:bCs/>
          <w:szCs w:val="24"/>
        </w:rPr>
        <w:t>1</w:t>
      </w:r>
      <w:r w:rsidRPr="00EE1126">
        <w:rPr>
          <w:rFonts w:cs="Calibri"/>
          <w:bCs/>
          <w:szCs w:val="24"/>
        </w:rPr>
        <w:t xml:space="preserve">) </w:t>
      </w:r>
      <w:r w:rsidRPr="00031DA7">
        <w:rPr>
          <w:rFonts w:cs="Calibri"/>
          <w:bCs/>
          <w:szCs w:val="24"/>
        </w:rPr>
        <w:t>rais</w:t>
      </w:r>
      <w:r w:rsidR="004448F6">
        <w:rPr>
          <w:rFonts w:cs="Calibri"/>
          <w:bCs/>
          <w:szCs w:val="24"/>
        </w:rPr>
        <w:t>ing</w:t>
      </w:r>
      <w:r w:rsidRPr="00031DA7">
        <w:rPr>
          <w:rFonts w:cs="Calibri"/>
          <w:bCs/>
          <w:szCs w:val="24"/>
        </w:rPr>
        <w:t xml:space="preserve"> awareness and promot</w:t>
      </w:r>
      <w:r w:rsidR="004448F6">
        <w:rPr>
          <w:rFonts w:cs="Calibri"/>
          <w:bCs/>
          <w:szCs w:val="24"/>
        </w:rPr>
        <w:t>ing</w:t>
      </w:r>
      <w:r w:rsidRPr="00031DA7">
        <w:rPr>
          <w:rFonts w:cs="Calibri"/>
          <w:bCs/>
          <w:szCs w:val="24"/>
        </w:rPr>
        <w:t xml:space="preserve"> equal access to ICT infrastructure</w:t>
      </w:r>
      <w:r>
        <w:rPr>
          <w:rFonts w:cs="Calibri"/>
          <w:bCs/>
          <w:szCs w:val="24"/>
        </w:rPr>
        <w:t xml:space="preserve">; and </w:t>
      </w:r>
      <w:r w:rsidRPr="00EE1126">
        <w:rPr>
          <w:rFonts w:cs="Calibri"/>
          <w:bCs/>
          <w:szCs w:val="24"/>
        </w:rPr>
        <w:t>(</w:t>
      </w:r>
      <w:r>
        <w:rPr>
          <w:rFonts w:cs="Calibri"/>
          <w:bCs/>
          <w:szCs w:val="24"/>
        </w:rPr>
        <w:t>2</w:t>
      </w:r>
      <w:r w:rsidRPr="00EE1126">
        <w:rPr>
          <w:rFonts w:cs="Calibri"/>
          <w:bCs/>
          <w:szCs w:val="24"/>
        </w:rPr>
        <w:t xml:space="preserve">) </w:t>
      </w:r>
      <w:r>
        <w:rPr>
          <w:rFonts w:cs="Calibri"/>
          <w:bCs/>
          <w:szCs w:val="24"/>
        </w:rPr>
        <w:t>increas</w:t>
      </w:r>
      <w:r w:rsidR="004448F6">
        <w:rPr>
          <w:rFonts w:cs="Calibri"/>
          <w:bCs/>
          <w:szCs w:val="24"/>
        </w:rPr>
        <w:t>ing</w:t>
      </w:r>
      <w:r w:rsidRPr="00031DA7">
        <w:rPr>
          <w:rFonts w:cs="Calibri"/>
          <w:bCs/>
          <w:szCs w:val="24"/>
        </w:rPr>
        <w:t xml:space="preserve"> the number of countries collecting and disseminating global/regional/national gender- and age-disaggregated </w:t>
      </w:r>
      <w:r w:rsidR="005C6BCF" w:rsidRPr="00726116">
        <w:rPr>
          <w:rFonts w:cs="Calibri"/>
          <w:bCs/>
          <w:szCs w:val="24"/>
        </w:rPr>
        <w:t>ICT</w:t>
      </w:r>
      <w:r w:rsidR="005C6BCF">
        <w:rPr>
          <w:rFonts w:cs="Calibri"/>
          <w:bCs/>
          <w:szCs w:val="24"/>
        </w:rPr>
        <w:t xml:space="preserve"> </w:t>
      </w:r>
      <w:r w:rsidRPr="00031DA7">
        <w:rPr>
          <w:rFonts w:cs="Calibri"/>
          <w:bCs/>
          <w:szCs w:val="24"/>
        </w:rPr>
        <w:t>data on access to, and use of, ICTs and digital skills</w:t>
      </w:r>
      <w:r>
        <w:rPr>
          <w:rFonts w:cs="Calibri"/>
          <w:bCs/>
          <w:szCs w:val="24"/>
        </w:rPr>
        <w:t>.</w:t>
      </w:r>
      <w:r w:rsidR="006564B5">
        <w:rPr>
          <w:rFonts w:cs="Calibri"/>
          <w:bCs/>
          <w:szCs w:val="24"/>
        </w:rPr>
        <w:t xml:space="preserve"> </w:t>
      </w:r>
      <w:proofErr w:type="gramStart"/>
      <w:r w:rsidR="001F08BF">
        <w:rPr>
          <w:rFonts w:cs="Calibri"/>
          <w:bCs/>
          <w:szCs w:val="24"/>
        </w:rPr>
        <w:t>In regard to</w:t>
      </w:r>
      <w:proofErr w:type="gramEnd"/>
      <w:r w:rsidR="001F08BF">
        <w:rPr>
          <w:rFonts w:cs="Calibri"/>
          <w:bCs/>
          <w:szCs w:val="24"/>
        </w:rPr>
        <w:t xml:space="preserve"> the first, </w:t>
      </w:r>
      <w:r w:rsidR="00726116">
        <w:rPr>
          <w:rFonts w:cs="Calibri"/>
          <w:bCs/>
          <w:szCs w:val="24"/>
        </w:rPr>
        <w:t xml:space="preserve">ITU </w:t>
      </w:r>
      <w:r w:rsidR="001F08BF">
        <w:rPr>
          <w:rFonts w:cs="Calibri"/>
          <w:bCs/>
          <w:szCs w:val="24"/>
        </w:rPr>
        <w:t>conducted research on woman, ICT and emergency telecommunication</w:t>
      </w:r>
      <w:r w:rsidR="004448F6">
        <w:rPr>
          <w:rFonts w:cs="Calibri"/>
          <w:bCs/>
          <w:szCs w:val="24"/>
        </w:rPr>
        <w:t xml:space="preserve"> which will launch as</w:t>
      </w:r>
      <w:r w:rsidR="001F08BF">
        <w:rPr>
          <w:rFonts w:cs="Calibri"/>
          <w:bCs/>
          <w:szCs w:val="24"/>
        </w:rPr>
        <w:t xml:space="preserve"> a joint report with </w:t>
      </w:r>
      <w:r w:rsidR="004448F6">
        <w:rPr>
          <w:rFonts w:cs="Calibri"/>
          <w:bCs/>
          <w:szCs w:val="24"/>
        </w:rPr>
        <w:t>the Emergency Telecommunication Cluster (</w:t>
      </w:r>
      <w:r w:rsidR="001F08BF">
        <w:rPr>
          <w:rFonts w:cs="Calibri"/>
          <w:bCs/>
          <w:szCs w:val="24"/>
        </w:rPr>
        <w:t>ETC</w:t>
      </w:r>
      <w:r w:rsidR="004448F6">
        <w:rPr>
          <w:rFonts w:cs="Calibri"/>
          <w:bCs/>
          <w:szCs w:val="24"/>
        </w:rPr>
        <w:t>)</w:t>
      </w:r>
      <w:r w:rsidR="001F08BF">
        <w:rPr>
          <w:rFonts w:cs="Calibri"/>
          <w:bCs/>
          <w:szCs w:val="24"/>
        </w:rPr>
        <w:t xml:space="preserve"> in April 2020.</w:t>
      </w:r>
    </w:p>
    <w:p w14:paraId="75F181F5" w14:textId="58ADF46E" w:rsidR="00436005" w:rsidRPr="00EE1126" w:rsidRDefault="00436005" w:rsidP="00436005">
      <w:pPr>
        <w:pStyle w:val="Heading3"/>
        <w:rPr>
          <w:rFonts w:eastAsia="SimSun"/>
        </w:rPr>
      </w:pPr>
      <w:r w:rsidRPr="00EE1126">
        <w:t>5.</w:t>
      </w:r>
      <w:r w:rsidR="00F3185F">
        <w:t>2</w:t>
      </w:r>
      <w:r w:rsidRPr="00EE1126">
        <w:tab/>
      </w:r>
      <w:r>
        <w:t>ITU as a Safe and Professional Environment</w:t>
      </w:r>
    </w:p>
    <w:p w14:paraId="4D138F7C" w14:textId="4692DB25" w:rsidR="00436005" w:rsidRDefault="009A37F8" w:rsidP="00436005">
      <w:pPr>
        <w:tabs>
          <w:tab w:val="clear" w:pos="567"/>
          <w:tab w:val="clear" w:pos="1134"/>
          <w:tab w:val="clear" w:pos="1701"/>
          <w:tab w:val="clear" w:pos="2268"/>
          <w:tab w:val="clear" w:pos="2835"/>
        </w:tabs>
        <w:snapToGrid w:val="0"/>
        <w:spacing w:after="120"/>
        <w:jc w:val="both"/>
      </w:pPr>
      <w:r>
        <w:t>ITU</w:t>
      </w:r>
      <w:r w:rsidR="00973DBF">
        <w:t xml:space="preserve"> continues its efforts</w:t>
      </w:r>
      <w:r>
        <w:t xml:space="preserve"> </w:t>
      </w:r>
      <w:r w:rsidR="00973DBF">
        <w:t xml:space="preserve">to </w:t>
      </w:r>
      <w:r w:rsidR="004448F6">
        <w:t>ensure</w:t>
      </w:r>
      <w:r>
        <w:t xml:space="preserve"> a safe and </w:t>
      </w:r>
      <w:r w:rsidR="0087203D">
        <w:t>harmonious work</w:t>
      </w:r>
      <w:r>
        <w:t xml:space="preserve"> environment</w:t>
      </w:r>
      <w:r w:rsidR="004448F6">
        <w:t xml:space="preserve"> for all. </w:t>
      </w:r>
      <w:r w:rsidR="004F653E">
        <w:t>ITU participates in the</w:t>
      </w:r>
      <w:r>
        <w:t xml:space="preserve"> Chief </w:t>
      </w:r>
      <w:r w:rsidR="00436005">
        <w:t xml:space="preserve">Executive Board (CEB) task force addressing sexual harassment within the United Nations system. Work is focused </w:t>
      </w:r>
      <w:r w:rsidR="00F3185F">
        <w:t xml:space="preserve">on </w:t>
      </w:r>
      <w:r w:rsidR="00436005">
        <w:t>scaling up prevention and response mechanisms to sexual harassment</w:t>
      </w:r>
      <w:bookmarkStart w:id="15" w:name="_Hlk33770850"/>
      <w:r w:rsidR="004F653E">
        <w:t xml:space="preserve">. </w:t>
      </w:r>
      <w:bookmarkEnd w:id="15"/>
      <w:r w:rsidR="00ED2D0E">
        <w:t>ITU has also been involved in the sub-working group on a code of conduct to p</w:t>
      </w:r>
      <w:r w:rsidR="00ED2D0E" w:rsidRPr="00FF1A96">
        <w:t xml:space="preserve">revent </w:t>
      </w:r>
      <w:r w:rsidR="00ED2D0E">
        <w:t>s</w:t>
      </w:r>
      <w:r w:rsidR="00ED2D0E" w:rsidRPr="00FF1A96">
        <w:t xml:space="preserve">exual </w:t>
      </w:r>
      <w:r w:rsidR="00ED2D0E">
        <w:t>h</w:t>
      </w:r>
      <w:r w:rsidR="00ED2D0E" w:rsidRPr="00FF1A96">
        <w:t xml:space="preserve">arassment </w:t>
      </w:r>
      <w:r w:rsidR="00ED2D0E">
        <w:t>d</w:t>
      </w:r>
      <w:r w:rsidR="00ED2D0E" w:rsidRPr="00FF1A96">
        <w:t xml:space="preserve">uring or </w:t>
      </w:r>
      <w:r w:rsidR="00ED2D0E">
        <w:t>i</w:t>
      </w:r>
      <w:r w:rsidR="00ED2D0E" w:rsidRPr="00FF1A96">
        <w:t xml:space="preserve">n </w:t>
      </w:r>
      <w:r w:rsidR="00ED2D0E">
        <w:t>r</w:t>
      </w:r>
      <w:r w:rsidR="00ED2D0E" w:rsidRPr="00FF1A96">
        <w:t xml:space="preserve">elation to </w:t>
      </w:r>
      <w:r w:rsidR="00ED2D0E">
        <w:t xml:space="preserve">UN events. A circular letter was sent last September </w:t>
      </w:r>
      <w:bookmarkStart w:id="16" w:name="_Hlk33777157"/>
      <w:r w:rsidR="00ED2D0E">
        <w:t xml:space="preserve">informing of adoption of the </w:t>
      </w:r>
      <w:hyperlink r:id="rId51" w:history="1">
        <w:r w:rsidR="00ED2D0E" w:rsidRPr="00C92E3F">
          <w:rPr>
            <w:rStyle w:val="Hyperlink"/>
          </w:rPr>
          <w:t>code</w:t>
        </w:r>
      </w:hyperlink>
      <w:r w:rsidR="00ED2D0E">
        <w:t xml:space="preserve"> for all events regardless of where they take place, as well as incorporation into online event registration. The </w:t>
      </w:r>
      <w:bookmarkEnd w:id="16"/>
      <w:r w:rsidR="00ED2D0E">
        <w:t xml:space="preserve">code is also accessible from ITU’s </w:t>
      </w:r>
      <w:hyperlink r:id="rId52" w:history="1">
        <w:r w:rsidR="00ED2D0E" w:rsidRPr="005B7D4F">
          <w:rPr>
            <w:rStyle w:val="Hyperlink"/>
          </w:rPr>
          <w:t>Delegates Corner</w:t>
        </w:r>
      </w:hyperlink>
      <w:r w:rsidR="00436005">
        <w:t xml:space="preserve">. </w:t>
      </w:r>
    </w:p>
    <w:p w14:paraId="6552D9CF" w14:textId="3D304D20"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5.</w:t>
      </w:r>
      <w:r w:rsidR="00EF60D0">
        <w:rPr>
          <w:szCs w:val="24"/>
        </w:rPr>
        <w:t>3</w:t>
      </w:r>
      <w:r w:rsidRPr="00EE1126">
        <w:rPr>
          <w:szCs w:val="24"/>
        </w:rPr>
        <w:tab/>
        <w:t xml:space="preserve">UN-SWAP </w:t>
      </w:r>
      <w:r w:rsidR="003B0A6C">
        <w:rPr>
          <w:szCs w:val="24"/>
        </w:rPr>
        <w:t xml:space="preserve">and </w:t>
      </w:r>
      <w:r w:rsidR="003B0A6C" w:rsidRPr="003B0A6C">
        <w:rPr>
          <w:szCs w:val="24"/>
        </w:rPr>
        <w:t xml:space="preserve">Gender Equality and Mainstreaming across ITU </w:t>
      </w:r>
    </w:p>
    <w:p w14:paraId="6A907EC0" w14:textId="50ADBFF8" w:rsidR="00EB797C" w:rsidRDefault="0091534B" w:rsidP="00EB797C">
      <w:pPr>
        <w:tabs>
          <w:tab w:val="clear" w:pos="567"/>
          <w:tab w:val="clear" w:pos="1134"/>
          <w:tab w:val="clear" w:pos="1701"/>
          <w:tab w:val="clear" w:pos="2268"/>
          <w:tab w:val="clear" w:pos="2835"/>
        </w:tabs>
        <w:snapToGrid w:val="0"/>
        <w:spacing w:after="120"/>
        <w:jc w:val="both"/>
        <w:rPr>
          <w:szCs w:val="24"/>
          <w:lang w:val="en-CA"/>
        </w:rPr>
      </w:pPr>
      <w:r>
        <w:rPr>
          <w:szCs w:val="24"/>
          <w:lang w:val="en-CA"/>
        </w:rPr>
        <w:t>The</w:t>
      </w:r>
      <w:r w:rsidR="008047BE">
        <w:rPr>
          <w:szCs w:val="24"/>
          <w:lang w:val="en-CA"/>
        </w:rPr>
        <w:t xml:space="preserve"> </w:t>
      </w:r>
      <w:r w:rsidR="008047BE" w:rsidRPr="0094246C">
        <w:rPr>
          <w:szCs w:val="24"/>
          <w:lang w:val="en-CA"/>
        </w:rPr>
        <w:t xml:space="preserve">United Nations </w:t>
      </w:r>
      <w:r w:rsidR="008047BE">
        <w:rPr>
          <w:szCs w:val="24"/>
          <w:lang w:val="en-CA"/>
        </w:rPr>
        <w:t>s</w:t>
      </w:r>
      <w:r w:rsidR="008047BE" w:rsidRPr="0094246C">
        <w:rPr>
          <w:szCs w:val="24"/>
          <w:lang w:val="en-CA"/>
        </w:rPr>
        <w:t xml:space="preserve">ystem-wide </w:t>
      </w:r>
      <w:r w:rsidR="008047BE">
        <w:rPr>
          <w:szCs w:val="24"/>
          <w:lang w:val="en-CA"/>
        </w:rPr>
        <w:t>a</w:t>
      </w:r>
      <w:r w:rsidR="008047BE" w:rsidRPr="0094246C">
        <w:rPr>
          <w:szCs w:val="24"/>
          <w:lang w:val="en-CA"/>
        </w:rPr>
        <w:t xml:space="preserve">ction </w:t>
      </w:r>
      <w:r w:rsidR="008047BE">
        <w:rPr>
          <w:szCs w:val="24"/>
          <w:lang w:val="en-CA"/>
        </w:rPr>
        <w:t>p</w:t>
      </w:r>
      <w:r w:rsidR="008047BE" w:rsidRPr="0094246C">
        <w:rPr>
          <w:szCs w:val="24"/>
          <w:lang w:val="en-CA"/>
        </w:rPr>
        <w:t xml:space="preserve">lan for </w:t>
      </w:r>
      <w:r w:rsidR="008047BE">
        <w:rPr>
          <w:szCs w:val="24"/>
          <w:lang w:val="en-CA"/>
        </w:rPr>
        <w:t>g</w:t>
      </w:r>
      <w:r w:rsidR="008047BE" w:rsidRPr="0094246C">
        <w:rPr>
          <w:szCs w:val="24"/>
          <w:lang w:val="en-CA"/>
        </w:rPr>
        <w:t xml:space="preserve">ender </w:t>
      </w:r>
      <w:r w:rsidR="008047BE">
        <w:rPr>
          <w:szCs w:val="24"/>
          <w:lang w:val="en-CA"/>
        </w:rPr>
        <w:t>e</w:t>
      </w:r>
      <w:r w:rsidR="008047BE" w:rsidRPr="0094246C">
        <w:rPr>
          <w:szCs w:val="24"/>
          <w:lang w:val="en-CA"/>
        </w:rPr>
        <w:t xml:space="preserve">quality and </w:t>
      </w:r>
      <w:r w:rsidR="00CE26C1">
        <w:t>ma</w:t>
      </w:r>
      <w:r w:rsidR="008047BE" w:rsidRPr="00184892">
        <w:t>instreaming</w:t>
      </w:r>
      <w:r>
        <w:rPr>
          <w:szCs w:val="24"/>
          <w:lang w:val="en-CA"/>
        </w:rPr>
        <w:t xml:space="preserve"> (UN-SWAP) is</w:t>
      </w:r>
      <w:r w:rsidR="008047BE">
        <w:rPr>
          <w:szCs w:val="24"/>
          <w:lang w:val="en-CA"/>
        </w:rPr>
        <w:t xml:space="preserve"> </w:t>
      </w:r>
      <w:r w:rsidR="00644E56">
        <w:rPr>
          <w:rStyle w:val="Hyperlink"/>
          <w:color w:val="auto"/>
          <w:szCs w:val="24"/>
          <w:u w:val="none"/>
          <w:lang w:val="en-CA"/>
        </w:rPr>
        <w:t>the</w:t>
      </w:r>
      <w:r w:rsidR="00644E56" w:rsidRPr="006C3F5C">
        <w:rPr>
          <w:rStyle w:val="Hyperlink"/>
          <w:color w:val="auto"/>
          <w:szCs w:val="24"/>
          <w:u w:val="none"/>
          <w:lang w:val="en-CA"/>
        </w:rPr>
        <w:t xml:space="preserve"> </w:t>
      </w:r>
      <w:r w:rsidR="008047BE" w:rsidRPr="006C3F5C">
        <w:rPr>
          <w:rStyle w:val="Hyperlink"/>
          <w:color w:val="auto"/>
          <w:szCs w:val="24"/>
          <w:u w:val="none"/>
          <w:lang w:val="en-CA"/>
        </w:rPr>
        <w:t xml:space="preserve">accountability framework applicable to all UN entities to measure, monitor and </w:t>
      </w:r>
      <w:r w:rsidR="004C6C96">
        <w:rPr>
          <w:rStyle w:val="Hyperlink"/>
          <w:color w:val="auto"/>
          <w:szCs w:val="24"/>
          <w:u w:val="none"/>
          <w:lang w:val="en-CA"/>
        </w:rPr>
        <w:t>advance</w:t>
      </w:r>
      <w:r w:rsidR="008047BE" w:rsidRPr="006C3F5C">
        <w:rPr>
          <w:rStyle w:val="Hyperlink"/>
          <w:color w:val="auto"/>
          <w:szCs w:val="24"/>
          <w:u w:val="none"/>
          <w:lang w:val="en-CA"/>
        </w:rPr>
        <w:t xml:space="preserve"> towards a common set of gender equality standards. </w:t>
      </w:r>
      <w:r w:rsidR="002664BD" w:rsidRPr="002664BD">
        <w:rPr>
          <w:szCs w:val="24"/>
          <w:lang w:val="en-CA"/>
        </w:rPr>
        <w:t xml:space="preserve">In 2018, ITU </w:t>
      </w:r>
      <w:r w:rsidR="00E1721A">
        <w:rPr>
          <w:szCs w:val="24"/>
          <w:lang w:val="en-CA"/>
        </w:rPr>
        <w:t>“</w:t>
      </w:r>
      <w:r w:rsidR="002664BD" w:rsidRPr="002664BD">
        <w:rPr>
          <w:szCs w:val="24"/>
          <w:lang w:val="en-CA"/>
        </w:rPr>
        <w:t>met</w:t>
      </w:r>
      <w:r w:rsidR="00E1721A">
        <w:rPr>
          <w:szCs w:val="24"/>
          <w:lang w:val="en-CA"/>
        </w:rPr>
        <w:t>”</w:t>
      </w:r>
      <w:r w:rsidR="002664BD" w:rsidRPr="002664BD">
        <w:rPr>
          <w:szCs w:val="24"/>
          <w:lang w:val="en-CA"/>
        </w:rPr>
        <w:t xml:space="preserve"> or </w:t>
      </w:r>
      <w:r w:rsidR="00E1721A">
        <w:rPr>
          <w:szCs w:val="24"/>
          <w:lang w:val="en-CA"/>
        </w:rPr>
        <w:t>“</w:t>
      </w:r>
      <w:r w:rsidR="002664BD" w:rsidRPr="002664BD">
        <w:rPr>
          <w:szCs w:val="24"/>
          <w:lang w:val="en-CA"/>
        </w:rPr>
        <w:t>exceeded</w:t>
      </w:r>
      <w:r w:rsidR="00E1721A">
        <w:rPr>
          <w:szCs w:val="24"/>
          <w:lang w:val="en-CA"/>
        </w:rPr>
        <w:t>”</w:t>
      </w:r>
      <w:r w:rsidR="002664BD" w:rsidRPr="002664BD">
        <w:rPr>
          <w:szCs w:val="24"/>
          <w:lang w:val="en-CA"/>
        </w:rPr>
        <w:t xml:space="preserve"> requirements for 5 out of 17 UN</w:t>
      </w:r>
      <w:r w:rsidR="002664BD">
        <w:rPr>
          <w:szCs w:val="24"/>
          <w:lang w:val="en-CA"/>
        </w:rPr>
        <w:t>-</w:t>
      </w:r>
      <w:r w:rsidR="002664BD" w:rsidRPr="002664BD">
        <w:rPr>
          <w:szCs w:val="24"/>
          <w:lang w:val="en-CA"/>
        </w:rPr>
        <w:t>SWAP2.0 indicators</w:t>
      </w:r>
      <w:r w:rsidR="003B0A6C">
        <w:rPr>
          <w:szCs w:val="24"/>
          <w:lang w:val="en-CA"/>
        </w:rPr>
        <w:t xml:space="preserve">. </w:t>
      </w:r>
      <w:r w:rsidR="00116D3D">
        <w:rPr>
          <w:szCs w:val="24"/>
          <w:lang w:val="en-CA"/>
        </w:rPr>
        <w:t xml:space="preserve">ITU </w:t>
      </w:r>
      <w:r w:rsidR="00C401FE">
        <w:rPr>
          <w:szCs w:val="24"/>
          <w:lang w:val="en-CA"/>
        </w:rPr>
        <w:t xml:space="preserve">was commended </w:t>
      </w:r>
      <w:r w:rsidR="00116D3D">
        <w:rPr>
          <w:szCs w:val="24"/>
          <w:lang w:val="en-CA"/>
        </w:rPr>
        <w:t xml:space="preserve">for </w:t>
      </w:r>
      <w:r w:rsidR="002664BD">
        <w:rPr>
          <w:szCs w:val="24"/>
          <w:lang w:val="en-CA"/>
        </w:rPr>
        <w:t>implementing</w:t>
      </w:r>
      <w:r w:rsidR="00EB797C">
        <w:rPr>
          <w:szCs w:val="24"/>
          <w:lang w:val="en-CA"/>
        </w:rPr>
        <w:t xml:space="preserve"> </w:t>
      </w:r>
      <w:r w:rsidR="00FD6218">
        <w:rPr>
          <w:szCs w:val="24"/>
          <w:lang w:val="en-CA"/>
        </w:rPr>
        <w:t xml:space="preserve">new </w:t>
      </w:r>
      <w:r w:rsidR="00116D3D">
        <w:rPr>
          <w:szCs w:val="24"/>
          <w:lang w:val="en-CA"/>
        </w:rPr>
        <w:t xml:space="preserve">mandatory </w:t>
      </w:r>
      <w:r w:rsidR="00FD6218">
        <w:rPr>
          <w:szCs w:val="24"/>
          <w:lang w:val="en-CA"/>
        </w:rPr>
        <w:t>gender training</w:t>
      </w:r>
      <w:r w:rsidR="00EB797C">
        <w:rPr>
          <w:rStyle w:val="Hyperlink"/>
          <w:color w:val="auto"/>
          <w:szCs w:val="24"/>
          <w:u w:val="none"/>
          <w:lang w:val="en-CA"/>
        </w:rPr>
        <w:t xml:space="preserve"> as well </w:t>
      </w:r>
      <w:r w:rsidR="00116D3D">
        <w:rPr>
          <w:rStyle w:val="Hyperlink"/>
          <w:color w:val="auto"/>
          <w:szCs w:val="24"/>
          <w:u w:val="none"/>
          <w:lang w:val="en-CA"/>
        </w:rPr>
        <w:t>for</w:t>
      </w:r>
      <w:r w:rsidR="00EB797C">
        <w:rPr>
          <w:rStyle w:val="Hyperlink"/>
          <w:color w:val="auto"/>
          <w:szCs w:val="24"/>
          <w:u w:val="none"/>
          <w:lang w:val="en-CA"/>
        </w:rPr>
        <w:t xml:space="preserve"> reporting </w:t>
      </w:r>
      <w:r w:rsidR="00116D3D">
        <w:rPr>
          <w:rStyle w:val="Hyperlink"/>
          <w:color w:val="auto"/>
          <w:szCs w:val="24"/>
          <w:u w:val="none"/>
          <w:lang w:val="en-CA"/>
        </w:rPr>
        <w:t xml:space="preserve">UN-SWAP results </w:t>
      </w:r>
      <w:r w:rsidR="00EB797C">
        <w:rPr>
          <w:rStyle w:val="Hyperlink"/>
          <w:color w:val="auto"/>
          <w:szCs w:val="24"/>
          <w:u w:val="none"/>
          <w:lang w:val="en-CA"/>
        </w:rPr>
        <w:t xml:space="preserve">to </w:t>
      </w:r>
      <w:r w:rsidR="00E1721A">
        <w:rPr>
          <w:rStyle w:val="Hyperlink"/>
          <w:color w:val="auto"/>
          <w:szCs w:val="24"/>
          <w:u w:val="none"/>
          <w:lang w:val="en-CA"/>
        </w:rPr>
        <w:t xml:space="preserve">the </w:t>
      </w:r>
      <w:r w:rsidR="00561A99">
        <w:rPr>
          <w:rStyle w:val="Hyperlink"/>
          <w:color w:val="auto"/>
          <w:szCs w:val="24"/>
          <w:u w:val="none"/>
          <w:lang w:val="en-CA"/>
        </w:rPr>
        <w:t xml:space="preserve">Council. </w:t>
      </w:r>
      <w:r w:rsidR="002664BD">
        <w:rPr>
          <w:rStyle w:val="Hyperlink"/>
          <w:color w:val="auto"/>
          <w:szCs w:val="24"/>
          <w:u w:val="none"/>
          <w:lang w:val="en-CA"/>
        </w:rPr>
        <w:t xml:space="preserve">Encouragement for </w:t>
      </w:r>
      <w:r w:rsidR="00116D3D">
        <w:rPr>
          <w:rStyle w:val="Hyperlink"/>
          <w:color w:val="auto"/>
          <w:szCs w:val="24"/>
          <w:u w:val="none"/>
          <w:lang w:val="en-CA"/>
        </w:rPr>
        <w:t>improvement</w:t>
      </w:r>
      <w:r w:rsidR="00ED2D0E">
        <w:rPr>
          <w:rStyle w:val="Hyperlink"/>
          <w:color w:val="auto"/>
          <w:szCs w:val="24"/>
          <w:u w:val="none"/>
          <w:lang w:val="en-CA"/>
        </w:rPr>
        <w:t>s</w:t>
      </w:r>
      <w:r w:rsidR="00116D3D">
        <w:rPr>
          <w:rStyle w:val="Hyperlink"/>
          <w:color w:val="auto"/>
          <w:szCs w:val="24"/>
          <w:u w:val="none"/>
          <w:lang w:val="en-CA"/>
        </w:rPr>
        <w:t xml:space="preserve"> focused on performance indicators still noted as </w:t>
      </w:r>
      <w:r w:rsidR="00E1721A">
        <w:rPr>
          <w:rStyle w:val="Hyperlink"/>
          <w:color w:val="auto"/>
          <w:szCs w:val="24"/>
          <w:u w:val="none"/>
          <w:lang w:val="en-CA"/>
        </w:rPr>
        <w:t>“</w:t>
      </w:r>
      <w:r w:rsidR="00116D3D">
        <w:rPr>
          <w:rStyle w:val="Hyperlink"/>
          <w:color w:val="auto"/>
          <w:szCs w:val="24"/>
          <w:u w:val="none"/>
          <w:lang w:val="en-CA"/>
        </w:rPr>
        <w:t>missing</w:t>
      </w:r>
      <w:r w:rsidR="00E1721A">
        <w:rPr>
          <w:rStyle w:val="Hyperlink"/>
          <w:color w:val="auto"/>
          <w:szCs w:val="24"/>
          <w:u w:val="none"/>
          <w:lang w:val="en-CA"/>
        </w:rPr>
        <w:t>”</w:t>
      </w:r>
      <w:r w:rsidR="00116D3D">
        <w:rPr>
          <w:rStyle w:val="Hyperlink"/>
          <w:color w:val="auto"/>
          <w:szCs w:val="24"/>
          <w:u w:val="none"/>
          <w:lang w:val="en-CA"/>
        </w:rPr>
        <w:t>, such as</w:t>
      </w:r>
      <w:r w:rsidR="00116D3D" w:rsidRPr="00116D3D">
        <w:rPr>
          <w:rStyle w:val="Hyperlink"/>
          <w:color w:val="auto"/>
          <w:szCs w:val="24"/>
          <w:u w:val="none"/>
          <w:lang w:val="en-CA"/>
        </w:rPr>
        <w:t xml:space="preserve"> establishing a financial benchmark, improving representation of women from P3 and</w:t>
      </w:r>
      <w:r w:rsidR="002664BD">
        <w:rPr>
          <w:rStyle w:val="Hyperlink"/>
          <w:color w:val="auto"/>
          <w:szCs w:val="24"/>
          <w:u w:val="none"/>
          <w:lang w:val="en-CA"/>
        </w:rPr>
        <w:t xml:space="preserve"> above</w:t>
      </w:r>
      <w:r w:rsidR="00116D3D">
        <w:rPr>
          <w:rStyle w:val="Hyperlink"/>
          <w:color w:val="auto"/>
          <w:szCs w:val="24"/>
          <w:u w:val="none"/>
          <w:lang w:val="en-CA"/>
        </w:rPr>
        <w:t xml:space="preserve">, </w:t>
      </w:r>
      <w:r w:rsidR="00116D3D" w:rsidRPr="00116D3D">
        <w:rPr>
          <w:rStyle w:val="Hyperlink"/>
          <w:color w:val="auto"/>
          <w:szCs w:val="24"/>
          <w:u w:val="none"/>
          <w:lang w:val="en-CA"/>
        </w:rPr>
        <w:t>conduct</w:t>
      </w:r>
      <w:r w:rsidR="00116D3D">
        <w:rPr>
          <w:rStyle w:val="Hyperlink"/>
          <w:color w:val="auto"/>
          <w:szCs w:val="24"/>
          <w:u w:val="none"/>
          <w:lang w:val="en-CA"/>
        </w:rPr>
        <w:t>ing</w:t>
      </w:r>
      <w:r w:rsidR="00116D3D" w:rsidRPr="00116D3D">
        <w:rPr>
          <w:rStyle w:val="Hyperlink"/>
          <w:color w:val="auto"/>
          <w:szCs w:val="24"/>
          <w:u w:val="none"/>
          <w:lang w:val="en-CA"/>
        </w:rPr>
        <w:t xml:space="preserve"> a gender equality capacity assessment. The full letter and report card are provided in</w:t>
      </w:r>
      <w:r w:rsidR="002664BD">
        <w:rPr>
          <w:rStyle w:val="Hyperlink"/>
          <w:color w:val="auto"/>
          <w:szCs w:val="24"/>
          <w:u w:val="none"/>
          <w:lang w:val="en-CA"/>
        </w:rPr>
        <w:t xml:space="preserve"> information note</w:t>
      </w:r>
      <w:r w:rsidR="00116D3D" w:rsidRPr="00116D3D">
        <w:rPr>
          <w:rStyle w:val="Hyperlink"/>
          <w:color w:val="auto"/>
          <w:szCs w:val="24"/>
          <w:u w:val="none"/>
          <w:lang w:val="en-CA"/>
        </w:rPr>
        <w:t xml:space="preserve"> </w:t>
      </w:r>
      <w:hyperlink r:id="rId53" w:history="1">
        <w:r w:rsidR="002664BD" w:rsidRPr="004450F0">
          <w:rPr>
            <w:rStyle w:val="Hyperlink"/>
            <w:szCs w:val="24"/>
            <w:lang w:val="en-CA"/>
          </w:rPr>
          <w:t>C20/INF/</w:t>
        </w:r>
        <w:r w:rsidR="004450F0" w:rsidRPr="004450F0">
          <w:rPr>
            <w:rStyle w:val="Hyperlink"/>
            <w:szCs w:val="24"/>
            <w:lang w:val="en-CA"/>
          </w:rPr>
          <w:t>2</w:t>
        </w:r>
      </w:hyperlink>
      <w:r w:rsidR="00244893" w:rsidRPr="004450F0">
        <w:rPr>
          <w:rStyle w:val="Hyperlink"/>
          <w:szCs w:val="24"/>
          <w:lang w:val="en-CA"/>
        </w:rPr>
        <w:t>.</w:t>
      </w:r>
      <w:r w:rsidR="002664BD">
        <w:rPr>
          <w:szCs w:val="24"/>
          <w:lang w:val="en-CA"/>
        </w:rPr>
        <w:t xml:space="preserve"> </w:t>
      </w:r>
    </w:p>
    <w:p w14:paraId="4D464546" w14:textId="2E82862D" w:rsidR="00C71F11" w:rsidRDefault="003B0A6C" w:rsidP="00C71F11">
      <w:pPr>
        <w:pStyle w:val="Heading3"/>
        <w:keepNext w:val="0"/>
        <w:keepLines w:val="0"/>
        <w:tabs>
          <w:tab w:val="clear" w:pos="567"/>
          <w:tab w:val="clear" w:pos="1134"/>
          <w:tab w:val="clear" w:pos="1701"/>
          <w:tab w:val="clear" w:pos="2268"/>
          <w:tab w:val="clear" w:pos="2835"/>
        </w:tabs>
        <w:snapToGrid w:val="0"/>
        <w:spacing w:before="120" w:after="120"/>
        <w:ind w:left="0" w:firstLine="0"/>
        <w:jc w:val="both"/>
        <w:rPr>
          <w:rStyle w:val="Hyperlink"/>
          <w:color w:val="auto"/>
          <w:szCs w:val="24"/>
          <w:u w:val="none"/>
          <w:lang w:val="en-CA"/>
        </w:rPr>
      </w:pPr>
      <w:r w:rsidRPr="003B0A6C">
        <w:rPr>
          <w:b w:val="0"/>
          <w:bCs/>
          <w:szCs w:val="24"/>
          <w:lang w:val="en-CA"/>
        </w:rPr>
        <w:t xml:space="preserve">ITU </w:t>
      </w:r>
      <w:r w:rsidRPr="004A507F">
        <w:rPr>
          <w:b w:val="0"/>
          <w:bCs/>
          <w:szCs w:val="24"/>
          <w:lang w:val="en-CA"/>
        </w:rPr>
        <w:t>continues efforts</w:t>
      </w:r>
      <w:r>
        <w:rPr>
          <w:b w:val="0"/>
          <w:bCs/>
          <w:szCs w:val="24"/>
          <w:lang w:val="en-CA"/>
        </w:rPr>
        <w:t xml:space="preserve"> </w:t>
      </w:r>
      <w:r w:rsidRPr="003B0A6C">
        <w:rPr>
          <w:b w:val="0"/>
          <w:bCs/>
          <w:szCs w:val="24"/>
          <w:lang w:val="en-CA"/>
        </w:rPr>
        <w:t>to</w:t>
      </w:r>
      <w:r w:rsidR="00244893" w:rsidRPr="00244893">
        <w:rPr>
          <w:b w:val="0"/>
          <w:bCs/>
          <w:szCs w:val="24"/>
          <w:lang w:val="en-CA"/>
        </w:rPr>
        <w:t xml:space="preserve"> </w:t>
      </w:r>
      <w:r w:rsidR="00244893" w:rsidRPr="003B0A6C">
        <w:rPr>
          <w:b w:val="0"/>
          <w:bCs/>
          <w:szCs w:val="24"/>
          <w:lang w:val="en-CA"/>
        </w:rPr>
        <w:t>incorporate</w:t>
      </w:r>
      <w:r w:rsidRPr="003B0A6C">
        <w:rPr>
          <w:b w:val="0"/>
          <w:bCs/>
          <w:szCs w:val="24"/>
          <w:lang w:val="en-CA"/>
        </w:rPr>
        <w:t xml:space="preserve"> a gender perspective in the work programmes, management approaches, and human resource development of the Union. </w:t>
      </w:r>
      <w:r w:rsidR="004A507F">
        <w:rPr>
          <w:b w:val="0"/>
          <w:bCs/>
          <w:szCs w:val="24"/>
          <w:lang w:val="en-CA"/>
        </w:rPr>
        <w:t>For examp</w:t>
      </w:r>
      <w:bookmarkStart w:id="17" w:name="_GoBack"/>
      <w:bookmarkEnd w:id="17"/>
      <w:r w:rsidR="004A507F">
        <w:rPr>
          <w:b w:val="0"/>
          <w:bCs/>
          <w:szCs w:val="24"/>
          <w:lang w:val="en-CA"/>
        </w:rPr>
        <w:t xml:space="preserve">le, a gender element has </w:t>
      </w:r>
      <w:r w:rsidR="00C71F11">
        <w:rPr>
          <w:b w:val="0"/>
          <w:bCs/>
          <w:szCs w:val="24"/>
          <w:lang w:val="en-CA"/>
        </w:rPr>
        <w:t xml:space="preserve">now </w:t>
      </w:r>
      <w:r w:rsidR="004A507F">
        <w:rPr>
          <w:b w:val="0"/>
          <w:bCs/>
          <w:szCs w:val="24"/>
          <w:lang w:val="en-CA"/>
        </w:rPr>
        <w:t>been incorporated into the staff electronic performance management and development system (</w:t>
      </w:r>
      <w:proofErr w:type="spellStart"/>
      <w:r w:rsidR="004A507F">
        <w:rPr>
          <w:b w:val="0"/>
          <w:bCs/>
          <w:szCs w:val="24"/>
          <w:lang w:val="en-CA"/>
        </w:rPr>
        <w:t>ePMDS</w:t>
      </w:r>
      <w:proofErr w:type="spellEnd"/>
      <w:r w:rsidR="004A507F">
        <w:rPr>
          <w:b w:val="0"/>
          <w:bCs/>
          <w:szCs w:val="24"/>
          <w:lang w:val="en-CA"/>
        </w:rPr>
        <w:t xml:space="preserve">). A review of the 2013 Gender Equality and Mainstreaming Policy is </w:t>
      </w:r>
      <w:r w:rsidR="00244893">
        <w:rPr>
          <w:b w:val="0"/>
          <w:bCs/>
          <w:szCs w:val="24"/>
          <w:lang w:val="en-CA"/>
        </w:rPr>
        <w:t xml:space="preserve">currently </w:t>
      </w:r>
      <w:r w:rsidR="004A507F">
        <w:rPr>
          <w:b w:val="0"/>
          <w:bCs/>
          <w:szCs w:val="24"/>
          <w:lang w:val="en-CA"/>
        </w:rPr>
        <w:t>underway</w:t>
      </w:r>
      <w:r w:rsidR="00C71F11">
        <w:rPr>
          <w:b w:val="0"/>
          <w:bCs/>
          <w:szCs w:val="24"/>
          <w:lang w:val="en-CA"/>
        </w:rPr>
        <w:t xml:space="preserve">; </w:t>
      </w:r>
      <w:proofErr w:type="gramStart"/>
      <w:r w:rsidR="00C71F11">
        <w:rPr>
          <w:b w:val="0"/>
          <w:bCs/>
          <w:szCs w:val="24"/>
          <w:lang w:val="en-CA"/>
        </w:rPr>
        <w:t>a number of</w:t>
      </w:r>
      <w:proofErr w:type="gramEnd"/>
      <w:r w:rsidR="00C71F11">
        <w:rPr>
          <w:b w:val="0"/>
          <w:bCs/>
          <w:szCs w:val="24"/>
          <w:lang w:val="en-CA"/>
        </w:rPr>
        <w:t xml:space="preserve"> f</w:t>
      </w:r>
      <w:r w:rsidR="004A507F">
        <w:rPr>
          <w:b w:val="0"/>
          <w:bCs/>
          <w:szCs w:val="24"/>
          <w:lang w:val="en-CA"/>
        </w:rPr>
        <w:t xml:space="preserve">ocus groups and individual interviews </w:t>
      </w:r>
      <w:r w:rsidR="00C71F11">
        <w:rPr>
          <w:b w:val="0"/>
          <w:bCs/>
          <w:szCs w:val="24"/>
          <w:lang w:val="en-CA"/>
        </w:rPr>
        <w:t>will inform the new policy</w:t>
      </w:r>
      <w:r w:rsidR="00EF60D0">
        <w:rPr>
          <w:b w:val="0"/>
          <w:bCs/>
          <w:szCs w:val="24"/>
          <w:lang w:val="en-CA"/>
        </w:rPr>
        <w:t xml:space="preserve"> which will align to the 17 UN-SWAP performance indicat</w:t>
      </w:r>
      <w:r w:rsidR="00244893">
        <w:rPr>
          <w:b w:val="0"/>
          <w:bCs/>
          <w:szCs w:val="24"/>
          <w:lang w:val="en-CA"/>
        </w:rPr>
        <w:t>or</w:t>
      </w:r>
      <w:r w:rsidR="00DF120D">
        <w:rPr>
          <w:b w:val="0"/>
          <w:bCs/>
          <w:szCs w:val="24"/>
          <w:lang w:val="en-CA"/>
        </w:rPr>
        <w:t>s</w:t>
      </w:r>
      <w:r w:rsidR="00C71F11">
        <w:rPr>
          <w:b w:val="0"/>
          <w:bCs/>
          <w:szCs w:val="24"/>
          <w:lang w:val="en-CA"/>
        </w:rPr>
        <w:t>.</w:t>
      </w:r>
    </w:p>
    <w:p w14:paraId="0B88C6A9" w14:textId="77777777" w:rsidR="00264425" w:rsidRPr="002A2188" w:rsidRDefault="008047BE" w:rsidP="006C3F5C">
      <w:pPr>
        <w:spacing w:before="600"/>
        <w:jc w:val="center"/>
        <w:rPr>
          <w:lang w:val="en-US"/>
        </w:rPr>
      </w:pPr>
      <w:r w:rsidRPr="00EE1126">
        <w:t>_________</w:t>
      </w:r>
      <w:r>
        <w:t>______</w:t>
      </w:r>
    </w:p>
    <w:sectPr w:rsidR="00264425" w:rsidRPr="002A2188" w:rsidSect="004D1851">
      <w:headerReference w:type="default" r:id="rId54"/>
      <w:footerReference w:type="first" r:id="rId5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7160E" w14:textId="77777777" w:rsidR="00EA4828" w:rsidRDefault="00EA4828">
      <w:r>
        <w:separator/>
      </w:r>
    </w:p>
  </w:endnote>
  <w:endnote w:type="continuationSeparator" w:id="0">
    <w:p w14:paraId="3632901E" w14:textId="77777777" w:rsidR="00EA4828" w:rsidRDefault="00EA4828">
      <w:r>
        <w:continuationSeparator/>
      </w:r>
    </w:p>
  </w:endnote>
  <w:endnote w:type="continuationNotice" w:id="1">
    <w:p w14:paraId="53220802" w14:textId="77777777" w:rsidR="00EA4828" w:rsidRDefault="00EA48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8A36" w14:textId="77777777" w:rsidR="007C7EDC" w:rsidRDefault="007C7EDC">
    <w:pPr>
      <w:spacing w:after="120"/>
      <w:jc w:val="center"/>
    </w:pPr>
    <w:r>
      <w:t xml:space="preserve">• </w:t>
    </w:r>
    <w:hyperlink r:id="rId1" w:history="1">
      <w:r>
        <w:rPr>
          <w:rStyle w:val="Hyperlink"/>
        </w:rPr>
        <w:t>http://www.itu.int/council</w:t>
      </w:r>
    </w:hyperlink>
    <w:r>
      <w:t xml:space="preserve"> •</w:t>
    </w:r>
  </w:p>
  <w:p w14:paraId="120A2C8F" w14:textId="77777777" w:rsidR="007C7EDC" w:rsidRDefault="007C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2736A" w14:textId="77777777" w:rsidR="00EA4828" w:rsidRDefault="00EA4828">
      <w:r>
        <w:t>____________________</w:t>
      </w:r>
    </w:p>
  </w:footnote>
  <w:footnote w:type="continuationSeparator" w:id="0">
    <w:p w14:paraId="4A519FE9" w14:textId="77777777" w:rsidR="00EA4828" w:rsidRDefault="00EA4828">
      <w:r>
        <w:continuationSeparator/>
      </w:r>
    </w:p>
  </w:footnote>
  <w:footnote w:type="continuationNotice" w:id="1">
    <w:p w14:paraId="4E8C22EB" w14:textId="77777777" w:rsidR="00EA4828" w:rsidRDefault="00EA482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1998" w14:textId="08B75FDF" w:rsidR="007C7EDC" w:rsidRDefault="007C7EDC" w:rsidP="00CE433C">
    <w:pPr>
      <w:pStyle w:val="Header"/>
    </w:pPr>
    <w:r>
      <w:fldChar w:fldCharType="begin"/>
    </w:r>
    <w:r>
      <w:instrText>PAGE</w:instrText>
    </w:r>
    <w:r>
      <w:fldChar w:fldCharType="separate"/>
    </w:r>
    <w:r w:rsidR="00561BE6">
      <w:rPr>
        <w:noProof/>
      </w:rPr>
      <w:t>2</w:t>
    </w:r>
    <w:r>
      <w:rPr>
        <w:noProof/>
      </w:rPr>
      <w:fldChar w:fldCharType="end"/>
    </w:r>
  </w:p>
  <w:p w14:paraId="040B9BFD" w14:textId="1628D4DE" w:rsidR="007C7EDC" w:rsidRPr="00623AE3" w:rsidRDefault="00B20073" w:rsidP="006C3F5C">
    <w:pPr>
      <w:pStyle w:val="Header"/>
      <w:rPr>
        <w:bCs/>
      </w:rPr>
    </w:pPr>
    <w:r>
      <w:rPr>
        <w:bCs/>
      </w:rPr>
      <w:t>C</w:t>
    </w:r>
    <w:r w:rsidR="004450F0">
      <w:rPr>
        <w:bCs/>
      </w:rPr>
      <w:t>20</w:t>
    </w:r>
    <w:r w:rsidR="007C7EDC" w:rsidRPr="00623AE3">
      <w:rPr>
        <w:bCs/>
      </w:rPr>
      <w:t>/</w:t>
    </w:r>
    <w:r w:rsidR="007C7EDC">
      <w:rPr>
        <w:bCs/>
      </w:rPr>
      <w:t>6</w:t>
    </w:r>
    <w:r w:rsidR="007C7EDC"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E516A7"/>
    <w:multiLevelType w:val="multilevel"/>
    <w:tmpl w:val="7D8A8852"/>
    <w:lvl w:ilvl="0">
      <w:start w:val="4"/>
      <w:numFmt w:val="decimal"/>
      <w:lvlText w:val="%1"/>
      <w:lvlJc w:val="left"/>
      <w:pPr>
        <w:ind w:left="480" w:hanging="480"/>
      </w:pPr>
      <w:rPr>
        <w:rFonts w:hint="default"/>
        <w:b/>
      </w:rPr>
    </w:lvl>
    <w:lvl w:ilvl="1">
      <w:start w:val="3"/>
      <w:numFmt w:val="decimal"/>
      <w:lvlText w:val="%1.%2"/>
      <w:lvlJc w:val="left"/>
      <w:pPr>
        <w:ind w:left="763" w:hanging="48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 w15:restartNumberingAfterBreak="0">
    <w:nsid w:val="3C984804"/>
    <w:multiLevelType w:val="hybridMultilevel"/>
    <w:tmpl w:val="FFB6748A"/>
    <w:lvl w:ilvl="0" w:tplc="0409000F">
      <w:start w:val="1"/>
      <w:numFmt w:val="decimal"/>
      <w:lvlText w:val="%1."/>
      <w:lvlJc w:val="left"/>
      <w:pPr>
        <w:ind w:left="-1058" w:hanging="360"/>
      </w:p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3" w15:restartNumberingAfterBreak="0">
    <w:nsid w:val="66813D8F"/>
    <w:multiLevelType w:val="hybridMultilevel"/>
    <w:tmpl w:val="FEC8043E"/>
    <w:lvl w:ilvl="0" w:tplc="04090001">
      <w:start w:val="1"/>
      <w:numFmt w:val="bullet"/>
      <w:lvlText w:val=""/>
      <w:lvlJc w:val="left"/>
      <w:pPr>
        <w:ind w:left="360" w:hanging="360"/>
      </w:pPr>
      <w:rPr>
        <w:rFonts w:ascii="Symbol" w:hAnsi="Symbol" w:hint="default"/>
      </w:rPr>
    </w:lvl>
    <w:lvl w:ilvl="1" w:tplc="7A440A8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11724"/>
    <w:rsid w:val="00017A5E"/>
    <w:rsid w:val="000210D4"/>
    <w:rsid w:val="0002412B"/>
    <w:rsid w:val="00031DA7"/>
    <w:rsid w:val="00047B0E"/>
    <w:rsid w:val="00063016"/>
    <w:rsid w:val="00063568"/>
    <w:rsid w:val="00066795"/>
    <w:rsid w:val="00076AF6"/>
    <w:rsid w:val="00085CF2"/>
    <w:rsid w:val="00095FFE"/>
    <w:rsid w:val="00096DB1"/>
    <w:rsid w:val="000B1705"/>
    <w:rsid w:val="000C55F1"/>
    <w:rsid w:val="000D1A83"/>
    <w:rsid w:val="000D1E22"/>
    <w:rsid w:val="000D75B2"/>
    <w:rsid w:val="000F187B"/>
    <w:rsid w:val="000F49CE"/>
    <w:rsid w:val="00102BD8"/>
    <w:rsid w:val="001121F5"/>
    <w:rsid w:val="00116D3D"/>
    <w:rsid w:val="00121F97"/>
    <w:rsid w:val="001236E9"/>
    <w:rsid w:val="001269C1"/>
    <w:rsid w:val="00130C54"/>
    <w:rsid w:val="001344AA"/>
    <w:rsid w:val="0013534A"/>
    <w:rsid w:val="0013654D"/>
    <w:rsid w:val="00136C27"/>
    <w:rsid w:val="001400DC"/>
    <w:rsid w:val="00140CE1"/>
    <w:rsid w:val="001422CD"/>
    <w:rsid w:val="001569D3"/>
    <w:rsid w:val="00166F89"/>
    <w:rsid w:val="0017539C"/>
    <w:rsid w:val="00175AC2"/>
    <w:rsid w:val="0017609F"/>
    <w:rsid w:val="001828C4"/>
    <w:rsid w:val="001859E0"/>
    <w:rsid w:val="001A02FE"/>
    <w:rsid w:val="001A03B1"/>
    <w:rsid w:val="001A328B"/>
    <w:rsid w:val="001A404F"/>
    <w:rsid w:val="001B09CB"/>
    <w:rsid w:val="001C0B12"/>
    <w:rsid w:val="001C628E"/>
    <w:rsid w:val="001D4D6F"/>
    <w:rsid w:val="001E0F7B"/>
    <w:rsid w:val="001F08BF"/>
    <w:rsid w:val="001F3BAF"/>
    <w:rsid w:val="001F5A04"/>
    <w:rsid w:val="0020315E"/>
    <w:rsid w:val="002113AA"/>
    <w:rsid w:val="002119FD"/>
    <w:rsid w:val="002130E0"/>
    <w:rsid w:val="0022125B"/>
    <w:rsid w:val="002240EA"/>
    <w:rsid w:val="0022478A"/>
    <w:rsid w:val="002270D8"/>
    <w:rsid w:val="00236A42"/>
    <w:rsid w:val="00244893"/>
    <w:rsid w:val="002466DB"/>
    <w:rsid w:val="00254F6E"/>
    <w:rsid w:val="00264425"/>
    <w:rsid w:val="00264CF5"/>
    <w:rsid w:val="00265875"/>
    <w:rsid w:val="002664BD"/>
    <w:rsid w:val="0026751F"/>
    <w:rsid w:val="0027303B"/>
    <w:rsid w:val="0028109B"/>
    <w:rsid w:val="002874A2"/>
    <w:rsid w:val="00291564"/>
    <w:rsid w:val="002958E7"/>
    <w:rsid w:val="002A2188"/>
    <w:rsid w:val="002A3899"/>
    <w:rsid w:val="002B1F58"/>
    <w:rsid w:val="002C1C7A"/>
    <w:rsid w:val="002D331D"/>
    <w:rsid w:val="002F2218"/>
    <w:rsid w:val="002F47B9"/>
    <w:rsid w:val="0030160F"/>
    <w:rsid w:val="003026F8"/>
    <w:rsid w:val="00316B74"/>
    <w:rsid w:val="00322D0D"/>
    <w:rsid w:val="00326761"/>
    <w:rsid w:val="003273CC"/>
    <w:rsid w:val="003942D4"/>
    <w:rsid w:val="00394DFF"/>
    <w:rsid w:val="003958A8"/>
    <w:rsid w:val="003A5C98"/>
    <w:rsid w:val="003B0A6C"/>
    <w:rsid w:val="003B1693"/>
    <w:rsid w:val="003C2533"/>
    <w:rsid w:val="003C7F03"/>
    <w:rsid w:val="003D59CA"/>
    <w:rsid w:val="003E4A1A"/>
    <w:rsid w:val="003F010F"/>
    <w:rsid w:val="003F4E70"/>
    <w:rsid w:val="00400EEE"/>
    <w:rsid w:val="004034FF"/>
    <w:rsid w:val="0040435A"/>
    <w:rsid w:val="00414E63"/>
    <w:rsid w:val="004158A9"/>
    <w:rsid w:val="00416A24"/>
    <w:rsid w:val="00423667"/>
    <w:rsid w:val="004303F1"/>
    <w:rsid w:val="00431D9E"/>
    <w:rsid w:val="00433CE8"/>
    <w:rsid w:val="00434A5C"/>
    <w:rsid w:val="00436005"/>
    <w:rsid w:val="004448F6"/>
    <w:rsid w:val="004450F0"/>
    <w:rsid w:val="004544D9"/>
    <w:rsid w:val="0048335F"/>
    <w:rsid w:val="0048520B"/>
    <w:rsid w:val="00490E72"/>
    <w:rsid w:val="00491157"/>
    <w:rsid w:val="004921C8"/>
    <w:rsid w:val="004A507F"/>
    <w:rsid w:val="004B57DE"/>
    <w:rsid w:val="004C6C96"/>
    <w:rsid w:val="004D1851"/>
    <w:rsid w:val="004D599D"/>
    <w:rsid w:val="004E2EA5"/>
    <w:rsid w:val="004E3AEB"/>
    <w:rsid w:val="004F653E"/>
    <w:rsid w:val="00501558"/>
    <w:rsid w:val="0050223C"/>
    <w:rsid w:val="005073A8"/>
    <w:rsid w:val="00507D0F"/>
    <w:rsid w:val="0051641A"/>
    <w:rsid w:val="0051719F"/>
    <w:rsid w:val="00517628"/>
    <w:rsid w:val="005243FF"/>
    <w:rsid w:val="00527796"/>
    <w:rsid w:val="005279FA"/>
    <w:rsid w:val="00531E39"/>
    <w:rsid w:val="00536AA3"/>
    <w:rsid w:val="00537A8B"/>
    <w:rsid w:val="00544804"/>
    <w:rsid w:val="00561A99"/>
    <w:rsid w:val="00561BE6"/>
    <w:rsid w:val="00564FBC"/>
    <w:rsid w:val="00577A79"/>
    <w:rsid w:val="00582442"/>
    <w:rsid w:val="005917B5"/>
    <w:rsid w:val="005A549C"/>
    <w:rsid w:val="005B7D4F"/>
    <w:rsid w:val="005C648E"/>
    <w:rsid w:val="005C6BCF"/>
    <w:rsid w:val="005D1A9C"/>
    <w:rsid w:val="005E567C"/>
    <w:rsid w:val="005F3269"/>
    <w:rsid w:val="00613533"/>
    <w:rsid w:val="00623AE3"/>
    <w:rsid w:val="00625937"/>
    <w:rsid w:val="00632727"/>
    <w:rsid w:val="00644E56"/>
    <w:rsid w:val="0064737F"/>
    <w:rsid w:val="006535F1"/>
    <w:rsid w:val="0065557D"/>
    <w:rsid w:val="006564B5"/>
    <w:rsid w:val="00662984"/>
    <w:rsid w:val="00670942"/>
    <w:rsid w:val="006716BB"/>
    <w:rsid w:val="0068460D"/>
    <w:rsid w:val="0068598A"/>
    <w:rsid w:val="0069183B"/>
    <w:rsid w:val="00693313"/>
    <w:rsid w:val="006A0F90"/>
    <w:rsid w:val="006B6680"/>
    <w:rsid w:val="006B6DCC"/>
    <w:rsid w:val="006C3F5C"/>
    <w:rsid w:val="006C5098"/>
    <w:rsid w:val="006C620F"/>
    <w:rsid w:val="006D3606"/>
    <w:rsid w:val="006D3927"/>
    <w:rsid w:val="006E1272"/>
    <w:rsid w:val="006E6447"/>
    <w:rsid w:val="00700045"/>
    <w:rsid w:val="00702DEF"/>
    <w:rsid w:val="0070606F"/>
    <w:rsid w:val="00706861"/>
    <w:rsid w:val="007133B9"/>
    <w:rsid w:val="00721C3F"/>
    <w:rsid w:val="00726116"/>
    <w:rsid w:val="007430F7"/>
    <w:rsid w:val="0075051B"/>
    <w:rsid w:val="007543BC"/>
    <w:rsid w:val="007606E1"/>
    <w:rsid w:val="00761B25"/>
    <w:rsid w:val="007758FD"/>
    <w:rsid w:val="00785FD2"/>
    <w:rsid w:val="00793188"/>
    <w:rsid w:val="00794D34"/>
    <w:rsid w:val="007A6375"/>
    <w:rsid w:val="007B5040"/>
    <w:rsid w:val="007C0D38"/>
    <w:rsid w:val="007C4416"/>
    <w:rsid w:val="007C7EDC"/>
    <w:rsid w:val="007E438C"/>
    <w:rsid w:val="008047BE"/>
    <w:rsid w:val="00813E5E"/>
    <w:rsid w:val="0082281A"/>
    <w:rsid w:val="00832C22"/>
    <w:rsid w:val="0083581B"/>
    <w:rsid w:val="00864AFF"/>
    <w:rsid w:val="008659A5"/>
    <w:rsid w:val="0087203D"/>
    <w:rsid w:val="00873000"/>
    <w:rsid w:val="00894573"/>
    <w:rsid w:val="008A5A10"/>
    <w:rsid w:val="008B047F"/>
    <w:rsid w:val="008B4A6A"/>
    <w:rsid w:val="008C32A4"/>
    <w:rsid w:val="008C7E27"/>
    <w:rsid w:val="008D2009"/>
    <w:rsid w:val="008E67DA"/>
    <w:rsid w:val="00914491"/>
    <w:rsid w:val="0091534B"/>
    <w:rsid w:val="0091582B"/>
    <w:rsid w:val="009162D6"/>
    <w:rsid w:val="0091695A"/>
    <w:rsid w:val="009173EF"/>
    <w:rsid w:val="009174BF"/>
    <w:rsid w:val="009318C8"/>
    <w:rsid w:val="00932906"/>
    <w:rsid w:val="0094052B"/>
    <w:rsid w:val="00945F67"/>
    <w:rsid w:val="00952E54"/>
    <w:rsid w:val="009604D6"/>
    <w:rsid w:val="00960A35"/>
    <w:rsid w:val="00961B0B"/>
    <w:rsid w:val="009727FD"/>
    <w:rsid w:val="00973DBF"/>
    <w:rsid w:val="009A37F8"/>
    <w:rsid w:val="009B38C3"/>
    <w:rsid w:val="009C3FA6"/>
    <w:rsid w:val="009D4049"/>
    <w:rsid w:val="009E07C7"/>
    <w:rsid w:val="009E17BD"/>
    <w:rsid w:val="009E485A"/>
    <w:rsid w:val="00A02B0B"/>
    <w:rsid w:val="00A04CEC"/>
    <w:rsid w:val="00A10B11"/>
    <w:rsid w:val="00A27F92"/>
    <w:rsid w:val="00A32257"/>
    <w:rsid w:val="00A36D20"/>
    <w:rsid w:val="00A459CC"/>
    <w:rsid w:val="00A55622"/>
    <w:rsid w:val="00A62AE1"/>
    <w:rsid w:val="00A64CEB"/>
    <w:rsid w:val="00A66117"/>
    <w:rsid w:val="00A70F2E"/>
    <w:rsid w:val="00A7761C"/>
    <w:rsid w:val="00A83502"/>
    <w:rsid w:val="00A902FC"/>
    <w:rsid w:val="00AB0553"/>
    <w:rsid w:val="00AB4764"/>
    <w:rsid w:val="00AB527F"/>
    <w:rsid w:val="00AB7E69"/>
    <w:rsid w:val="00AC033F"/>
    <w:rsid w:val="00AC1C09"/>
    <w:rsid w:val="00AD059F"/>
    <w:rsid w:val="00AD15B3"/>
    <w:rsid w:val="00AD180F"/>
    <w:rsid w:val="00AD756F"/>
    <w:rsid w:val="00AE7E48"/>
    <w:rsid w:val="00AF6E49"/>
    <w:rsid w:val="00AF76C8"/>
    <w:rsid w:val="00B0198C"/>
    <w:rsid w:val="00B04A67"/>
    <w:rsid w:val="00B0583C"/>
    <w:rsid w:val="00B20073"/>
    <w:rsid w:val="00B354B6"/>
    <w:rsid w:val="00B40A81"/>
    <w:rsid w:val="00B44910"/>
    <w:rsid w:val="00B46D06"/>
    <w:rsid w:val="00B72267"/>
    <w:rsid w:val="00B74DF2"/>
    <w:rsid w:val="00B76EB6"/>
    <w:rsid w:val="00B7737B"/>
    <w:rsid w:val="00B824C8"/>
    <w:rsid w:val="00B83AF7"/>
    <w:rsid w:val="00B9201A"/>
    <w:rsid w:val="00B93984"/>
    <w:rsid w:val="00B958E7"/>
    <w:rsid w:val="00BA11B7"/>
    <w:rsid w:val="00BA7C92"/>
    <w:rsid w:val="00BB389A"/>
    <w:rsid w:val="00BB76D2"/>
    <w:rsid w:val="00BC251A"/>
    <w:rsid w:val="00BC6783"/>
    <w:rsid w:val="00BD032B"/>
    <w:rsid w:val="00BE2640"/>
    <w:rsid w:val="00BF3617"/>
    <w:rsid w:val="00C01189"/>
    <w:rsid w:val="00C067B6"/>
    <w:rsid w:val="00C14992"/>
    <w:rsid w:val="00C17667"/>
    <w:rsid w:val="00C373A7"/>
    <w:rsid w:val="00C374DE"/>
    <w:rsid w:val="00C401FE"/>
    <w:rsid w:val="00C47AD4"/>
    <w:rsid w:val="00C52D81"/>
    <w:rsid w:val="00C55198"/>
    <w:rsid w:val="00C71F11"/>
    <w:rsid w:val="00C72BE8"/>
    <w:rsid w:val="00C7338F"/>
    <w:rsid w:val="00C77A5F"/>
    <w:rsid w:val="00C86927"/>
    <w:rsid w:val="00C92E3F"/>
    <w:rsid w:val="00CA6393"/>
    <w:rsid w:val="00CB18FF"/>
    <w:rsid w:val="00CC0EFF"/>
    <w:rsid w:val="00CD0C08"/>
    <w:rsid w:val="00CE03FB"/>
    <w:rsid w:val="00CE26C1"/>
    <w:rsid w:val="00CE433C"/>
    <w:rsid w:val="00CF33F3"/>
    <w:rsid w:val="00D04E39"/>
    <w:rsid w:val="00D06183"/>
    <w:rsid w:val="00D06BF9"/>
    <w:rsid w:val="00D22C42"/>
    <w:rsid w:val="00D30DF8"/>
    <w:rsid w:val="00D31FED"/>
    <w:rsid w:val="00D33CBC"/>
    <w:rsid w:val="00D42582"/>
    <w:rsid w:val="00D65041"/>
    <w:rsid w:val="00D714F1"/>
    <w:rsid w:val="00D75F91"/>
    <w:rsid w:val="00D769FB"/>
    <w:rsid w:val="00DB384B"/>
    <w:rsid w:val="00DB7C5A"/>
    <w:rsid w:val="00DC251C"/>
    <w:rsid w:val="00DD7935"/>
    <w:rsid w:val="00DE6372"/>
    <w:rsid w:val="00DF120D"/>
    <w:rsid w:val="00E10E80"/>
    <w:rsid w:val="00E124F0"/>
    <w:rsid w:val="00E1721A"/>
    <w:rsid w:val="00E37148"/>
    <w:rsid w:val="00E379F1"/>
    <w:rsid w:val="00E54DE7"/>
    <w:rsid w:val="00E60F04"/>
    <w:rsid w:val="00E62DA8"/>
    <w:rsid w:val="00E645FA"/>
    <w:rsid w:val="00E6538A"/>
    <w:rsid w:val="00E81531"/>
    <w:rsid w:val="00E854E4"/>
    <w:rsid w:val="00E90554"/>
    <w:rsid w:val="00EA4828"/>
    <w:rsid w:val="00EB0D6F"/>
    <w:rsid w:val="00EB2232"/>
    <w:rsid w:val="00EB797C"/>
    <w:rsid w:val="00EC5337"/>
    <w:rsid w:val="00EC6678"/>
    <w:rsid w:val="00ED128F"/>
    <w:rsid w:val="00ED2D0E"/>
    <w:rsid w:val="00EE5AB0"/>
    <w:rsid w:val="00EF60D0"/>
    <w:rsid w:val="00F159E5"/>
    <w:rsid w:val="00F20828"/>
    <w:rsid w:val="00F2150A"/>
    <w:rsid w:val="00F231D8"/>
    <w:rsid w:val="00F3185F"/>
    <w:rsid w:val="00F34E44"/>
    <w:rsid w:val="00F44FBA"/>
    <w:rsid w:val="00F46C5F"/>
    <w:rsid w:val="00F52905"/>
    <w:rsid w:val="00F536FA"/>
    <w:rsid w:val="00F76C5D"/>
    <w:rsid w:val="00F76E9D"/>
    <w:rsid w:val="00F83A50"/>
    <w:rsid w:val="00F85061"/>
    <w:rsid w:val="00F94637"/>
    <w:rsid w:val="00F94A63"/>
    <w:rsid w:val="00FA1C28"/>
    <w:rsid w:val="00FB7596"/>
    <w:rsid w:val="00FC0D24"/>
    <w:rsid w:val="00FC795C"/>
    <w:rsid w:val="00FD2943"/>
    <w:rsid w:val="00FD6218"/>
    <w:rsid w:val="00FE18CC"/>
    <w:rsid w:val="00FE4077"/>
    <w:rsid w:val="00FE61D1"/>
    <w:rsid w:val="00FE77D2"/>
    <w:rsid w:val="00FF0A2C"/>
    <w:rsid w:val="00FF1A96"/>
    <w:rsid w:val="00FF786C"/>
    <w:rsid w:val="04CB4053"/>
    <w:rsid w:val="04DB0D3C"/>
    <w:rsid w:val="09536C2B"/>
    <w:rsid w:val="0AA4D1BB"/>
    <w:rsid w:val="0C6D56DA"/>
    <w:rsid w:val="123CD4C4"/>
    <w:rsid w:val="12A32EFE"/>
    <w:rsid w:val="17B00FE4"/>
    <w:rsid w:val="212A0A76"/>
    <w:rsid w:val="22AB3831"/>
    <w:rsid w:val="28A93500"/>
    <w:rsid w:val="28BBA1EA"/>
    <w:rsid w:val="2A8F66FD"/>
    <w:rsid w:val="2D00389B"/>
    <w:rsid w:val="31F6EF4E"/>
    <w:rsid w:val="32CF9F7B"/>
    <w:rsid w:val="32D00FE2"/>
    <w:rsid w:val="35321431"/>
    <w:rsid w:val="3B805A96"/>
    <w:rsid w:val="3DF6FA59"/>
    <w:rsid w:val="3F074E9D"/>
    <w:rsid w:val="4054509D"/>
    <w:rsid w:val="45D9EAD6"/>
    <w:rsid w:val="4645E866"/>
    <w:rsid w:val="4780964D"/>
    <w:rsid w:val="487AE35A"/>
    <w:rsid w:val="49770679"/>
    <w:rsid w:val="4B07BAB6"/>
    <w:rsid w:val="4D3A7A83"/>
    <w:rsid w:val="514B7F23"/>
    <w:rsid w:val="5171D844"/>
    <w:rsid w:val="51FD80FC"/>
    <w:rsid w:val="52F2463E"/>
    <w:rsid w:val="58ED3530"/>
    <w:rsid w:val="5AAB9B9D"/>
    <w:rsid w:val="5D201820"/>
    <w:rsid w:val="6545340C"/>
    <w:rsid w:val="66B7ECF9"/>
    <w:rsid w:val="6787C0A7"/>
    <w:rsid w:val="6A4D45FD"/>
    <w:rsid w:val="6A8CDBFA"/>
    <w:rsid w:val="6E11867E"/>
    <w:rsid w:val="70ADB58F"/>
    <w:rsid w:val="7130E9F2"/>
    <w:rsid w:val="7188F43F"/>
    <w:rsid w:val="72BA5002"/>
    <w:rsid w:val="731DB1DB"/>
    <w:rsid w:val="73EAA821"/>
    <w:rsid w:val="75BECBE4"/>
    <w:rsid w:val="7992D734"/>
    <w:rsid w:val="7ABE46B2"/>
    <w:rsid w:val="7B3A96E8"/>
    <w:rsid w:val="7DB469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5171FB"/>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97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8047BE"/>
    <w:rPr>
      <w:rFonts w:ascii="Calibri" w:hAnsi="Calibri"/>
      <w:b/>
      <w:sz w:val="28"/>
      <w:lang w:val="en-GB" w:eastAsia="en-US"/>
    </w:rPr>
  </w:style>
  <w:style w:type="character" w:customStyle="1" w:styleId="Heading3Char">
    <w:name w:val="Heading 3 Char"/>
    <w:basedOn w:val="DefaultParagraphFont"/>
    <w:link w:val="Heading3"/>
    <w:rsid w:val="008047BE"/>
    <w:rPr>
      <w:rFonts w:ascii="Calibri" w:hAnsi="Calibri"/>
      <w:b/>
      <w:sz w:val="24"/>
      <w:lang w:val="en-GB" w:eastAsia="en-US"/>
    </w:rPr>
  </w:style>
  <w:style w:type="paragraph" w:styleId="ListParagraph">
    <w:name w:val="List Paragraph"/>
    <w:basedOn w:val="Normal"/>
    <w:link w:val="ListParagraphChar"/>
    <w:uiPriority w:val="34"/>
    <w:qFormat/>
    <w:rsid w:val="008047BE"/>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8047BE"/>
    <w:rPr>
      <w:rFonts w:ascii="Times New Roman" w:eastAsiaTheme="minorEastAsia" w:hAnsi="Times New Roman" w:cstheme="minorBidi"/>
      <w:sz w:val="22"/>
      <w:szCs w:val="22"/>
      <w:lang w:val="fr-CH"/>
    </w:rPr>
  </w:style>
  <w:style w:type="paragraph" w:styleId="BalloonText">
    <w:name w:val="Balloon Text"/>
    <w:basedOn w:val="Normal"/>
    <w:link w:val="BalloonTextChar"/>
    <w:semiHidden/>
    <w:unhideWhenUsed/>
    <w:rsid w:val="00FE61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61D1"/>
    <w:rPr>
      <w:rFonts w:ascii="Segoe UI" w:hAnsi="Segoe UI" w:cs="Segoe UI"/>
      <w:sz w:val="18"/>
      <w:szCs w:val="18"/>
      <w:lang w:val="en-GB" w:eastAsia="en-US"/>
    </w:rPr>
  </w:style>
  <w:style w:type="paragraph" w:styleId="Revision">
    <w:name w:val="Revision"/>
    <w:hidden/>
    <w:uiPriority w:val="99"/>
    <w:semiHidden/>
    <w:rsid w:val="00531E39"/>
    <w:rPr>
      <w:rFonts w:ascii="Calibri" w:hAnsi="Calibri"/>
      <w:sz w:val="24"/>
      <w:lang w:val="en-GB" w:eastAsia="en-US"/>
    </w:rPr>
  </w:style>
  <w:style w:type="character" w:styleId="CommentReference">
    <w:name w:val="annotation reference"/>
    <w:basedOn w:val="DefaultParagraphFont"/>
    <w:semiHidden/>
    <w:unhideWhenUsed/>
    <w:rsid w:val="00FF786C"/>
    <w:rPr>
      <w:sz w:val="16"/>
      <w:szCs w:val="16"/>
    </w:rPr>
  </w:style>
  <w:style w:type="paragraph" w:styleId="CommentText">
    <w:name w:val="annotation text"/>
    <w:basedOn w:val="Normal"/>
    <w:link w:val="CommentTextChar"/>
    <w:unhideWhenUsed/>
    <w:rsid w:val="00FF786C"/>
    <w:rPr>
      <w:sz w:val="20"/>
    </w:rPr>
  </w:style>
  <w:style w:type="character" w:customStyle="1" w:styleId="CommentTextChar">
    <w:name w:val="Comment Text Char"/>
    <w:basedOn w:val="DefaultParagraphFont"/>
    <w:link w:val="CommentText"/>
    <w:rsid w:val="00FF786C"/>
    <w:rPr>
      <w:rFonts w:ascii="Calibri" w:hAnsi="Calibri"/>
      <w:lang w:val="en-GB" w:eastAsia="en-US"/>
    </w:rPr>
  </w:style>
  <w:style w:type="paragraph" w:styleId="CommentSubject">
    <w:name w:val="annotation subject"/>
    <w:basedOn w:val="CommentText"/>
    <w:next w:val="CommentText"/>
    <w:link w:val="CommentSubjectChar"/>
    <w:semiHidden/>
    <w:unhideWhenUsed/>
    <w:rsid w:val="00FF786C"/>
    <w:rPr>
      <w:b/>
      <w:bCs/>
    </w:rPr>
  </w:style>
  <w:style w:type="character" w:customStyle="1" w:styleId="CommentSubjectChar">
    <w:name w:val="Comment Subject Char"/>
    <w:basedOn w:val="CommentTextChar"/>
    <w:link w:val="CommentSubject"/>
    <w:semiHidden/>
    <w:rsid w:val="00FF786C"/>
    <w:rPr>
      <w:rFonts w:ascii="Calibri" w:hAnsi="Calibri"/>
      <w:b/>
      <w:bCs/>
      <w:lang w:val="en-GB" w:eastAsia="en-US"/>
    </w:rPr>
  </w:style>
  <w:style w:type="paragraph" w:styleId="NormalWeb">
    <w:name w:val="Normal (Web)"/>
    <w:basedOn w:val="Normal"/>
    <w:uiPriority w:val="99"/>
    <w:semiHidden/>
    <w:unhideWhenUsed/>
    <w:rsid w:val="001A404F"/>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eastAsia="en-GB"/>
    </w:rPr>
  </w:style>
  <w:style w:type="character" w:customStyle="1" w:styleId="UnresolvedMention1">
    <w:name w:val="Unresolved Mention1"/>
    <w:basedOn w:val="DefaultParagraphFont"/>
    <w:uiPriority w:val="99"/>
    <w:semiHidden/>
    <w:unhideWhenUsed/>
    <w:rsid w:val="00AB7E69"/>
    <w:rPr>
      <w:color w:val="605E5C"/>
      <w:shd w:val="clear" w:color="auto" w:fill="E1DFDD"/>
    </w:rPr>
  </w:style>
  <w:style w:type="character" w:customStyle="1" w:styleId="UnresolvedMention2">
    <w:name w:val="Unresolved Mention2"/>
    <w:basedOn w:val="DefaultParagraphFont"/>
    <w:uiPriority w:val="99"/>
    <w:semiHidden/>
    <w:unhideWhenUsed/>
    <w:rsid w:val="00C86927"/>
    <w:rPr>
      <w:color w:val="605E5C"/>
      <w:shd w:val="clear" w:color="auto" w:fill="E1DFDD"/>
    </w:rPr>
  </w:style>
  <w:style w:type="character" w:styleId="UnresolvedMention">
    <w:name w:val="Unresolved Mention"/>
    <w:basedOn w:val="DefaultParagraphFont"/>
    <w:uiPriority w:val="99"/>
    <w:semiHidden/>
    <w:unhideWhenUsed/>
    <w:rsid w:val="003F0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499906">
      <w:bodyDiv w:val="1"/>
      <w:marLeft w:val="0"/>
      <w:marRight w:val="0"/>
      <w:marTop w:val="0"/>
      <w:marBottom w:val="0"/>
      <w:divBdr>
        <w:top w:val="none" w:sz="0" w:space="0" w:color="auto"/>
        <w:left w:val="none" w:sz="0" w:space="0" w:color="auto"/>
        <w:bottom w:val="none" w:sz="0" w:space="0" w:color="auto"/>
        <w:right w:val="none" w:sz="0" w:space="0" w:color="auto"/>
      </w:divBdr>
    </w:div>
    <w:div w:id="14789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3-CL-INF-0011/en" TargetMode="External"/><Relationship Id="rId18" Type="http://schemas.openxmlformats.org/officeDocument/2006/relationships/hyperlink" Target="http://www.itu.int/md/S17-CL-C-0006/en" TargetMode="External"/><Relationship Id="rId26" Type="http://schemas.openxmlformats.org/officeDocument/2006/relationships/hyperlink" Target="https://www.itu.int/genderdashboard" TargetMode="External"/><Relationship Id="rId39" Type="http://schemas.openxmlformats.org/officeDocument/2006/relationships/hyperlink" Target="https://www.elargisteshorizons.ch/index.php/en/all/193-23-lego-mindstorms-bring-your-lego-robot-to-life-using-a-computer-program" TargetMode="External"/><Relationship Id="rId21" Type="http://schemas.openxmlformats.org/officeDocument/2006/relationships/hyperlink" Target="https://www.itu.int/md/S19-CL-INF-0002/en" TargetMode="External"/><Relationship Id="rId34" Type="http://schemas.openxmlformats.org/officeDocument/2006/relationships/hyperlink" Target="https://news.itu.int/close-digital-gender-gap-4-questions/" TargetMode="External"/><Relationship Id="rId42" Type="http://schemas.openxmlformats.org/officeDocument/2006/relationships/hyperlink" Target="http://www.itu.int/genderdashboard" TargetMode="External"/><Relationship Id="rId47" Type="http://schemas.openxmlformats.org/officeDocument/2006/relationships/hyperlink" Target="https://www.itu.int/en/ITU-R/Director/Documents/Speeches/Maniewicz/2019-11-19%20-%20WRC-19%20-%20Director%27s%20Statement%20on%20Gender%20Declaration.pdf" TargetMode="External"/><Relationship Id="rId50" Type="http://schemas.openxmlformats.org/officeDocument/2006/relationships/hyperlink" Target="https://genderchampions.com/champions/houlin-zhao"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S15-CL-C-0006/en" TargetMode="External"/><Relationship Id="rId29" Type="http://schemas.openxmlformats.org/officeDocument/2006/relationships/hyperlink" Target="file:///\\blue\dfs\sgo\CSD\Gender\Council\Council%202020\www.wsis.org\forum" TargetMode="External"/><Relationship Id="rId11" Type="http://schemas.openxmlformats.org/officeDocument/2006/relationships/image" Target="media/image1.jpeg"/><Relationship Id="rId24" Type="http://schemas.openxmlformats.org/officeDocument/2006/relationships/hyperlink" Target="http://www.itu.int/en/action/gender-equality/Pages/default.aspx" TargetMode="External"/><Relationship Id="rId32" Type="http://schemas.openxmlformats.org/officeDocument/2006/relationships/hyperlink" Target="http://www.un.org/en/sections/observances/international-days/index.html" TargetMode="External"/><Relationship Id="rId37" Type="http://schemas.openxmlformats.org/officeDocument/2006/relationships/hyperlink" Target="https://www.equals.org/single-post/2018/12/23/Money-matters-Tackling-the-gender-gap-in-technology-investment" TargetMode="External"/><Relationship Id="rId40" Type="http://schemas.openxmlformats.org/officeDocument/2006/relationships/hyperlink" Target="http://www.itu.int/en/action/gender-equality/Documents/raising-womens-voices.pdf" TargetMode="External"/><Relationship Id="rId45" Type="http://schemas.openxmlformats.org/officeDocument/2006/relationships/hyperlink" Target="http://www.itu.int/go/NOW4WRC19" TargetMode="External"/><Relationship Id="rId53" Type="http://schemas.openxmlformats.org/officeDocument/2006/relationships/hyperlink" Target="https://www.itu.int/md/S20-CL-INF-0002/en" TargetMode="External"/><Relationship Id="rId5" Type="http://schemas.openxmlformats.org/officeDocument/2006/relationships/numbering" Target="numbering.xml"/><Relationship Id="rId19" Type="http://schemas.openxmlformats.org/officeDocument/2006/relationships/hyperlink" Target="http://www.itu.int/md/S18-CL-C-000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3-CL-C-0039/en" TargetMode="External"/><Relationship Id="rId22" Type="http://schemas.openxmlformats.org/officeDocument/2006/relationships/hyperlink" Target="http://www.itu.int/md/S19-CL-C-0024/en" TargetMode="External"/><Relationship Id="rId27" Type="http://schemas.openxmlformats.org/officeDocument/2006/relationships/hyperlink" Target="https://www.itu.int/md/S20-CL-C-0054/en" TargetMode="External"/><Relationship Id="rId30" Type="http://schemas.openxmlformats.org/officeDocument/2006/relationships/hyperlink" Target="https://news.itu.int/empowering-girls-to-code-for-a-bright-and-promising-future/" TargetMode="External"/><Relationship Id="rId35" Type="http://schemas.openxmlformats.org/officeDocument/2006/relationships/hyperlink" Target="http://equals.org/" TargetMode="External"/><Relationship Id="rId43" Type="http://schemas.openxmlformats.org/officeDocument/2006/relationships/hyperlink" Target="http://www.itu.int/go/NOW4WRC19" TargetMode="External"/><Relationship Id="rId48" Type="http://schemas.openxmlformats.org/officeDocument/2006/relationships/hyperlink" Target="https://www.itu.int/en/mediacentre/Pages/2019-CM10.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en/delegates-corner/Documents/ITU%20code%20of%20conduct.pdf" TargetMode="External"/><Relationship Id="rId3" Type="http://schemas.openxmlformats.org/officeDocument/2006/relationships/customXml" Target="../customXml/item3.xml"/><Relationship Id="rId12" Type="http://schemas.openxmlformats.org/officeDocument/2006/relationships/hyperlink" Target="https://www.itu.int/en/council/Documents/basic-texts/RES-070-E.pdf" TargetMode="External"/><Relationship Id="rId17" Type="http://schemas.openxmlformats.org/officeDocument/2006/relationships/hyperlink" Target="http://www.itu.int/md/S16-CL-C-0006/en" TargetMode="External"/><Relationship Id="rId25" Type="http://schemas.openxmlformats.org/officeDocument/2006/relationships/hyperlink" Target="https://www.itu.int/en/ITU-D/Statistics/Pages/facts/default.aspx" TargetMode="External"/><Relationship Id="rId33" Type="http://schemas.openxmlformats.org/officeDocument/2006/relationships/hyperlink" Target="https://www.itu.int/en/ITU-D/Digital-Inclusion/Women-and-Girls/Girls-in-ICT-Portal/Pages/Portal.aspx" TargetMode="External"/><Relationship Id="rId38" Type="http://schemas.openxmlformats.org/officeDocument/2006/relationships/hyperlink" Target="https://www.equals.org/single-post/2019/01/08/25-Ways-to-Be-a-More-Inclusive-Engineer" TargetMode="External"/><Relationship Id="rId46" Type="http://schemas.openxmlformats.org/officeDocument/2006/relationships/hyperlink" Target="https://www.flickr.com/photos/itupictures/sets/72157711705305922/" TargetMode="External"/><Relationship Id="rId20" Type="http://schemas.openxmlformats.org/officeDocument/2006/relationships/hyperlink" Target="https://www.itu.int/md/S18-CL-INF-0003/en" TargetMode="External"/><Relationship Id="rId41" Type="http://schemas.openxmlformats.org/officeDocument/2006/relationships/hyperlink" Target="http://www.itu.int/genderdashboard"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S14-CL-C-0006/en" TargetMode="External"/><Relationship Id="rId23" Type="http://schemas.openxmlformats.org/officeDocument/2006/relationships/hyperlink" Target="https://www.itu.int/md/S20-CL-INF-0002/en" TargetMode="External"/><Relationship Id="rId28" Type="http://schemas.openxmlformats.org/officeDocument/2006/relationships/hyperlink" Target="http://www.itu.int/net/wsis/documents/HLE.html" TargetMode="External"/><Relationship Id="rId36" Type="http://schemas.openxmlformats.org/officeDocument/2006/relationships/hyperlink" Target="https://www.equals.org/awards" TargetMode="External"/><Relationship Id="rId49" Type="http://schemas.openxmlformats.org/officeDocument/2006/relationships/hyperlink" Target="https://genderchampions.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youtube.com/watch?v=gkYUlpgasoo" TargetMode="External"/><Relationship Id="rId44" Type="http://schemas.openxmlformats.org/officeDocument/2006/relationships/hyperlink" Target="https://www.itu.int/net4/wsis/forum/2019/Agenda/ViewSession/251" TargetMode="External"/><Relationship Id="rId52" Type="http://schemas.openxmlformats.org/officeDocument/2006/relationships/hyperlink" Target="https://www.itu.int/en/delegates-corner/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D833E10CFA249AD770994DB565162" ma:contentTypeVersion="4" ma:contentTypeDescription="Create a new document." ma:contentTypeScope="" ma:versionID="4d525e75edf22fdc6d29efae15a3f751">
  <xsd:schema xmlns:xsd="http://www.w3.org/2001/XMLSchema" xmlns:xs="http://www.w3.org/2001/XMLSchema" xmlns:p="http://schemas.microsoft.com/office/2006/metadata/properties" xmlns:ns2="d43221c6-e49d-48da-9943-1bc015eabf16" targetNamespace="http://schemas.microsoft.com/office/2006/metadata/properties" ma:root="true" ma:fieldsID="d662d8a1e3834f9bcd7a12f4a6712bd7" ns2:_="">
    <xsd:import namespace="d43221c6-e49d-48da-9943-1bc015eab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221c6-e49d-48da-9943-1bc015eab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9CDAA-C709-47B8-9D62-B9F7F4C8122B}">
  <ds:schemaRefs>
    <ds:schemaRef ds:uri="http://schemas.microsoft.com/sharepoint/v3/contenttype/forms"/>
  </ds:schemaRefs>
</ds:datastoreItem>
</file>

<file path=customXml/itemProps2.xml><?xml version="1.0" encoding="utf-8"?>
<ds:datastoreItem xmlns:ds="http://schemas.openxmlformats.org/officeDocument/2006/customXml" ds:itemID="{C4E7125B-D3B8-4E20-A5FB-81C4E9584B5B}">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d43221c6-e49d-48da-9943-1bc015eabf16"/>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BC64586-CBAF-4289-914E-A509DB469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221c6-e49d-48da-9943-1bc015eab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8F584-10E8-449F-97FD-8FDBDEB2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2371</Words>
  <Characters>16234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ITU's activities related to Resolution 70</vt:lpstr>
    </vt:vector>
  </TitlesOfParts>
  <Manager>General Secretariat - Pool</Manager>
  <Company>International Telecommunication Union (ITU)</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related to Resolution 70</dc:title>
  <dc:subject>Council 2018</dc:subject>
  <dc:creator>Brouard, Ricarda</dc:creator>
  <cp:keywords>C20, C2020</cp:keywords>
  <dc:description/>
  <cp:lastModifiedBy>Janin, Patricia</cp:lastModifiedBy>
  <cp:revision>8</cp:revision>
  <cp:lastPrinted>2019-03-05T16:04:00Z</cp:lastPrinted>
  <dcterms:created xsi:type="dcterms:W3CDTF">2020-02-28T11:07:00Z</dcterms:created>
  <dcterms:modified xsi:type="dcterms:W3CDTF">2020-03-04T08:33:00Z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0x01010005BD833E10CFA249AD770994DB565162</vt:lpwstr>
  </property>
</Properties>
</file>