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A3D71" w14:paraId="4249B35F" w14:textId="77777777">
        <w:trPr>
          <w:cantSplit/>
        </w:trPr>
        <w:tc>
          <w:tcPr>
            <w:tcW w:w="6912" w:type="dxa"/>
          </w:tcPr>
          <w:p w14:paraId="06085611" w14:textId="08BAD205" w:rsidR="00520F36" w:rsidRPr="00BA3D71" w:rsidRDefault="00520F36" w:rsidP="004E15D2">
            <w:pPr>
              <w:spacing w:before="360"/>
            </w:pPr>
            <w:bookmarkStart w:id="0" w:name="dc06"/>
            <w:bookmarkEnd w:id="0"/>
            <w:r w:rsidRPr="00BA3D71">
              <w:rPr>
                <w:b/>
                <w:bCs/>
                <w:sz w:val="30"/>
                <w:szCs w:val="30"/>
              </w:rPr>
              <w:t>Conseil 20</w:t>
            </w:r>
            <w:r w:rsidR="009C353C" w:rsidRPr="00BA3D71">
              <w:rPr>
                <w:b/>
                <w:bCs/>
                <w:sz w:val="30"/>
                <w:szCs w:val="30"/>
              </w:rPr>
              <w:t>20</w:t>
            </w:r>
          </w:p>
        </w:tc>
        <w:tc>
          <w:tcPr>
            <w:tcW w:w="3261" w:type="dxa"/>
          </w:tcPr>
          <w:p w14:paraId="08DA85BF" w14:textId="77777777" w:rsidR="00520F36" w:rsidRPr="00BA3D71" w:rsidRDefault="009C353C" w:rsidP="004E15D2">
            <w:pPr>
              <w:spacing w:before="0"/>
            </w:pPr>
            <w:bookmarkStart w:id="1" w:name="ditulogo"/>
            <w:bookmarkEnd w:id="1"/>
            <w:r w:rsidRPr="00BA3D71">
              <w:rPr>
                <w:noProof/>
              </w:rPr>
              <w:drawing>
                <wp:inline distT="0" distB="0" distL="0" distR="0" wp14:anchorId="49AD80A8" wp14:editId="202D917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BA3D71" w14:paraId="3F7DF0E4" w14:textId="77777777" w:rsidTr="009F1354">
        <w:trPr>
          <w:cantSplit/>
          <w:trHeight w:val="20"/>
        </w:trPr>
        <w:tc>
          <w:tcPr>
            <w:tcW w:w="6912" w:type="dxa"/>
            <w:tcBorders>
              <w:bottom w:val="single" w:sz="12" w:space="0" w:color="auto"/>
            </w:tcBorders>
            <w:vAlign w:val="center"/>
          </w:tcPr>
          <w:p w14:paraId="20732C30" w14:textId="77777777" w:rsidR="00520F36" w:rsidRPr="00BA3D71" w:rsidRDefault="00520F36" w:rsidP="004E15D2">
            <w:pPr>
              <w:spacing w:before="0"/>
              <w:rPr>
                <w:b/>
                <w:bCs/>
                <w:sz w:val="26"/>
                <w:szCs w:val="26"/>
              </w:rPr>
            </w:pPr>
          </w:p>
        </w:tc>
        <w:tc>
          <w:tcPr>
            <w:tcW w:w="3261" w:type="dxa"/>
            <w:tcBorders>
              <w:bottom w:val="single" w:sz="12" w:space="0" w:color="auto"/>
            </w:tcBorders>
          </w:tcPr>
          <w:p w14:paraId="7D72FDC2" w14:textId="77777777" w:rsidR="00520F36" w:rsidRPr="00BA3D71" w:rsidRDefault="00520F36" w:rsidP="004E15D2">
            <w:pPr>
              <w:spacing w:before="0"/>
              <w:rPr>
                <w:b/>
                <w:bCs/>
              </w:rPr>
            </w:pPr>
          </w:p>
        </w:tc>
      </w:tr>
      <w:tr w:rsidR="00520F36" w:rsidRPr="00BA3D71" w14:paraId="2C0662B1" w14:textId="77777777">
        <w:trPr>
          <w:cantSplit/>
          <w:trHeight w:val="20"/>
        </w:trPr>
        <w:tc>
          <w:tcPr>
            <w:tcW w:w="6912" w:type="dxa"/>
            <w:tcBorders>
              <w:top w:val="single" w:sz="12" w:space="0" w:color="auto"/>
            </w:tcBorders>
          </w:tcPr>
          <w:p w14:paraId="5D8F2694" w14:textId="77777777" w:rsidR="00520F36" w:rsidRPr="00BA3D71" w:rsidRDefault="00520F36" w:rsidP="004E15D2">
            <w:pPr>
              <w:spacing w:before="0"/>
              <w:rPr>
                <w:smallCaps/>
                <w:sz w:val="22"/>
              </w:rPr>
            </w:pPr>
          </w:p>
        </w:tc>
        <w:tc>
          <w:tcPr>
            <w:tcW w:w="3261" w:type="dxa"/>
            <w:tcBorders>
              <w:top w:val="single" w:sz="12" w:space="0" w:color="auto"/>
            </w:tcBorders>
          </w:tcPr>
          <w:p w14:paraId="57C7EE1B" w14:textId="77777777" w:rsidR="00520F36" w:rsidRPr="00BA3D71" w:rsidRDefault="00520F36" w:rsidP="004E15D2">
            <w:pPr>
              <w:spacing w:before="0"/>
              <w:rPr>
                <w:b/>
                <w:bCs/>
              </w:rPr>
            </w:pPr>
          </w:p>
        </w:tc>
      </w:tr>
      <w:tr w:rsidR="00520F36" w:rsidRPr="00BA3D71" w14:paraId="31BE28E7" w14:textId="77777777">
        <w:trPr>
          <w:cantSplit/>
          <w:trHeight w:val="20"/>
        </w:trPr>
        <w:tc>
          <w:tcPr>
            <w:tcW w:w="6912" w:type="dxa"/>
            <w:vMerge w:val="restart"/>
          </w:tcPr>
          <w:p w14:paraId="0C04F4D3" w14:textId="32EE6430" w:rsidR="00520F36" w:rsidRPr="00BA3D71" w:rsidRDefault="009F1354" w:rsidP="004E15D2">
            <w:pPr>
              <w:spacing w:before="0"/>
              <w:rPr>
                <w:rFonts w:cs="Times"/>
                <w:b/>
                <w:bCs/>
                <w:szCs w:val="24"/>
              </w:rPr>
            </w:pPr>
            <w:bookmarkStart w:id="2" w:name="dnum" w:colFirst="1" w:colLast="1"/>
            <w:bookmarkStart w:id="3" w:name="dmeeting" w:colFirst="0" w:colLast="0"/>
            <w:r w:rsidRPr="00BA3D71">
              <w:rPr>
                <w:rFonts w:cs="Times"/>
                <w:b/>
                <w:bCs/>
                <w:szCs w:val="24"/>
              </w:rPr>
              <w:t>Point de l'ordre du jour: ADM 10</w:t>
            </w:r>
          </w:p>
        </w:tc>
        <w:tc>
          <w:tcPr>
            <w:tcW w:w="3261" w:type="dxa"/>
          </w:tcPr>
          <w:p w14:paraId="3530F1EF" w14:textId="1FB98BC2" w:rsidR="00520F36" w:rsidRPr="00BA3D71" w:rsidRDefault="000929C2" w:rsidP="004E15D2">
            <w:pPr>
              <w:spacing w:before="0"/>
              <w:rPr>
                <w:b/>
                <w:bCs/>
              </w:rPr>
            </w:pPr>
            <w:r w:rsidRPr="00BA3D71">
              <w:rPr>
                <w:b/>
                <w:bCs/>
              </w:rPr>
              <w:t xml:space="preserve">Révision 1 du </w:t>
            </w:r>
            <w:r w:rsidRPr="00BA3D71">
              <w:rPr>
                <w:b/>
                <w:bCs/>
              </w:rPr>
              <w:br/>
            </w:r>
            <w:r w:rsidR="00520F36" w:rsidRPr="00BA3D71">
              <w:rPr>
                <w:b/>
                <w:bCs/>
              </w:rPr>
              <w:t>Document C</w:t>
            </w:r>
            <w:r w:rsidR="009C353C" w:rsidRPr="00BA3D71">
              <w:rPr>
                <w:b/>
                <w:bCs/>
              </w:rPr>
              <w:t>20</w:t>
            </w:r>
            <w:r w:rsidR="00520F36" w:rsidRPr="00BA3D71">
              <w:rPr>
                <w:b/>
                <w:bCs/>
              </w:rPr>
              <w:t>/</w:t>
            </w:r>
            <w:r w:rsidR="009F1354" w:rsidRPr="00BA3D71">
              <w:rPr>
                <w:b/>
                <w:bCs/>
              </w:rPr>
              <w:t>11</w:t>
            </w:r>
            <w:r w:rsidR="00520F36" w:rsidRPr="00BA3D71">
              <w:rPr>
                <w:b/>
                <w:bCs/>
              </w:rPr>
              <w:t>-F</w:t>
            </w:r>
          </w:p>
        </w:tc>
      </w:tr>
      <w:tr w:rsidR="00520F36" w:rsidRPr="00BA3D71" w14:paraId="39C569FA" w14:textId="77777777">
        <w:trPr>
          <w:cantSplit/>
          <w:trHeight w:val="20"/>
        </w:trPr>
        <w:tc>
          <w:tcPr>
            <w:tcW w:w="6912" w:type="dxa"/>
            <w:vMerge/>
          </w:tcPr>
          <w:p w14:paraId="6733FFE8" w14:textId="77777777" w:rsidR="00520F36" w:rsidRPr="00BA3D71" w:rsidRDefault="00520F36" w:rsidP="004E15D2">
            <w:pPr>
              <w:shd w:val="solid" w:color="FFFFFF" w:fill="FFFFFF"/>
              <w:spacing w:before="180"/>
              <w:rPr>
                <w:smallCaps/>
              </w:rPr>
            </w:pPr>
            <w:bookmarkStart w:id="4" w:name="ddate" w:colFirst="1" w:colLast="1"/>
            <w:bookmarkEnd w:id="2"/>
            <w:bookmarkEnd w:id="3"/>
          </w:p>
        </w:tc>
        <w:tc>
          <w:tcPr>
            <w:tcW w:w="3261" w:type="dxa"/>
          </w:tcPr>
          <w:p w14:paraId="50ED46E4" w14:textId="4D53511E" w:rsidR="00520F36" w:rsidRPr="00BA3D71" w:rsidRDefault="000929C2" w:rsidP="004E15D2">
            <w:pPr>
              <w:spacing w:before="0"/>
              <w:rPr>
                <w:b/>
                <w:bCs/>
              </w:rPr>
            </w:pPr>
            <w:r w:rsidRPr="00BA3D71">
              <w:rPr>
                <w:b/>
                <w:bCs/>
              </w:rPr>
              <w:t xml:space="preserve">17 septembre </w:t>
            </w:r>
            <w:r w:rsidR="00520F36" w:rsidRPr="00BA3D71">
              <w:rPr>
                <w:b/>
                <w:bCs/>
              </w:rPr>
              <w:t>20</w:t>
            </w:r>
            <w:r w:rsidR="009C353C" w:rsidRPr="00BA3D71">
              <w:rPr>
                <w:b/>
                <w:bCs/>
              </w:rPr>
              <w:t>20</w:t>
            </w:r>
          </w:p>
        </w:tc>
      </w:tr>
      <w:tr w:rsidR="00520F36" w:rsidRPr="00BA3D71" w14:paraId="40FAB96B" w14:textId="77777777">
        <w:trPr>
          <w:cantSplit/>
          <w:trHeight w:val="20"/>
        </w:trPr>
        <w:tc>
          <w:tcPr>
            <w:tcW w:w="6912" w:type="dxa"/>
            <w:vMerge/>
          </w:tcPr>
          <w:p w14:paraId="657F6ACB" w14:textId="77777777" w:rsidR="00520F36" w:rsidRPr="00BA3D71" w:rsidRDefault="00520F36" w:rsidP="004E15D2">
            <w:pPr>
              <w:shd w:val="solid" w:color="FFFFFF" w:fill="FFFFFF"/>
              <w:spacing w:before="180"/>
              <w:rPr>
                <w:smallCaps/>
              </w:rPr>
            </w:pPr>
            <w:bookmarkStart w:id="5" w:name="dorlang" w:colFirst="1" w:colLast="1"/>
            <w:bookmarkEnd w:id="4"/>
          </w:p>
        </w:tc>
        <w:tc>
          <w:tcPr>
            <w:tcW w:w="3261" w:type="dxa"/>
          </w:tcPr>
          <w:p w14:paraId="6430D8D1" w14:textId="77777777" w:rsidR="00520F36" w:rsidRPr="00BA3D71" w:rsidRDefault="00520F36" w:rsidP="004E15D2">
            <w:pPr>
              <w:spacing w:before="0"/>
              <w:rPr>
                <w:b/>
                <w:bCs/>
              </w:rPr>
            </w:pPr>
            <w:r w:rsidRPr="00BA3D71">
              <w:rPr>
                <w:b/>
                <w:bCs/>
              </w:rPr>
              <w:t>Original: anglais</w:t>
            </w:r>
          </w:p>
        </w:tc>
      </w:tr>
      <w:tr w:rsidR="00520F36" w:rsidRPr="00BA3D71" w14:paraId="6640602A" w14:textId="77777777">
        <w:trPr>
          <w:cantSplit/>
        </w:trPr>
        <w:tc>
          <w:tcPr>
            <w:tcW w:w="10173" w:type="dxa"/>
            <w:gridSpan w:val="2"/>
          </w:tcPr>
          <w:p w14:paraId="6DA8227F" w14:textId="69AAFFDE" w:rsidR="00520F36" w:rsidRPr="00BA3D71" w:rsidRDefault="009F1354" w:rsidP="004E15D2">
            <w:pPr>
              <w:pStyle w:val="Source"/>
            </w:pPr>
            <w:bookmarkStart w:id="6" w:name="dsource" w:colFirst="0" w:colLast="0"/>
            <w:bookmarkEnd w:id="5"/>
            <w:r w:rsidRPr="00BA3D71">
              <w:t>Rapport du Secrétaire général</w:t>
            </w:r>
          </w:p>
        </w:tc>
      </w:tr>
      <w:tr w:rsidR="00520F36" w:rsidRPr="00BA3D71" w14:paraId="3AF0BF18" w14:textId="77777777">
        <w:trPr>
          <w:cantSplit/>
        </w:trPr>
        <w:tc>
          <w:tcPr>
            <w:tcW w:w="10173" w:type="dxa"/>
            <w:gridSpan w:val="2"/>
          </w:tcPr>
          <w:p w14:paraId="4EB6192D" w14:textId="33057C4C" w:rsidR="00520F36" w:rsidRPr="00BA3D71" w:rsidRDefault="009F1354" w:rsidP="004E15D2">
            <w:pPr>
              <w:pStyle w:val="Title1"/>
            </w:pPr>
            <w:bookmarkStart w:id="7" w:name="_Hlk41305899"/>
            <w:bookmarkStart w:id="8" w:name="dtitle1" w:colFirst="0" w:colLast="0"/>
            <w:bookmarkEnd w:id="6"/>
            <w:r w:rsidRPr="00BA3D71">
              <w:t>ARRIÉRÉS ET COMPTES SPÉCIAUX D'ARRIÉRÉS</w:t>
            </w:r>
            <w:bookmarkEnd w:id="7"/>
          </w:p>
        </w:tc>
      </w:tr>
      <w:bookmarkEnd w:id="8"/>
    </w:tbl>
    <w:p w14:paraId="40DFDD33" w14:textId="77777777" w:rsidR="00520F36" w:rsidRPr="00BA3D71" w:rsidRDefault="00520F36" w:rsidP="004E15D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BA3D71" w14:paraId="2FB32A3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735D36E" w14:textId="77777777" w:rsidR="00520F36" w:rsidRPr="00BA3D71" w:rsidRDefault="00520F36" w:rsidP="004E15D2">
            <w:pPr>
              <w:pStyle w:val="Headingb"/>
            </w:pPr>
            <w:r w:rsidRPr="00BA3D71">
              <w:t>Résumé</w:t>
            </w:r>
          </w:p>
          <w:p w14:paraId="16FCFE00" w14:textId="7F2FEE71" w:rsidR="00520F36" w:rsidRPr="00BA3D71" w:rsidRDefault="009F1354" w:rsidP="004E15D2">
            <w:r w:rsidRPr="00BA3D71">
              <w:t>La Conférence de plénipotentiaires (Dubaï, 2018) a chargé le Secrétaire général de faire rapport chaque année au Conseil sur les mesures prises et les progrès réalisés dans le remboursement des dettes des États Membres, des Membres des Secteurs et des Associés, en retard dans leurs paiements ou ayant des comptes spéciaux d'arriérés ainsi que sur tout cas de non-respect des modalités de remboursement convenues. Par ailleurs, le Conseil, lors de sa session de 1999, a fixé les lignes directrices concernant les plans d'amortissement afférents au règlement des arriérés et comptes spéciaux d'arriérés.</w:t>
            </w:r>
          </w:p>
          <w:p w14:paraId="02A91414" w14:textId="77777777" w:rsidR="00520F36" w:rsidRPr="00BA3D71" w:rsidRDefault="00520F36" w:rsidP="004E15D2">
            <w:pPr>
              <w:pStyle w:val="Headingb"/>
            </w:pPr>
            <w:r w:rsidRPr="00BA3D71">
              <w:t>Suite à donner</w:t>
            </w:r>
          </w:p>
          <w:p w14:paraId="28B87F2B" w14:textId="77777777" w:rsidR="009F1354" w:rsidRPr="00BA3D71" w:rsidRDefault="009F1354" w:rsidP="004E15D2">
            <w:r w:rsidRPr="00BA3D71">
              <w:t>Le Conseil est prié:</w:t>
            </w:r>
          </w:p>
          <w:p w14:paraId="48F3588A" w14:textId="77777777" w:rsidR="009F1354" w:rsidRPr="00BA3D71" w:rsidRDefault="009F1354" w:rsidP="00D55A0F">
            <w:pPr>
              <w:pStyle w:val="enumlev1"/>
              <w:spacing w:before="80"/>
            </w:pPr>
            <w:r w:rsidRPr="00BA3D71">
              <w:t>1)</w:t>
            </w:r>
            <w:r w:rsidRPr="00BA3D71">
              <w:tab/>
              <w:t xml:space="preserve">de prendre </w:t>
            </w:r>
            <w:r w:rsidRPr="00BA3D71">
              <w:rPr>
                <w:b/>
              </w:rPr>
              <w:t>note</w:t>
            </w:r>
            <w:r w:rsidRPr="00BA3D71">
              <w:t xml:space="preserve"> de ce document;</w:t>
            </w:r>
          </w:p>
          <w:p w14:paraId="3A987E5D" w14:textId="485E3C61" w:rsidR="009F1354" w:rsidRPr="00BA3D71" w:rsidRDefault="009F1354" w:rsidP="00D55A0F">
            <w:pPr>
              <w:pStyle w:val="enumlev1"/>
              <w:spacing w:before="80"/>
            </w:pPr>
            <w:r w:rsidRPr="00BA3D71">
              <w:t>2)</w:t>
            </w:r>
            <w:r w:rsidRPr="00BA3D71">
              <w:tab/>
              <w:t>d'</w:t>
            </w:r>
            <w:r w:rsidRPr="00BA3D71">
              <w:rPr>
                <w:b/>
              </w:rPr>
              <w:t>autoriser</w:t>
            </w:r>
            <w:r w:rsidRPr="00BA3D71">
              <w:t xml:space="preserve"> le Secrétaire général à passer par pertes et profits la somme de </w:t>
            </w:r>
            <w:r w:rsidR="000929C2" w:rsidRPr="00BA3D71">
              <w:rPr>
                <w:b/>
                <w:bCs/>
              </w:rPr>
              <w:t xml:space="preserve">2 720 252,63 </w:t>
            </w:r>
            <w:r w:rsidRPr="00BA3D71">
              <w:rPr>
                <w:b/>
                <w:bCs/>
              </w:rPr>
              <w:t xml:space="preserve">CHF </w:t>
            </w:r>
            <w:r w:rsidRPr="00BA3D71">
              <w:t>au titre d'intérêts moratoires et de créances irrécupérables;</w:t>
            </w:r>
          </w:p>
          <w:p w14:paraId="2B740115" w14:textId="1D02B118" w:rsidR="00520F36" w:rsidRPr="00BA3D71" w:rsidRDefault="009F1354" w:rsidP="00D55A0F">
            <w:pPr>
              <w:spacing w:before="80"/>
            </w:pPr>
            <w:r w:rsidRPr="00BA3D71">
              <w:t>3)</w:t>
            </w:r>
            <w:r w:rsidRPr="00BA3D71">
              <w:tab/>
              <w:t>d'</w:t>
            </w:r>
            <w:r w:rsidRPr="00BA3D71">
              <w:rPr>
                <w:b/>
              </w:rPr>
              <w:t>adopter</w:t>
            </w:r>
            <w:r w:rsidRPr="00BA3D71">
              <w:t xml:space="preserve"> le projet de Décision reproduit </w:t>
            </w:r>
            <w:r w:rsidR="00D80922" w:rsidRPr="00BA3D71">
              <w:t xml:space="preserve">dans </w:t>
            </w:r>
            <w:r w:rsidRPr="00BA3D71">
              <w:t>l'Annexe B.</w:t>
            </w:r>
          </w:p>
          <w:p w14:paraId="1C5A56DA" w14:textId="77777777" w:rsidR="00520F36" w:rsidRPr="00BA3D71" w:rsidRDefault="00520F36" w:rsidP="004E15D2">
            <w:pPr>
              <w:pStyle w:val="Table"/>
              <w:keepNext w:val="0"/>
              <w:spacing w:before="0" w:after="0"/>
              <w:rPr>
                <w:rFonts w:ascii="Calibri" w:hAnsi="Calibri"/>
                <w:caps w:val="0"/>
                <w:sz w:val="22"/>
                <w:lang w:val="fr-FR"/>
              </w:rPr>
            </w:pPr>
            <w:r w:rsidRPr="00BA3D71">
              <w:rPr>
                <w:rFonts w:ascii="Calibri" w:hAnsi="Calibri"/>
                <w:caps w:val="0"/>
                <w:sz w:val="22"/>
                <w:lang w:val="fr-FR"/>
              </w:rPr>
              <w:t>____________</w:t>
            </w:r>
          </w:p>
          <w:p w14:paraId="50C2B9F8" w14:textId="77777777" w:rsidR="00520F36" w:rsidRPr="00BA3D71" w:rsidRDefault="00520F36" w:rsidP="004E15D2">
            <w:pPr>
              <w:pStyle w:val="Headingb"/>
            </w:pPr>
            <w:r w:rsidRPr="00BA3D71">
              <w:t>Références</w:t>
            </w:r>
          </w:p>
          <w:p w14:paraId="1A2C472C" w14:textId="79D4121F" w:rsidR="00520F36" w:rsidRPr="00BA3D71" w:rsidRDefault="00C227C0" w:rsidP="004E15D2">
            <w:pPr>
              <w:spacing w:after="120"/>
              <w:rPr>
                <w:i/>
                <w:iCs/>
              </w:rPr>
            </w:pPr>
            <w:hyperlink r:id="rId11" w:history="1">
              <w:r w:rsidR="009F1354" w:rsidRPr="00BA3D71">
                <w:rPr>
                  <w:rStyle w:val="Hyperlink"/>
                  <w:i/>
                  <w:iCs/>
                </w:rPr>
                <w:t>CS 169</w:t>
              </w:r>
            </w:hyperlink>
            <w:r w:rsidR="009F1354" w:rsidRPr="00BA3D71">
              <w:rPr>
                <w:i/>
                <w:iCs/>
              </w:rPr>
              <w:t xml:space="preserve">, </w:t>
            </w:r>
            <w:hyperlink r:id="rId12" w:history="1">
              <w:r w:rsidR="009F1354" w:rsidRPr="00BA3D71">
                <w:rPr>
                  <w:rStyle w:val="Hyperlink"/>
                  <w:i/>
                  <w:iCs/>
                </w:rPr>
                <w:t>CV 474</w:t>
              </w:r>
            </w:hyperlink>
            <w:r w:rsidR="009F1354" w:rsidRPr="00BA3D71">
              <w:rPr>
                <w:i/>
                <w:iCs/>
              </w:rPr>
              <w:t>,</w:t>
            </w:r>
            <w:r w:rsidR="009F1354" w:rsidRPr="00BA3D71">
              <w:rPr>
                <w:i/>
                <w:iCs/>
              </w:rPr>
              <w:br/>
            </w:r>
            <w:hyperlink r:id="rId13" w:history="1">
              <w:r w:rsidR="009F1354" w:rsidRPr="00BA3D71">
                <w:rPr>
                  <w:rStyle w:val="Hyperlink"/>
                  <w:i/>
                  <w:iCs/>
                </w:rPr>
                <w:t>Résolutions 41 (Rév. Dubaï, 2018)</w:t>
              </w:r>
            </w:hyperlink>
            <w:r w:rsidR="009F1354" w:rsidRPr="00BA3D71">
              <w:rPr>
                <w:i/>
                <w:iCs/>
              </w:rPr>
              <w:t xml:space="preserve"> et</w:t>
            </w:r>
            <w:r w:rsidR="009F1354" w:rsidRPr="00BA3D71">
              <w:rPr>
                <w:i/>
                <w:iCs/>
                <w:u w:val="single"/>
              </w:rPr>
              <w:t xml:space="preserve"> </w:t>
            </w:r>
            <w:hyperlink r:id="rId14" w:history="1">
              <w:r w:rsidR="009F1354" w:rsidRPr="00BA3D71">
                <w:rPr>
                  <w:rStyle w:val="Hyperlink"/>
                  <w:i/>
                  <w:iCs/>
                </w:rPr>
                <w:t>152 (Rév. Busan, 2014)</w:t>
              </w:r>
            </w:hyperlink>
            <w:r w:rsidR="00D55A0F" w:rsidRPr="00BA3D71">
              <w:rPr>
                <w:i/>
                <w:iCs/>
              </w:rPr>
              <w:t xml:space="preserve"> de la Conférence de </w:t>
            </w:r>
            <w:r w:rsidR="009F1354" w:rsidRPr="00BA3D71">
              <w:rPr>
                <w:i/>
                <w:iCs/>
              </w:rPr>
              <w:t>plénipotentiaires</w:t>
            </w:r>
            <w:r w:rsidR="00381802" w:rsidRPr="00BA3D71">
              <w:rPr>
                <w:i/>
                <w:iCs/>
              </w:rPr>
              <w:t>,</w:t>
            </w:r>
            <w:r w:rsidR="009F1354" w:rsidRPr="00BA3D71">
              <w:rPr>
                <w:i/>
                <w:iCs/>
              </w:rPr>
              <w:br/>
              <w:t xml:space="preserve">Documents </w:t>
            </w:r>
            <w:hyperlink r:id="rId15" w:history="1">
              <w:r w:rsidR="009F1354" w:rsidRPr="00BA3D71">
                <w:rPr>
                  <w:rStyle w:val="Hyperlink"/>
                  <w:i/>
                  <w:iCs/>
                </w:rPr>
                <w:t>C99/27</w:t>
              </w:r>
            </w:hyperlink>
            <w:r w:rsidR="009F1354" w:rsidRPr="00BA3D71">
              <w:rPr>
                <w:bCs/>
                <w:i/>
                <w:iCs/>
              </w:rPr>
              <w:t>,</w:t>
            </w:r>
            <w:r w:rsidR="009F1354" w:rsidRPr="00BA3D71">
              <w:rPr>
                <w:i/>
                <w:iCs/>
              </w:rPr>
              <w:t xml:space="preserve"> </w:t>
            </w:r>
            <w:hyperlink r:id="rId16" w:history="1">
              <w:r w:rsidR="009F1354" w:rsidRPr="00BA3D71">
                <w:rPr>
                  <w:rStyle w:val="Hyperlink"/>
                  <w:i/>
                  <w:iCs/>
                </w:rPr>
                <w:t>C14/26</w:t>
              </w:r>
            </w:hyperlink>
            <w:r w:rsidR="009F1354" w:rsidRPr="00BA3D71">
              <w:rPr>
                <w:i/>
                <w:iCs/>
              </w:rPr>
              <w:t xml:space="preserve">, </w:t>
            </w:r>
            <w:hyperlink r:id="rId17" w:history="1">
              <w:r w:rsidR="009F1354" w:rsidRPr="00BA3D71">
                <w:rPr>
                  <w:rStyle w:val="Hyperlink"/>
                  <w:i/>
                  <w:iCs/>
                </w:rPr>
                <w:t>C15/50</w:t>
              </w:r>
            </w:hyperlink>
            <w:r w:rsidR="009F1354" w:rsidRPr="00BA3D71">
              <w:rPr>
                <w:bCs/>
                <w:i/>
                <w:iCs/>
              </w:rPr>
              <w:t>,</w:t>
            </w:r>
            <w:r w:rsidR="009F1354" w:rsidRPr="00BA3D71">
              <w:rPr>
                <w:i/>
                <w:iCs/>
              </w:rPr>
              <w:t xml:space="preserve"> </w:t>
            </w:r>
            <w:hyperlink r:id="rId18" w:history="1">
              <w:r w:rsidR="009F1354" w:rsidRPr="00BA3D71">
                <w:rPr>
                  <w:rStyle w:val="Hyperlink"/>
                  <w:i/>
                  <w:iCs/>
                </w:rPr>
                <w:t>C16/42</w:t>
              </w:r>
            </w:hyperlink>
            <w:r w:rsidR="009F1354" w:rsidRPr="00BA3D71">
              <w:rPr>
                <w:bCs/>
                <w:i/>
                <w:iCs/>
              </w:rPr>
              <w:t xml:space="preserve">, </w:t>
            </w:r>
            <w:hyperlink r:id="rId19" w:history="1">
              <w:r w:rsidR="009F1354" w:rsidRPr="00BA3D71">
                <w:rPr>
                  <w:rStyle w:val="Hyperlink"/>
                  <w:i/>
                  <w:iCs/>
                </w:rPr>
                <w:t>C17/42</w:t>
              </w:r>
            </w:hyperlink>
            <w:r w:rsidR="00381802" w:rsidRPr="00BA3D71">
              <w:rPr>
                <w:i/>
                <w:iCs/>
              </w:rPr>
              <w:t>,</w:t>
            </w:r>
            <w:r w:rsidR="009F1354" w:rsidRPr="00BA3D71">
              <w:rPr>
                <w:i/>
                <w:iCs/>
              </w:rPr>
              <w:t xml:space="preserve"> </w:t>
            </w:r>
            <w:hyperlink r:id="rId20" w:history="1">
              <w:r w:rsidR="009F1354" w:rsidRPr="00BA3D71">
                <w:rPr>
                  <w:rStyle w:val="Hyperlink"/>
                  <w:i/>
                  <w:iCs/>
                </w:rPr>
                <w:t>C18/42</w:t>
              </w:r>
            </w:hyperlink>
            <w:r w:rsidR="00381802" w:rsidRPr="00BA3D71">
              <w:rPr>
                <w:i/>
                <w:iCs/>
              </w:rPr>
              <w:t>,</w:t>
            </w:r>
            <w:r w:rsidR="009F1354" w:rsidRPr="00BA3D71">
              <w:t xml:space="preserve"> </w:t>
            </w:r>
            <w:hyperlink r:id="rId21" w:history="1">
              <w:r w:rsidR="009F1354" w:rsidRPr="00BA3D71">
                <w:rPr>
                  <w:rStyle w:val="Hyperlink"/>
                  <w:bCs/>
                  <w:i/>
                  <w:iCs/>
                </w:rPr>
                <w:t>C19/42</w:t>
              </w:r>
            </w:hyperlink>
            <w:r w:rsidR="009F1354" w:rsidRPr="00BA3D71">
              <w:rPr>
                <w:bCs/>
                <w:i/>
                <w:iCs/>
              </w:rPr>
              <w:t xml:space="preserve"> et </w:t>
            </w:r>
            <w:hyperlink r:id="rId22" w:history="1">
              <w:r w:rsidR="009F1354" w:rsidRPr="00BA3D71">
                <w:rPr>
                  <w:rStyle w:val="Hyperlink"/>
                  <w:bCs/>
                  <w:i/>
                  <w:iCs/>
                </w:rPr>
                <w:t>C20/42</w:t>
              </w:r>
            </w:hyperlink>
          </w:p>
        </w:tc>
      </w:tr>
    </w:tbl>
    <w:p w14:paraId="0F189321" w14:textId="7F368516" w:rsidR="009F1354" w:rsidRPr="00BA3D71" w:rsidRDefault="00D55A0F" w:rsidP="004E15D2">
      <w:pPr>
        <w:tabs>
          <w:tab w:val="clear" w:pos="1701"/>
          <w:tab w:val="clear" w:pos="2268"/>
          <w:tab w:val="clear" w:pos="2835"/>
          <w:tab w:val="left" w:pos="3590"/>
        </w:tabs>
        <w:spacing w:before="1080"/>
      </w:pPr>
      <w:r w:rsidRPr="00BA3D71">
        <w:rPr>
          <w:b/>
        </w:rPr>
        <w:t>Annexes</w:t>
      </w:r>
      <w:r w:rsidRPr="00BA3D71">
        <w:t xml:space="preserve">: </w:t>
      </w:r>
      <w:r w:rsidR="009F1354" w:rsidRPr="00BA3D71">
        <w:t>2</w:t>
      </w:r>
    </w:p>
    <w:p w14:paraId="3C8A5C95" w14:textId="77777777" w:rsidR="009F1354" w:rsidRPr="00BA3D71" w:rsidRDefault="009F1354" w:rsidP="004E15D2">
      <w:pPr>
        <w:pStyle w:val="Title1"/>
      </w:pPr>
      <w:r w:rsidRPr="00BA3D71">
        <w:br w:type="page"/>
      </w:r>
      <w:r w:rsidRPr="00BA3D71">
        <w:lastRenderedPageBreak/>
        <w:t>ARRIÉRÉS ET COMPTES SPÉCIAUX D'ARRIÉRÉS</w:t>
      </w:r>
    </w:p>
    <w:p w14:paraId="230E9759" w14:textId="1AA54DB2" w:rsidR="009F1354" w:rsidRPr="00BA3D71" w:rsidRDefault="009F1354" w:rsidP="004E15D2">
      <w:pPr>
        <w:pStyle w:val="Heading1"/>
      </w:pPr>
      <w:r w:rsidRPr="00BA3D71">
        <w:t>1</w:t>
      </w:r>
      <w:r w:rsidRPr="00BA3D71">
        <w:tab/>
        <w:t>Situation des arriérés et des</w:t>
      </w:r>
      <w:r w:rsidR="00D55A0F" w:rsidRPr="00BA3D71">
        <w:t xml:space="preserve"> comptes spéciaux d'arriérés au </w:t>
      </w:r>
      <w:r w:rsidRPr="00BA3D71">
        <w:t>31 décembre 2019</w:t>
      </w:r>
    </w:p>
    <w:p w14:paraId="01D0F54C" w14:textId="662F028F" w:rsidR="009F1354" w:rsidRPr="00BA3D71" w:rsidRDefault="009F1354" w:rsidP="004E15D2">
      <w:r w:rsidRPr="00BA3D71">
        <w:t>1.1</w:t>
      </w:r>
      <w:r w:rsidRPr="00BA3D71">
        <w:tab/>
        <w:t>La situation au 31 décembre 2019 des arriérés et des comptes spéciaux d'arriérés est donnée en détail dans l'Annexe C</w:t>
      </w:r>
      <w:r w:rsidRPr="00BA3D71">
        <w:rPr>
          <w:bCs/>
        </w:rPr>
        <w:t xml:space="preserve"> du Rapport de gestion financière pour l'exercice financier 2019 (</w:t>
      </w:r>
      <w:hyperlink r:id="rId23" w:history="1">
        <w:r w:rsidRPr="00BA3D71">
          <w:rPr>
            <w:rStyle w:val="Hyperlink"/>
          </w:rPr>
          <w:t>Document </w:t>
        </w:r>
        <w:r w:rsidRPr="00BA3D71">
          <w:rPr>
            <w:rStyle w:val="Hyperlink"/>
            <w:bCs/>
          </w:rPr>
          <w:t>C20/42</w:t>
        </w:r>
      </w:hyperlink>
      <w:r w:rsidRPr="00BA3D71">
        <w:t>)</w:t>
      </w:r>
      <w:r w:rsidRPr="00BA3D71">
        <w:rPr>
          <w:bCs/>
        </w:rPr>
        <w:t>. L</w:t>
      </w:r>
      <w:r w:rsidRPr="00BA3D71">
        <w:t xml:space="preserve">'évolution des arriérés, des comptes spéciaux d'arriérés et comptes spéciaux d'arriérés supprimés depuis l'année 2012 est donnée </w:t>
      </w:r>
      <w:r w:rsidR="00D80922" w:rsidRPr="00BA3D71">
        <w:t>dans</w:t>
      </w:r>
      <w:r w:rsidRPr="00BA3D71">
        <w:t xml:space="preserve"> l'Annexe A du présent document.</w:t>
      </w:r>
    </w:p>
    <w:p w14:paraId="485F0E6B" w14:textId="07D1FBA3" w:rsidR="009F1354" w:rsidRPr="00BA3D71" w:rsidRDefault="009F1354" w:rsidP="004E15D2">
      <w:pPr>
        <w:rPr>
          <w:rFonts w:eastAsia="SimSun"/>
          <w:szCs w:val="24"/>
          <w:lang w:eastAsia="zh-CN"/>
        </w:rPr>
      </w:pPr>
      <w:r w:rsidRPr="00BA3D71">
        <w:t>1.2</w:t>
      </w:r>
      <w:r w:rsidRPr="00BA3D71">
        <w:tab/>
        <w:t>Les sanctions prises et les efforts déployés pour recouvre</w:t>
      </w:r>
      <w:r w:rsidR="00D55A0F" w:rsidRPr="00BA3D71">
        <w:t>r les sommes dues et apurer les </w:t>
      </w:r>
      <w:r w:rsidRPr="00BA3D71">
        <w:t>dettes irrécupérables ont permis de freiner l'augmentation des arriérés et d'obtenir une sensible et constante réduction de ceux-ci entre 2012 et 2019 (</w:t>
      </w:r>
      <w:r w:rsidR="00D80922" w:rsidRPr="00BA3D71">
        <w:t>voir l</w:t>
      </w:r>
      <w:r w:rsidR="00CE6A37" w:rsidRPr="00BA3D71">
        <w:t>'</w:t>
      </w:r>
      <w:r w:rsidRPr="00BA3D71">
        <w:t>Annexe A). Ainsi, le total des arriérés, des comptes spéciaux d'arriérés et comptes spéciaux d'</w:t>
      </w:r>
      <w:r w:rsidR="00D55A0F" w:rsidRPr="00BA3D71">
        <w:t>arriérés supprimés est passé de </w:t>
      </w:r>
      <w:r w:rsidRPr="00BA3D71">
        <w:rPr>
          <w:rFonts w:eastAsia="SimSun"/>
        </w:rPr>
        <w:t>60,6</w:t>
      </w:r>
      <w:r w:rsidR="00C965BF" w:rsidRPr="00BA3D71">
        <w:rPr>
          <w:rFonts w:eastAsia="SimSun"/>
          <w:szCs w:val="24"/>
          <w:lang w:eastAsia="zh-CN"/>
        </w:rPr>
        <w:t> millions </w:t>
      </w:r>
      <w:r w:rsidRPr="00BA3D71">
        <w:t>CHF</w:t>
      </w:r>
      <w:r w:rsidRPr="00BA3D71">
        <w:rPr>
          <w:rFonts w:eastAsia="SimSun"/>
          <w:szCs w:val="24"/>
          <w:lang w:eastAsia="zh-CN"/>
        </w:rPr>
        <w:t xml:space="preserve"> au 31 décembre 2012 à 39,8 millions </w:t>
      </w:r>
      <w:r w:rsidRPr="00BA3D71">
        <w:t>CHF</w:t>
      </w:r>
      <w:r w:rsidRPr="00BA3D71">
        <w:rPr>
          <w:rFonts w:eastAsia="SimSun"/>
          <w:szCs w:val="24"/>
          <w:lang w:eastAsia="zh-CN"/>
        </w:rPr>
        <w:t xml:space="preserve"> au 31 décembre 2019, soit une diminution de 34%.</w:t>
      </w:r>
    </w:p>
    <w:p w14:paraId="01B9065B" w14:textId="258DAA69" w:rsidR="009F1354" w:rsidRPr="00BA3D71" w:rsidRDefault="009F1354" w:rsidP="004E15D2">
      <w:pPr>
        <w:rPr>
          <w:rFonts w:eastAsia="SimSun"/>
          <w:szCs w:val="24"/>
          <w:lang w:eastAsia="zh-CN"/>
        </w:rPr>
      </w:pPr>
      <w:r w:rsidRPr="00BA3D71">
        <w:rPr>
          <w:rFonts w:eastAsia="SimSun"/>
          <w:szCs w:val="24"/>
          <w:lang w:eastAsia="zh-CN"/>
        </w:rPr>
        <w:t>1.3</w:t>
      </w:r>
      <w:r w:rsidRPr="00BA3D71">
        <w:rPr>
          <w:rFonts w:eastAsia="SimSun"/>
          <w:szCs w:val="24"/>
          <w:lang w:eastAsia="zh-CN"/>
        </w:rPr>
        <w:tab/>
        <w:t xml:space="preserve">Il </w:t>
      </w:r>
      <w:r w:rsidR="00C965BF" w:rsidRPr="00BA3D71">
        <w:rPr>
          <w:rFonts w:eastAsia="SimSun"/>
          <w:szCs w:val="24"/>
          <w:lang w:eastAsia="zh-CN"/>
        </w:rPr>
        <w:t xml:space="preserve">convient de noter que </w:t>
      </w:r>
      <w:r w:rsidRPr="00BA3D71">
        <w:rPr>
          <w:rFonts w:eastAsia="SimSun"/>
          <w:szCs w:val="24"/>
          <w:lang w:eastAsia="zh-CN"/>
        </w:rPr>
        <w:t xml:space="preserve">la situation des arriérés </w:t>
      </w:r>
      <w:r w:rsidR="00CC3723" w:rsidRPr="00BA3D71">
        <w:rPr>
          <w:rFonts w:eastAsia="SimSun"/>
          <w:szCs w:val="24"/>
          <w:lang w:eastAsia="zh-CN"/>
        </w:rPr>
        <w:t xml:space="preserve">est restée stable </w:t>
      </w:r>
      <w:r w:rsidRPr="00BA3D71">
        <w:rPr>
          <w:rFonts w:eastAsia="SimSun"/>
          <w:szCs w:val="24"/>
          <w:lang w:eastAsia="zh-CN"/>
        </w:rPr>
        <w:t xml:space="preserve">par rapport à l'année dernière. En effet, au 31 décembre 2018, le total des arriérés se chiffrait </w:t>
      </w:r>
      <w:r w:rsidR="00C965BF" w:rsidRPr="00BA3D71">
        <w:rPr>
          <w:rFonts w:eastAsia="SimSun"/>
          <w:szCs w:val="24"/>
          <w:lang w:eastAsia="zh-CN"/>
        </w:rPr>
        <w:t xml:space="preserve">aussi </w:t>
      </w:r>
      <w:r w:rsidRPr="00BA3D71">
        <w:rPr>
          <w:rFonts w:eastAsia="SimSun"/>
          <w:szCs w:val="24"/>
          <w:lang w:eastAsia="zh-CN"/>
        </w:rPr>
        <w:t>à 39,8 millions CHF.</w:t>
      </w:r>
    </w:p>
    <w:p w14:paraId="32356F42" w14:textId="77777777" w:rsidR="009F1354" w:rsidRPr="00BA3D71" w:rsidRDefault="009F1354" w:rsidP="004E15D2">
      <w:pPr>
        <w:pStyle w:val="Heading1"/>
      </w:pPr>
      <w:r w:rsidRPr="00BA3D71">
        <w:t>2</w:t>
      </w:r>
      <w:r w:rsidRPr="00BA3D71">
        <w:tab/>
        <w:t xml:space="preserve">Mesures prises pour obtenir le règlement des arriérés et comptes spéciaux d'arriérés et mise en application de la </w:t>
      </w:r>
      <w:hyperlink r:id="rId24" w:history="1">
        <w:r w:rsidRPr="00BA3D71">
          <w:rPr>
            <w:rStyle w:val="Hyperlink"/>
          </w:rPr>
          <w:t xml:space="preserve">Résolution 41 </w:t>
        </w:r>
        <w:r w:rsidRPr="00BA3D71">
          <w:rPr>
            <w:rStyle w:val="Hyperlink"/>
          </w:rPr>
          <w:br/>
          <w:t>(Rév. Dubaï, 2018) de la Conférence de plénipotentiaires</w:t>
        </w:r>
      </w:hyperlink>
    </w:p>
    <w:p w14:paraId="46F9F22C" w14:textId="77777777" w:rsidR="009F1354" w:rsidRPr="00BA3D71" w:rsidRDefault="009F1354" w:rsidP="004E15D2">
      <w:pPr>
        <w:rPr>
          <w:rFonts w:eastAsia="SimSun"/>
          <w:lang w:eastAsia="zh-CN"/>
        </w:rPr>
      </w:pPr>
      <w:r w:rsidRPr="00BA3D71">
        <w:rPr>
          <w:rFonts w:eastAsia="SimSun"/>
          <w:lang w:eastAsia="zh-CN"/>
        </w:rPr>
        <w:t>2.1</w:t>
      </w:r>
      <w:r w:rsidRPr="00BA3D71">
        <w:rPr>
          <w:rFonts w:eastAsia="SimSun"/>
          <w:lang w:eastAsia="zh-CN"/>
        </w:rPr>
        <w:tab/>
        <w:t>Conformément au numéro 169 (A</w:t>
      </w:r>
      <w:r w:rsidRPr="00BA3D71" w:rsidDel="00AA7878">
        <w:rPr>
          <w:rFonts w:eastAsia="SimSun"/>
          <w:lang w:eastAsia="zh-CN"/>
        </w:rPr>
        <w:t>rticle 28</w:t>
      </w:r>
      <w:r w:rsidRPr="00BA3D71">
        <w:rPr>
          <w:rFonts w:eastAsia="SimSun"/>
          <w:lang w:eastAsia="zh-CN"/>
        </w:rPr>
        <w:t>)</w:t>
      </w:r>
      <w:r w:rsidRPr="00BA3D71" w:rsidDel="00AA7878">
        <w:rPr>
          <w:rFonts w:eastAsia="SimSun"/>
          <w:lang w:eastAsia="zh-CN"/>
        </w:rPr>
        <w:t xml:space="preserve"> </w:t>
      </w:r>
      <w:r w:rsidRPr="00BA3D71">
        <w:rPr>
          <w:rFonts w:eastAsia="SimSun"/>
          <w:lang w:eastAsia="zh-CN"/>
        </w:rPr>
        <w:t>de la Constitution, un "</w:t>
      </w:r>
      <w:r w:rsidRPr="00BA3D71">
        <w:rPr>
          <w:rFonts w:eastAsia="SimSun"/>
          <w:i/>
          <w:lang w:eastAsia="zh-CN"/>
        </w:rPr>
        <w:t>État Membre en retard dans ses paiements à l'Union perd son droit de vote tant que le montant de ses arriérés est égal ou supérieur au montant des contributions dues pour les deux années précédentes</w:t>
      </w:r>
      <w:r w:rsidRPr="00BA3D71">
        <w:rPr>
          <w:rFonts w:eastAsia="SimSun"/>
          <w:lang w:eastAsia="zh-CN"/>
        </w:rPr>
        <w:t>".</w:t>
      </w:r>
    </w:p>
    <w:p w14:paraId="7DCC5F7E" w14:textId="5FA9F170" w:rsidR="009F1354" w:rsidRPr="00BA3D71" w:rsidRDefault="009F1354" w:rsidP="004E15D2">
      <w:pPr>
        <w:rPr>
          <w:rFonts w:eastAsia="SimSun"/>
          <w:lang w:eastAsia="zh-CN"/>
        </w:rPr>
      </w:pPr>
      <w:r w:rsidRPr="00BA3D71">
        <w:rPr>
          <w:rFonts w:eastAsia="SimSun"/>
          <w:lang w:eastAsia="zh-CN"/>
        </w:rPr>
        <w:t>2.2</w:t>
      </w:r>
      <w:r w:rsidRPr="00BA3D71">
        <w:rPr>
          <w:rFonts w:eastAsia="SimSun"/>
          <w:lang w:eastAsia="zh-CN"/>
        </w:rPr>
        <w:tab/>
        <w:t xml:space="preserve">En outre, le </w:t>
      </w:r>
      <w:r w:rsidR="00D80922" w:rsidRPr="00BA3D71">
        <w:rPr>
          <w:rFonts w:eastAsia="SimSun"/>
          <w:lang w:eastAsia="zh-CN"/>
        </w:rPr>
        <w:t xml:space="preserve">point 6 du </w:t>
      </w:r>
      <w:r w:rsidRPr="00BA3D71">
        <w:rPr>
          <w:rFonts w:eastAsia="SimSun"/>
          <w:i/>
          <w:iCs/>
          <w:lang w:eastAsia="zh-CN"/>
        </w:rPr>
        <w:t>décide</w:t>
      </w:r>
      <w:r w:rsidR="00CE6A37" w:rsidRPr="00BA3D71">
        <w:rPr>
          <w:rFonts w:eastAsia="SimSun"/>
          <w:i/>
          <w:iCs/>
          <w:lang w:eastAsia="zh-CN"/>
        </w:rPr>
        <w:t xml:space="preserve"> </w:t>
      </w:r>
      <w:r w:rsidRPr="00BA3D71">
        <w:rPr>
          <w:rFonts w:eastAsia="SimSun"/>
          <w:lang w:eastAsia="zh-CN"/>
        </w:rPr>
        <w:t>de la Résolution 152 (Rév. Busan, 2014) de la Conférence de plénipotentiaires</w:t>
      </w:r>
      <w:r w:rsidR="00D80922" w:rsidRPr="00BA3D71">
        <w:rPr>
          <w:rFonts w:eastAsia="SimSun"/>
          <w:lang w:eastAsia="zh-CN"/>
        </w:rPr>
        <w:t xml:space="preserve"> </w:t>
      </w:r>
      <w:r w:rsidRPr="00BA3D71">
        <w:rPr>
          <w:rFonts w:eastAsia="SimSun"/>
          <w:lang w:eastAsia="zh-CN"/>
        </w:rPr>
        <w:t xml:space="preserve">dispose qu'en cas de retard de paiement, la participation aux travaux de l'UIT d'un Membre de Secteur ou d'un Associé </w:t>
      </w:r>
      <w:r w:rsidRPr="00BA3D71">
        <w:rPr>
          <w:rFonts w:eastAsia="SimSun"/>
          <w:i/>
          <w:lang w:eastAsia="zh-CN"/>
        </w:rPr>
        <w:t>devra "… être suspendue six mois (180 jours) après l'expiration de l'échéance fixée pour le paiement de la contribution annuelle, et qu'en l'absence d'un plan d'amortissement négocié et convenu, l'exclusion d'un Membre de Secteur ou d'un Associé pour défaut de paiement devra intervenir trois mois (90 jours) après la date de réception de la notification de sa suspension</w:t>
      </w:r>
      <w:r w:rsidRPr="00BA3D71">
        <w:rPr>
          <w:rFonts w:eastAsia="SimSun"/>
          <w:lang w:eastAsia="zh-CN"/>
        </w:rPr>
        <w:t xml:space="preserve">". D'autre part, le </w:t>
      </w:r>
      <w:r w:rsidR="00D80922" w:rsidRPr="00BA3D71">
        <w:rPr>
          <w:rFonts w:eastAsia="SimSun"/>
          <w:lang w:eastAsia="zh-CN"/>
        </w:rPr>
        <w:t xml:space="preserve">point 7 du </w:t>
      </w:r>
      <w:r w:rsidRPr="00BA3D71">
        <w:rPr>
          <w:rFonts w:eastAsia="SimSun"/>
          <w:i/>
          <w:iCs/>
          <w:lang w:eastAsia="zh-CN"/>
        </w:rPr>
        <w:t>décide</w:t>
      </w:r>
      <w:r w:rsidR="00CE6A37" w:rsidRPr="00BA3D71">
        <w:rPr>
          <w:rFonts w:eastAsia="SimSun"/>
          <w:lang w:eastAsia="zh-CN"/>
        </w:rPr>
        <w:t xml:space="preserve"> </w:t>
      </w:r>
      <w:r w:rsidRPr="00BA3D71">
        <w:rPr>
          <w:rFonts w:eastAsia="SimSun"/>
          <w:lang w:eastAsia="zh-CN"/>
        </w:rPr>
        <w:t>dispose qu'"</w:t>
      </w:r>
      <w:r w:rsidRPr="00BA3D71">
        <w:rPr>
          <w:i/>
          <w:iCs/>
        </w:rPr>
        <w:t>en vue de garder les membres et de recouvrer les dettes antérieures encore dues, le Secrétaire général pourra disposer d'une certaine flexibilité pour mettre en œuvre le point 6 du décide de la Résolution et négocier des plans d'amortissement avec les Membres de Secteur et les Associés</w:t>
      </w:r>
      <w:r w:rsidRPr="00BA3D71">
        <w:rPr>
          <w:rFonts w:eastAsia="SimSun"/>
          <w:i/>
          <w:iCs/>
        </w:rPr>
        <w:t>".</w:t>
      </w:r>
    </w:p>
    <w:p w14:paraId="247858FD" w14:textId="712359C8" w:rsidR="009F1354" w:rsidRPr="00BA3D71" w:rsidRDefault="009F1354" w:rsidP="004E15D2">
      <w:pPr>
        <w:rPr>
          <w:rFonts w:eastAsia="SimSun"/>
          <w:lang w:eastAsia="zh-CN"/>
        </w:rPr>
      </w:pPr>
      <w:r w:rsidRPr="00BA3D71">
        <w:rPr>
          <w:rFonts w:eastAsia="SimSun"/>
          <w:lang w:eastAsia="zh-CN"/>
        </w:rPr>
        <w:t>2.3</w:t>
      </w:r>
      <w:r w:rsidRPr="00BA3D71">
        <w:rPr>
          <w:rFonts w:eastAsia="SimSun"/>
          <w:lang w:eastAsia="zh-CN"/>
        </w:rPr>
        <w:tab/>
        <w:t>Enfin, conformément au numéro 474 de la Convention, les</w:t>
      </w:r>
      <w:r w:rsidR="00D80922" w:rsidRPr="00BA3D71">
        <w:rPr>
          <w:rFonts w:eastAsia="SimSun"/>
          <w:lang w:eastAsia="zh-CN"/>
        </w:rPr>
        <w:t xml:space="preserve"> </w:t>
      </w:r>
      <w:r w:rsidRPr="00BA3D71">
        <w:rPr>
          <w:rFonts w:eastAsia="SimSun"/>
          <w:i/>
          <w:lang w:eastAsia="zh-CN"/>
        </w:rPr>
        <w:t xml:space="preserve">sommes dues au titre des contributions de l'Union </w:t>
      </w:r>
      <w:r w:rsidR="00CE6A37" w:rsidRPr="00BA3D71">
        <w:rPr>
          <w:rFonts w:eastAsia="SimSun"/>
          <w:i/>
          <w:lang w:eastAsia="zh-CN"/>
        </w:rPr>
        <w:t>"</w:t>
      </w:r>
      <w:r w:rsidRPr="00BA3D71">
        <w:rPr>
          <w:rFonts w:eastAsia="SimSun"/>
          <w:i/>
          <w:lang w:eastAsia="zh-CN"/>
        </w:rPr>
        <w:t>portent intérêt à partir du début du quatrième mois de chaque année financière de l'Union. Cet intérêt est fixé au taux de 3% (trois pour cent) par an pendant les trois mois qui suivent et au taux de 6% (six pour cent) par an à partir du début du septième mois</w:t>
      </w:r>
      <w:r w:rsidR="00D55A0F" w:rsidRPr="00BA3D71">
        <w:rPr>
          <w:rFonts w:eastAsia="SimSun"/>
          <w:lang w:eastAsia="zh-CN"/>
        </w:rPr>
        <w:t>". Au </w:t>
      </w:r>
      <w:r w:rsidRPr="00BA3D71">
        <w:rPr>
          <w:rFonts w:eastAsia="SimSun"/>
          <w:lang w:eastAsia="zh-CN"/>
        </w:rPr>
        <w:t xml:space="preserve">31 décembre 2019, des intérêts moratoires de l'ordre de </w:t>
      </w:r>
      <w:r w:rsidRPr="00BA3D71">
        <w:t>1 918 350,00</w:t>
      </w:r>
      <w:r w:rsidRPr="00BA3D71">
        <w:rPr>
          <w:rFonts w:eastAsia="SimSun"/>
          <w:lang w:eastAsia="zh-CN"/>
        </w:rPr>
        <w:t xml:space="preserve"> CHF ont été calculés sur les contributions dues.</w:t>
      </w:r>
    </w:p>
    <w:p w14:paraId="37FAB143" w14:textId="743DDD1E" w:rsidR="009F1354" w:rsidRPr="00BA3D71" w:rsidRDefault="009F1354" w:rsidP="004E15D2">
      <w:r w:rsidRPr="00BA3D71">
        <w:t>2.4</w:t>
      </w:r>
      <w:r w:rsidRPr="00BA3D71">
        <w:tab/>
        <w:t>Un relevé de compte est envoyé trois fois par an à chaque débiteur et les montants dus sont publiés dans la Lettre Circulaire éditée par le Département de la gestion des ressources financières.</w:t>
      </w:r>
    </w:p>
    <w:p w14:paraId="276F1887" w14:textId="77777777" w:rsidR="009F1354" w:rsidRPr="00BA3D71" w:rsidRDefault="009F1354" w:rsidP="004E15D2">
      <w:pPr>
        <w:tabs>
          <w:tab w:val="left" w:pos="851"/>
        </w:tabs>
      </w:pPr>
      <w:r w:rsidRPr="00BA3D71">
        <w:lastRenderedPageBreak/>
        <w:t>2.5</w:t>
      </w:r>
      <w:r w:rsidRPr="00BA3D71">
        <w:tab/>
        <w:t>Chaque année, un rappel est envoyé aux États Membres qui ont perdu le droit de vote et aux États qui risquent de le perdre l'année suivante s'ils ne règlent pas leurs arriérés. Il est également rappelé aux États Membres en retard dans le paiement des publications que, s'ils ne règlent pas leurs arriérés, les publications ne leur seront envoyées que contre prépaiement.</w:t>
      </w:r>
    </w:p>
    <w:p w14:paraId="6C0CCDEE" w14:textId="77777777" w:rsidR="009F1354" w:rsidRPr="00BA3D71" w:rsidRDefault="009F1354" w:rsidP="004E15D2">
      <w:pPr>
        <w:tabs>
          <w:tab w:val="left" w:pos="851"/>
        </w:tabs>
      </w:pPr>
      <w:r w:rsidRPr="00BA3D71">
        <w:t>2.6</w:t>
      </w:r>
      <w:r w:rsidRPr="00BA3D71">
        <w:tab/>
        <w:t>Le Secrétaire général a pris toutes les mesures possibles en vue de réduire les sommes impayées, notamment par des rappels spéciaux, par des contacts lors de conférences et réunions ainsi que par une action permanente de tous les Bureaux régionaux de l'Union.</w:t>
      </w:r>
    </w:p>
    <w:p w14:paraId="424509F7" w14:textId="77777777" w:rsidR="009F1354" w:rsidRPr="00BA3D71" w:rsidRDefault="009F1354" w:rsidP="004E15D2">
      <w:pPr>
        <w:tabs>
          <w:tab w:val="left" w:pos="851"/>
        </w:tabs>
      </w:pPr>
      <w:r w:rsidRPr="00BA3D71">
        <w:t>2.7</w:t>
      </w:r>
      <w:r w:rsidRPr="00BA3D71">
        <w:tab/>
        <w:t>Les États Membres ayant des arriérés sont priés de soumettre au Secrétaire général et d'arrêter avec lui un plan d'amortissement ainsi que d'observer strictement les modalités de remboursement convenues. Ceux qui ne les ont pas respectées ont été informés des sanctions prises immédiatement à leur encontre, comme entre autres, la suppression du compte spécial d'arriérés avec l'obligation de négocier un nouveau plan d'amortissement de la dette selon les lignes directrices fixées par le Conseil en 1999.</w:t>
      </w:r>
    </w:p>
    <w:p w14:paraId="6D9C0EC9" w14:textId="77777777" w:rsidR="009F1354" w:rsidRPr="00BA3D71" w:rsidRDefault="009F1354" w:rsidP="004E15D2">
      <w:r w:rsidRPr="00BA3D71">
        <w:t>2.8</w:t>
      </w:r>
      <w:r w:rsidRPr="00BA3D71">
        <w:tab/>
        <w:t>Les Membres de Secteur, les Associés et les établissements universitaires, en retard dans leurs paiements, sont également priés de soumettre et de négocier des plans d'amortissement. Ceux qui ne l'ont pas fait ou qui n'ont pas respecté les modalités convenues ont été informés de la suspension de leur participation aux travaux du ou des Secteurs, ou le cas échéant, de la Commission d'études concernée. Ceux-ci reçoivent régulièrement des rappels des paiements qu'ils doivent effectuer pour retrouver le droit de participer aux travaux de l'Union.</w:t>
      </w:r>
    </w:p>
    <w:p w14:paraId="16F02EDB" w14:textId="27BBA20F" w:rsidR="009F1354" w:rsidRPr="00BA3D71" w:rsidRDefault="009F1354" w:rsidP="004E15D2">
      <w:pPr>
        <w:ind w:right="-142"/>
      </w:pPr>
      <w:r w:rsidRPr="00BA3D71">
        <w:t>2.9</w:t>
      </w:r>
      <w:r w:rsidRPr="00BA3D71">
        <w:tab/>
        <w:t xml:space="preserve">En application des dispositions de la Résolution 41 (Rév. Dubaï, 2018), </w:t>
      </w:r>
      <w:r w:rsidR="00CB4E96" w:rsidRPr="00BA3D71">
        <w:t>aucun nouveau compte spécial</w:t>
      </w:r>
      <w:r w:rsidRPr="00BA3D71">
        <w:t xml:space="preserve"> d'arriérés avec des États Membres </w:t>
      </w:r>
      <w:r w:rsidR="00CB4E96" w:rsidRPr="00BA3D71">
        <w:t>n'a été ouvert en 2019</w:t>
      </w:r>
      <w:r w:rsidRPr="00BA3D71">
        <w:t>.</w:t>
      </w:r>
    </w:p>
    <w:p w14:paraId="17424886" w14:textId="4D7D9052" w:rsidR="009F1354" w:rsidRPr="00BA3D71" w:rsidRDefault="00CB4E96" w:rsidP="004E15D2">
      <w:pPr>
        <w:rPr>
          <w:rFonts w:eastAsia="SimSun"/>
          <w:lang w:eastAsia="zh-CN"/>
        </w:rPr>
      </w:pPr>
      <w:r w:rsidRPr="00BA3D71">
        <w:t>2.10</w:t>
      </w:r>
      <w:r w:rsidRPr="00BA3D71">
        <w:tab/>
        <w:t xml:space="preserve">Les </w:t>
      </w:r>
      <w:r w:rsidR="009F1354" w:rsidRPr="00BA3D71">
        <w:t>Administration</w:t>
      </w:r>
      <w:r w:rsidRPr="00BA3D71">
        <w:t>s</w:t>
      </w:r>
      <w:r w:rsidR="009F1354" w:rsidRPr="00BA3D71">
        <w:t xml:space="preserve"> de</w:t>
      </w:r>
      <w:r w:rsidRPr="00BA3D71">
        <w:t>s Comores, de la Gambie, de</w:t>
      </w:r>
      <w:r w:rsidR="009F1354" w:rsidRPr="00BA3D71">
        <w:t xml:space="preserve"> la </w:t>
      </w:r>
      <w:r w:rsidRPr="00BA3D71">
        <w:t>Guinée-Bissau, du Libéria et de la Sierra Leone n'ont</w:t>
      </w:r>
      <w:r w:rsidR="009F1354" w:rsidRPr="00BA3D71">
        <w:t xml:space="preserve"> pas respecté </w:t>
      </w:r>
      <w:r w:rsidRPr="00BA3D71">
        <w:t>leurs</w:t>
      </w:r>
      <w:r w:rsidR="009F1354" w:rsidRPr="00BA3D71">
        <w:t xml:space="preserve"> plan</w:t>
      </w:r>
      <w:r w:rsidRPr="00BA3D71">
        <w:t>s</w:t>
      </w:r>
      <w:r w:rsidR="009F1354" w:rsidRPr="00BA3D71">
        <w:t xml:space="preserve"> d'amortissement</w:t>
      </w:r>
      <w:r w:rsidR="00CE6A37" w:rsidRPr="00BA3D71">
        <w:t>,</w:t>
      </w:r>
      <w:r w:rsidR="00D80922" w:rsidRPr="00BA3D71">
        <w:t xml:space="preserve"> de</w:t>
      </w:r>
      <w:r w:rsidR="00CE6A37" w:rsidRPr="00BA3D71">
        <w:t xml:space="preserve"> </w:t>
      </w:r>
      <w:r w:rsidR="00D80922" w:rsidRPr="00BA3D71">
        <w:t>sorte que</w:t>
      </w:r>
      <w:r w:rsidR="009F1354" w:rsidRPr="00BA3D71">
        <w:t xml:space="preserve"> </w:t>
      </w:r>
      <w:r w:rsidRPr="00BA3D71">
        <w:t>leurs</w:t>
      </w:r>
      <w:r w:rsidR="009F1354" w:rsidRPr="00BA3D71">
        <w:t xml:space="preserve"> </w:t>
      </w:r>
      <w:r w:rsidR="009F1354" w:rsidRPr="00BA3D71">
        <w:rPr>
          <w:rFonts w:eastAsia="SimSun"/>
          <w:lang w:eastAsia="zh-CN"/>
        </w:rPr>
        <w:t>compte</w:t>
      </w:r>
      <w:r w:rsidRPr="00BA3D71">
        <w:rPr>
          <w:rFonts w:eastAsia="SimSun"/>
          <w:lang w:eastAsia="zh-CN"/>
        </w:rPr>
        <w:t>s spéciaux</w:t>
      </w:r>
      <w:r w:rsidR="009F1354" w:rsidRPr="00BA3D71">
        <w:rPr>
          <w:rFonts w:eastAsia="SimSun"/>
          <w:lang w:eastAsia="zh-CN"/>
        </w:rPr>
        <w:t xml:space="preserve"> d'arriérés </w:t>
      </w:r>
      <w:r w:rsidRPr="00BA3D71">
        <w:rPr>
          <w:rFonts w:eastAsia="SimSun"/>
          <w:lang w:eastAsia="zh-CN"/>
        </w:rPr>
        <w:t>ont</w:t>
      </w:r>
      <w:r w:rsidR="009F1354" w:rsidRPr="00BA3D71">
        <w:rPr>
          <w:rFonts w:eastAsia="SimSun"/>
          <w:lang w:eastAsia="zh-CN"/>
        </w:rPr>
        <w:t xml:space="preserve"> été supprimé</w:t>
      </w:r>
      <w:r w:rsidRPr="00BA3D71">
        <w:rPr>
          <w:rFonts w:eastAsia="SimSun"/>
          <w:lang w:eastAsia="zh-CN"/>
        </w:rPr>
        <w:t>s</w:t>
      </w:r>
      <w:r w:rsidR="009F1354" w:rsidRPr="00BA3D71">
        <w:rPr>
          <w:rFonts w:eastAsia="SimSun"/>
          <w:lang w:eastAsia="zh-CN"/>
        </w:rPr>
        <w:t>.</w:t>
      </w:r>
    </w:p>
    <w:p w14:paraId="64E502A9" w14:textId="6FA9896A" w:rsidR="009F1354" w:rsidRPr="00BA3D71" w:rsidRDefault="009F1354" w:rsidP="004E15D2">
      <w:pPr>
        <w:rPr>
          <w:rFonts w:eastAsia="SimSun"/>
          <w:lang w:eastAsia="zh-CN"/>
        </w:rPr>
      </w:pPr>
      <w:r w:rsidRPr="00BA3D71">
        <w:rPr>
          <w:rFonts w:eastAsia="SimSun"/>
          <w:lang w:eastAsia="zh-CN"/>
        </w:rPr>
        <w:t>2.11</w:t>
      </w:r>
      <w:r w:rsidRPr="00BA3D71">
        <w:rPr>
          <w:rFonts w:eastAsia="SimSun"/>
        </w:rPr>
        <w:tab/>
      </w:r>
      <w:r w:rsidRPr="00BA3D71">
        <w:rPr>
          <w:rFonts w:eastAsia="SimSun"/>
          <w:lang w:eastAsia="zh-CN"/>
        </w:rPr>
        <w:t>Il convient également de signaler que six autres comptes avaient été supprimés avant 2019. Les États Membres concernés (Guinée équatoriale et</w:t>
      </w:r>
      <w:r w:rsidR="00CE6A37" w:rsidRPr="00BA3D71">
        <w:rPr>
          <w:rFonts w:eastAsia="SimSun"/>
          <w:lang w:eastAsia="zh-CN"/>
        </w:rPr>
        <w:t xml:space="preserve"> </w:t>
      </w:r>
      <w:r w:rsidRPr="00BA3D71">
        <w:rPr>
          <w:rFonts w:eastAsia="SimSun"/>
          <w:lang w:eastAsia="zh-CN"/>
        </w:rPr>
        <w:t>Nicaragua) ainsi que les entités concernées (Apprentissages sans Frontières (Suisse), Cameroon Telecommunications (CAMTEL), Ellipsat Inc. (États-Unis) et Telecommunication Information Technology-TIT (Liban)) sont donc dans l'obligation de négocier de nouveaux plans d'amortissement de leurs dettes respectives conformément aux lignes directrices fixées par le Conseil. Tous les autres États Membres, Membres de Secteur et Associés respectent strictement les plans d'amortissement convenus.</w:t>
      </w:r>
    </w:p>
    <w:p w14:paraId="40A40043" w14:textId="18734B03" w:rsidR="009F1354" w:rsidRPr="00BA3D71" w:rsidRDefault="009F1354" w:rsidP="004E15D2">
      <w:pPr>
        <w:overflowPunct/>
        <w:textAlignment w:val="auto"/>
        <w:rPr>
          <w:rFonts w:eastAsia="SimSun"/>
          <w:szCs w:val="24"/>
          <w:lang w:eastAsia="zh-CN"/>
        </w:rPr>
      </w:pPr>
      <w:r w:rsidRPr="00BA3D71">
        <w:rPr>
          <w:rFonts w:eastAsia="SimSun"/>
          <w:szCs w:val="24"/>
          <w:lang w:eastAsia="zh-CN"/>
        </w:rPr>
        <w:t>2.12</w:t>
      </w:r>
      <w:r w:rsidRPr="00BA3D71">
        <w:rPr>
          <w:rFonts w:eastAsia="SimSun"/>
          <w:szCs w:val="24"/>
          <w:lang w:eastAsia="zh-CN"/>
        </w:rPr>
        <w:tab/>
        <w:t>Concernant les fiches de notification des réseaux à satellite, conformément à la Décision 545 (Conseil, 2007), sur les 2</w:t>
      </w:r>
      <w:r w:rsidR="005F49D9" w:rsidRPr="00BA3D71">
        <w:rPr>
          <w:rFonts w:eastAsia="SimSun"/>
          <w:szCs w:val="24"/>
          <w:lang w:eastAsia="zh-CN"/>
        </w:rPr>
        <w:t>8</w:t>
      </w:r>
      <w:r w:rsidRPr="00BA3D71">
        <w:rPr>
          <w:rFonts w:eastAsia="SimSun"/>
          <w:szCs w:val="24"/>
          <w:lang w:eastAsia="zh-CN"/>
        </w:rPr>
        <w:t xml:space="preserve"> administrations/opérateurs qui ont eu droit à une révision de leurs factures, </w:t>
      </w:r>
      <w:r w:rsidR="005F49D9" w:rsidRPr="00BA3D71">
        <w:rPr>
          <w:rFonts w:eastAsia="SimSun"/>
          <w:szCs w:val="24"/>
          <w:lang w:eastAsia="zh-CN"/>
        </w:rPr>
        <w:t>27</w:t>
      </w:r>
      <w:r w:rsidRPr="00BA3D71">
        <w:rPr>
          <w:rFonts w:eastAsia="SimSun"/>
          <w:szCs w:val="24"/>
          <w:lang w:eastAsia="zh-CN"/>
        </w:rPr>
        <w:t xml:space="preserve"> ont réglé les montants dus et une entité a signé un accord d'amortissement (Ellipsat (États-Unis), y compris la dette </w:t>
      </w:r>
      <w:r w:rsidR="00D80922" w:rsidRPr="00BA3D71">
        <w:rPr>
          <w:rFonts w:eastAsia="SimSun"/>
          <w:szCs w:val="24"/>
          <w:lang w:eastAsia="zh-CN"/>
        </w:rPr>
        <w:t>de l</w:t>
      </w:r>
      <w:r w:rsidR="00CE6A37" w:rsidRPr="00BA3D71">
        <w:rPr>
          <w:rFonts w:eastAsia="SimSun"/>
          <w:szCs w:val="24"/>
          <w:lang w:eastAsia="zh-CN"/>
        </w:rPr>
        <w:t>'</w:t>
      </w:r>
      <w:r w:rsidR="00D80922" w:rsidRPr="00BA3D71">
        <w:rPr>
          <w:rFonts w:eastAsia="SimSun"/>
          <w:szCs w:val="24"/>
          <w:lang w:eastAsia="zh-CN"/>
        </w:rPr>
        <w:t>ancienne entité</w:t>
      </w:r>
      <w:r w:rsidRPr="00BA3D71">
        <w:rPr>
          <w:rFonts w:eastAsia="SimSun"/>
          <w:szCs w:val="24"/>
          <w:lang w:eastAsia="zh-CN"/>
        </w:rPr>
        <w:t xml:space="preserve"> Virtual Geosatellite, rachetée par Ellipsat). </w:t>
      </w:r>
      <w:r w:rsidR="005F49D9" w:rsidRPr="00BA3D71">
        <w:rPr>
          <w:rFonts w:eastAsia="SimSun"/>
          <w:szCs w:val="24"/>
          <w:lang w:eastAsia="zh-CN"/>
        </w:rPr>
        <w:t>Cependant</w:t>
      </w:r>
      <w:r w:rsidRPr="00BA3D71">
        <w:rPr>
          <w:rFonts w:eastAsia="SimSun"/>
          <w:szCs w:val="24"/>
          <w:lang w:eastAsia="zh-CN"/>
        </w:rPr>
        <w:t xml:space="preserve">, </w:t>
      </w:r>
      <w:r w:rsidR="005F49D9" w:rsidRPr="00BA3D71">
        <w:rPr>
          <w:rFonts w:eastAsia="SimSun"/>
          <w:szCs w:val="24"/>
          <w:lang w:eastAsia="zh-CN"/>
        </w:rPr>
        <w:t>l'accord d'amortissement signé par</w:t>
      </w:r>
      <w:r w:rsidRPr="00BA3D71">
        <w:rPr>
          <w:rFonts w:eastAsia="SimSun"/>
          <w:szCs w:val="24"/>
          <w:lang w:eastAsia="zh-CN"/>
        </w:rPr>
        <w:t xml:space="preserve"> Ellipsat </w:t>
      </w:r>
      <w:r w:rsidR="005F49D9" w:rsidRPr="00BA3D71">
        <w:rPr>
          <w:rFonts w:eastAsia="SimSun"/>
          <w:szCs w:val="24"/>
          <w:lang w:eastAsia="zh-CN"/>
        </w:rPr>
        <w:t xml:space="preserve">a été </w:t>
      </w:r>
      <w:r w:rsidR="000D770D" w:rsidRPr="00BA3D71">
        <w:rPr>
          <w:rFonts w:eastAsia="SimSun"/>
          <w:szCs w:val="24"/>
          <w:lang w:eastAsia="zh-CN"/>
        </w:rPr>
        <w:t>supprimé</w:t>
      </w:r>
      <w:r w:rsidR="005F49D9" w:rsidRPr="00BA3D71">
        <w:rPr>
          <w:rFonts w:eastAsia="SimSun"/>
          <w:szCs w:val="24"/>
          <w:lang w:eastAsia="zh-CN"/>
        </w:rPr>
        <w:t xml:space="preserve"> en</w:t>
      </w:r>
      <w:r w:rsidRPr="00BA3D71">
        <w:rPr>
          <w:rFonts w:eastAsia="SimSun"/>
          <w:szCs w:val="24"/>
          <w:lang w:eastAsia="zh-CN"/>
        </w:rPr>
        <w:t xml:space="preserve"> 2015 </w:t>
      </w:r>
      <w:r w:rsidR="005F49D9" w:rsidRPr="00BA3D71">
        <w:rPr>
          <w:rFonts w:eastAsia="SimSun"/>
          <w:szCs w:val="24"/>
          <w:lang w:eastAsia="zh-CN"/>
        </w:rPr>
        <w:t>pour défaut de paiement</w:t>
      </w:r>
      <w:r w:rsidRPr="00BA3D71">
        <w:rPr>
          <w:rFonts w:eastAsia="SimSun"/>
          <w:szCs w:val="24"/>
          <w:lang w:eastAsia="zh-CN"/>
        </w:rPr>
        <w:t xml:space="preserve">. </w:t>
      </w:r>
      <w:r w:rsidR="005F49D9" w:rsidRPr="00BA3D71">
        <w:rPr>
          <w:rFonts w:eastAsia="SimSun"/>
          <w:szCs w:val="24"/>
          <w:lang w:eastAsia="zh-CN"/>
        </w:rPr>
        <w:t xml:space="preserve">Pour </w:t>
      </w:r>
      <w:r w:rsidR="00D80922" w:rsidRPr="00BA3D71">
        <w:rPr>
          <w:rFonts w:eastAsia="SimSun"/>
          <w:szCs w:val="24"/>
          <w:lang w:eastAsia="zh-CN"/>
        </w:rPr>
        <w:t>l</w:t>
      </w:r>
      <w:r w:rsidR="00CE6A37" w:rsidRPr="00BA3D71">
        <w:rPr>
          <w:rFonts w:eastAsia="SimSun"/>
          <w:szCs w:val="24"/>
          <w:lang w:eastAsia="zh-CN"/>
        </w:rPr>
        <w:t>'</w:t>
      </w:r>
      <w:r w:rsidR="00D80922" w:rsidRPr="00BA3D71">
        <w:rPr>
          <w:rFonts w:eastAsia="SimSun"/>
          <w:szCs w:val="24"/>
          <w:lang w:eastAsia="zh-CN"/>
        </w:rPr>
        <w:t>heure,</w:t>
      </w:r>
      <w:r w:rsidR="00CE6A37" w:rsidRPr="00BA3D71">
        <w:rPr>
          <w:rFonts w:eastAsia="SimSun"/>
          <w:szCs w:val="24"/>
          <w:lang w:eastAsia="zh-CN"/>
        </w:rPr>
        <w:t xml:space="preserve"> </w:t>
      </w:r>
      <w:r w:rsidRPr="00BA3D71">
        <w:rPr>
          <w:rFonts w:eastAsia="SimSun"/>
          <w:szCs w:val="24"/>
          <w:lang w:eastAsia="zh-CN"/>
        </w:rPr>
        <w:t xml:space="preserve">Ellipsat </w:t>
      </w:r>
      <w:r w:rsidR="005F49D9" w:rsidRPr="00BA3D71">
        <w:rPr>
          <w:rFonts w:eastAsia="SimSun"/>
          <w:szCs w:val="24"/>
          <w:lang w:eastAsia="zh-CN"/>
        </w:rPr>
        <w:t>est la seule entité qui reste redevable d'une dette</w:t>
      </w:r>
      <w:r w:rsidR="00CE6A37" w:rsidRPr="00BA3D71">
        <w:rPr>
          <w:rFonts w:eastAsia="SimSun"/>
          <w:szCs w:val="24"/>
          <w:lang w:eastAsia="zh-CN"/>
        </w:rPr>
        <w:t xml:space="preserve"> </w:t>
      </w:r>
      <w:r w:rsidR="00D80922" w:rsidRPr="00BA3D71">
        <w:rPr>
          <w:rFonts w:eastAsia="SimSun"/>
          <w:szCs w:val="24"/>
          <w:lang w:eastAsia="zh-CN"/>
        </w:rPr>
        <w:t>dont le montant s</w:t>
      </w:r>
      <w:r w:rsidR="00CE6A37" w:rsidRPr="00BA3D71">
        <w:rPr>
          <w:rFonts w:eastAsia="SimSun"/>
          <w:szCs w:val="24"/>
          <w:lang w:eastAsia="zh-CN"/>
        </w:rPr>
        <w:t>'</w:t>
      </w:r>
      <w:r w:rsidR="00D80922" w:rsidRPr="00BA3D71">
        <w:rPr>
          <w:rFonts w:eastAsia="SimSun"/>
          <w:szCs w:val="24"/>
          <w:lang w:eastAsia="zh-CN"/>
        </w:rPr>
        <w:t xml:space="preserve">établissait à </w:t>
      </w:r>
      <w:r w:rsidR="005F49D9" w:rsidRPr="00BA3D71">
        <w:rPr>
          <w:rFonts w:eastAsia="SimSun"/>
          <w:szCs w:val="24"/>
          <w:lang w:eastAsia="zh-CN"/>
        </w:rPr>
        <w:t xml:space="preserve">31 310 CHF </w:t>
      </w:r>
      <w:r w:rsidR="00955172" w:rsidRPr="00BA3D71">
        <w:rPr>
          <w:rFonts w:eastAsia="SimSun"/>
          <w:szCs w:val="24"/>
          <w:lang w:eastAsia="zh-CN"/>
        </w:rPr>
        <w:t>au</w:t>
      </w:r>
      <w:r w:rsidR="005F49D9" w:rsidRPr="00BA3D71">
        <w:rPr>
          <w:rFonts w:eastAsia="SimSun"/>
          <w:szCs w:val="24"/>
          <w:lang w:eastAsia="zh-CN"/>
        </w:rPr>
        <w:t xml:space="preserve"> 31 décembre</w:t>
      </w:r>
      <w:r w:rsidRPr="00BA3D71">
        <w:rPr>
          <w:rFonts w:eastAsia="SimSun"/>
          <w:szCs w:val="24"/>
          <w:lang w:eastAsia="zh-CN"/>
        </w:rPr>
        <w:t xml:space="preserve"> 2019.</w:t>
      </w:r>
    </w:p>
    <w:p w14:paraId="6EAACF45" w14:textId="4724C23D" w:rsidR="009F1354" w:rsidRPr="00BA3D71" w:rsidRDefault="009F1354" w:rsidP="000929C2">
      <w:r w:rsidRPr="00BA3D71">
        <w:t>2.13</w:t>
      </w:r>
      <w:r w:rsidRPr="00BA3D71">
        <w:tab/>
        <w:t>Selon la Résolution 41 (Rév. Dubaï, 2018), le Conseil a été chargé d'examiner le niveau de la Provision pour comptes débiteurs, d'en assurer la couverture appropriée et de faire rapport à la prochaine Conférence de plénipotentiaires sur les résultats obtenus en application de cette Résolution. À partir de 2009, suite à l'introduction des normes IPSAS, de</w:t>
      </w:r>
      <w:r w:rsidR="006B12E1" w:rsidRPr="00BA3D71">
        <w:t xml:space="preserve"> </w:t>
      </w:r>
      <w:r w:rsidRPr="00BA3D71">
        <w:t>nouveaux principes d'établissement de la Provision pour comptes débiteurs ont été mis en place.</w:t>
      </w:r>
    </w:p>
    <w:p w14:paraId="29DE8E77" w14:textId="63956D69" w:rsidR="009F1354" w:rsidRPr="00BA3D71" w:rsidRDefault="009F1354" w:rsidP="004E15D2">
      <w:r w:rsidRPr="00BA3D71">
        <w:lastRenderedPageBreak/>
        <w:t>2.14</w:t>
      </w:r>
      <w:r w:rsidRPr="00BA3D71">
        <w:tab/>
        <w:t>Ainsi, au 31 décembre 201</w:t>
      </w:r>
      <w:r w:rsidR="0088415A" w:rsidRPr="00BA3D71">
        <w:t>9</w:t>
      </w:r>
      <w:r w:rsidRPr="00BA3D71">
        <w:t>, le montant de la Provision se chiffrait à 42,</w:t>
      </w:r>
      <w:r w:rsidR="0088415A" w:rsidRPr="00BA3D71">
        <w:t>3</w:t>
      </w:r>
      <w:r w:rsidRPr="00BA3D71">
        <w:t xml:space="preserve"> millions CHF et couvrait 100% des montants qui devaient être pris en compte dans la Provision selon les nouveaux principes mentionnés ci-dessus. Dorénavant, le montant de la Provision pour comptes débiteurs est systématiquement réévalué au 31 décembre de chaque année. Il convient de noter que cette couverture à 100% n'exonère pas les États Membres, les Membres de Secteur, les établissements universitaires et les Associés de leurs engagements envers l'Union.</w:t>
      </w:r>
    </w:p>
    <w:p w14:paraId="5A0C4392" w14:textId="77777777" w:rsidR="009F1354" w:rsidRPr="00BA3D71" w:rsidRDefault="009F1354" w:rsidP="004E15D2">
      <w:pPr>
        <w:pStyle w:val="Heading1"/>
      </w:pPr>
      <w:r w:rsidRPr="00BA3D71">
        <w:t>3</w:t>
      </w:r>
      <w:r w:rsidRPr="00BA3D71">
        <w:tab/>
        <w:t>Recommandation</w:t>
      </w:r>
    </w:p>
    <w:p w14:paraId="238917CD" w14:textId="616359DE" w:rsidR="009F1354" w:rsidRPr="00BA3D71" w:rsidRDefault="009F1354" w:rsidP="004E15D2">
      <w:r w:rsidRPr="00BA3D71">
        <w:t>3.1</w:t>
      </w:r>
      <w:r w:rsidRPr="00BA3D71">
        <w:tab/>
        <w:t xml:space="preserve">Le Conseil est prié d'approuver la passation par pertes et profits des intérêts moratoires et des créances irrécupérables d'un montant total de </w:t>
      </w:r>
      <w:r w:rsidR="000929C2" w:rsidRPr="00BA3D71">
        <w:rPr>
          <w:b/>
          <w:bCs/>
        </w:rPr>
        <w:t xml:space="preserve">2 720 252,63 </w:t>
      </w:r>
      <w:r w:rsidRPr="00BA3D71">
        <w:rPr>
          <w:b/>
          <w:bCs/>
        </w:rPr>
        <w:t>CHF</w:t>
      </w:r>
      <w:r w:rsidRPr="00BA3D71">
        <w:t>, conformément aux lignes directrices fixées par le Conseil en 1999, par un prélèvement correspondant de la Provision pour comptes débiteurs. Le détail des créances irrécupérables est le suivant:</w:t>
      </w:r>
    </w:p>
    <w:p w14:paraId="5D62CC31" w14:textId="77777777" w:rsidR="009F1354" w:rsidRPr="00BA3D71" w:rsidRDefault="009F1354" w:rsidP="004E15D2">
      <w:r w:rsidRPr="00BA3D71">
        <w:t>3.2</w:t>
      </w:r>
      <w:r w:rsidRPr="00BA3D71">
        <w:tab/>
        <w:t>Intérêts moratoires:</w:t>
      </w:r>
    </w:p>
    <w:p w14:paraId="7D0BB478" w14:textId="6DDFB628" w:rsidR="000929C2" w:rsidRPr="00BA3D71" w:rsidRDefault="000929C2" w:rsidP="00BA3D71">
      <w:pPr>
        <w:pStyle w:val="enumlev1"/>
      </w:pPr>
      <w:r w:rsidRPr="00BA3D71">
        <w:t>–</w:t>
      </w:r>
      <w:r w:rsidRPr="00BA3D71">
        <w:tab/>
        <w:t>7 980,05 CHF de l'entreprise AnSem (Belgique), qui a réglé toutes ses contributions qui étaient en retard.</w:t>
      </w:r>
    </w:p>
    <w:p w14:paraId="451748F1" w14:textId="7E4AA66E" w:rsidR="000929C2" w:rsidRPr="00BA3D71" w:rsidRDefault="000929C2" w:rsidP="000929C2">
      <w:pPr>
        <w:pStyle w:val="enumlev2"/>
        <w:tabs>
          <w:tab w:val="clear" w:pos="1134"/>
          <w:tab w:val="clear" w:pos="1701"/>
          <w:tab w:val="left" w:pos="1418"/>
        </w:tabs>
        <w:ind w:left="0" w:firstLine="0"/>
        <w:jc w:val="both"/>
      </w:pPr>
      <w:r w:rsidRPr="00BA3D71">
        <w:tab/>
        <w:t xml:space="preserve">Le montant total des intérêts moratoires est de </w:t>
      </w:r>
      <w:r w:rsidRPr="00BA3D71">
        <w:rPr>
          <w:b/>
          <w:bCs/>
        </w:rPr>
        <w:t>7 980,05 CHF</w:t>
      </w:r>
      <w:r w:rsidRPr="00BA3D71">
        <w:t>.</w:t>
      </w:r>
    </w:p>
    <w:p w14:paraId="707E441D" w14:textId="77777777" w:rsidR="009F1354" w:rsidRPr="00BA3D71" w:rsidRDefault="009F1354" w:rsidP="004E15D2">
      <w:r w:rsidRPr="00BA3D71">
        <w:t>3.3</w:t>
      </w:r>
      <w:r w:rsidRPr="00BA3D71">
        <w:tab/>
        <w:t>Sommes dues par les sociétés dont les créances sont à considérer comme irrécupérables. Deux cas de figure sont présentés:</w:t>
      </w:r>
    </w:p>
    <w:p w14:paraId="3707ED6B" w14:textId="77777777" w:rsidR="009F1354" w:rsidRPr="00BA3D71" w:rsidRDefault="009F1354" w:rsidP="004E15D2">
      <w:pPr>
        <w:pStyle w:val="enumlev1"/>
      </w:pPr>
      <w:r w:rsidRPr="00BA3D71">
        <w:t>–</w:t>
      </w:r>
      <w:r w:rsidRPr="00BA3D71">
        <w:tab/>
        <w:t>Sociétés pour lesquelles la procédure de relance a été épuisée.</w:t>
      </w:r>
    </w:p>
    <w:p w14:paraId="462BF677" w14:textId="77777777" w:rsidR="009F1354" w:rsidRPr="00BA3D71" w:rsidRDefault="009F1354" w:rsidP="004E15D2">
      <w:pPr>
        <w:pStyle w:val="enumlev1"/>
      </w:pPr>
      <w:r w:rsidRPr="00BA3D71">
        <w:t>–</w:t>
      </w:r>
      <w:r w:rsidRPr="00BA3D71">
        <w:tab/>
        <w:t>Sociétés en liquidation judiciaire selon les communications reçues des administrations concernées ou des autorités nationales compétentes.</w:t>
      </w:r>
    </w:p>
    <w:p w14:paraId="1ABB986E" w14:textId="77777777" w:rsidR="009F1354" w:rsidRPr="00BA3D71" w:rsidRDefault="009F1354" w:rsidP="004E15D2">
      <w:pPr>
        <w:keepNext/>
        <w:keepLines/>
        <w:spacing w:after="240"/>
      </w:pPr>
      <w:r w:rsidRPr="00BA3D71">
        <w:t>Les sociétés concernées sont les suivantes:</w:t>
      </w:r>
    </w:p>
    <w:tbl>
      <w:tblPr>
        <w:tblW w:w="8637" w:type="dxa"/>
        <w:jc w:val="center"/>
        <w:tblLook w:val="04A0" w:firstRow="1" w:lastRow="0" w:firstColumn="1" w:lastColumn="0" w:noHBand="0" w:noVBand="1"/>
      </w:tblPr>
      <w:tblGrid>
        <w:gridCol w:w="1833"/>
        <w:gridCol w:w="6804"/>
      </w:tblGrid>
      <w:tr w:rsidR="009F1354" w:rsidRPr="00BA3D71" w14:paraId="20AB590C" w14:textId="77777777" w:rsidTr="00515713">
        <w:trPr>
          <w:trHeight w:val="315"/>
          <w:tblHeader/>
          <w:jc w:val="center"/>
        </w:trPr>
        <w:tc>
          <w:tcPr>
            <w:tcW w:w="1833"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29D367F6" w14:textId="77777777" w:rsidR="009F1354" w:rsidRPr="00BA3D71" w:rsidRDefault="009F1354" w:rsidP="004E15D2">
            <w:pPr>
              <w:pStyle w:val="Tablehead"/>
            </w:pPr>
            <w:r w:rsidRPr="00BA3D71">
              <w:t>Pays</w:t>
            </w:r>
          </w:p>
        </w:tc>
        <w:tc>
          <w:tcPr>
            <w:tcW w:w="6804" w:type="dxa"/>
            <w:tcBorders>
              <w:top w:val="single" w:sz="8" w:space="0" w:color="auto"/>
              <w:left w:val="nil"/>
              <w:bottom w:val="single" w:sz="8" w:space="0" w:color="auto"/>
              <w:right w:val="single" w:sz="8" w:space="0" w:color="auto"/>
            </w:tcBorders>
            <w:shd w:val="clear" w:color="000000" w:fill="C0C0C0"/>
            <w:noWrap/>
            <w:hideMark/>
          </w:tcPr>
          <w:p w14:paraId="2E482475" w14:textId="77777777" w:rsidR="009F1354" w:rsidRPr="00BA3D71" w:rsidRDefault="009F1354" w:rsidP="004E15D2">
            <w:pPr>
              <w:pStyle w:val="Tablehead"/>
            </w:pPr>
            <w:r w:rsidRPr="00BA3D71">
              <w:t>Nom de l'entreprise</w:t>
            </w:r>
          </w:p>
        </w:tc>
      </w:tr>
      <w:tr w:rsidR="0088415A" w:rsidRPr="00BA3D71" w14:paraId="20E68324" w14:textId="77777777" w:rsidTr="00515713">
        <w:trPr>
          <w:trHeight w:val="315"/>
          <w:jc w:val="center"/>
        </w:trPr>
        <w:tc>
          <w:tcPr>
            <w:tcW w:w="1833" w:type="dxa"/>
            <w:tcBorders>
              <w:top w:val="single" w:sz="8" w:space="0" w:color="auto"/>
              <w:left w:val="single" w:sz="8" w:space="0" w:color="auto"/>
              <w:bottom w:val="single" w:sz="8" w:space="0" w:color="auto"/>
              <w:right w:val="single" w:sz="8" w:space="0" w:color="auto"/>
            </w:tcBorders>
            <w:shd w:val="clear" w:color="auto" w:fill="auto"/>
            <w:noWrap/>
          </w:tcPr>
          <w:p w14:paraId="5417E4C9" w14:textId="2633739F" w:rsidR="0088415A" w:rsidRPr="00BA3D71" w:rsidRDefault="0088415A" w:rsidP="004E15D2">
            <w:pPr>
              <w:pStyle w:val="Tabletext"/>
            </w:pPr>
            <w:r w:rsidRPr="00BA3D71">
              <w:t>Algérie</w:t>
            </w:r>
          </w:p>
        </w:tc>
        <w:tc>
          <w:tcPr>
            <w:tcW w:w="6804" w:type="dxa"/>
            <w:tcBorders>
              <w:top w:val="single" w:sz="8" w:space="0" w:color="auto"/>
              <w:left w:val="nil"/>
              <w:bottom w:val="single" w:sz="8" w:space="0" w:color="auto"/>
              <w:right w:val="single" w:sz="8" w:space="0" w:color="auto"/>
            </w:tcBorders>
            <w:shd w:val="clear" w:color="auto" w:fill="auto"/>
            <w:noWrap/>
          </w:tcPr>
          <w:p w14:paraId="33B0CE49" w14:textId="322BCD20" w:rsidR="0088415A" w:rsidRPr="00BA3D71" w:rsidRDefault="0088415A" w:rsidP="004E15D2">
            <w:pPr>
              <w:pStyle w:val="Tabletext"/>
              <w:rPr>
                <w:b/>
                <w:bCs/>
              </w:rPr>
            </w:pPr>
            <w:r w:rsidRPr="00BA3D71">
              <w:rPr>
                <w:lang w:eastAsia="en-GB"/>
              </w:rPr>
              <w:t>Orascom Telecom Algérie, Alger</w:t>
            </w:r>
          </w:p>
        </w:tc>
      </w:tr>
      <w:tr w:rsidR="0088415A" w:rsidRPr="00C227C0" w14:paraId="31F32986" w14:textId="77777777" w:rsidTr="00515713">
        <w:trPr>
          <w:trHeight w:val="315"/>
          <w:jc w:val="center"/>
        </w:trPr>
        <w:tc>
          <w:tcPr>
            <w:tcW w:w="1833" w:type="dxa"/>
            <w:tcBorders>
              <w:top w:val="single" w:sz="8" w:space="0" w:color="auto"/>
              <w:left w:val="single" w:sz="8" w:space="0" w:color="auto"/>
              <w:bottom w:val="single" w:sz="8" w:space="0" w:color="auto"/>
              <w:right w:val="single" w:sz="8" w:space="0" w:color="auto"/>
            </w:tcBorders>
            <w:shd w:val="clear" w:color="auto" w:fill="auto"/>
            <w:noWrap/>
          </w:tcPr>
          <w:p w14:paraId="0A049409" w14:textId="7CA41B56" w:rsidR="0088415A" w:rsidRPr="00BA3D71" w:rsidRDefault="0088415A" w:rsidP="004E15D2">
            <w:pPr>
              <w:pStyle w:val="Tabletext"/>
            </w:pPr>
            <w:r w:rsidRPr="00BA3D71">
              <w:t>Argentine</w:t>
            </w:r>
          </w:p>
        </w:tc>
        <w:tc>
          <w:tcPr>
            <w:tcW w:w="6804" w:type="dxa"/>
            <w:tcBorders>
              <w:top w:val="single" w:sz="8" w:space="0" w:color="auto"/>
              <w:left w:val="nil"/>
              <w:bottom w:val="single" w:sz="8" w:space="0" w:color="auto"/>
              <w:right w:val="single" w:sz="8" w:space="0" w:color="auto"/>
            </w:tcBorders>
            <w:shd w:val="clear" w:color="auto" w:fill="auto"/>
            <w:noWrap/>
          </w:tcPr>
          <w:p w14:paraId="6CAFDE61" w14:textId="55691FBD" w:rsidR="0088415A" w:rsidRPr="00C227C0" w:rsidRDefault="0088415A" w:rsidP="004E15D2">
            <w:pPr>
              <w:pStyle w:val="Tabletext"/>
              <w:rPr>
                <w:b/>
                <w:bCs/>
                <w:lang w:val="en-GB"/>
              </w:rPr>
            </w:pPr>
            <w:r w:rsidRPr="00C227C0">
              <w:rPr>
                <w:lang w:val="en-GB" w:eastAsia="en-GB"/>
              </w:rPr>
              <w:t>Cooperativa Telefónica</w:t>
            </w:r>
            <w:r w:rsidRPr="00C227C0">
              <w:rPr>
                <w:lang w:val="en-GB" w:eastAsia="en-GB"/>
              </w:rPr>
              <w:br/>
              <w:t>López Camelo (COTELCAM), Buenos Aires</w:t>
            </w:r>
          </w:p>
        </w:tc>
      </w:tr>
      <w:tr w:rsidR="0088415A" w:rsidRPr="00BA3D71" w14:paraId="63516E6B" w14:textId="77777777" w:rsidTr="00515713">
        <w:trPr>
          <w:trHeight w:val="315"/>
          <w:jc w:val="center"/>
        </w:trPr>
        <w:tc>
          <w:tcPr>
            <w:tcW w:w="1833" w:type="dxa"/>
            <w:tcBorders>
              <w:top w:val="single" w:sz="8" w:space="0" w:color="auto"/>
              <w:left w:val="single" w:sz="8" w:space="0" w:color="auto"/>
              <w:bottom w:val="single" w:sz="8" w:space="0" w:color="auto"/>
              <w:right w:val="single" w:sz="8" w:space="0" w:color="auto"/>
            </w:tcBorders>
            <w:shd w:val="clear" w:color="auto" w:fill="auto"/>
            <w:noWrap/>
          </w:tcPr>
          <w:p w14:paraId="231DB2EA" w14:textId="0036CB4A" w:rsidR="0088415A" w:rsidRPr="00BA3D71" w:rsidRDefault="0088415A" w:rsidP="004E15D2">
            <w:pPr>
              <w:pStyle w:val="Tabletext"/>
            </w:pPr>
            <w:r w:rsidRPr="00BA3D71">
              <w:t>Argentine</w:t>
            </w:r>
          </w:p>
        </w:tc>
        <w:tc>
          <w:tcPr>
            <w:tcW w:w="6804" w:type="dxa"/>
            <w:tcBorders>
              <w:top w:val="single" w:sz="8" w:space="0" w:color="auto"/>
              <w:left w:val="nil"/>
              <w:bottom w:val="single" w:sz="8" w:space="0" w:color="auto"/>
              <w:right w:val="single" w:sz="8" w:space="0" w:color="auto"/>
            </w:tcBorders>
            <w:shd w:val="clear" w:color="auto" w:fill="auto"/>
            <w:noWrap/>
          </w:tcPr>
          <w:p w14:paraId="4565894F" w14:textId="3CF36AB4" w:rsidR="0088415A" w:rsidRPr="00BA3D71" w:rsidRDefault="0088415A" w:rsidP="004E15D2">
            <w:pPr>
              <w:pStyle w:val="Tabletext"/>
              <w:rPr>
                <w:b/>
                <w:bCs/>
              </w:rPr>
            </w:pPr>
            <w:r w:rsidRPr="00BA3D71">
              <w:rPr>
                <w:lang w:eastAsia="en-GB"/>
              </w:rPr>
              <w:t>Impsat Corp., Buenos Aires</w:t>
            </w:r>
          </w:p>
        </w:tc>
      </w:tr>
      <w:tr w:rsidR="000929C2" w:rsidRPr="00BA3D71" w14:paraId="42071092" w14:textId="77777777" w:rsidTr="00515713">
        <w:trPr>
          <w:trHeight w:val="315"/>
          <w:jc w:val="center"/>
        </w:trPr>
        <w:tc>
          <w:tcPr>
            <w:tcW w:w="1833" w:type="dxa"/>
            <w:tcBorders>
              <w:top w:val="single" w:sz="8" w:space="0" w:color="auto"/>
              <w:left w:val="single" w:sz="8" w:space="0" w:color="auto"/>
              <w:bottom w:val="single" w:sz="8" w:space="0" w:color="auto"/>
              <w:right w:val="single" w:sz="8" w:space="0" w:color="auto"/>
            </w:tcBorders>
            <w:shd w:val="clear" w:color="auto" w:fill="auto"/>
            <w:noWrap/>
          </w:tcPr>
          <w:p w14:paraId="71A310EF" w14:textId="1BC69852" w:rsidR="000929C2" w:rsidRPr="00BA3D71" w:rsidRDefault="000929C2" w:rsidP="004E15D2">
            <w:pPr>
              <w:pStyle w:val="Tabletext"/>
            </w:pPr>
            <w:r w:rsidRPr="00BA3D71">
              <w:t>Bélarus</w:t>
            </w:r>
          </w:p>
        </w:tc>
        <w:tc>
          <w:tcPr>
            <w:tcW w:w="6804" w:type="dxa"/>
            <w:tcBorders>
              <w:top w:val="single" w:sz="8" w:space="0" w:color="auto"/>
              <w:left w:val="nil"/>
              <w:bottom w:val="single" w:sz="8" w:space="0" w:color="auto"/>
              <w:right w:val="single" w:sz="8" w:space="0" w:color="auto"/>
            </w:tcBorders>
            <w:shd w:val="clear" w:color="auto" w:fill="auto"/>
            <w:noWrap/>
          </w:tcPr>
          <w:p w14:paraId="17CD8229" w14:textId="36F3F74D" w:rsidR="000929C2" w:rsidRPr="00BA3D71" w:rsidRDefault="000929C2" w:rsidP="004E15D2">
            <w:pPr>
              <w:pStyle w:val="Tabletext"/>
              <w:rPr>
                <w:lang w:eastAsia="en-GB"/>
              </w:rPr>
            </w:pPr>
            <w:r w:rsidRPr="00BA3D71">
              <w:rPr>
                <w:rFonts w:cs="Calibri"/>
                <w:szCs w:val="22"/>
                <w:lang w:eastAsia="en-GB"/>
              </w:rPr>
              <w:t>Belarsat LLC, Minsk</w:t>
            </w:r>
          </w:p>
        </w:tc>
      </w:tr>
      <w:tr w:rsidR="0088415A" w:rsidRPr="00BA3D71" w14:paraId="0EF4CC0A"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6883F234" w14:textId="77777777" w:rsidR="0088415A" w:rsidRPr="00BA3D71" w:rsidRDefault="0088415A" w:rsidP="004E15D2">
            <w:pPr>
              <w:pStyle w:val="Tabletext"/>
            </w:pPr>
            <w:r w:rsidRPr="00BA3D71">
              <w:t>Canada</w:t>
            </w:r>
          </w:p>
        </w:tc>
        <w:tc>
          <w:tcPr>
            <w:tcW w:w="6804" w:type="dxa"/>
            <w:tcBorders>
              <w:top w:val="nil"/>
              <w:left w:val="nil"/>
              <w:bottom w:val="single" w:sz="8" w:space="0" w:color="auto"/>
              <w:right w:val="single" w:sz="8" w:space="0" w:color="auto"/>
            </w:tcBorders>
            <w:shd w:val="clear" w:color="auto" w:fill="auto"/>
            <w:noWrap/>
            <w:hideMark/>
          </w:tcPr>
          <w:p w14:paraId="28EFB4B8" w14:textId="523FDACE" w:rsidR="0088415A" w:rsidRPr="00BA3D71" w:rsidRDefault="0088415A" w:rsidP="004E15D2">
            <w:pPr>
              <w:pStyle w:val="Tabletext"/>
            </w:pPr>
            <w:r w:rsidRPr="00BA3D71">
              <w:t>Avvasi Inc, Waterloo</w:t>
            </w:r>
          </w:p>
        </w:tc>
      </w:tr>
      <w:tr w:rsidR="0088415A" w:rsidRPr="00BA3D71" w14:paraId="7FF7EA19"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tcPr>
          <w:p w14:paraId="31D35810" w14:textId="08CBB44F" w:rsidR="0088415A" w:rsidRPr="00BA3D71" w:rsidRDefault="0088415A" w:rsidP="004E15D2">
            <w:pPr>
              <w:pStyle w:val="Tabletext"/>
            </w:pPr>
            <w:r w:rsidRPr="00BA3D71">
              <w:t>France</w:t>
            </w:r>
          </w:p>
        </w:tc>
        <w:tc>
          <w:tcPr>
            <w:tcW w:w="6804" w:type="dxa"/>
            <w:tcBorders>
              <w:top w:val="nil"/>
              <w:left w:val="nil"/>
              <w:bottom w:val="single" w:sz="8" w:space="0" w:color="auto"/>
              <w:right w:val="single" w:sz="8" w:space="0" w:color="auto"/>
            </w:tcBorders>
            <w:shd w:val="clear" w:color="auto" w:fill="auto"/>
            <w:noWrap/>
          </w:tcPr>
          <w:p w14:paraId="13E62A78" w14:textId="6D131446" w:rsidR="0088415A" w:rsidRPr="00BA3D71" w:rsidRDefault="0088415A" w:rsidP="004E15D2">
            <w:pPr>
              <w:pStyle w:val="Tabletext"/>
            </w:pPr>
            <w:r w:rsidRPr="00BA3D71">
              <w:t>VIABLE France Sarl, Paris</w:t>
            </w:r>
          </w:p>
        </w:tc>
      </w:tr>
      <w:tr w:rsidR="0088415A" w:rsidRPr="00BA3D71" w14:paraId="4BBF9A72"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60446343" w14:textId="1877398C" w:rsidR="0088415A" w:rsidRPr="00BA3D71" w:rsidRDefault="0088415A" w:rsidP="004E15D2">
            <w:pPr>
              <w:pStyle w:val="Tabletext"/>
            </w:pPr>
            <w:r w:rsidRPr="00BA3D71">
              <w:t>Haïti</w:t>
            </w:r>
          </w:p>
        </w:tc>
        <w:tc>
          <w:tcPr>
            <w:tcW w:w="6804" w:type="dxa"/>
            <w:tcBorders>
              <w:top w:val="nil"/>
              <w:left w:val="nil"/>
              <w:bottom w:val="single" w:sz="8" w:space="0" w:color="auto"/>
              <w:right w:val="single" w:sz="8" w:space="0" w:color="auto"/>
            </w:tcBorders>
            <w:shd w:val="clear" w:color="auto" w:fill="auto"/>
            <w:hideMark/>
          </w:tcPr>
          <w:p w14:paraId="3AA0F40E" w14:textId="6FD04A96" w:rsidR="0088415A" w:rsidRPr="00BA3D71" w:rsidRDefault="0088415A" w:rsidP="004E15D2">
            <w:pPr>
              <w:pStyle w:val="Tabletext"/>
            </w:pPr>
            <w:r w:rsidRPr="00BA3D71">
              <w:t>Haïti Télécommunications Int</w:t>
            </w:r>
            <w:r w:rsidR="000929C2" w:rsidRPr="00BA3D71">
              <w:t xml:space="preserve">. </w:t>
            </w:r>
            <w:r w:rsidRPr="00BA3D71">
              <w:t>S.A. (HaiTel S.A.), Pétion-Ville</w:t>
            </w:r>
          </w:p>
        </w:tc>
      </w:tr>
      <w:tr w:rsidR="00523C4F" w:rsidRPr="00BA3D71" w14:paraId="52AF36AD"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tcPr>
          <w:p w14:paraId="74180395" w14:textId="33C97B70" w:rsidR="00523C4F" w:rsidRPr="00BA3D71" w:rsidRDefault="00523C4F" w:rsidP="004E15D2">
            <w:pPr>
              <w:pStyle w:val="Tabletext"/>
            </w:pPr>
            <w:r w:rsidRPr="00BA3D71">
              <w:t>Inde</w:t>
            </w:r>
          </w:p>
        </w:tc>
        <w:tc>
          <w:tcPr>
            <w:tcW w:w="6804" w:type="dxa"/>
            <w:tcBorders>
              <w:top w:val="nil"/>
              <w:left w:val="nil"/>
              <w:bottom w:val="single" w:sz="8" w:space="0" w:color="auto"/>
              <w:right w:val="single" w:sz="8" w:space="0" w:color="auto"/>
            </w:tcBorders>
            <w:shd w:val="clear" w:color="auto" w:fill="auto"/>
          </w:tcPr>
          <w:p w14:paraId="584E6616" w14:textId="3EEAD67A" w:rsidR="00523C4F" w:rsidRPr="00BA3D71" w:rsidRDefault="00523C4F" w:rsidP="004E15D2">
            <w:pPr>
              <w:pStyle w:val="Tabletext"/>
            </w:pPr>
            <w:r w:rsidRPr="00BA3D71">
              <w:rPr>
                <w:rFonts w:cs="Calibri"/>
                <w:szCs w:val="22"/>
                <w:lang w:eastAsia="en-GB"/>
              </w:rPr>
              <w:t>Reliance Communications (Ex. Reliance Infocomm Ltd.), Navi Mumbai</w:t>
            </w:r>
          </w:p>
        </w:tc>
      </w:tr>
      <w:tr w:rsidR="0088415A" w:rsidRPr="00C227C0" w14:paraId="1B2E0FC3"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1094EDB2" w14:textId="213B1F58" w:rsidR="0088415A" w:rsidRPr="00BA3D71" w:rsidRDefault="0088415A" w:rsidP="004E15D2">
            <w:pPr>
              <w:pStyle w:val="Tabletext"/>
            </w:pPr>
            <w:r w:rsidRPr="00BA3D71">
              <w:t>Indonésie</w:t>
            </w:r>
          </w:p>
        </w:tc>
        <w:tc>
          <w:tcPr>
            <w:tcW w:w="6804" w:type="dxa"/>
            <w:tcBorders>
              <w:top w:val="nil"/>
              <w:left w:val="nil"/>
              <w:bottom w:val="single" w:sz="8" w:space="0" w:color="auto"/>
              <w:right w:val="single" w:sz="8" w:space="0" w:color="auto"/>
            </w:tcBorders>
            <w:shd w:val="clear" w:color="000000" w:fill="FFFFFF"/>
            <w:hideMark/>
          </w:tcPr>
          <w:p w14:paraId="3C6F76D1" w14:textId="15F405DE" w:rsidR="0088415A" w:rsidRPr="00C227C0" w:rsidRDefault="0088415A" w:rsidP="004E15D2">
            <w:pPr>
              <w:pStyle w:val="Tabletext"/>
              <w:rPr>
                <w:lang w:val="en-GB"/>
              </w:rPr>
            </w:pPr>
            <w:r w:rsidRPr="00C227C0">
              <w:rPr>
                <w:lang w:val="en-GB"/>
              </w:rPr>
              <w:t>PT Bakrie Telecom Tbk, Jakarta</w:t>
            </w:r>
          </w:p>
        </w:tc>
      </w:tr>
      <w:tr w:rsidR="0088415A" w:rsidRPr="00C227C0" w14:paraId="1A199CA7"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511F6B87" w14:textId="485B40DC" w:rsidR="0088415A" w:rsidRPr="00BA3D71" w:rsidRDefault="0088415A" w:rsidP="004E15D2">
            <w:pPr>
              <w:pStyle w:val="Tabletext"/>
            </w:pPr>
            <w:r w:rsidRPr="00BA3D71">
              <w:t>Israël</w:t>
            </w:r>
          </w:p>
        </w:tc>
        <w:tc>
          <w:tcPr>
            <w:tcW w:w="6804" w:type="dxa"/>
            <w:tcBorders>
              <w:top w:val="nil"/>
              <w:left w:val="nil"/>
              <w:bottom w:val="single" w:sz="8" w:space="0" w:color="auto"/>
              <w:right w:val="single" w:sz="8" w:space="0" w:color="auto"/>
            </w:tcBorders>
            <w:shd w:val="clear" w:color="auto" w:fill="auto"/>
            <w:hideMark/>
          </w:tcPr>
          <w:p w14:paraId="3D6D0305" w14:textId="6D94F1BB" w:rsidR="0088415A" w:rsidRPr="00C227C0" w:rsidRDefault="0088415A" w:rsidP="004E15D2">
            <w:pPr>
              <w:pStyle w:val="Tabletext"/>
              <w:rPr>
                <w:lang w:val="en-GB"/>
              </w:rPr>
            </w:pPr>
            <w:r w:rsidRPr="00C227C0">
              <w:rPr>
                <w:lang w:val="en-GB" w:eastAsia="en-GB"/>
              </w:rPr>
              <w:t>Gilat Satellite Networks Ltd., Petah Tikva</w:t>
            </w:r>
          </w:p>
        </w:tc>
      </w:tr>
      <w:tr w:rsidR="0088415A" w:rsidRPr="00BA3D71" w14:paraId="749148BD"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639B713B" w14:textId="4F507DB8" w:rsidR="0088415A" w:rsidRPr="00BA3D71" w:rsidRDefault="0088415A" w:rsidP="004E15D2">
            <w:pPr>
              <w:pStyle w:val="Tabletext"/>
            </w:pPr>
            <w:r w:rsidRPr="00BA3D71">
              <w:t>Israël</w:t>
            </w:r>
          </w:p>
        </w:tc>
        <w:tc>
          <w:tcPr>
            <w:tcW w:w="6804" w:type="dxa"/>
            <w:tcBorders>
              <w:top w:val="nil"/>
              <w:left w:val="nil"/>
              <w:bottom w:val="single" w:sz="8" w:space="0" w:color="auto"/>
              <w:right w:val="single" w:sz="8" w:space="0" w:color="auto"/>
            </w:tcBorders>
            <w:shd w:val="clear" w:color="auto" w:fill="auto"/>
            <w:hideMark/>
          </w:tcPr>
          <w:p w14:paraId="5D53D7F9" w14:textId="060A74A5" w:rsidR="0088415A" w:rsidRPr="00BA3D71" w:rsidRDefault="0088415A" w:rsidP="004E15D2">
            <w:pPr>
              <w:pStyle w:val="Tabletext"/>
            </w:pPr>
            <w:r w:rsidRPr="00BA3D71">
              <w:rPr>
                <w:lang w:eastAsia="en-GB"/>
              </w:rPr>
              <w:t>Telrad Networks Ltd, Lod</w:t>
            </w:r>
          </w:p>
        </w:tc>
      </w:tr>
      <w:tr w:rsidR="0088415A" w:rsidRPr="00BA3D71" w14:paraId="2EB40A9D"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tcPr>
          <w:p w14:paraId="3385D2F1" w14:textId="1AD46D62" w:rsidR="0088415A" w:rsidRPr="00BA3D71" w:rsidRDefault="0088415A" w:rsidP="004E15D2">
            <w:pPr>
              <w:pStyle w:val="Tabletext"/>
            </w:pPr>
            <w:r w:rsidRPr="00BA3D71">
              <w:t>Italie</w:t>
            </w:r>
          </w:p>
        </w:tc>
        <w:tc>
          <w:tcPr>
            <w:tcW w:w="6804" w:type="dxa"/>
            <w:tcBorders>
              <w:top w:val="nil"/>
              <w:left w:val="nil"/>
              <w:bottom w:val="single" w:sz="8" w:space="0" w:color="auto"/>
              <w:right w:val="single" w:sz="8" w:space="0" w:color="auto"/>
            </w:tcBorders>
            <w:shd w:val="clear" w:color="auto" w:fill="auto"/>
          </w:tcPr>
          <w:p w14:paraId="2FFA419E" w14:textId="1497DDCC" w:rsidR="0088415A" w:rsidRPr="00BA3D71" w:rsidRDefault="0088415A" w:rsidP="004E15D2">
            <w:pPr>
              <w:pStyle w:val="Tabletext"/>
              <w:rPr>
                <w:lang w:eastAsia="en-GB"/>
              </w:rPr>
            </w:pPr>
            <w:r w:rsidRPr="00BA3D71">
              <w:rPr>
                <w:lang w:eastAsia="en-GB"/>
              </w:rPr>
              <w:t>Leonardo (Ex. Selex Communications S.p.A.), Rome</w:t>
            </w:r>
          </w:p>
        </w:tc>
      </w:tr>
      <w:tr w:rsidR="0088415A" w:rsidRPr="00BA3D71" w14:paraId="7E03D72F"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tcPr>
          <w:p w14:paraId="2FD0AE90" w14:textId="5DBB7770" w:rsidR="0088415A" w:rsidRPr="00BA3D71" w:rsidRDefault="0088415A" w:rsidP="004E15D2">
            <w:pPr>
              <w:pStyle w:val="Tabletext"/>
            </w:pPr>
            <w:r w:rsidRPr="00BA3D71">
              <w:t>Corée (Rép. de)</w:t>
            </w:r>
          </w:p>
        </w:tc>
        <w:tc>
          <w:tcPr>
            <w:tcW w:w="6804" w:type="dxa"/>
            <w:tcBorders>
              <w:top w:val="nil"/>
              <w:left w:val="nil"/>
              <w:bottom w:val="single" w:sz="8" w:space="0" w:color="auto"/>
              <w:right w:val="single" w:sz="8" w:space="0" w:color="auto"/>
            </w:tcBorders>
            <w:shd w:val="clear" w:color="auto" w:fill="auto"/>
          </w:tcPr>
          <w:p w14:paraId="73C59576" w14:textId="64732959" w:rsidR="0088415A" w:rsidRPr="00BA3D71" w:rsidRDefault="0088415A" w:rsidP="004E15D2">
            <w:pPr>
              <w:pStyle w:val="Tabletext"/>
              <w:rPr>
                <w:lang w:eastAsia="en-GB"/>
              </w:rPr>
            </w:pPr>
            <w:r w:rsidRPr="00BA3D71">
              <w:rPr>
                <w:lang w:eastAsia="en-GB"/>
              </w:rPr>
              <w:t>SUNY Korea, Incheon</w:t>
            </w:r>
          </w:p>
        </w:tc>
      </w:tr>
      <w:tr w:rsidR="0088415A" w:rsidRPr="00C227C0" w14:paraId="016CD441"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tcPr>
          <w:p w14:paraId="659359A5" w14:textId="52E6192F" w:rsidR="0088415A" w:rsidRPr="00BA3D71" w:rsidRDefault="0088415A" w:rsidP="004E15D2">
            <w:pPr>
              <w:pStyle w:val="Tabletext"/>
            </w:pPr>
            <w:r w:rsidRPr="00BA3D71">
              <w:lastRenderedPageBreak/>
              <w:t>Liban</w:t>
            </w:r>
          </w:p>
        </w:tc>
        <w:tc>
          <w:tcPr>
            <w:tcW w:w="6804" w:type="dxa"/>
            <w:tcBorders>
              <w:top w:val="nil"/>
              <w:left w:val="nil"/>
              <w:bottom w:val="single" w:sz="8" w:space="0" w:color="auto"/>
              <w:right w:val="single" w:sz="8" w:space="0" w:color="auto"/>
            </w:tcBorders>
            <w:shd w:val="clear" w:color="auto" w:fill="auto"/>
          </w:tcPr>
          <w:p w14:paraId="60E30CBF" w14:textId="66723830" w:rsidR="0088415A" w:rsidRPr="00C227C0" w:rsidRDefault="0088415A" w:rsidP="004E15D2">
            <w:pPr>
              <w:pStyle w:val="Tabletext"/>
              <w:rPr>
                <w:lang w:val="en-GB" w:eastAsia="en-GB"/>
              </w:rPr>
            </w:pPr>
            <w:r w:rsidRPr="00C227C0">
              <w:rPr>
                <w:lang w:val="en-GB" w:eastAsia="en-GB"/>
              </w:rPr>
              <w:t xml:space="preserve">Al-Iktissad Wal-Aamal Group, </w:t>
            </w:r>
            <w:r w:rsidR="008B5668" w:rsidRPr="00C227C0">
              <w:rPr>
                <w:lang w:val="en-GB" w:eastAsia="en-GB"/>
              </w:rPr>
              <w:t>Beyrouth</w:t>
            </w:r>
          </w:p>
        </w:tc>
      </w:tr>
      <w:tr w:rsidR="0088415A" w:rsidRPr="00BA3D71" w14:paraId="31EF4993"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tcPr>
          <w:p w14:paraId="712B2B71" w14:textId="764D7CBC" w:rsidR="0088415A" w:rsidRPr="00BA3D71" w:rsidRDefault="0088415A" w:rsidP="004E15D2">
            <w:pPr>
              <w:pStyle w:val="Tabletext"/>
            </w:pPr>
            <w:r w:rsidRPr="00BA3D71">
              <w:t>Liban</w:t>
            </w:r>
          </w:p>
        </w:tc>
        <w:tc>
          <w:tcPr>
            <w:tcW w:w="6804" w:type="dxa"/>
            <w:tcBorders>
              <w:top w:val="nil"/>
              <w:left w:val="nil"/>
              <w:bottom w:val="single" w:sz="8" w:space="0" w:color="auto"/>
              <w:right w:val="single" w:sz="8" w:space="0" w:color="auto"/>
            </w:tcBorders>
            <w:shd w:val="clear" w:color="auto" w:fill="auto"/>
          </w:tcPr>
          <w:p w14:paraId="202E7947" w14:textId="46207C3E" w:rsidR="0088415A" w:rsidRPr="00BA3D71" w:rsidRDefault="0088415A" w:rsidP="004E15D2">
            <w:pPr>
              <w:pStyle w:val="Tabletext"/>
              <w:rPr>
                <w:lang w:eastAsia="en-GB"/>
              </w:rPr>
            </w:pPr>
            <w:r w:rsidRPr="00BA3D71">
              <w:rPr>
                <w:lang w:eastAsia="en-GB"/>
              </w:rPr>
              <w:t xml:space="preserve">IMDI, Sal offshore, </w:t>
            </w:r>
            <w:r w:rsidR="008B5668" w:rsidRPr="00BA3D71">
              <w:rPr>
                <w:lang w:eastAsia="en-GB"/>
              </w:rPr>
              <w:t>Beyrouth</w:t>
            </w:r>
          </w:p>
        </w:tc>
      </w:tr>
      <w:tr w:rsidR="0088415A" w:rsidRPr="00BA3D71" w14:paraId="60815F69"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04A08056" w14:textId="77777777" w:rsidR="0088415A" w:rsidRPr="00BA3D71" w:rsidRDefault="0088415A" w:rsidP="004E15D2">
            <w:pPr>
              <w:pStyle w:val="Tabletext"/>
            </w:pPr>
            <w:r w:rsidRPr="00BA3D71">
              <w:t>Pakistan</w:t>
            </w:r>
          </w:p>
        </w:tc>
        <w:tc>
          <w:tcPr>
            <w:tcW w:w="6804" w:type="dxa"/>
            <w:tcBorders>
              <w:top w:val="nil"/>
              <w:left w:val="nil"/>
              <w:bottom w:val="single" w:sz="8" w:space="0" w:color="auto"/>
              <w:right w:val="single" w:sz="8" w:space="0" w:color="auto"/>
            </w:tcBorders>
            <w:shd w:val="clear" w:color="auto" w:fill="auto"/>
            <w:hideMark/>
          </w:tcPr>
          <w:p w14:paraId="1C681885" w14:textId="4665BD3B" w:rsidR="0088415A" w:rsidRPr="00BA3D71" w:rsidRDefault="0088415A" w:rsidP="004E15D2">
            <w:pPr>
              <w:pStyle w:val="Tabletext"/>
            </w:pPr>
            <w:r w:rsidRPr="00BA3D71">
              <w:t>Sysnet Pakistan (Pvt) Ltd., Karachi</w:t>
            </w:r>
          </w:p>
        </w:tc>
      </w:tr>
      <w:tr w:rsidR="0088415A" w:rsidRPr="00BA3D71" w14:paraId="448713C6"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000000" w:fill="FFFFFF"/>
            <w:noWrap/>
            <w:hideMark/>
          </w:tcPr>
          <w:p w14:paraId="5E3628B8" w14:textId="46D068FE" w:rsidR="0088415A" w:rsidRPr="00BA3D71" w:rsidRDefault="0088415A" w:rsidP="004E15D2">
            <w:pPr>
              <w:pStyle w:val="Tabletext"/>
            </w:pPr>
            <w:r w:rsidRPr="00BA3D71">
              <w:t>Togo</w:t>
            </w:r>
          </w:p>
        </w:tc>
        <w:tc>
          <w:tcPr>
            <w:tcW w:w="6804" w:type="dxa"/>
            <w:tcBorders>
              <w:top w:val="nil"/>
              <w:left w:val="nil"/>
              <w:bottom w:val="single" w:sz="8" w:space="0" w:color="auto"/>
              <w:right w:val="single" w:sz="8" w:space="0" w:color="auto"/>
            </w:tcBorders>
            <w:shd w:val="clear" w:color="000000" w:fill="FFFFFF"/>
            <w:noWrap/>
            <w:hideMark/>
          </w:tcPr>
          <w:p w14:paraId="5EC4F20F" w14:textId="135431DA" w:rsidR="0088415A" w:rsidRPr="00BA3D71" w:rsidRDefault="0088415A" w:rsidP="004E15D2">
            <w:pPr>
              <w:pStyle w:val="Tabletext"/>
            </w:pPr>
            <w:r w:rsidRPr="00BA3D71">
              <w:t>Centre régional de Maintenance des</w:t>
            </w:r>
            <w:r w:rsidRPr="00BA3D71">
              <w:br/>
              <w:t>Télécommunications de Lomé (CMTL), Lomé</w:t>
            </w:r>
          </w:p>
        </w:tc>
      </w:tr>
      <w:tr w:rsidR="0088415A" w:rsidRPr="00BA3D71" w14:paraId="2AF508A8"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0D0E631B" w14:textId="7F984A78" w:rsidR="0088415A" w:rsidRPr="00BA3D71" w:rsidRDefault="0088415A" w:rsidP="004E15D2">
            <w:pPr>
              <w:pStyle w:val="Tabletext"/>
            </w:pPr>
            <w:r w:rsidRPr="00BA3D71">
              <w:t>Royaume-Uni</w:t>
            </w:r>
          </w:p>
        </w:tc>
        <w:tc>
          <w:tcPr>
            <w:tcW w:w="6804" w:type="dxa"/>
            <w:tcBorders>
              <w:top w:val="nil"/>
              <w:left w:val="nil"/>
              <w:bottom w:val="single" w:sz="8" w:space="0" w:color="auto"/>
              <w:right w:val="single" w:sz="8" w:space="0" w:color="auto"/>
            </w:tcBorders>
            <w:shd w:val="clear" w:color="auto" w:fill="auto"/>
            <w:noWrap/>
            <w:hideMark/>
          </w:tcPr>
          <w:p w14:paraId="7BFCC3EB" w14:textId="3A305E36" w:rsidR="0088415A" w:rsidRPr="00BA3D71" w:rsidRDefault="0088415A" w:rsidP="004E15D2">
            <w:pPr>
              <w:pStyle w:val="Tabletext"/>
            </w:pPr>
            <w:r w:rsidRPr="00BA3D71">
              <w:t xml:space="preserve">Times Publications Ltd., </w:t>
            </w:r>
            <w:r w:rsidR="008B5668" w:rsidRPr="00BA3D71">
              <w:t>Londres</w:t>
            </w:r>
          </w:p>
        </w:tc>
      </w:tr>
      <w:tr w:rsidR="0088415A" w:rsidRPr="00C227C0" w14:paraId="02F59C75"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1559D94B" w14:textId="77777777" w:rsidR="0088415A" w:rsidRPr="00BA3D71" w:rsidRDefault="0088415A" w:rsidP="004E15D2">
            <w:pPr>
              <w:pStyle w:val="Tabletext"/>
            </w:pPr>
            <w:r w:rsidRPr="00BA3D71">
              <w:t>États-Unis</w:t>
            </w:r>
          </w:p>
        </w:tc>
        <w:tc>
          <w:tcPr>
            <w:tcW w:w="6804" w:type="dxa"/>
            <w:tcBorders>
              <w:top w:val="nil"/>
              <w:left w:val="nil"/>
              <w:bottom w:val="single" w:sz="8" w:space="0" w:color="auto"/>
              <w:right w:val="single" w:sz="8" w:space="0" w:color="auto"/>
            </w:tcBorders>
            <w:shd w:val="clear" w:color="000000" w:fill="FFFFFF"/>
            <w:hideMark/>
          </w:tcPr>
          <w:p w14:paraId="32F1D7EE" w14:textId="3765D9CF" w:rsidR="0088415A" w:rsidRPr="00C227C0" w:rsidRDefault="0088415A" w:rsidP="004E15D2">
            <w:pPr>
              <w:pStyle w:val="Tabletext"/>
              <w:rPr>
                <w:lang w:val="en-GB"/>
              </w:rPr>
            </w:pPr>
            <w:r w:rsidRPr="00C227C0">
              <w:rPr>
                <w:lang w:val="en-GB"/>
              </w:rPr>
              <w:t>Calient Networks, Inc., San Jose</w:t>
            </w:r>
          </w:p>
        </w:tc>
      </w:tr>
      <w:tr w:rsidR="0088415A" w:rsidRPr="00BA3D71" w14:paraId="43F53909"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2DA5D7EA" w14:textId="77777777" w:rsidR="0088415A" w:rsidRPr="00BA3D71" w:rsidRDefault="0088415A" w:rsidP="004E15D2">
            <w:pPr>
              <w:pStyle w:val="Tabletext"/>
            </w:pPr>
            <w:r w:rsidRPr="00BA3D71">
              <w:t>États-Unis</w:t>
            </w:r>
          </w:p>
        </w:tc>
        <w:tc>
          <w:tcPr>
            <w:tcW w:w="6804" w:type="dxa"/>
            <w:tcBorders>
              <w:top w:val="nil"/>
              <w:left w:val="nil"/>
              <w:bottom w:val="single" w:sz="8" w:space="0" w:color="auto"/>
              <w:right w:val="single" w:sz="8" w:space="0" w:color="auto"/>
            </w:tcBorders>
            <w:shd w:val="clear" w:color="auto" w:fill="auto"/>
            <w:noWrap/>
            <w:hideMark/>
          </w:tcPr>
          <w:p w14:paraId="4E58E926" w14:textId="719E1342" w:rsidR="0088415A" w:rsidRPr="00BA3D71" w:rsidRDefault="00D05C9E" w:rsidP="004E15D2">
            <w:pPr>
              <w:pStyle w:val="Tabletext"/>
            </w:pPr>
            <w:r w:rsidRPr="00BA3D71">
              <w:t>Ezenia, Inc., Nashua</w:t>
            </w:r>
          </w:p>
        </w:tc>
      </w:tr>
      <w:tr w:rsidR="0088415A" w:rsidRPr="00BA3D71" w14:paraId="54E72DA3"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1BB2275F" w14:textId="77777777" w:rsidR="0088415A" w:rsidRPr="00BA3D71" w:rsidRDefault="0088415A" w:rsidP="004E15D2">
            <w:pPr>
              <w:pStyle w:val="Tabletext"/>
            </w:pPr>
            <w:r w:rsidRPr="00BA3D71">
              <w:t>États-Unis</w:t>
            </w:r>
          </w:p>
        </w:tc>
        <w:tc>
          <w:tcPr>
            <w:tcW w:w="6804" w:type="dxa"/>
            <w:tcBorders>
              <w:top w:val="nil"/>
              <w:left w:val="nil"/>
              <w:bottom w:val="single" w:sz="8" w:space="0" w:color="auto"/>
              <w:right w:val="single" w:sz="8" w:space="0" w:color="auto"/>
            </w:tcBorders>
            <w:shd w:val="clear" w:color="auto" w:fill="auto"/>
            <w:noWrap/>
            <w:hideMark/>
          </w:tcPr>
          <w:p w14:paraId="1C9D2D7F" w14:textId="7831C730" w:rsidR="0088415A" w:rsidRPr="00BA3D71" w:rsidRDefault="00D05C9E" w:rsidP="004E15D2">
            <w:pPr>
              <w:pStyle w:val="Tabletext"/>
            </w:pPr>
            <w:r w:rsidRPr="00C227C0">
              <w:rPr>
                <w:lang w:val="en-GB"/>
              </w:rPr>
              <w:t xml:space="preserve">The Gores Technology Group, Los Angeles (Ex. </w:t>
            </w:r>
            <w:r w:rsidRPr="00BA3D71">
              <w:t>Forgent Networks Inc.)</w:t>
            </w:r>
          </w:p>
        </w:tc>
      </w:tr>
      <w:tr w:rsidR="0088415A" w:rsidRPr="00BA3D71" w14:paraId="2DC2EE64"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43CEB183" w14:textId="77777777" w:rsidR="0088415A" w:rsidRPr="00BA3D71" w:rsidRDefault="0088415A" w:rsidP="004E15D2">
            <w:pPr>
              <w:pStyle w:val="Tabletext"/>
            </w:pPr>
            <w:r w:rsidRPr="00BA3D71">
              <w:t>États-Unis</w:t>
            </w:r>
          </w:p>
        </w:tc>
        <w:tc>
          <w:tcPr>
            <w:tcW w:w="6804" w:type="dxa"/>
            <w:tcBorders>
              <w:top w:val="nil"/>
              <w:left w:val="nil"/>
              <w:bottom w:val="single" w:sz="8" w:space="0" w:color="auto"/>
              <w:right w:val="single" w:sz="8" w:space="0" w:color="auto"/>
            </w:tcBorders>
            <w:shd w:val="clear" w:color="000000" w:fill="FFFFFF"/>
            <w:hideMark/>
          </w:tcPr>
          <w:p w14:paraId="6B7CCC9F" w14:textId="09B4865A" w:rsidR="0088415A" w:rsidRPr="00BA3D71" w:rsidRDefault="00D05C9E" w:rsidP="004E15D2">
            <w:pPr>
              <w:pStyle w:val="Tabletext"/>
            </w:pPr>
            <w:r w:rsidRPr="00BA3D71">
              <w:t>WI-FI Alliance (Ex. Wireless Gigabit Alliance), Austin</w:t>
            </w:r>
          </w:p>
        </w:tc>
      </w:tr>
    </w:tbl>
    <w:p w14:paraId="08CD8E16" w14:textId="6B98E779" w:rsidR="009F1354" w:rsidRPr="00BA3D71" w:rsidRDefault="009F1354" w:rsidP="004E15D2">
      <w:pPr>
        <w:spacing w:before="240"/>
      </w:pPr>
      <w:r w:rsidRPr="00BA3D71">
        <w:t xml:space="preserve">Le montant total des sommes dues par ces sociétés est de </w:t>
      </w:r>
      <w:r w:rsidR="000929C2" w:rsidRPr="00BA3D71">
        <w:rPr>
          <w:b/>
          <w:bCs/>
        </w:rPr>
        <w:t xml:space="preserve">2 712 272,58 </w:t>
      </w:r>
      <w:r w:rsidRPr="00BA3D71">
        <w:rPr>
          <w:b/>
          <w:bCs/>
        </w:rPr>
        <w:t>CHF</w:t>
      </w:r>
      <w:r w:rsidRPr="00BA3D71">
        <w:t xml:space="preserve">. </w:t>
      </w:r>
      <w:r w:rsidR="00171B0E" w:rsidRPr="00BA3D71">
        <w:t>L</w:t>
      </w:r>
      <w:r w:rsidRPr="00BA3D71">
        <w:t>'Annexe B</w:t>
      </w:r>
      <w:r w:rsidR="00171B0E" w:rsidRPr="00BA3D71">
        <w:t xml:space="preserve"> contient plus de détails</w:t>
      </w:r>
      <w:r w:rsidRPr="00BA3D71">
        <w:t>.</w:t>
      </w:r>
    </w:p>
    <w:p w14:paraId="50D09252" w14:textId="77777777" w:rsidR="009F1354" w:rsidRPr="00BA3D71" w:rsidRDefault="009F1354" w:rsidP="004E15D2">
      <w:r w:rsidRPr="00BA3D71">
        <w:br w:type="page"/>
      </w:r>
    </w:p>
    <w:p w14:paraId="6C8A33B2" w14:textId="77777777" w:rsidR="009F1354" w:rsidRPr="00BA3D71" w:rsidRDefault="009F1354" w:rsidP="004E15D2">
      <w:pPr>
        <w:pStyle w:val="AnnexNo"/>
        <w:spacing w:before="240"/>
      </w:pPr>
      <w:r w:rsidRPr="00BA3D71">
        <w:lastRenderedPageBreak/>
        <w:t>ANNEXE A</w:t>
      </w:r>
    </w:p>
    <w:p w14:paraId="0CEE20B0" w14:textId="77777777" w:rsidR="009F1354" w:rsidRPr="00BA3D71" w:rsidRDefault="009F1354" w:rsidP="007A7853">
      <w:pPr>
        <w:pStyle w:val="Annextitle"/>
        <w:spacing w:after="0"/>
      </w:pPr>
      <w:r w:rsidRPr="00BA3D71">
        <w:t>Évolution des arriérés et comptes spéciaux d'arriérés</w:t>
      </w:r>
    </w:p>
    <w:p w14:paraId="2668BE81" w14:textId="77777777" w:rsidR="009F1354" w:rsidRPr="00BA3D71" w:rsidRDefault="009F1354" w:rsidP="007A7853">
      <w:pPr>
        <w:pStyle w:val="Annextitle"/>
        <w:spacing w:before="0"/>
      </w:pPr>
      <w:r w:rsidRPr="00BA3D71">
        <w:rPr>
          <w:sz w:val="24"/>
          <w:szCs w:val="18"/>
        </w:rPr>
        <w:t>(Montant en milliers de francs suisses)</w:t>
      </w:r>
    </w:p>
    <w:tbl>
      <w:tblPr>
        <w:tblW w:w="9866" w:type="dxa"/>
        <w:jc w:val="center"/>
        <w:tblLook w:val="04A0" w:firstRow="1" w:lastRow="0" w:firstColumn="1" w:lastColumn="0" w:noHBand="0" w:noVBand="1"/>
      </w:tblPr>
      <w:tblGrid>
        <w:gridCol w:w="2967"/>
        <w:gridCol w:w="861"/>
        <w:gridCol w:w="861"/>
        <w:gridCol w:w="862"/>
        <w:gridCol w:w="863"/>
        <w:gridCol w:w="863"/>
        <w:gridCol w:w="863"/>
        <w:gridCol w:w="863"/>
        <w:gridCol w:w="863"/>
      </w:tblGrid>
      <w:tr w:rsidR="009F1354" w:rsidRPr="00BA3D71" w14:paraId="714230BC" w14:textId="77777777" w:rsidTr="00116E6C">
        <w:trPr>
          <w:trHeight w:val="465"/>
          <w:jc w:val="center"/>
        </w:trPr>
        <w:tc>
          <w:tcPr>
            <w:tcW w:w="2967" w:type="dxa"/>
            <w:tcBorders>
              <w:top w:val="nil"/>
              <w:left w:val="nil"/>
              <w:bottom w:val="nil"/>
              <w:right w:val="nil"/>
            </w:tcBorders>
            <w:shd w:val="clear" w:color="auto" w:fill="auto"/>
            <w:noWrap/>
            <w:vAlign w:val="center"/>
            <w:hideMark/>
          </w:tcPr>
          <w:p w14:paraId="1B61280B" w14:textId="43CAE0F7" w:rsidR="009F1354" w:rsidRPr="00BA3D71" w:rsidRDefault="009F1354" w:rsidP="004E15D2">
            <w:pPr>
              <w:pStyle w:val="Tablehead"/>
              <w:spacing w:before="0" w:after="0"/>
              <w:jc w:val="left"/>
              <w:rPr>
                <w:rFonts w:asciiTheme="minorHAnsi" w:hAnsiTheme="minorHAnsi"/>
                <w:sz w:val="21"/>
                <w:szCs w:val="21"/>
                <w:lang w:eastAsia="zh-CN"/>
              </w:rPr>
            </w:pPr>
            <w:r w:rsidRPr="00BA3D71">
              <w:rPr>
                <w:rFonts w:asciiTheme="minorHAnsi" w:hAnsiTheme="minorHAnsi"/>
                <w:sz w:val="21"/>
                <w:szCs w:val="21"/>
                <w:lang w:eastAsia="zh-CN"/>
              </w:rPr>
              <w:t>Situation au 31 décembre</w:t>
            </w:r>
          </w:p>
        </w:tc>
        <w:tc>
          <w:tcPr>
            <w:tcW w:w="861" w:type="dxa"/>
            <w:tcBorders>
              <w:top w:val="nil"/>
              <w:left w:val="nil"/>
              <w:bottom w:val="nil"/>
              <w:right w:val="nil"/>
            </w:tcBorders>
            <w:shd w:val="clear" w:color="auto" w:fill="auto"/>
            <w:vAlign w:val="center"/>
            <w:hideMark/>
          </w:tcPr>
          <w:p w14:paraId="7949E4EA" w14:textId="1FA796D8" w:rsidR="009F1354" w:rsidRPr="00BA3D71" w:rsidRDefault="009F1354" w:rsidP="004E15D2">
            <w:pPr>
              <w:pStyle w:val="Tablehead"/>
              <w:spacing w:before="0" w:after="0"/>
              <w:rPr>
                <w:rFonts w:asciiTheme="minorHAnsi" w:hAnsiTheme="minorHAnsi"/>
                <w:sz w:val="21"/>
                <w:szCs w:val="21"/>
              </w:rPr>
            </w:pPr>
            <w:r w:rsidRPr="00BA3D71">
              <w:rPr>
                <w:rFonts w:asciiTheme="minorHAnsi" w:hAnsiTheme="minorHAnsi" w:cs="Calibri"/>
                <w:sz w:val="21"/>
                <w:szCs w:val="21"/>
              </w:rPr>
              <w:t>201</w:t>
            </w:r>
            <w:r w:rsidR="00116E6C" w:rsidRPr="00BA3D71">
              <w:rPr>
                <w:rFonts w:asciiTheme="minorHAnsi" w:hAnsiTheme="minorHAnsi" w:cs="Calibri"/>
                <w:sz w:val="21"/>
                <w:szCs w:val="21"/>
              </w:rPr>
              <w:t>2</w:t>
            </w:r>
          </w:p>
        </w:tc>
        <w:tc>
          <w:tcPr>
            <w:tcW w:w="861" w:type="dxa"/>
            <w:tcBorders>
              <w:top w:val="nil"/>
              <w:left w:val="nil"/>
              <w:bottom w:val="nil"/>
              <w:right w:val="nil"/>
            </w:tcBorders>
            <w:shd w:val="clear" w:color="auto" w:fill="auto"/>
            <w:vAlign w:val="center"/>
          </w:tcPr>
          <w:p w14:paraId="22DFEAAF" w14:textId="29188C35" w:rsidR="009F1354" w:rsidRPr="00BA3D71" w:rsidRDefault="009F1354" w:rsidP="004E15D2">
            <w:pPr>
              <w:pStyle w:val="Tablehead"/>
              <w:spacing w:before="0" w:after="0"/>
              <w:rPr>
                <w:rFonts w:asciiTheme="minorHAnsi" w:hAnsiTheme="minorHAnsi"/>
                <w:sz w:val="21"/>
                <w:szCs w:val="21"/>
              </w:rPr>
            </w:pPr>
            <w:r w:rsidRPr="00BA3D71">
              <w:rPr>
                <w:rFonts w:asciiTheme="minorHAnsi" w:hAnsiTheme="minorHAnsi"/>
                <w:sz w:val="21"/>
                <w:szCs w:val="21"/>
              </w:rPr>
              <w:t>201</w:t>
            </w:r>
            <w:r w:rsidR="00116E6C" w:rsidRPr="00BA3D71">
              <w:rPr>
                <w:rFonts w:asciiTheme="minorHAnsi" w:hAnsiTheme="minorHAnsi"/>
                <w:sz w:val="21"/>
                <w:szCs w:val="21"/>
              </w:rPr>
              <w:t>3</w:t>
            </w:r>
          </w:p>
        </w:tc>
        <w:tc>
          <w:tcPr>
            <w:tcW w:w="862" w:type="dxa"/>
            <w:tcBorders>
              <w:top w:val="nil"/>
              <w:left w:val="nil"/>
              <w:bottom w:val="nil"/>
              <w:right w:val="nil"/>
            </w:tcBorders>
            <w:shd w:val="clear" w:color="auto" w:fill="auto"/>
            <w:vAlign w:val="center"/>
          </w:tcPr>
          <w:p w14:paraId="033AF0DA" w14:textId="5F621564" w:rsidR="009F1354" w:rsidRPr="00BA3D71" w:rsidRDefault="009F1354" w:rsidP="004E15D2">
            <w:pPr>
              <w:pStyle w:val="Tablehead"/>
              <w:spacing w:before="0" w:after="0"/>
              <w:rPr>
                <w:rFonts w:asciiTheme="minorHAnsi" w:hAnsiTheme="minorHAnsi"/>
                <w:sz w:val="21"/>
                <w:szCs w:val="21"/>
              </w:rPr>
            </w:pPr>
            <w:r w:rsidRPr="00BA3D71">
              <w:rPr>
                <w:rFonts w:asciiTheme="minorHAnsi" w:hAnsiTheme="minorHAnsi"/>
                <w:sz w:val="21"/>
                <w:szCs w:val="21"/>
              </w:rPr>
              <w:t>201</w:t>
            </w:r>
            <w:r w:rsidR="00116E6C" w:rsidRPr="00BA3D71">
              <w:rPr>
                <w:rFonts w:asciiTheme="minorHAnsi" w:hAnsiTheme="minorHAnsi"/>
                <w:sz w:val="21"/>
                <w:szCs w:val="21"/>
              </w:rPr>
              <w:t>4</w:t>
            </w:r>
          </w:p>
        </w:tc>
        <w:tc>
          <w:tcPr>
            <w:tcW w:w="863" w:type="dxa"/>
            <w:tcBorders>
              <w:top w:val="nil"/>
              <w:left w:val="nil"/>
              <w:bottom w:val="nil"/>
              <w:right w:val="nil"/>
            </w:tcBorders>
            <w:shd w:val="clear" w:color="auto" w:fill="auto"/>
            <w:vAlign w:val="center"/>
          </w:tcPr>
          <w:p w14:paraId="0736944B" w14:textId="0E663F12" w:rsidR="009F1354" w:rsidRPr="00BA3D71" w:rsidRDefault="009F1354" w:rsidP="004E15D2">
            <w:pPr>
              <w:pStyle w:val="Tablehead"/>
              <w:spacing w:before="0" w:after="0"/>
              <w:rPr>
                <w:rFonts w:asciiTheme="minorHAnsi" w:hAnsiTheme="minorHAnsi"/>
                <w:sz w:val="21"/>
                <w:szCs w:val="21"/>
              </w:rPr>
            </w:pPr>
            <w:r w:rsidRPr="00BA3D71">
              <w:rPr>
                <w:rFonts w:asciiTheme="minorHAnsi" w:hAnsiTheme="minorHAnsi" w:cs="Calibri"/>
                <w:sz w:val="21"/>
                <w:szCs w:val="21"/>
              </w:rPr>
              <w:t>201</w:t>
            </w:r>
            <w:r w:rsidR="00116E6C" w:rsidRPr="00BA3D71">
              <w:rPr>
                <w:rFonts w:asciiTheme="minorHAnsi" w:hAnsiTheme="minorHAnsi" w:cs="Calibri"/>
                <w:sz w:val="21"/>
                <w:szCs w:val="21"/>
              </w:rPr>
              <w:t>5</w:t>
            </w:r>
          </w:p>
        </w:tc>
        <w:tc>
          <w:tcPr>
            <w:tcW w:w="863" w:type="dxa"/>
            <w:tcBorders>
              <w:top w:val="nil"/>
              <w:left w:val="nil"/>
              <w:bottom w:val="nil"/>
              <w:right w:val="nil"/>
            </w:tcBorders>
            <w:shd w:val="clear" w:color="auto" w:fill="auto"/>
            <w:vAlign w:val="center"/>
          </w:tcPr>
          <w:p w14:paraId="53E3C475" w14:textId="0837463A" w:rsidR="009F1354" w:rsidRPr="00BA3D71" w:rsidRDefault="009F1354" w:rsidP="004E15D2">
            <w:pPr>
              <w:pStyle w:val="Tablehead"/>
              <w:spacing w:before="0" w:after="0"/>
              <w:rPr>
                <w:rFonts w:asciiTheme="minorHAnsi" w:hAnsiTheme="minorHAnsi"/>
                <w:sz w:val="21"/>
                <w:szCs w:val="21"/>
              </w:rPr>
            </w:pPr>
            <w:r w:rsidRPr="00BA3D71">
              <w:rPr>
                <w:rFonts w:asciiTheme="minorHAnsi" w:hAnsiTheme="minorHAnsi" w:cs="Calibri"/>
                <w:sz w:val="21"/>
                <w:szCs w:val="21"/>
              </w:rPr>
              <w:t>201</w:t>
            </w:r>
            <w:r w:rsidR="00116E6C" w:rsidRPr="00BA3D71">
              <w:rPr>
                <w:rFonts w:asciiTheme="minorHAnsi" w:hAnsiTheme="minorHAnsi" w:cs="Calibri"/>
                <w:sz w:val="21"/>
                <w:szCs w:val="21"/>
              </w:rPr>
              <w:t>6</w:t>
            </w:r>
          </w:p>
        </w:tc>
        <w:tc>
          <w:tcPr>
            <w:tcW w:w="863" w:type="dxa"/>
            <w:tcBorders>
              <w:top w:val="nil"/>
              <w:left w:val="nil"/>
              <w:bottom w:val="nil"/>
              <w:right w:val="nil"/>
            </w:tcBorders>
            <w:shd w:val="clear" w:color="auto" w:fill="auto"/>
            <w:vAlign w:val="center"/>
          </w:tcPr>
          <w:p w14:paraId="63F4AAB6" w14:textId="1BE14A61" w:rsidR="009F1354" w:rsidRPr="00BA3D71" w:rsidRDefault="009F1354" w:rsidP="004E15D2">
            <w:pPr>
              <w:pStyle w:val="Tablehead"/>
              <w:spacing w:before="0" w:after="0"/>
              <w:rPr>
                <w:rFonts w:asciiTheme="minorHAnsi" w:hAnsiTheme="minorHAnsi"/>
                <w:sz w:val="21"/>
                <w:szCs w:val="21"/>
              </w:rPr>
            </w:pPr>
            <w:r w:rsidRPr="00BA3D71">
              <w:rPr>
                <w:rFonts w:asciiTheme="minorHAnsi" w:hAnsiTheme="minorHAnsi"/>
                <w:sz w:val="21"/>
                <w:szCs w:val="21"/>
              </w:rPr>
              <w:t>201</w:t>
            </w:r>
            <w:r w:rsidR="00116E6C" w:rsidRPr="00BA3D71">
              <w:rPr>
                <w:rFonts w:asciiTheme="minorHAnsi" w:hAnsiTheme="minorHAnsi"/>
                <w:sz w:val="21"/>
                <w:szCs w:val="21"/>
              </w:rPr>
              <w:t>7</w:t>
            </w:r>
          </w:p>
        </w:tc>
        <w:tc>
          <w:tcPr>
            <w:tcW w:w="863" w:type="dxa"/>
            <w:tcBorders>
              <w:top w:val="nil"/>
              <w:left w:val="nil"/>
              <w:bottom w:val="nil"/>
              <w:right w:val="nil"/>
            </w:tcBorders>
            <w:shd w:val="clear" w:color="auto" w:fill="auto"/>
            <w:vAlign w:val="center"/>
          </w:tcPr>
          <w:p w14:paraId="3C460074" w14:textId="6BD92B64" w:rsidR="009F1354" w:rsidRPr="00BA3D71" w:rsidRDefault="009F1354" w:rsidP="004E15D2">
            <w:pPr>
              <w:pStyle w:val="Tablehead"/>
              <w:spacing w:before="0" w:after="0"/>
              <w:rPr>
                <w:rFonts w:asciiTheme="minorHAnsi" w:hAnsiTheme="minorHAnsi"/>
                <w:sz w:val="21"/>
                <w:szCs w:val="21"/>
              </w:rPr>
            </w:pPr>
            <w:r w:rsidRPr="00BA3D71">
              <w:rPr>
                <w:rFonts w:asciiTheme="minorHAnsi" w:hAnsiTheme="minorHAnsi"/>
                <w:sz w:val="21"/>
                <w:szCs w:val="21"/>
              </w:rPr>
              <w:t>201</w:t>
            </w:r>
            <w:r w:rsidR="00116E6C" w:rsidRPr="00BA3D71">
              <w:rPr>
                <w:rFonts w:asciiTheme="minorHAnsi" w:hAnsiTheme="minorHAnsi"/>
                <w:sz w:val="21"/>
                <w:szCs w:val="21"/>
              </w:rPr>
              <w:t>8</w:t>
            </w:r>
          </w:p>
        </w:tc>
        <w:tc>
          <w:tcPr>
            <w:tcW w:w="863" w:type="dxa"/>
            <w:tcBorders>
              <w:top w:val="nil"/>
              <w:left w:val="nil"/>
              <w:bottom w:val="nil"/>
              <w:right w:val="nil"/>
            </w:tcBorders>
            <w:shd w:val="clear" w:color="auto" w:fill="auto"/>
            <w:vAlign w:val="center"/>
          </w:tcPr>
          <w:p w14:paraId="648C310A" w14:textId="32FB41E5" w:rsidR="009F1354" w:rsidRPr="00BA3D71" w:rsidRDefault="009F1354" w:rsidP="004E15D2">
            <w:pPr>
              <w:pStyle w:val="Tablehead"/>
              <w:spacing w:before="0" w:after="0"/>
              <w:rPr>
                <w:rFonts w:asciiTheme="minorHAnsi" w:hAnsiTheme="minorHAnsi"/>
                <w:sz w:val="21"/>
                <w:szCs w:val="21"/>
              </w:rPr>
            </w:pPr>
            <w:r w:rsidRPr="00BA3D71">
              <w:rPr>
                <w:rFonts w:asciiTheme="minorHAnsi" w:hAnsiTheme="minorHAnsi" w:cs="Calibri"/>
                <w:sz w:val="21"/>
                <w:szCs w:val="21"/>
              </w:rPr>
              <w:t>201</w:t>
            </w:r>
            <w:r w:rsidR="00116E6C" w:rsidRPr="00BA3D71">
              <w:rPr>
                <w:rFonts w:asciiTheme="minorHAnsi" w:hAnsiTheme="minorHAnsi" w:cs="Calibri"/>
                <w:sz w:val="21"/>
                <w:szCs w:val="21"/>
              </w:rPr>
              <w:t>9</w:t>
            </w:r>
          </w:p>
        </w:tc>
      </w:tr>
      <w:tr w:rsidR="009F1354" w:rsidRPr="00BA3D71" w14:paraId="0845C550" w14:textId="77777777" w:rsidTr="00116E6C">
        <w:trPr>
          <w:trHeight w:val="235"/>
          <w:jc w:val="center"/>
        </w:trPr>
        <w:tc>
          <w:tcPr>
            <w:tcW w:w="2967" w:type="dxa"/>
            <w:tcBorders>
              <w:top w:val="nil"/>
              <w:left w:val="nil"/>
              <w:bottom w:val="nil"/>
              <w:right w:val="nil"/>
            </w:tcBorders>
            <w:shd w:val="clear" w:color="auto" w:fill="auto"/>
            <w:noWrap/>
            <w:vAlign w:val="center"/>
            <w:hideMark/>
          </w:tcPr>
          <w:p w14:paraId="13548FEA" w14:textId="77777777" w:rsidR="009F1354" w:rsidRPr="00BA3D71" w:rsidRDefault="009F1354" w:rsidP="004E15D2">
            <w:pPr>
              <w:pStyle w:val="Tabletext"/>
              <w:spacing w:before="0" w:after="0"/>
              <w:rPr>
                <w:rFonts w:asciiTheme="minorHAnsi" w:hAnsiTheme="minorHAnsi"/>
                <w:b/>
                <w:bCs/>
                <w:sz w:val="16"/>
                <w:szCs w:val="16"/>
                <w:lang w:eastAsia="zh-CN"/>
              </w:rPr>
            </w:pPr>
          </w:p>
        </w:tc>
        <w:tc>
          <w:tcPr>
            <w:tcW w:w="861" w:type="dxa"/>
            <w:tcBorders>
              <w:top w:val="nil"/>
              <w:left w:val="nil"/>
              <w:bottom w:val="nil"/>
              <w:right w:val="nil"/>
            </w:tcBorders>
            <w:shd w:val="clear" w:color="auto" w:fill="auto"/>
            <w:vAlign w:val="center"/>
            <w:hideMark/>
          </w:tcPr>
          <w:p w14:paraId="2E21C1FA" w14:textId="77777777" w:rsidR="009F1354" w:rsidRPr="00BA3D71" w:rsidRDefault="009F1354" w:rsidP="004E15D2">
            <w:pPr>
              <w:pStyle w:val="Tabletext"/>
              <w:spacing w:before="0" w:after="0"/>
              <w:rPr>
                <w:rFonts w:asciiTheme="minorHAnsi" w:hAnsiTheme="minorHAnsi"/>
                <w:sz w:val="16"/>
                <w:szCs w:val="16"/>
              </w:rPr>
            </w:pPr>
          </w:p>
        </w:tc>
        <w:tc>
          <w:tcPr>
            <w:tcW w:w="861" w:type="dxa"/>
            <w:tcBorders>
              <w:top w:val="nil"/>
              <w:left w:val="nil"/>
              <w:bottom w:val="nil"/>
              <w:right w:val="nil"/>
            </w:tcBorders>
            <w:shd w:val="clear" w:color="auto" w:fill="auto"/>
            <w:vAlign w:val="center"/>
            <w:hideMark/>
          </w:tcPr>
          <w:p w14:paraId="601B4F9D" w14:textId="77777777" w:rsidR="009F1354" w:rsidRPr="00BA3D71" w:rsidRDefault="009F1354" w:rsidP="004E15D2">
            <w:pPr>
              <w:pStyle w:val="Tabletext"/>
              <w:spacing w:before="0" w:after="0"/>
              <w:rPr>
                <w:rFonts w:asciiTheme="minorHAnsi" w:hAnsiTheme="minorHAnsi"/>
                <w:sz w:val="16"/>
                <w:szCs w:val="16"/>
              </w:rPr>
            </w:pPr>
          </w:p>
        </w:tc>
        <w:tc>
          <w:tcPr>
            <w:tcW w:w="862" w:type="dxa"/>
            <w:tcBorders>
              <w:top w:val="nil"/>
              <w:left w:val="nil"/>
              <w:bottom w:val="nil"/>
              <w:right w:val="nil"/>
            </w:tcBorders>
            <w:shd w:val="clear" w:color="auto" w:fill="auto"/>
            <w:vAlign w:val="center"/>
            <w:hideMark/>
          </w:tcPr>
          <w:p w14:paraId="12CA11EE" w14:textId="77777777" w:rsidR="009F1354" w:rsidRPr="00BA3D71" w:rsidRDefault="009F1354" w:rsidP="004E15D2">
            <w:pPr>
              <w:pStyle w:val="Tabletext"/>
              <w:spacing w:before="0" w:after="0"/>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6D1E8D68" w14:textId="77777777" w:rsidR="009F1354" w:rsidRPr="00BA3D71" w:rsidRDefault="009F1354" w:rsidP="004E15D2">
            <w:pPr>
              <w:pStyle w:val="Tabletext"/>
              <w:spacing w:before="0" w:after="0"/>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4823C697" w14:textId="77777777" w:rsidR="009F1354" w:rsidRPr="00BA3D71" w:rsidRDefault="009F1354" w:rsidP="004E15D2">
            <w:pPr>
              <w:pStyle w:val="Tabletext"/>
              <w:spacing w:before="0" w:after="0"/>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1F8679C8" w14:textId="77777777" w:rsidR="009F1354" w:rsidRPr="00BA3D71" w:rsidRDefault="009F1354" w:rsidP="004E15D2">
            <w:pPr>
              <w:pStyle w:val="Tabletext"/>
              <w:spacing w:before="0" w:after="0"/>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04FAA8DB" w14:textId="77777777" w:rsidR="009F1354" w:rsidRPr="00BA3D71" w:rsidRDefault="009F1354" w:rsidP="004E15D2">
            <w:pPr>
              <w:pStyle w:val="Tabletext"/>
              <w:spacing w:before="0" w:after="0"/>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1F2C79B5" w14:textId="77777777" w:rsidR="009F1354" w:rsidRPr="00BA3D71" w:rsidRDefault="009F1354" w:rsidP="004E15D2">
            <w:pPr>
              <w:pStyle w:val="Tabletext"/>
              <w:spacing w:before="0" w:after="0"/>
              <w:rPr>
                <w:rFonts w:asciiTheme="minorHAnsi" w:hAnsiTheme="minorHAnsi"/>
                <w:sz w:val="16"/>
                <w:szCs w:val="16"/>
              </w:rPr>
            </w:pPr>
          </w:p>
        </w:tc>
      </w:tr>
      <w:tr w:rsidR="009F1354" w:rsidRPr="00BA3D71" w14:paraId="19EDA089" w14:textId="77777777" w:rsidTr="00116E6C">
        <w:trPr>
          <w:trHeight w:val="465"/>
          <w:jc w:val="center"/>
        </w:trPr>
        <w:tc>
          <w:tcPr>
            <w:tcW w:w="2967" w:type="dxa"/>
            <w:tcBorders>
              <w:top w:val="nil"/>
              <w:left w:val="nil"/>
              <w:bottom w:val="nil"/>
              <w:right w:val="nil"/>
            </w:tcBorders>
            <w:shd w:val="clear" w:color="auto" w:fill="auto"/>
            <w:noWrap/>
            <w:vAlign w:val="center"/>
            <w:hideMark/>
          </w:tcPr>
          <w:p w14:paraId="77AF3625" w14:textId="77777777" w:rsidR="009F1354" w:rsidRPr="00BA3D71" w:rsidRDefault="009F1354" w:rsidP="004E15D2">
            <w:pPr>
              <w:pStyle w:val="Tabletext"/>
              <w:spacing w:before="0" w:after="0"/>
              <w:rPr>
                <w:rFonts w:asciiTheme="minorHAnsi" w:hAnsiTheme="minorHAnsi"/>
                <w:b/>
                <w:bCs/>
                <w:sz w:val="21"/>
                <w:szCs w:val="21"/>
                <w:lang w:eastAsia="zh-CN"/>
              </w:rPr>
            </w:pPr>
            <w:r w:rsidRPr="00BA3D71">
              <w:rPr>
                <w:rFonts w:asciiTheme="minorHAnsi" w:hAnsiTheme="minorHAnsi"/>
                <w:b/>
                <w:bCs/>
                <w:sz w:val="21"/>
                <w:szCs w:val="21"/>
                <w:lang w:eastAsia="zh-CN"/>
              </w:rPr>
              <w:t>États Membres</w:t>
            </w:r>
          </w:p>
        </w:tc>
        <w:tc>
          <w:tcPr>
            <w:tcW w:w="861" w:type="dxa"/>
            <w:tcBorders>
              <w:top w:val="nil"/>
              <w:left w:val="nil"/>
              <w:bottom w:val="nil"/>
              <w:right w:val="nil"/>
            </w:tcBorders>
            <w:shd w:val="clear" w:color="auto" w:fill="auto"/>
            <w:vAlign w:val="center"/>
            <w:hideMark/>
          </w:tcPr>
          <w:p w14:paraId="17BD3077" w14:textId="77777777" w:rsidR="009F1354" w:rsidRPr="00BA3D71" w:rsidRDefault="009F1354" w:rsidP="004E15D2">
            <w:pPr>
              <w:pStyle w:val="Tabletext"/>
              <w:spacing w:before="0" w:after="0"/>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4FF904FE" w14:textId="77777777" w:rsidR="009F1354" w:rsidRPr="00BA3D71" w:rsidRDefault="009F1354" w:rsidP="004E15D2">
            <w:pPr>
              <w:pStyle w:val="Tabletext"/>
              <w:spacing w:before="0" w:after="0"/>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1F417438" w14:textId="77777777" w:rsidR="009F1354" w:rsidRPr="00BA3D71" w:rsidRDefault="009F1354"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2D144A0F" w14:textId="77777777" w:rsidR="009F1354" w:rsidRPr="00BA3D71" w:rsidRDefault="009F1354"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7E69E063" w14:textId="77777777" w:rsidR="009F1354" w:rsidRPr="00BA3D71" w:rsidRDefault="009F1354"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3ED225FC" w14:textId="77777777" w:rsidR="009F1354" w:rsidRPr="00BA3D71" w:rsidRDefault="009F1354"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1F07FD4E" w14:textId="77777777" w:rsidR="009F1354" w:rsidRPr="00BA3D71" w:rsidRDefault="009F1354"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108D5B20" w14:textId="77777777" w:rsidR="009F1354" w:rsidRPr="00BA3D71" w:rsidRDefault="009F1354" w:rsidP="004E15D2">
            <w:pPr>
              <w:pStyle w:val="Tabletext"/>
              <w:spacing w:before="0" w:after="0"/>
              <w:rPr>
                <w:rFonts w:asciiTheme="minorHAnsi" w:hAnsiTheme="minorHAnsi"/>
                <w:sz w:val="21"/>
                <w:szCs w:val="21"/>
              </w:rPr>
            </w:pPr>
          </w:p>
        </w:tc>
      </w:tr>
      <w:tr w:rsidR="009F1354" w:rsidRPr="00BA3D71" w14:paraId="6CC3E349"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4C346D4D" w14:textId="77777777" w:rsidR="009F1354" w:rsidRPr="00BA3D71" w:rsidRDefault="009F1354" w:rsidP="004E15D2">
            <w:pPr>
              <w:pStyle w:val="Tabletext"/>
              <w:spacing w:before="0" w:after="0"/>
              <w:rPr>
                <w:rFonts w:asciiTheme="minorHAnsi" w:hAnsiTheme="minorHAnsi"/>
                <w:sz w:val="16"/>
                <w:szCs w:val="16"/>
                <w:lang w:eastAsia="zh-CN"/>
              </w:rPr>
            </w:pPr>
          </w:p>
        </w:tc>
        <w:tc>
          <w:tcPr>
            <w:tcW w:w="861" w:type="dxa"/>
            <w:tcBorders>
              <w:top w:val="nil"/>
              <w:left w:val="nil"/>
              <w:bottom w:val="nil"/>
              <w:right w:val="nil"/>
            </w:tcBorders>
            <w:shd w:val="clear" w:color="auto" w:fill="auto"/>
            <w:vAlign w:val="center"/>
            <w:hideMark/>
          </w:tcPr>
          <w:p w14:paraId="12521265" w14:textId="77777777" w:rsidR="009F1354" w:rsidRPr="00BA3D71" w:rsidRDefault="009F1354" w:rsidP="004E15D2">
            <w:pPr>
              <w:pStyle w:val="Tabletext"/>
              <w:spacing w:before="0" w:after="0"/>
              <w:rPr>
                <w:rFonts w:asciiTheme="minorHAnsi" w:hAnsiTheme="minorHAnsi"/>
                <w:sz w:val="16"/>
                <w:szCs w:val="16"/>
              </w:rPr>
            </w:pPr>
          </w:p>
        </w:tc>
        <w:tc>
          <w:tcPr>
            <w:tcW w:w="861" w:type="dxa"/>
            <w:tcBorders>
              <w:top w:val="nil"/>
              <w:left w:val="nil"/>
              <w:bottom w:val="nil"/>
              <w:right w:val="nil"/>
            </w:tcBorders>
            <w:shd w:val="clear" w:color="auto" w:fill="auto"/>
            <w:vAlign w:val="center"/>
            <w:hideMark/>
          </w:tcPr>
          <w:p w14:paraId="719863FC" w14:textId="77777777" w:rsidR="009F1354" w:rsidRPr="00BA3D71" w:rsidRDefault="009F1354" w:rsidP="004E15D2">
            <w:pPr>
              <w:pStyle w:val="Tabletext"/>
              <w:spacing w:before="0" w:after="0"/>
              <w:rPr>
                <w:rFonts w:asciiTheme="minorHAnsi" w:hAnsiTheme="minorHAnsi"/>
                <w:sz w:val="16"/>
                <w:szCs w:val="16"/>
              </w:rPr>
            </w:pPr>
          </w:p>
        </w:tc>
        <w:tc>
          <w:tcPr>
            <w:tcW w:w="862" w:type="dxa"/>
            <w:tcBorders>
              <w:top w:val="nil"/>
              <w:left w:val="nil"/>
              <w:bottom w:val="nil"/>
              <w:right w:val="nil"/>
            </w:tcBorders>
            <w:shd w:val="clear" w:color="auto" w:fill="auto"/>
            <w:vAlign w:val="center"/>
            <w:hideMark/>
          </w:tcPr>
          <w:p w14:paraId="7E40BCB2" w14:textId="77777777" w:rsidR="009F1354" w:rsidRPr="00BA3D71" w:rsidRDefault="009F1354" w:rsidP="004E15D2">
            <w:pPr>
              <w:pStyle w:val="Tabletext"/>
              <w:spacing w:before="0" w:after="0"/>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1493E623" w14:textId="77777777" w:rsidR="009F1354" w:rsidRPr="00BA3D71" w:rsidRDefault="009F1354" w:rsidP="004E15D2">
            <w:pPr>
              <w:pStyle w:val="Tabletext"/>
              <w:spacing w:before="0" w:after="0"/>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08F08EBB" w14:textId="77777777" w:rsidR="009F1354" w:rsidRPr="00BA3D71" w:rsidRDefault="009F1354" w:rsidP="004E15D2">
            <w:pPr>
              <w:pStyle w:val="Tabletext"/>
              <w:spacing w:before="0" w:after="0"/>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0FA05063" w14:textId="77777777" w:rsidR="009F1354" w:rsidRPr="00BA3D71" w:rsidRDefault="009F1354" w:rsidP="004E15D2">
            <w:pPr>
              <w:pStyle w:val="Tabletext"/>
              <w:spacing w:before="0" w:after="0"/>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14389F23" w14:textId="77777777" w:rsidR="009F1354" w:rsidRPr="00BA3D71" w:rsidRDefault="009F1354" w:rsidP="004E15D2">
            <w:pPr>
              <w:pStyle w:val="Tabletext"/>
              <w:spacing w:before="0" w:after="0"/>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5B3DCBE4" w14:textId="77777777" w:rsidR="009F1354" w:rsidRPr="00BA3D71" w:rsidRDefault="009F1354" w:rsidP="004E15D2">
            <w:pPr>
              <w:pStyle w:val="Tabletext"/>
              <w:spacing w:before="0" w:after="0"/>
              <w:rPr>
                <w:rFonts w:asciiTheme="minorHAnsi" w:hAnsiTheme="minorHAnsi"/>
                <w:sz w:val="16"/>
                <w:szCs w:val="16"/>
              </w:rPr>
            </w:pPr>
          </w:p>
        </w:tc>
      </w:tr>
      <w:tr w:rsidR="007516D5" w:rsidRPr="00BA3D71" w14:paraId="54D69590"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31F35238" w14:textId="77777777" w:rsidR="007516D5" w:rsidRPr="00BA3D71" w:rsidRDefault="007516D5" w:rsidP="004E15D2">
            <w:pPr>
              <w:pStyle w:val="Tabletext"/>
              <w:spacing w:before="0" w:after="0"/>
              <w:rPr>
                <w:rFonts w:asciiTheme="minorHAnsi" w:hAnsiTheme="minorHAnsi"/>
                <w:sz w:val="21"/>
                <w:szCs w:val="21"/>
                <w:lang w:eastAsia="zh-CN"/>
              </w:rPr>
            </w:pPr>
            <w:r w:rsidRPr="00BA3D71">
              <w:rPr>
                <w:rFonts w:asciiTheme="minorHAnsi" w:hAnsiTheme="minorHAnsi"/>
                <w:sz w:val="21"/>
                <w:szCs w:val="21"/>
                <w:lang w:eastAsia="zh-CN"/>
              </w:rPr>
              <w:t>Contributions</w:t>
            </w:r>
          </w:p>
        </w:tc>
        <w:tc>
          <w:tcPr>
            <w:tcW w:w="861" w:type="dxa"/>
            <w:tcBorders>
              <w:top w:val="nil"/>
              <w:left w:val="nil"/>
              <w:bottom w:val="nil"/>
              <w:right w:val="nil"/>
            </w:tcBorders>
            <w:shd w:val="clear" w:color="auto" w:fill="auto"/>
            <w:vAlign w:val="center"/>
            <w:hideMark/>
          </w:tcPr>
          <w:p w14:paraId="5EA5FAFE" w14:textId="78AF4D0E"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color w:val="000000"/>
                <w:sz w:val="21"/>
                <w:szCs w:val="21"/>
                <w:lang w:eastAsia="en-GB"/>
              </w:rPr>
              <w:t>10 542</w:t>
            </w:r>
          </w:p>
        </w:tc>
        <w:tc>
          <w:tcPr>
            <w:tcW w:w="861" w:type="dxa"/>
            <w:tcBorders>
              <w:top w:val="nil"/>
              <w:left w:val="nil"/>
              <w:bottom w:val="nil"/>
              <w:right w:val="nil"/>
            </w:tcBorders>
            <w:shd w:val="clear" w:color="auto" w:fill="auto"/>
            <w:vAlign w:val="center"/>
            <w:hideMark/>
          </w:tcPr>
          <w:p w14:paraId="209ADB82" w14:textId="4B1491AB"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color w:val="000000"/>
                <w:sz w:val="21"/>
                <w:szCs w:val="21"/>
                <w:lang w:eastAsia="en-GB"/>
              </w:rPr>
              <w:t>10 141</w:t>
            </w:r>
          </w:p>
        </w:tc>
        <w:tc>
          <w:tcPr>
            <w:tcW w:w="862" w:type="dxa"/>
            <w:tcBorders>
              <w:top w:val="nil"/>
              <w:left w:val="nil"/>
              <w:bottom w:val="nil"/>
              <w:right w:val="nil"/>
            </w:tcBorders>
            <w:shd w:val="clear" w:color="auto" w:fill="auto"/>
            <w:vAlign w:val="center"/>
            <w:hideMark/>
          </w:tcPr>
          <w:p w14:paraId="6FE3E004" w14:textId="7F0F8024"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color w:val="000000"/>
                <w:sz w:val="21"/>
                <w:szCs w:val="21"/>
                <w:lang w:eastAsia="en-GB"/>
              </w:rPr>
              <w:t>7 825</w:t>
            </w:r>
          </w:p>
        </w:tc>
        <w:tc>
          <w:tcPr>
            <w:tcW w:w="863" w:type="dxa"/>
            <w:tcBorders>
              <w:top w:val="nil"/>
              <w:left w:val="nil"/>
              <w:bottom w:val="nil"/>
              <w:right w:val="nil"/>
            </w:tcBorders>
            <w:shd w:val="clear" w:color="auto" w:fill="auto"/>
            <w:vAlign w:val="center"/>
            <w:hideMark/>
          </w:tcPr>
          <w:p w14:paraId="1415F8D6" w14:textId="3B155BAE"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sz w:val="21"/>
                <w:szCs w:val="21"/>
                <w:lang w:eastAsia="en-GB"/>
              </w:rPr>
              <w:t>8</w:t>
            </w:r>
            <w:r w:rsidR="00C67888" w:rsidRPr="00BA3D71">
              <w:rPr>
                <w:rFonts w:asciiTheme="minorHAnsi" w:hAnsiTheme="minorHAnsi" w:cs="Calibri"/>
                <w:sz w:val="21"/>
                <w:szCs w:val="21"/>
                <w:lang w:eastAsia="en-GB"/>
              </w:rPr>
              <w:t xml:space="preserve"> </w:t>
            </w:r>
            <w:r w:rsidRPr="00BA3D71">
              <w:rPr>
                <w:rFonts w:asciiTheme="minorHAnsi" w:hAnsiTheme="minorHAnsi" w:cs="Calibri"/>
                <w:sz w:val="21"/>
                <w:szCs w:val="21"/>
                <w:lang w:eastAsia="en-GB"/>
              </w:rPr>
              <w:t>450</w:t>
            </w:r>
          </w:p>
        </w:tc>
        <w:tc>
          <w:tcPr>
            <w:tcW w:w="863" w:type="dxa"/>
            <w:tcBorders>
              <w:top w:val="nil"/>
              <w:left w:val="nil"/>
              <w:bottom w:val="nil"/>
              <w:right w:val="nil"/>
            </w:tcBorders>
            <w:shd w:val="clear" w:color="auto" w:fill="auto"/>
            <w:vAlign w:val="center"/>
            <w:hideMark/>
          </w:tcPr>
          <w:p w14:paraId="29F7D521" w14:textId="4CF26948"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sz w:val="21"/>
                <w:szCs w:val="21"/>
                <w:lang w:eastAsia="en-GB"/>
              </w:rPr>
              <w:t>10</w:t>
            </w:r>
            <w:r w:rsidR="00C67888" w:rsidRPr="00BA3D71">
              <w:rPr>
                <w:rFonts w:asciiTheme="minorHAnsi" w:hAnsiTheme="minorHAnsi" w:cs="Calibri"/>
                <w:sz w:val="21"/>
                <w:szCs w:val="21"/>
                <w:lang w:eastAsia="en-GB"/>
              </w:rPr>
              <w:t xml:space="preserve"> </w:t>
            </w:r>
            <w:r w:rsidRPr="00BA3D71">
              <w:rPr>
                <w:rFonts w:asciiTheme="minorHAnsi" w:hAnsiTheme="minorHAnsi" w:cs="Calibri"/>
                <w:sz w:val="21"/>
                <w:szCs w:val="21"/>
                <w:lang w:eastAsia="en-GB"/>
              </w:rPr>
              <w:t>070</w:t>
            </w:r>
          </w:p>
        </w:tc>
        <w:tc>
          <w:tcPr>
            <w:tcW w:w="863" w:type="dxa"/>
            <w:tcBorders>
              <w:top w:val="nil"/>
              <w:left w:val="nil"/>
              <w:bottom w:val="nil"/>
              <w:right w:val="nil"/>
            </w:tcBorders>
            <w:shd w:val="clear" w:color="auto" w:fill="auto"/>
            <w:vAlign w:val="center"/>
            <w:hideMark/>
          </w:tcPr>
          <w:p w14:paraId="23B80CFC" w14:textId="2E4A8B02"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sz w:val="21"/>
                <w:szCs w:val="21"/>
                <w:lang w:eastAsia="en-GB"/>
              </w:rPr>
              <w:t>9</w:t>
            </w:r>
            <w:r w:rsidR="00C67888" w:rsidRPr="00BA3D71">
              <w:rPr>
                <w:rFonts w:asciiTheme="minorHAnsi" w:hAnsiTheme="minorHAnsi" w:cs="Calibri"/>
                <w:sz w:val="21"/>
                <w:szCs w:val="21"/>
                <w:lang w:eastAsia="en-GB"/>
              </w:rPr>
              <w:t xml:space="preserve"> </w:t>
            </w:r>
            <w:r w:rsidRPr="00BA3D71">
              <w:rPr>
                <w:rFonts w:asciiTheme="minorHAnsi" w:hAnsiTheme="minorHAnsi" w:cs="Calibri"/>
                <w:sz w:val="21"/>
                <w:szCs w:val="21"/>
                <w:lang w:eastAsia="en-GB"/>
              </w:rPr>
              <w:t>639</w:t>
            </w:r>
          </w:p>
        </w:tc>
        <w:tc>
          <w:tcPr>
            <w:tcW w:w="863" w:type="dxa"/>
            <w:tcBorders>
              <w:top w:val="nil"/>
              <w:left w:val="nil"/>
              <w:bottom w:val="nil"/>
              <w:right w:val="nil"/>
            </w:tcBorders>
            <w:shd w:val="clear" w:color="auto" w:fill="auto"/>
            <w:vAlign w:val="center"/>
            <w:hideMark/>
          </w:tcPr>
          <w:p w14:paraId="66D6E9A6" w14:textId="764F38E4"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sz w:val="21"/>
                <w:szCs w:val="21"/>
                <w:lang w:eastAsia="en-GB"/>
              </w:rPr>
              <w:t>8</w:t>
            </w:r>
            <w:r w:rsidR="00C67888" w:rsidRPr="00BA3D71">
              <w:rPr>
                <w:rFonts w:asciiTheme="minorHAnsi" w:hAnsiTheme="minorHAnsi" w:cs="Calibri"/>
                <w:sz w:val="21"/>
                <w:szCs w:val="21"/>
                <w:lang w:eastAsia="en-GB"/>
              </w:rPr>
              <w:t xml:space="preserve"> </w:t>
            </w:r>
            <w:r w:rsidRPr="00BA3D71">
              <w:rPr>
                <w:rFonts w:asciiTheme="minorHAnsi" w:hAnsiTheme="minorHAnsi" w:cs="Calibri"/>
                <w:sz w:val="21"/>
                <w:szCs w:val="21"/>
                <w:lang w:eastAsia="en-GB"/>
              </w:rPr>
              <w:t>683</w:t>
            </w:r>
          </w:p>
        </w:tc>
        <w:tc>
          <w:tcPr>
            <w:tcW w:w="863" w:type="dxa"/>
            <w:tcBorders>
              <w:top w:val="nil"/>
              <w:left w:val="nil"/>
              <w:bottom w:val="nil"/>
              <w:right w:val="nil"/>
            </w:tcBorders>
            <w:shd w:val="clear" w:color="auto" w:fill="auto"/>
            <w:vAlign w:val="center"/>
            <w:hideMark/>
          </w:tcPr>
          <w:p w14:paraId="5DCE77CB" w14:textId="235FE431"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sz w:val="21"/>
                <w:szCs w:val="21"/>
                <w:lang w:eastAsia="en-GB"/>
              </w:rPr>
              <w:t>8</w:t>
            </w:r>
            <w:r w:rsidR="00C67888" w:rsidRPr="00BA3D71">
              <w:rPr>
                <w:rFonts w:asciiTheme="minorHAnsi" w:hAnsiTheme="minorHAnsi" w:cs="Calibri"/>
                <w:sz w:val="21"/>
                <w:szCs w:val="21"/>
                <w:lang w:eastAsia="en-GB"/>
              </w:rPr>
              <w:t xml:space="preserve"> </w:t>
            </w:r>
            <w:r w:rsidRPr="00BA3D71">
              <w:rPr>
                <w:rFonts w:asciiTheme="minorHAnsi" w:hAnsiTheme="minorHAnsi" w:cs="Calibri"/>
                <w:sz w:val="21"/>
                <w:szCs w:val="21"/>
                <w:lang w:eastAsia="en-GB"/>
              </w:rPr>
              <w:t>965</w:t>
            </w:r>
          </w:p>
        </w:tc>
      </w:tr>
      <w:tr w:rsidR="007516D5" w:rsidRPr="00BA3D71" w14:paraId="37E8A3F3"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4734A7F4" w14:textId="77777777" w:rsidR="007516D5" w:rsidRPr="00BA3D71" w:rsidRDefault="007516D5" w:rsidP="004E15D2">
            <w:pPr>
              <w:pStyle w:val="Tabletext"/>
              <w:spacing w:before="0" w:after="0"/>
              <w:rPr>
                <w:rFonts w:asciiTheme="minorHAnsi" w:hAnsiTheme="minorHAnsi"/>
                <w:sz w:val="16"/>
                <w:szCs w:val="16"/>
                <w:lang w:eastAsia="zh-CN"/>
              </w:rPr>
            </w:pPr>
          </w:p>
        </w:tc>
        <w:tc>
          <w:tcPr>
            <w:tcW w:w="861" w:type="dxa"/>
            <w:tcBorders>
              <w:top w:val="nil"/>
              <w:left w:val="nil"/>
              <w:bottom w:val="nil"/>
              <w:right w:val="nil"/>
            </w:tcBorders>
            <w:shd w:val="clear" w:color="auto" w:fill="auto"/>
            <w:vAlign w:val="center"/>
            <w:hideMark/>
          </w:tcPr>
          <w:p w14:paraId="4A1C1208" w14:textId="77777777" w:rsidR="007516D5" w:rsidRPr="00BA3D71" w:rsidRDefault="007516D5" w:rsidP="004E15D2">
            <w:pPr>
              <w:pStyle w:val="Tabletext"/>
              <w:spacing w:before="0" w:after="0"/>
              <w:jc w:val="right"/>
              <w:rPr>
                <w:rFonts w:asciiTheme="minorHAnsi" w:hAnsiTheme="minorHAnsi"/>
                <w:sz w:val="16"/>
                <w:szCs w:val="16"/>
              </w:rPr>
            </w:pPr>
          </w:p>
        </w:tc>
        <w:tc>
          <w:tcPr>
            <w:tcW w:w="861" w:type="dxa"/>
            <w:tcBorders>
              <w:top w:val="nil"/>
              <w:left w:val="nil"/>
              <w:bottom w:val="nil"/>
              <w:right w:val="nil"/>
            </w:tcBorders>
            <w:shd w:val="clear" w:color="auto" w:fill="auto"/>
            <w:vAlign w:val="center"/>
            <w:hideMark/>
          </w:tcPr>
          <w:p w14:paraId="31ECA74E" w14:textId="77777777" w:rsidR="007516D5" w:rsidRPr="00BA3D71" w:rsidRDefault="007516D5" w:rsidP="004E15D2">
            <w:pPr>
              <w:pStyle w:val="Tabletext"/>
              <w:spacing w:before="0" w:after="0"/>
              <w:jc w:val="right"/>
              <w:rPr>
                <w:rFonts w:asciiTheme="minorHAnsi" w:hAnsiTheme="minorHAnsi"/>
                <w:sz w:val="16"/>
                <w:szCs w:val="16"/>
              </w:rPr>
            </w:pPr>
          </w:p>
        </w:tc>
        <w:tc>
          <w:tcPr>
            <w:tcW w:w="862" w:type="dxa"/>
            <w:tcBorders>
              <w:top w:val="nil"/>
              <w:left w:val="nil"/>
              <w:bottom w:val="nil"/>
              <w:right w:val="nil"/>
            </w:tcBorders>
            <w:shd w:val="clear" w:color="auto" w:fill="auto"/>
            <w:vAlign w:val="center"/>
            <w:hideMark/>
          </w:tcPr>
          <w:p w14:paraId="5EDB327A" w14:textId="77777777" w:rsidR="007516D5" w:rsidRPr="00BA3D71" w:rsidRDefault="007516D5"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1A2C55AE" w14:textId="77777777" w:rsidR="007516D5" w:rsidRPr="00BA3D71" w:rsidRDefault="007516D5"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31DFA225" w14:textId="77777777" w:rsidR="007516D5" w:rsidRPr="00BA3D71" w:rsidRDefault="007516D5"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6B5C262D" w14:textId="77777777" w:rsidR="007516D5" w:rsidRPr="00BA3D71" w:rsidRDefault="007516D5"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49318A27" w14:textId="77777777" w:rsidR="007516D5" w:rsidRPr="00BA3D71" w:rsidRDefault="007516D5"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0C8DD31C" w14:textId="77777777" w:rsidR="007516D5" w:rsidRPr="00BA3D71" w:rsidRDefault="007516D5" w:rsidP="004E15D2">
            <w:pPr>
              <w:pStyle w:val="Tabletext"/>
              <w:spacing w:before="0" w:after="0"/>
              <w:jc w:val="right"/>
              <w:rPr>
                <w:rFonts w:asciiTheme="minorHAnsi" w:hAnsiTheme="minorHAnsi"/>
                <w:sz w:val="16"/>
                <w:szCs w:val="16"/>
              </w:rPr>
            </w:pPr>
          </w:p>
        </w:tc>
      </w:tr>
      <w:tr w:rsidR="007516D5" w:rsidRPr="00BA3D71" w14:paraId="42BE17B9" w14:textId="77777777" w:rsidTr="00116E6C">
        <w:trPr>
          <w:trHeight w:val="300"/>
          <w:jc w:val="center"/>
        </w:trPr>
        <w:tc>
          <w:tcPr>
            <w:tcW w:w="2967" w:type="dxa"/>
            <w:tcBorders>
              <w:top w:val="nil"/>
              <w:left w:val="nil"/>
              <w:bottom w:val="nil"/>
              <w:right w:val="nil"/>
            </w:tcBorders>
            <w:shd w:val="clear" w:color="auto" w:fill="auto"/>
            <w:vAlign w:val="center"/>
            <w:hideMark/>
          </w:tcPr>
          <w:p w14:paraId="72E685C1" w14:textId="77777777" w:rsidR="007516D5" w:rsidRPr="00BA3D71" w:rsidRDefault="007516D5" w:rsidP="004E15D2">
            <w:pPr>
              <w:pStyle w:val="Tabletext"/>
              <w:spacing w:before="0" w:after="0"/>
              <w:rPr>
                <w:rFonts w:asciiTheme="minorHAnsi" w:hAnsiTheme="minorHAnsi"/>
                <w:sz w:val="21"/>
                <w:szCs w:val="21"/>
                <w:lang w:eastAsia="zh-CN"/>
              </w:rPr>
            </w:pPr>
            <w:r w:rsidRPr="00BA3D71">
              <w:rPr>
                <w:rFonts w:asciiTheme="minorHAnsi" w:hAnsiTheme="minorHAnsi"/>
                <w:sz w:val="21"/>
                <w:szCs w:val="21"/>
                <w:lang w:eastAsia="zh-CN"/>
              </w:rPr>
              <w:t>Publications</w:t>
            </w:r>
          </w:p>
        </w:tc>
        <w:tc>
          <w:tcPr>
            <w:tcW w:w="861" w:type="dxa"/>
            <w:tcBorders>
              <w:top w:val="nil"/>
              <w:left w:val="nil"/>
              <w:bottom w:val="nil"/>
              <w:right w:val="nil"/>
            </w:tcBorders>
            <w:shd w:val="clear" w:color="auto" w:fill="auto"/>
            <w:vAlign w:val="center"/>
            <w:hideMark/>
          </w:tcPr>
          <w:p w14:paraId="10A62D36" w14:textId="4377DEDF" w:rsidR="007516D5" w:rsidRPr="00BA3D71" w:rsidRDefault="007516D5" w:rsidP="004E15D2">
            <w:pPr>
              <w:pStyle w:val="Tabletext"/>
              <w:spacing w:before="0" w:after="0"/>
              <w:jc w:val="right"/>
              <w:rPr>
                <w:rFonts w:asciiTheme="minorHAnsi" w:hAnsiTheme="minorHAnsi"/>
                <w:sz w:val="21"/>
                <w:szCs w:val="21"/>
                <w:u w:val="single"/>
              </w:rPr>
            </w:pPr>
            <w:r w:rsidRPr="00BA3D71">
              <w:rPr>
                <w:rFonts w:asciiTheme="minorHAnsi" w:hAnsiTheme="minorHAnsi" w:cs="Calibri"/>
                <w:color w:val="000000"/>
                <w:sz w:val="21"/>
                <w:szCs w:val="21"/>
                <w:u w:val="single"/>
                <w:lang w:eastAsia="en-GB"/>
              </w:rPr>
              <w:t>49</w:t>
            </w:r>
          </w:p>
        </w:tc>
        <w:tc>
          <w:tcPr>
            <w:tcW w:w="861" w:type="dxa"/>
            <w:tcBorders>
              <w:top w:val="nil"/>
              <w:left w:val="nil"/>
              <w:bottom w:val="nil"/>
              <w:right w:val="nil"/>
            </w:tcBorders>
            <w:shd w:val="clear" w:color="auto" w:fill="auto"/>
            <w:vAlign w:val="center"/>
            <w:hideMark/>
          </w:tcPr>
          <w:p w14:paraId="522119E7" w14:textId="74BE0BDA" w:rsidR="007516D5" w:rsidRPr="00BA3D71" w:rsidRDefault="007516D5" w:rsidP="004E15D2">
            <w:pPr>
              <w:pStyle w:val="Tabletext"/>
              <w:spacing w:before="0" w:after="0"/>
              <w:jc w:val="right"/>
              <w:rPr>
                <w:rFonts w:asciiTheme="minorHAnsi" w:hAnsiTheme="minorHAnsi"/>
                <w:sz w:val="21"/>
                <w:szCs w:val="21"/>
                <w:u w:val="single"/>
              </w:rPr>
            </w:pPr>
            <w:r w:rsidRPr="00BA3D71">
              <w:rPr>
                <w:rFonts w:asciiTheme="minorHAnsi" w:hAnsiTheme="minorHAnsi" w:cs="Calibri"/>
                <w:color w:val="000000"/>
                <w:sz w:val="21"/>
                <w:szCs w:val="21"/>
                <w:u w:val="single"/>
                <w:lang w:eastAsia="en-GB"/>
              </w:rPr>
              <w:t>49</w:t>
            </w:r>
          </w:p>
        </w:tc>
        <w:tc>
          <w:tcPr>
            <w:tcW w:w="862" w:type="dxa"/>
            <w:tcBorders>
              <w:top w:val="nil"/>
              <w:left w:val="nil"/>
              <w:bottom w:val="nil"/>
              <w:right w:val="nil"/>
            </w:tcBorders>
            <w:shd w:val="clear" w:color="auto" w:fill="auto"/>
            <w:vAlign w:val="center"/>
            <w:hideMark/>
          </w:tcPr>
          <w:p w14:paraId="5AEB8FFA" w14:textId="6F8D2FA9" w:rsidR="007516D5" w:rsidRPr="00BA3D71" w:rsidRDefault="007516D5" w:rsidP="004E15D2">
            <w:pPr>
              <w:pStyle w:val="Tabletext"/>
              <w:spacing w:before="0" w:after="0"/>
              <w:jc w:val="right"/>
              <w:rPr>
                <w:rFonts w:asciiTheme="minorHAnsi" w:hAnsiTheme="minorHAnsi"/>
                <w:sz w:val="21"/>
                <w:szCs w:val="21"/>
                <w:u w:val="single"/>
              </w:rPr>
            </w:pPr>
            <w:r w:rsidRPr="00BA3D71">
              <w:rPr>
                <w:rFonts w:asciiTheme="minorHAnsi" w:hAnsiTheme="minorHAnsi" w:cs="Calibri"/>
                <w:color w:val="000000"/>
                <w:sz w:val="21"/>
                <w:szCs w:val="21"/>
                <w:u w:val="single"/>
                <w:lang w:eastAsia="en-GB"/>
              </w:rPr>
              <w:t>36</w:t>
            </w:r>
          </w:p>
        </w:tc>
        <w:tc>
          <w:tcPr>
            <w:tcW w:w="863" w:type="dxa"/>
            <w:tcBorders>
              <w:top w:val="nil"/>
              <w:left w:val="nil"/>
              <w:bottom w:val="nil"/>
              <w:right w:val="nil"/>
            </w:tcBorders>
            <w:shd w:val="clear" w:color="auto" w:fill="auto"/>
            <w:vAlign w:val="center"/>
            <w:hideMark/>
          </w:tcPr>
          <w:p w14:paraId="19FF5A97" w14:textId="0BBAE43A" w:rsidR="007516D5" w:rsidRPr="00BA3D71" w:rsidRDefault="007516D5" w:rsidP="004E15D2">
            <w:pPr>
              <w:pStyle w:val="Tabletext"/>
              <w:spacing w:before="0" w:after="0"/>
              <w:jc w:val="right"/>
              <w:rPr>
                <w:rFonts w:asciiTheme="minorHAnsi" w:hAnsiTheme="minorHAnsi"/>
                <w:sz w:val="21"/>
                <w:szCs w:val="21"/>
                <w:u w:val="single"/>
              </w:rPr>
            </w:pPr>
            <w:r w:rsidRPr="00BA3D71">
              <w:rPr>
                <w:rFonts w:asciiTheme="minorHAnsi" w:hAnsiTheme="minorHAnsi" w:cs="Calibri"/>
                <w:sz w:val="21"/>
                <w:szCs w:val="21"/>
                <w:u w:val="single"/>
                <w:lang w:eastAsia="en-GB"/>
              </w:rPr>
              <w:t>36</w:t>
            </w:r>
          </w:p>
        </w:tc>
        <w:tc>
          <w:tcPr>
            <w:tcW w:w="863" w:type="dxa"/>
            <w:tcBorders>
              <w:top w:val="nil"/>
              <w:left w:val="nil"/>
              <w:bottom w:val="nil"/>
              <w:right w:val="nil"/>
            </w:tcBorders>
            <w:shd w:val="clear" w:color="auto" w:fill="auto"/>
            <w:vAlign w:val="center"/>
            <w:hideMark/>
          </w:tcPr>
          <w:p w14:paraId="7443147D" w14:textId="693AD6C4" w:rsidR="007516D5" w:rsidRPr="00BA3D71" w:rsidRDefault="007516D5" w:rsidP="004E15D2">
            <w:pPr>
              <w:pStyle w:val="Tabletext"/>
              <w:spacing w:before="0" w:after="0"/>
              <w:jc w:val="right"/>
              <w:rPr>
                <w:rFonts w:asciiTheme="minorHAnsi" w:hAnsiTheme="minorHAnsi"/>
                <w:sz w:val="21"/>
                <w:szCs w:val="21"/>
                <w:u w:val="single"/>
              </w:rPr>
            </w:pPr>
            <w:r w:rsidRPr="00BA3D71">
              <w:rPr>
                <w:rFonts w:asciiTheme="minorHAnsi" w:hAnsiTheme="minorHAnsi" w:cs="Calibri"/>
                <w:sz w:val="21"/>
                <w:szCs w:val="21"/>
                <w:u w:val="single"/>
                <w:lang w:eastAsia="en-GB"/>
              </w:rPr>
              <w:t>36</w:t>
            </w:r>
          </w:p>
        </w:tc>
        <w:tc>
          <w:tcPr>
            <w:tcW w:w="863" w:type="dxa"/>
            <w:tcBorders>
              <w:top w:val="nil"/>
              <w:left w:val="nil"/>
              <w:bottom w:val="nil"/>
              <w:right w:val="nil"/>
            </w:tcBorders>
            <w:shd w:val="clear" w:color="auto" w:fill="auto"/>
            <w:vAlign w:val="center"/>
            <w:hideMark/>
          </w:tcPr>
          <w:p w14:paraId="4C76041C" w14:textId="77D189BE" w:rsidR="007516D5" w:rsidRPr="00BA3D71" w:rsidRDefault="007516D5" w:rsidP="004E15D2">
            <w:pPr>
              <w:pStyle w:val="Tabletext"/>
              <w:spacing w:before="0" w:after="0"/>
              <w:jc w:val="right"/>
              <w:rPr>
                <w:rFonts w:asciiTheme="minorHAnsi" w:hAnsiTheme="minorHAnsi"/>
                <w:sz w:val="21"/>
                <w:szCs w:val="21"/>
                <w:u w:val="single"/>
              </w:rPr>
            </w:pPr>
            <w:r w:rsidRPr="00BA3D71">
              <w:rPr>
                <w:rFonts w:asciiTheme="minorHAnsi" w:hAnsiTheme="minorHAnsi" w:cs="Calibri"/>
                <w:sz w:val="21"/>
                <w:szCs w:val="21"/>
                <w:u w:val="single"/>
                <w:lang w:eastAsia="en-GB"/>
              </w:rPr>
              <w:t>37</w:t>
            </w:r>
          </w:p>
        </w:tc>
        <w:tc>
          <w:tcPr>
            <w:tcW w:w="863" w:type="dxa"/>
            <w:tcBorders>
              <w:top w:val="nil"/>
              <w:left w:val="nil"/>
              <w:bottom w:val="nil"/>
              <w:right w:val="nil"/>
            </w:tcBorders>
            <w:shd w:val="clear" w:color="auto" w:fill="auto"/>
            <w:vAlign w:val="center"/>
            <w:hideMark/>
          </w:tcPr>
          <w:p w14:paraId="66887405" w14:textId="1B5644F5" w:rsidR="007516D5" w:rsidRPr="00BA3D71" w:rsidRDefault="007516D5" w:rsidP="004E15D2">
            <w:pPr>
              <w:pStyle w:val="Tabletext"/>
              <w:spacing w:before="0" w:after="0"/>
              <w:jc w:val="right"/>
              <w:rPr>
                <w:rFonts w:asciiTheme="minorHAnsi" w:hAnsiTheme="minorHAnsi"/>
                <w:sz w:val="21"/>
                <w:szCs w:val="21"/>
                <w:u w:val="single"/>
              </w:rPr>
            </w:pPr>
            <w:r w:rsidRPr="00BA3D71">
              <w:rPr>
                <w:rFonts w:asciiTheme="minorHAnsi" w:hAnsiTheme="minorHAnsi" w:cs="Calibri"/>
                <w:sz w:val="21"/>
                <w:szCs w:val="21"/>
                <w:u w:val="single"/>
                <w:lang w:eastAsia="en-GB"/>
              </w:rPr>
              <w:t>40</w:t>
            </w:r>
          </w:p>
        </w:tc>
        <w:tc>
          <w:tcPr>
            <w:tcW w:w="863" w:type="dxa"/>
            <w:tcBorders>
              <w:top w:val="nil"/>
              <w:left w:val="nil"/>
              <w:bottom w:val="nil"/>
              <w:right w:val="nil"/>
            </w:tcBorders>
            <w:shd w:val="clear" w:color="auto" w:fill="auto"/>
            <w:vAlign w:val="center"/>
            <w:hideMark/>
          </w:tcPr>
          <w:p w14:paraId="1BD7D975" w14:textId="388C9A84" w:rsidR="007516D5" w:rsidRPr="00BA3D71" w:rsidRDefault="007516D5" w:rsidP="004E15D2">
            <w:pPr>
              <w:pStyle w:val="Tabletext"/>
              <w:spacing w:before="0" w:after="0"/>
              <w:jc w:val="right"/>
              <w:rPr>
                <w:rFonts w:asciiTheme="minorHAnsi" w:hAnsiTheme="minorHAnsi"/>
                <w:sz w:val="21"/>
                <w:szCs w:val="21"/>
                <w:u w:val="single"/>
              </w:rPr>
            </w:pPr>
            <w:r w:rsidRPr="00BA3D71">
              <w:rPr>
                <w:rFonts w:asciiTheme="minorHAnsi" w:hAnsiTheme="minorHAnsi" w:cs="Calibri"/>
                <w:sz w:val="21"/>
                <w:szCs w:val="21"/>
                <w:u w:val="single"/>
                <w:lang w:eastAsia="en-GB"/>
              </w:rPr>
              <w:t>41</w:t>
            </w:r>
          </w:p>
        </w:tc>
      </w:tr>
      <w:tr w:rsidR="007516D5" w:rsidRPr="00BA3D71" w14:paraId="74181D8A" w14:textId="77777777" w:rsidTr="00FC1C04">
        <w:trPr>
          <w:trHeight w:val="227"/>
          <w:jc w:val="center"/>
        </w:trPr>
        <w:tc>
          <w:tcPr>
            <w:tcW w:w="2967" w:type="dxa"/>
            <w:tcBorders>
              <w:top w:val="nil"/>
              <w:left w:val="nil"/>
              <w:bottom w:val="nil"/>
              <w:right w:val="nil"/>
            </w:tcBorders>
            <w:shd w:val="clear" w:color="auto" w:fill="auto"/>
            <w:vAlign w:val="center"/>
            <w:hideMark/>
          </w:tcPr>
          <w:p w14:paraId="11A0F338" w14:textId="77777777" w:rsidR="007516D5" w:rsidRPr="00BA3D71" w:rsidRDefault="007516D5" w:rsidP="004E15D2">
            <w:pPr>
              <w:pStyle w:val="Tabletext"/>
              <w:spacing w:before="0" w:after="0"/>
              <w:rPr>
                <w:rFonts w:asciiTheme="minorHAnsi" w:hAnsiTheme="minorHAnsi"/>
                <w:sz w:val="16"/>
                <w:szCs w:val="16"/>
                <w:u w:val="single"/>
                <w:lang w:eastAsia="zh-CN"/>
              </w:rPr>
            </w:pPr>
          </w:p>
        </w:tc>
        <w:tc>
          <w:tcPr>
            <w:tcW w:w="861" w:type="dxa"/>
            <w:tcBorders>
              <w:top w:val="nil"/>
              <w:left w:val="nil"/>
              <w:bottom w:val="nil"/>
              <w:right w:val="nil"/>
            </w:tcBorders>
            <w:shd w:val="clear" w:color="auto" w:fill="auto"/>
            <w:vAlign w:val="center"/>
            <w:hideMark/>
          </w:tcPr>
          <w:p w14:paraId="669F6B1B" w14:textId="77777777" w:rsidR="007516D5" w:rsidRPr="00BA3D71" w:rsidRDefault="007516D5" w:rsidP="004E15D2">
            <w:pPr>
              <w:pStyle w:val="Tabletext"/>
              <w:spacing w:before="0" w:after="0"/>
              <w:jc w:val="right"/>
              <w:rPr>
                <w:rFonts w:asciiTheme="minorHAnsi" w:hAnsiTheme="minorHAnsi"/>
                <w:sz w:val="16"/>
                <w:szCs w:val="16"/>
              </w:rPr>
            </w:pPr>
          </w:p>
        </w:tc>
        <w:tc>
          <w:tcPr>
            <w:tcW w:w="861" w:type="dxa"/>
            <w:tcBorders>
              <w:top w:val="nil"/>
              <w:left w:val="nil"/>
              <w:bottom w:val="nil"/>
              <w:right w:val="nil"/>
            </w:tcBorders>
            <w:shd w:val="clear" w:color="auto" w:fill="auto"/>
            <w:vAlign w:val="center"/>
            <w:hideMark/>
          </w:tcPr>
          <w:p w14:paraId="0CDCDAC1" w14:textId="77777777" w:rsidR="007516D5" w:rsidRPr="00BA3D71" w:rsidRDefault="007516D5" w:rsidP="004E15D2">
            <w:pPr>
              <w:pStyle w:val="Tabletext"/>
              <w:spacing w:before="0" w:after="0"/>
              <w:jc w:val="right"/>
              <w:rPr>
                <w:rFonts w:asciiTheme="minorHAnsi" w:hAnsiTheme="minorHAnsi"/>
                <w:sz w:val="16"/>
                <w:szCs w:val="16"/>
              </w:rPr>
            </w:pPr>
          </w:p>
        </w:tc>
        <w:tc>
          <w:tcPr>
            <w:tcW w:w="862" w:type="dxa"/>
            <w:tcBorders>
              <w:top w:val="nil"/>
              <w:left w:val="nil"/>
              <w:bottom w:val="nil"/>
              <w:right w:val="nil"/>
            </w:tcBorders>
            <w:shd w:val="clear" w:color="auto" w:fill="auto"/>
            <w:vAlign w:val="center"/>
            <w:hideMark/>
          </w:tcPr>
          <w:p w14:paraId="0FC0DFD4" w14:textId="77777777" w:rsidR="007516D5" w:rsidRPr="00BA3D71" w:rsidRDefault="007516D5"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755786F4" w14:textId="77777777" w:rsidR="007516D5" w:rsidRPr="00BA3D71" w:rsidRDefault="007516D5"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39E12EA9" w14:textId="77777777" w:rsidR="007516D5" w:rsidRPr="00BA3D71" w:rsidRDefault="007516D5"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0EC7D227" w14:textId="77777777" w:rsidR="007516D5" w:rsidRPr="00BA3D71" w:rsidRDefault="007516D5"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22D5E3F5" w14:textId="77777777" w:rsidR="007516D5" w:rsidRPr="00BA3D71" w:rsidRDefault="007516D5"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0296F3EB" w14:textId="77777777" w:rsidR="007516D5" w:rsidRPr="00BA3D71" w:rsidRDefault="007516D5" w:rsidP="004E15D2">
            <w:pPr>
              <w:pStyle w:val="Tabletext"/>
              <w:spacing w:before="0" w:after="0"/>
              <w:jc w:val="right"/>
              <w:rPr>
                <w:rFonts w:asciiTheme="minorHAnsi" w:hAnsiTheme="minorHAnsi"/>
                <w:sz w:val="16"/>
                <w:szCs w:val="16"/>
              </w:rPr>
            </w:pPr>
          </w:p>
        </w:tc>
      </w:tr>
      <w:tr w:rsidR="007516D5" w:rsidRPr="00BA3D71" w14:paraId="61C5131C"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5C32268D" w14:textId="77777777" w:rsidR="007516D5" w:rsidRPr="00BA3D71" w:rsidRDefault="007516D5" w:rsidP="004E15D2">
            <w:pPr>
              <w:pStyle w:val="Tabletext"/>
              <w:spacing w:before="0" w:after="0"/>
              <w:rPr>
                <w:rFonts w:asciiTheme="minorHAnsi" w:hAnsiTheme="minorHAnsi"/>
                <w:sz w:val="21"/>
                <w:szCs w:val="21"/>
                <w:lang w:eastAsia="zh-CN"/>
              </w:rPr>
            </w:pPr>
            <w:r w:rsidRPr="00BA3D71">
              <w:rPr>
                <w:rFonts w:asciiTheme="minorHAnsi" w:hAnsiTheme="minorHAnsi"/>
                <w:sz w:val="21"/>
                <w:szCs w:val="21"/>
                <w:lang w:eastAsia="zh-CN"/>
              </w:rPr>
              <w:t>Total</w:t>
            </w:r>
          </w:p>
        </w:tc>
        <w:tc>
          <w:tcPr>
            <w:tcW w:w="861" w:type="dxa"/>
            <w:tcBorders>
              <w:top w:val="nil"/>
              <w:left w:val="nil"/>
              <w:bottom w:val="nil"/>
              <w:right w:val="nil"/>
            </w:tcBorders>
            <w:shd w:val="clear" w:color="auto" w:fill="auto"/>
            <w:vAlign w:val="center"/>
            <w:hideMark/>
          </w:tcPr>
          <w:p w14:paraId="0AFDE3E4" w14:textId="78199ECA"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color w:val="000000"/>
                <w:sz w:val="21"/>
                <w:szCs w:val="21"/>
                <w:lang w:eastAsia="en-GB"/>
              </w:rPr>
              <w:t>10 591</w:t>
            </w:r>
          </w:p>
        </w:tc>
        <w:tc>
          <w:tcPr>
            <w:tcW w:w="861" w:type="dxa"/>
            <w:tcBorders>
              <w:top w:val="nil"/>
              <w:left w:val="nil"/>
              <w:bottom w:val="nil"/>
              <w:right w:val="nil"/>
            </w:tcBorders>
            <w:shd w:val="clear" w:color="auto" w:fill="auto"/>
            <w:vAlign w:val="center"/>
            <w:hideMark/>
          </w:tcPr>
          <w:p w14:paraId="491C4E2F" w14:textId="7A923134"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color w:val="000000"/>
                <w:sz w:val="21"/>
                <w:szCs w:val="21"/>
                <w:lang w:eastAsia="en-GB"/>
              </w:rPr>
              <w:t>10 190</w:t>
            </w:r>
          </w:p>
        </w:tc>
        <w:tc>
          <w:tcPr>
            <w:tcW w:w="862" w:type="dxa"/>
            <w:tcBorders>
              <w:top w:val="nil"/>
              <w:left w:val="nil"/>
              <w:bottom w:val="nil"/>
              <w:right w:val="nil"/>
            </w:tcBorders>
            <w:shd w:val="clear" w:color="auto" w:fill="auto"/>
            <w:vAlign w:val="center"/>
            <w:hideMark/>
          </w:tcPr>
          <w:p w14:paraId="5DF04F4B" w14:textId="40B5CE0D"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color w:val="000000"/>
                <w:sz w:val="21"/>
                <w:szCs w:val="21"/>
                <w:lang w:eastAsia="en-GB"/>
              </w:rPr>
              <w:t>7 861</w:t>
            </w:r>
          </w:p>
        </w:tc>
        <w:tc>
          <w:tcPr>
            <w:tcW w:w="863" w:type="dxa"/>
            <w:tcBorders>
              <w:top w:val="nil"/>
              <w:left w:val="nil"/>
              <w:bottom w:val="nil"/>
              <w:right w:val="nil"/>
            </w:tcBorders>
            <w:shd w:val="clear" w:color="auto" w:fill="auto"/>
            <w:vAlign w:val="center"/>
            <w:hideMark/>
          </w:tcPr>
          <w:p w14:paraId="671ED180" w14:textId="5B1DE5CD"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sz w:val="21"/>
                <w:szCs w:val="21"/>
                <w:lang w:eastAsia="en-GB"/>
              </w:rPr>
              <w:t>8 486</w:t>
            </w:r>
          </w:p>
        </w:tc>
        <w:tc>
          <w:tcPr>
            <w:tcW w:w="863" w:type="dxa"/>
            <w:tcBorders>
              <w:top w:val="nil"/>
              <w:left w:val="nil"/>
              <w:bottom w:val="nil"/>
              <w:right w:val="nil"/>
            </w:tcBorders>
            <w:shd w:val="clear" w:color="auto" w:fill="auto"/>
            <w:vAlign w:val="center"/>
            <w:hideMark/>
          </w:tcPr>
          <w:p w14:paraId="245812DD" w14:textId="6DDCCF49"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sz w:val="21"/>
                <w:szCs w:val="21"/>
                <w:lang w:eastAsia="en-GB"/>
              </w:rPr>
              <w:t>10 106</w:t>
            </w:r>
          </w:p>
        </w:tc>
        <w:tc>
          <w:tcPr>
            <w:tcW w:w="863" w:type="dxa"/>
            <w:tcBorders>
              <w:top w:val="nil"/>
              <w:left w:val="nil"/>
              <w:bottom w:val="nil"/>
              <w:right w:val="nil"/>
            </w:tcBorders>
            <w:shd w:val="clear" w:color="auto" w:fill="auto"/>
            <w:vAlign w:val="center"/>
            <w:hideMark/>
          </w:tcPr>
          <w:p w14:paraId="61D86952" w14:textId="375071AE"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sz w:val="21"/>
                <w:szCs w:val="21"/>
                <w:lang w:eastAsia="en-GB"/>
              </w:rPr>
              <w:t>9 676</w:t>
            </w:r>
          </w:p>
        </w:tc>
        <w:tc>
          <w:tcPr>
            <w:tcW w:w="863" w:type="dxa"/>
            <w:tcBorders>
              <w:top w:val="nil"/>
              <w:left w:val="nil"/>
              <w:bottom w:val="nil"/>
              <w:right w:val="nil"/>
            </w:tcBorders>
            <w:shd w:val="clear" w:color="auto" w:fill="auto"/>
            <w:vAlign w:val="center"/>
            <w:hideMark/>
          </w:tcPr>
          <w:p w14:paraId="464D621B" w14:textId="5C396175"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sz w:val="21"/>
                <w:szCs w:val="21"/>
                <w:lang w:eastAsia="en-GB"/>
              </w:rPr>
              <w:t>8 723</w:t>
            </w:r>
          </w:p>
        </w:tc>
        <w:tc>
          <w:tcPr>
            <w:tcW w:w="863" w:type="dxa"/>
            <w:tcBorders>
              <w:top w:val="nil"/>
              <w:left w:val="nil"/>
              <w:bottom w:val="nil"/>
              <w:right w:val="nil"/>
            </w:tcBorders>
            <w:shd w:val="clear" w:color="auto" w:fill="auto"/>
            <w:vAlign w:val="center"/>
            <w:hideMark/>
          </w:tcPr>
          <w:p w14:paraId="21B96E31" w14:textId="20B7F256"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sz w:val="21"/>
                <w:szCs w:val="21"/>
                <w:lang w:eastAsia="en-GB"/>
              </w:rPr>
              <w:t>9 006</w:t>
            </w:r>
          </w:p>
        </w:tc>
      </w:tr>
      <w:tr w:rsidR="007516D5" w:rsidRPr="00BA3D71" w14:paraId="481BA912"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607AF3AF" w14:textId="77777777" w:rsidR="007516D5" w:rsidRPr="00BA3D71" w:rsidRDefault="007516D5" w:rsidP="004E15D2">
            <w:pPr>
              <w:pStyle w:val="Tabletext"/>
              <w:spacing w:before="0" w:after="0"/>
              <w:rPr>
                <w:rFonts w:asciiTheme="minorHAnsi" w:hAnsiTheme="minorHAnsi"/>
                <w:sz w:val="21"/>
                <w:szCs w:val="21"/>
                <w:lang w:eastAsia="zh-CN"/>
              </w:rPr>
            </w:pPr>
          </w:p>
        </w:tc>
        <w:tc>
          <w:tcPr>
            <w:tcW w:w="861" w:type="dxa"/>
            <w:tcBorders>
              <w:top w:val="nil"/>
              <w:left w:val="nil"/>
              <w:bottom w:val="nil"/>
              <w:right w:val="nil"/>
            </w:tcBorders>
            <w:shd w:val="clear" w:color="auto" w:fill="auto"/>
            <w:vAlign w:val="center"/>
            <w:hideMark/>
          </w:tcPr>
          <w:p w14:paraId="67E36A98" w14:textId="77777777" w:rsidR="007516D5" w:rsidRPr="00BA3D71" w:rsidRDefault="007516D5" w:rsidP="004E15D2">
            <w:pPr>
              <w:pStyle w:val="Tabletext"/>
              <w:spacing w:before="0" w:after="0"/>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1A7D4A3F" w14:textId="77777777" w:rsidR="007516D5" w:rsidRPr="00BA3D71" w:rsidRDefault="007516D5" w:rsidP="004E15D2">
            <w:pPr>
              <w:pStyle w:val="Tabletext"/>
              <w:spacing w:before="0" w:after="0"/>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5396247C" w14:textId="77777777" w:rsidR="007516D5" w:rsidRPr="00BA3D71"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42027B78" w14:textId="77777777" w:rsidR="007516D5" w:rsidRPr="00BA3D71"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74477CF0" w14:textId="77777777" w:rsidR="007516D5" w:rsidRPr="00BA3D71"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7590F4ED" w14:textId="77777777" w:rsidR="007516D5" w:rsidRPr="00BA3D71"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55111E1C" w14:textId="77777777" w:rsidR="007516D5" w:rsidRPr="00BA3D71"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CBCF550" w14:textId="77777777" w:rsidR="007516D5" w:rsidRPr="00BA3D71" w:rsidRDefault="007516D5" w:rsidP="004E15D2">
            <w:pPr>
              <w:pStyle w:val="Tabletext"/>
              <w:spacing w:before="0" w:after="0"/>
              <w:rPr>
                <w:rFonts w:asciiTheme="minorHAnsi" w:hAnsiTheme="minorHAnsi"/>
                <w:sz w:val="21"/>
                <w:szCs w:val="21"/>
              </w:rPr>
            </w:pPr>
          </w:p>
        </w:tc>
      </w:tr>
      <w:tr w:rsidR="007516D5" w:rsidRPr="00BA3D71" w14:paraId="7BCAD0BE" w14:textId="77777777" w:rsidTr="00116E6C">
        <w:trPr>
          <w:trHeight w:val="570"/>
          <w:jc w:val="center"/>
        </w:trPr>
        <w:tc>
          <w:tcPr>
            <w:tcW w:w="2967" w:type="dxa"/>
            <w:tcBorders>
              <w:top w:val="nil"/>
              <w:left w:val="nil"/>
              <w:bottom w:val="nil"/>
              <w:right w:val="nil"/>
            </w:tcBorders>
            <w:shd w:val="clear" w:color="auto" w:fill="auto"/>
            <w:noWrap/>
            <w:vAlign w:val="center"/>
            <w:hideMark/>
          </w:tcPr>
          <w:p w14:paraId="6831FB6B" w14:textId="77777777" w:rsidR="007516D5" w:rsidRPr="00BA3D71" w:rsidRDefault="007516D5" w:rsidP="004E15D2">
            <w:pPr>
              <w:pStyle w:val="Tabletext"/>
              <w:spacing w:before="0" w:after="0"/>
              <w:rPr>
                <w:rFonts w:asciiTheme="minorHAnsi" w:hAnsiTheme="minorHAnsi"/>
                <w:b/>
                <w:bCs/>
                <w:sz w:val="21"/>
                <w:szCs w:val="21"/>
                <w:lang w:eastAsia="zh-CN"/>
              </w:rPr>
            </w:pPr>
            <w:r w:rsidRPr="00BA3D71">
              <w:rPr>
                <w:rFonts w:asciiTheme="minorHAnsi" w:hAnsiTheme="minorHAnsi"/>
                <w:b/>
                <w:bCs/>
                <w:sz w:val="21"/>
                <w:szCs w:val="21"/>
                <w:lang w:eastAsia="zh-CN"/>
              </w:rPr>
              <w:t xml:space="preserve">Membres des Secteurs </w:t>
            </w:r>
            <w:r w:rsidRPr="00BA3D71">
              <w:rPr>
                <w:rFonts w:asciiTheme="minorHAnsi" w:hAnsiTheme="minorHAnsi"/>
                <w:b/>
                <w:bCs/>
                <w:sz w:val="21"/>
                <w:szCs w:val="21"/>
                <w:lang w:eastAsia="zh-CN"/>
              </w:rPr>
              <w:br/>
              <w:t>et autres</w:t>
            </w:r>
          </w:p>
        </w:tc>
        <w:tc>
          <w:tcPr>
            <w:tcW w:w="861" w:type="dxa"/>
            <w:tcBorders>
              <w:top w:val="nil"/>
              <w:left w:val="nil"/>
              <w:bottom w:val="nil"/>
              <w:right w:val="nil"/>
            </w:tcBorders>
            <w:shd w:val="clear" w:color="auto" w:fill="auto"/>
            <w:vAlign w:val="center"/>
            <w:hideMark/>
          </w:tcPr>
          <w:p w14:paraId="60871694" w14:textId="77777777" w:rsidR="007516D5" w:rsidRPr="00BA3D71" w:rsidRDefault="007516D5" w:rsidP="004E15D2">
            <w:pPr>
              <w:pStyle w:val="Tabletext"/>
              <w:spacing w:before="0" w:after="0"/>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397A1C62" w14:textId="77777777" w:rsidR="007516D5" w:rsidRPr="00BA3D71" w:rsidRDefault="007516D5" w:rsidP="004E15D2">
            <w:pPr>
              <w:pStyle w:val="Tabletext"/>
              <w:spacing w:before="0" w:after="0"/>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1C9FB5AB" w14:textId="77777777" w:rsidR="007516D5" w:rsidRPr="00BA3D71"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36092156" w14:textId="77777777" w:rsidR="007516D5" w:rsidRPr="00BA3D71"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1750AD45" w14:textId="77777777" w:rsidR="007516D5" w:rsidRPr="00BA3D71"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D13FF6B" w14:textId="77777777" w:rsidR="007516D5" w:rsidRPr="00BA3D71"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533A6D0F" w14:textId="77777777" w:rsidR="007516D5" w:rsidRPr="00BA3D71"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376B357" w14:textId="77777777" w:rsidR="007516D5" w:rsidRPr="00BA3D71" w:rsidRDefault="007516D5" w:rsidP="004E15D2">
            <w:pPr>
              <w:pStyle w:val="Tabletext"/>
              <w:spacing w:before="0" w:after="0"/>
              <w:rPr>
                <w:rFonts w:asciiTheme="minorHAnsi" w:hAnsiTheme="minorHAnsi"/>
                <w:sz w:val="21"/>
                <w:szCs w:val="21"/>
              </w:rPr>
            </w:pPr>
          </w:p>
        </w:tc>
      </w:tr>
      <w:tr w:rsidR="007516D5" w:rsidRPr="00BA3D71" w14:paraId="4C0E9131"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2EB6F572" w14:textId="77777777" w:rsidR="007516D5" w:rsidRPr="00BA3D71" w:rsidRDefault="007516D5" w:rsidP="004E15D2">
            <w:pPr>
              <w:pStyle w:val="Tabletext"/>
              <w:spacing w:before="0" w:after="0"/>
              <w:rPr>
                <w:rFonts w:asciiTheme="minorHAnsi" w:hAnsiTheme="minorHAnsi"/>
                <w:sz w:val="21"/>
                <w:szCs w:val="21"/>
                <w:lang w:eastAsia="zh-CN"/>
              </w:rPr>
            </w:pPr>
          </w:p>
        </w:tc>
        <w:tc>
          <w:tcPr>
            <w:tcW w:w="861" w:type="dxa"/>
            <w:tcBorders>
              <w:top w:val="nil"/>
              <w:left w:val="nil"/>
              <w:bottom w:val="nil"/>
              <w:right w:val="nil"/>
            </w:tcBorders>
            <w:shd w:val="clear" w:color="auto" w:fill="auto"/>
            <w:vAlign w:val="center"/>
            <w:hideMark/>
          </w:tcPr>
          <w:p w14:paraId="3BF2E9F6" w14:textId="77777777" w:rsidR="007516D5" w:rsidRPr="00BA3D71" w:rsidRDefault="007516D5" w:rsidP="004E15D2">
            <w:pPr>
              <w:pStyle w:val="Tabletext"/>
              <w:spacing w:before="0" w:after="0"/>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71064A25" w14:textId="77777777" w:rsidR="007516D5" w:rsidRPr="00BA3D71" w:rsidRDefault="007516D5" w:rsidP="004E15D2">
            <w:pPr>
              <w:pStyle w:val="Tabletext"/>
              <w:spacing w:before="0" w:after="0"/>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19576E19" w14:textId="77777777" w:rsidR="007516D5" w:rsidRPr="00BA3D71"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4A2763E9" w14:textId="77777777" w:rsidR="007516D5" w:rsidRPr="00BA3D71"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6430CFA3" w14:textId="77777777" w:rsidR="007516D5" w:rsidRPr="00BA3D71"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3F9A92EE" w14:textId="77777777" w:rsidR="007516D5" w:rsidRPr="00BA3D71"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280391D3" w14:textId="77777777" w:rsidR="007516D5" w:rsidRPr="00BA3D71"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2BFE0B91" w14:textId="77777777" w:rsidR="007516D5" w:rsidRPr="00BA3D71" w:rsidRDefault="007516D5" w:rsidP="004E15D2">
            <w:pPr>
              <w:pStyle w:val="Tabletext"/>
              <w:spacing w:before="0" w:after="0"/>
              <w:rPr>
                <w:rFonts w:asciiTheme="minorHAnsi" w:hAnsiTheme="minorHAnsi"/>
                <w:sz w:val="21"/>
                <w:szCs w:val="21"/>
              </w:rPr>
            </w:pPr>
          </w:p>
        </w:tc>
      </w:tr>
      <w:tr w:rsidR="007516D5" w:rsidRPr="00BA3D71" w14:paraId="1E64F132"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65E4E4A2" w14:textId="77777777" w:rsidR="007516D5" w:rsidRPr="00BA3D71" w:rsidRDefault="007516D5" w:rsidP="004E15D2">
            <w:pPr>
              <w:pStyle w:val="Tabletext"/>
              <w:spacing w:before="0" w:after="0"/>
              <w:rPr>
                <w:rFonts w:asciiTheme="minorHAnsi" w:hAnsiTheme="minorHAnsi"/>
                <w:sz w:val="21"/>
                <w:szCs w:val="21"/>
                <w:lang w:eastAsia="zh-CN"/>
              </w:rPr>
            </w:pPr>
            <w:r w:rsidRPr="00BA3D71">
              <w:rPr>
                <w:rFonts w:asciiTheme="minorHAnsi" w:hAnsiTheme="minorHAnsi"/>
                <w:sz w:val="21"/>
                <w:szCs w:val="21"/>
                <w:lang w:eastAsia="zh-CN"/>
              </w:rPr>
              <w:t>Contributions</w:t>
            </w:r>
          </w:p>
        </w:tc>
        <w:tc>
          <w:tcPr>
            <w:tcW w:w="861" w:type="dxa"/>
            <w:tcBorders>
              <w:top w:val="nil"/>
              <w:left w:val="nil"/>
              <w:bottom w:val="nil"/>
              <w:right w:val="nil"/>
            </w:tcBorders>
            <w:shd w:val="clear" w:color="auto" w:fill="auto"/>
            <w:vAlign w:val="center"/>
            <w:hideMark/>
          </w:tcPr>
          <w:p w14:paraId="192400E8" w14:textId="3B7082DA"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color w:val="000000"/>
                <w:sz w:val="21"/>
                <w:szCs w:val="21"/>
                <w:lang w:eastAsia="en-GB"/>
              </w:rPr>
              <w:t>17 758</w:t>
            </w:r>
          </w:p>
        </w:tc>
        <w:tc>
          <w:tcPr>
            <w:tcW w:w="861" w:type="dxa"/>
            <w:tcBorders>
              <w:top w:val="nil"/>
              <w:left w:val="nil"/>
              <w:bottom w:val="nil"/>
              <w:right w:val="nil"/>
            </w:tcBorders>
            <w:shd w:val="clear" w:color="auto" w:fill="auto"/>
            <w:vAlign w:val="center"/>
            <w:hideMark/>
          </w:tcPr>
          <w:p w14:paraId="154386E5" w14:textId="7586065D"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color w:val="000000"/>
                <w:sz w:val="21"/>
                <w:szCs w:val="21"/>
                <w:lang w:eastAsia="en-GB"/>
              </w:rPr>
              <w:t>16 484</w:t>
            </w:r>
          </w:p>
        </w:tc>
        <w:tc>
          <w:tcPr>
            <w:tcW w:w="862" w:type="dxa"/>
            <w:tcBorders>
              <w:top w:val="nil"/>
              <w:left w:val="nil"/>
              <w:bottom w:val="nil"/>
              <w:right w:val="nil"/>
            </w:tcBorders>
            <w:shd w:val="clear" w:color="auto" w:fill="auto"/>
            <w:vAlign w:val="center"/>
            <w:hideMark/>
          </w:tcPr>
          <w:p w14:paraId="5A9AC506" w14:textId="25BC890E"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color w:val="000000"/>
                <w:sz w:val="21"/>
                <w:szCs w:val="21"/>
                <w:lang w:eastAsia="en-GB"/>
              </w:rPr>
              <w:t>16 729</w:t>
            </w:r>
          </w:p>
        </w:tc>
        <w:tc>
          <w:tcPr>
            <w:tcW w:w="863" w:type="dxa"/>
            <w:tcBorders>
              <w:top w:val="nil"/>
              <w:left w:val="nil"/>
              <w:bottom w:val="nil"/>
              <w:right w:val="nil"/>
            </w:tcBorders>
            <w:shd w:val="clear" w:color="auto" w:fill="auto"/>
            <w:vAlign w:val="center"/>
            <w:hideMark/>
          </w:tcPr>
          <w:p w14:paraId="7E855C1B" w14:textId="2FB13C8A"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sz w:val="21"/>
                <w:szCs w:val="21"/>
                <w:lang w:eastAsia="en-GB"/>
              </w:rPr>
              <w:t>16 300</w:t>
            </w:r>
          </w:p>
        </w:tc>
        <w:tc>
          <w:tcPr>
            <w:tcW w:w="863" w:type="dxa"/>
            <w:tcBorders>
              <w:top w:val="nil"/>
              <w:left w:val="nil"/>
              <w:bottom w:val="nil"/>
              <w:right w:val="nil"/>
            </w:tcBorders>
            <w:shd w:val="clear" w:color="auto" w:fill="auto"/>
            <w:vAlign w:val="center"/>
            <w:hideMark/>
          </w:tcPr>
          <w:p w14:paraId="5D2B6B59" w14:textId="7E8278C6"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sz w:val="21"/>
                <w:szCs w:val="21"/>
                <w:lang w:eastAsia="en-GB"/>
              </w:rPr>
              <w:t>15 367</w:t>
            </w:r>
          </w:p>
        </w:tc>
        <w:tc>
          <w:tcPr>
            <w:tcW w:w="863" w:type="dxa"/>
            <w:tcBorders>
              <w:top w:val="nil"/>
              <w:left w:val="nil"/>
              <w:bottom w:val="nil"/>
              <w:right w:val="nil"/>
            </w:tcBorders>
            <w:shd w:val="clear" w:color="auto" w:fill="auto"/>
            <w:vAlign w:val="center"/>
            <w:hideMark/>
          </w:tcPr>
          <w:p w14:paraId="65C212C4" w14:textId="7E0E7EED"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sz w:val="21"/>
                <w:szCs w:val="21"/>
                <w:lang w:eastAsia="en-GB"/>
              </w:rPr>
              <w:t>13 938</w:t>
            </w:r>
          </w:p>
        </w:tc>
        <w:tc>
          <w:tcPr>
            <w:tcW w:w="863" w:type="dxa"/>
            <w:tcBorders>
              <w:top w:val="nil"/>
              <w:left w:val="nil"/>
              <w:bottom w:val="nil"/>
              <w:right w:val="nil"/>
            </w:tcBorders>
            <w:shd w:val="clear" w:color="auto" w:fill="auto"/>
            <w:vAlign w:val="center"/>
            <w:hideMark/>
          </w:tcPr>
          <w:p w14:paraId="6156D672" w14:textId="5C3BCECA"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sz w:val="21"/>
                <w:szCs w:val="21"/>
                <w:lang w:eastAsia="en-GB"/>
              </w:rPr>
              <w:t>11 213</w:t>
            </w:r>
          </w:p>
        </w:tc>
        <w:tc>
          <w:tcPr>
            <w:tcW w:w="863" w:type="dxa"/>
            <w:tcBorders>
              <w:top w:val="nil"/>
              <w:left w:val="nil"/>
              <w:bottom w:val="nil"/>
              <w:right w:val="nil"/>
            </w:tcBorders>
            <w:shd w:val="clear" w:color="auto" w:fill="auto"/>
            <w:vAlign w:val="center"/>
            <w:hideMark/>
          </w:tcPr>
          <w:p w14:paraId="5B6DCD2C" w14:textId="2666E63B"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sz w:val="21"/>
                <w:szCs w:val="21"/>
                <w:lang w:eastAsia="en-GB"/>
              </w:rPr>
              <w:t>11 193</w:t>
            </w:r>
          </w:p>
        </w:tc>
      </w:tr>
      <w:tr w:rsidR="007516D5" w:rsidRPr="00BA3D71" w14:paraId="654271F9"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2185C755" w14:textId="77777777" w:rsidR="007516D5" w:rsidRPr="00BA3D71" w:rsidRDefault="007516D5" w:rsidP="004E15D2">
            <w:pPr>
              <w:pStyle w:val="Tabletext"/>
              <w:spacing w:before="0" w:after="0"/>
              <w:rPr>
                <w:rFonts w:asciiTheme="minorHAnsi" w:hAnsiTheme="minorHAnsi"/>
                <w:sz w:val="21"/>
                <w:szCs w:val="21"/>
                <w:lang w:eastAsia="zh-CN"/>
              </w:rPr>
            </w:pPr>
          </w:p>
        </w:tc>
        <w:tc>
          <w:tcPr>
            <w:tcW w:w="861" w:type="dxa"/>
            <w:tcBorders>
              <w:top w:val="nil"/>
              <w:left w:val="nil"/>
              <w:bottom w:val="nil"/>
              <w:right w:val="nil"/>
            </w:tcBorders>
            <w:shd w:val="clear" w:color="auto" w:fill="auto"/>
            <w:vAlign w:val="center"/>
            <w:hideMark/>
          </w:tcPr>
          <w:p w14:paraId="243CDC40" w14:textId="77777777" w:rsidR="007516D5" w:rsidRPr="00BA3D71" w:rsidRDefault="007516D5" w:rsidP="004E15D2">
            <w:pPr>
              <w:pStyle w:val="Tabletext"/>
              <w:spacing w:before="0" w:after="0"/>
              <w:jc w:val="right"/>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4DDA4AF5" w14:textId="77777777" w:rsidR="007516D5" w:rsidRPr="00BA3D71" w:rsidRDefault="007516D5" w:rsidP="004E15D2">
            <w:pPr>
              <w:pStyle w:val="Tabletext"/>
              <w:spacing w:before="0" w:after="0"/>
              <w:jc w:val="right"/>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4A7A6C53"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559A8564"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23FC33FB"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1D62F82E"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78D7C7F0"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91E2A1E" w14:textId="77777777" w:rsidR="007516D5" w:rsidRPr="00BA3D71" w:rsidRDefault="007516D5" w:rsidP="004E15D2">
            <w:pPr>
              <w:pStyle w:val="Tabletext"/>
              <w:spacing w:before="0" w:after="0"/>
              <w:jc w:val="right"/>
              <w:rPr>
                <w:rFonts w:asciiTheme="minorHAnsi" w:hAnsiTheme="minorHAnsi"/>
                <w:sz w:val="21"/>
                <w:szCs w:val="21"/>
              </w:rPr>
            </w:pPr>
          </w:p>
        </w:tc>
      </w:tr>
      <w:tr w:rsidR="007516D5" w:rsidRPr="00BA3D71" w14:paraId="5932B4C0"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411B5CAF" w14:textId="77777777" w:rsidR="007516D5" w:rsidRPr="00BA3D71" w:rsidRDefault="007516D5" w:rsidP="004E15D2">
            <w:pPr>
              <w:pStyle w:val="Tabletext"/>
              <w:spacing w:before="0" w:after="0"/>
              <w:rPr>
                <w:rFonts w:asciiTheme="minorHAnsi" w:hAnsiTheme="minorHAnsi"/>
                <w:sz w:val="21"/>
                <w:szCs w:val="21"/>
                <w:lang w:eastAsia="zh-CN"/>
              </w:rPr>
            </w:pPr>
            <w:r w:rsidRPr="00BA3D71">
              <w:rPr>
                <w:rFonts w:asciiTheme="minorHAnsi" w:hAnsiTheme="minorHAnsi"/>
                <w:sz w:val="21"/>
                <w:szCs w:val="21"/>
                <w:lang w:eastAsia="zh-CN"/>
              </w:rPr>
              <w:t>Publications</w:t>
            </w:r>
          </w:p>
        </w:tc>
        <w:tc>
          <w:tcPr>
            <w:tcW w:w="861" w:type="dxa"/>
            <w:tcBorders>
              <w:top w:val="nil"/>
              <w:left w:val="nil"/>
              <w:bottom w:val="nil"/>
              <w:right w:val="nil"/>
            </w:tcBorders>
            <w:shd w:val="clear" w:color="auto" w:fill="auto"/>
            <w:vAlign w:val="center"/>
            <w:hideMark/>
          </w:tcPr>
          <w:p w14:paraId="51BF8FBF" w14:textId="698F63F1" w:rsidR="007516D5" w:rsidRPr="00BA3D71" w:rsidRDefault="007516D5" w:rsidP="004E15D2">
            <w:pPr>
              <w:pStyle w:val="Tabletext"/>
              <w:spacing w:before="0" w:after="0"/>
              <w:jc w:val="right"/>
              <w:rPr>
                <w:rFonts w:asciiTheme="minorHAnsi" w:hAnsiTheme="minorHAnsi"/>
                <w:sz w:val="21"/>
                <w:szCs w:val="21"/>
                <w:u w:val="single"/>
              </w:rPr>
            </w:pPr>
            <w:r w:rsidRPr="00BA3D71">
              <w:rPr>
                <w:rFonts w:asciiTheme="minorHAnsi" w:hAnsiTheme="minorHAnsi" w:cs="Calibri"/>
                <w:color w:val="000000"/>
                <w:sz w:val="21"/>
                <w:szCs w:val="21"/>
                <w:u w:val="single"/>
                <w:lang w:eastAsia="en-GB"/>
              </w:rPr>
              <w:t>4</w:t>
            </w:r>
          </w:p>
        </w:tc>
        <w:tc>
          <w:tcPr>
            <w:tcW w:w="861" w:type="dxa"/>
            <w:tcBorders>
              <w:top w:val="nil"/>
              <w:left w:val="nil"/>
              <w:bottom w:val="nil"/>
              <w:right w:val="nil"/>
            </w:tcBorders>
            <w:shd w:val="clear" w:color="auto" w:fill="auto"/>
            <w:vAlign w:val="center"/>
            <w:hideMark/>
          </w:tcPr>
          <w:p w14:paraId="3CFA7AFD" w14:textId="60D2C398" w:rsidR="007516D5" w:rsidRPr="00BA3D71" w:rsidRDefault="007516D5" w:rsidP="004E15D2">
            <w:pPr>
              <w:pStyle w:val="Tabletext"/>
              <w:spacing w:before="0" w:after="0"/>
              <w:jc w:val="right"/>
              <w:rPr>
                <w:rFonts w:asciiTheme="minorHAnsi" w:hAnsiTheme="minorHAnsi"/>
                <w:sz w:val="21"/>
                <w:szCs w:val="21"/>
                <w:u w:val="single"/>
              </w:rPr>
            </w:pPr>
            <w:r w:rsidRPr="00BA3D71">
              <w:rPr>
                <w:rFonts w:asciiTheme="minorHAnsi" w:hAnsiTheme="minorHAnsi" w:cs="Calibri"/>
                <w:color w:val="000000"/>
                <w:sz w:val="21"/>
                <w:szCs w:val="21"/>
                <w:u w:val="single"/>
                <w:lang w:eastAsia="en-GB"/>
              </w:rPr>
              <w:t>5</w:t>
            </w:r>
          </w:p>
        </w:tc>
        <w:tc>
          <w:tcPr>
            <w:tcW w:w="862" w:type="dxa"/>
            <w:tcBorders>
              <w:top w:val="nil"/>
              <w:left w:val="nil"/>
              <w:bottom w:val="nil"/>
              <w:right w:val="nil"/>
            </w:tcBorders>
            <w:shd w:val="clear" w:color="auto" w:fill="auto"/>
            <w:vAlign w:val="center"/>
            <w:hideMark/>
          </w:tcPr>
          <w:p w14:paraId="704D0543" w14:textId="602D0888" w:rsidR="007516D5" w:rsidRPr="00BA3D71" w:rsidRDefault="007516D5" w:rsidP="004E15D2">
            <w:pPr>
              <w:pStyle w:val="Tabletext"/>
              <w:spacing w:before="0" w:after="0"/>
              <w:jc w:val="right"/>
              <w:rPr>
                <w:rFonts w:asciiTheme="minorHAnsi" w:hAnsiTheme="minorHAnsi"/>
                <w:sz w:val="21"/>
                <w:szCs w:val="21"/>
                <w:u w:val="single"/>
              </w:rPr>
            </w:pPr>
            <w:r w:rsidRPr="00BA3D71">
              <w:rPr>
                <w:rFonts w:asciiTheme="minorHAnsi" w:hAnsiTheme="minorHAnsi" w:cs="Calibri"/>
                <w:color w:val="000000"/>
                <w:sz w:val="21"/>
                <w:szCs w:val="21"/>
                <w:u w:val="single"/>
                <w:lang w:eastAsia="en-GB"/>
              </w:rPr>
              <w:t>9</w:t>
            </w:r>
          </w:p>
        </w:tc>
        <w:tc>
          <w:tcPr>
            <w:tcW w:w="863" w:type="dxa"/>
            <w:tcBorders>
              <w:top w:val="nil"/>
              <w:left w:val="nil"/>
              <w:bottom w:val="nil"/>
              <w:right w:val="nil"/>
            </w:tcBorders>
            <w:shd w:val="clear" w:color="auto" w:fill="auto"/>
            <w:vAlign w:val="center"/>
            <w:hideMark/>
          </w:tcPr>
          <w:p w14:paraId="55CFD4DF" w14:textId="1EB53EFE" w:rsidR="007516D5" w:rsidRPr="00BA3D71" w:rsidRDefault="007516D5" w:rsidP="004E15D2">
            <w:pPr>
              <w:pStyle w:val="Tabletext"/>
              <w:spacing w:before="0" w:after="0"/>
              <w:jc w:val="right"/>
              <w:rPr>
                <w:rFonts w:asciiTheme="minorHAnsi" w:hAnsiTheme="minorHAnsi"/>
                <w:sz w:val="21"/>
                <w:szCs w:val="21"/>
                <w:u w:val="single"/>
              </w:rPr>
            </w:pPr>
            <w:r w:rsidRPr="00BA3D71">
              <w:rPr>
                <w:rFonts w:asciiTheme="minorHAnsi" w:hAnsiTheme="minorHAnsi" w:cs="Calibri"/>
                <w:sz w:val="21"/>
                <w:szCs w:val="21"/>
                <w:u w:val="single"/>
                <w:lang w:eastAsia="en-GB"/>
              </w:rPr>
              <w:t>12</w:t>
            </w:r>
          </w:p>
        </w:tc>
        <w:tc>
          <w:tcPr>
            <w:tcW w:w="863" w:type="dxa"/>
            <w:tcBorders>
              <w:top w:val="nil"/>
              <w:left w:val="nil"/>
              <w:bottom w:val="nil"/>
              <w:right w:val="nil"/>
            </w:tcBorders>
            <w:shd w:val="clear" w:color="auto" w:fill="auto"/>
            <w:vAlign w:val="center"/>
            <w:hideMark/>
          </w:tcPr>
          <w:p w14:paraId="212660D4" w14:textId="357FFB51" w:rsidR="007516D5" w:rsidRPr="00BA3D71" w:rsidRDefault="007516D5" w:rsidP="004E15D2">
            <w:pPr>
              <w:pStyle w:val="Tabletext"/>
              <w:spacing w:before="0" w:after="0"/>
              <w:jc w:val="right"/>
              <w:rPr>
                <w:rFonts w:asciiTheme="minorHAnsi" w:hAnsiTheme="minorHAnsi"/>
                <w:sz w:val="21"/>
                <w:szCs w:val="21"/>
                <w:u w:val="single"/>
              </w:rPr>
            </w:pPr>
            <w:r w:rsidRPr="00BA3D71">
              <w:rPr>
                <w:rFonts w:asciiTheme="minorHAnsi" w:hAnsiTheme="minorHAnsi" w:cs="Calibri"/>
                <w:sz w:val="21"/>
                <w:szCs w:val="21"/>
                <w:u w:val="single"/>
                <w:lang w:eastAsia="en-GB"/>
              </w:rPr>
              <w:t>6</w:t>
            </w:r>
          </w:p>
        </w:tc>
        <w:tc>
          <w:tcPr>
            <w:tcW w:w="863" w:type="dxa"/>
            <w:tcBorders>
              <w:top w:val="nil"/>
              <w:left w:val="nil"/>
              <w:bottom w:val="nil"/>
              <w:right w:val="nil"/>
            </w:tcBorders>
            <w:shd w:val="clear" w:color="auto" w:fill="auto"/>
            <w:vAlign w:val="center"/>
            <w:hideMark/>
          </w:tcPr>
          <w:p w14:paraId="585D7B7B" w14:textId="6892E042" w:rsidR="007516D5" w:rsidRPr="00BA3D71" w:rsidRDefault="007516D5" w:rsidP="004E15D2">
            <w:pPr>
              <w:pStyle w:val="Tabletext"/>
              <w:spacing w:before="0" w:after="0"/>
              <w:jc w:val="right"/>
              <w:rPr>
                <w:rFonts w:asciiTheme="minorHAnsi" w:hAnsiTheme="minorHAnsi"/>
                <w:sz w:val="21"/>
                <w:szCs w:val="21"/>
                <w:u w:val="single"/>
              </w:rPr>
            </w:pPr>
            <w:r w:rsidRPr="00BA3D71">
              <w:rPr>
                <w:rFonts w:asciiTheme="minorHAnsi" w:hAnsiTheme="minorHAnsi" w:cs="Calibri"/>
                <w:sz w:val="21"/>
                <w:szCs w:val="21"/>
                <w:u w:val="single"/>
                <w:lang w:eastAsia="en-GB"/>
              </w:rPr>
              <w:t>5</w:t>
            </w:r>
          </w:p>
        </w:tc>
        <w:tc>
          <w:tcPr>
            <w:tcW w:w="863" w:type="dxa"/>
            <w:tcBorders>
              <w:top w:val="nil"/>
              <w:left w:val="nil"/>
              <w:bottom w:val="nil"/>
              <w:right w:val="nil"/>
            </w:tcBorders>
            <w:shd w:val="clear" w:color="auto" w:fill="auto"/>
            <w:vAlign w:val="center"/>
            <w:hideMark/>
          </w:tcPr>
          <w:p w14:paraId="15570F0E" w14:textId="7DF223CD" w:rsidR="007516D5" w:rsidRPr="00BA3D71" w:rsidRDefault="007516D5" w:rsidP="004E15D2">
            <w:pPr>
              <w:pStyle w:val="Tabletext"/>
              <w:spacing w:before="0" w:after="0"/>
              <w:jc w:val="right"/>
              <w:rPr>
                <w:rFonts w:asciiTheme="minorHAnsi" w:hAnsiTheme="minorHAnsi"/>
                <w:sz w:val="21"/>
                <w:szCs w:val="21"/>
                <w:u w:val="single"/>
              </w:rPr>
            </w:pPr>
            <w:r w:rsidRPr="00BA3D71">
              <w:rPr>
                <w:rFonts w:asciiTheme="minorHAnsi" w:hAnsiTheme="minorHAnsi" w:cs="Calibri"/>
                <w:sz w:val="21"/>
                <w:szCs w:val="21"/>
                <w:u w:val="single"/>
                <w:lang w:eastAsia="en-GB"/>
              </w:rPr>
              <w:t>52</w:t>
            </w:r>
          </w:p>
        </w:tc>
        <w:tc>
          <w:tcPr>
            <w:tcW w:w="863" w:type="dxa"/>
            <w:tcBorders>
              <w:top w:val="nil"/>
              <w:left w:val="nil"/>
              <w:bottom w:val="nil"/>
              <w:right w:val="nil"/>
            </w:tcBorders>
            <w:shd w:val="clear" w:color="auto" w:fill="auto"/>
            <w:vAlign w:val="center"/>
            <w:hideMark/>
          </w:tcPr>
          <w:p w14:paraId="47E938BE" w14:textId="397B668C" w:rsidR="007516D5" w:rsidRPr="00BA3D71" w:rsidRDefault="007516D5" w:rsidP="004E15D2">
            <w:pPr>
              <w:pStyle w:val="Tabletext"/>
              <w:spacing w:before="0" w:after="0"/>
              <w:jc w:val="right"/>
              <w:rPr>
                <w:rFonts w:asciiTheme="minorHAnsi" w:hAnsiTheme="minorHAnsi"/>
                <w:sz w:val="21"/>
                <w:szCs w:val="21"/>
                <w:u w:val="single"/>
              </w:rPr>
            </w:pPr>
            <w:r w:rsidRPr="00BA3D71">
              <w:rPr>
                <w:rFonts w:asciiTheme="minorHAnsi" w:hAnsiTheme="minorHAnsi" w:cs="Calibri"/>
                <w:sz w:val="21"/>
                <w:szCs w:val="21"/>
                <w:u w:val="single"/>
                <w:lang w:eastAsia="en-GB"/>
              </w:rPr>
              <w:t>52</w:t>
            </w:r>
          </w:p>
        </w:tc>
      </w:tr>
      <w:tr w:rsidR="007516D5" w:rsidRPr="00BA3D71" w14:paraId="2F4D0B4B"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094D20E4" w14:textId="77777777" w:rsidR="007516D5" w:rsidRPr="00BA3D71" w:rsidRDefault="007516D5" w:rsidP="004E15D2">
            <w:pPr>
              <w:pStyle w:val="Tabletext"/>
              <w:spacing w:before="0" w:after="0"/>
              <w:rPr>
                <w:rFonts w:asciiTheme="minorHAnsi" w:hAnsiTheme="minorHAnsi"/>
                <w:sz w:val="21"/>
                <w:szCs w:val="21"/>
                <w:u w:val="single"/>
                <w:lang w:eastAsia="zh-CN"/>
              </w:rPr>
            </w:pPr>
          </w:p>
        </w:tc>
        <w:tc>
          <w:tcPr>
            <w:tcW w:w="861" w:type="dxa"/>
            <w:tcBorders>
              <w:top w:val="nil"/>
              <w:left w:val="nil"/>
              <w:bottom w:val="nil"/>
              <w:right w:val="nil"/>
            </w:tcBorders>
            <w:shd w:val="clear" w:color="auto" w:fill="auto"/>
            <w:vAlign w:val="center"/>
            <w:hideMark/>
          </w:tcPr>
          <w:p w14:paraId="6EF376F5" w14:textId="77777777" w:rsidR="007516D5" w:rsidRPr="00BA3D71" w:rsidRDefault="007516D5" w:rsidP="004E15D2">
            <w:pPr>
              <w:pStyle w:val="Tabletext"/>
              <w:spacing w:before="0" w:after="0"/>
              <w:jc w:val="right"/>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0D2794AF" w14:textId="77777777" w:rsidR="007516D5" w:rsidRPr="00BA3D71" w:rsidRDefault="007516D5" w:rsidP="004E15D2">
            <w:pPr>
              <w:pStyle w:val="Tabletext"/>
              <w:spacing w:before="0" w:after="0"/>
              <w:jc w:val="right"/>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427FC4D5"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3AAEEF41"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641D5C37"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55678E62"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0CE2EBB"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0E36958" w14:textId="77777777" w:rsidR="007516D5" w:rsidRPr="00BA3D71" w:rsidRDefault="007516D5" w:rsidP="004E15D2">
            <w:pPr>
              <w:pStyle w:val="Tabletext"/>
              <w:spacing w:before="0" w:after="0"/>
              <w:jc w:val="right"/>
              <w:rPr>
                <w:rFonts w:asciiTheme="minorHAnsi" w:hAnsiTheme="minorHAnsi"/>
                <w:sz w:val="21"/>
                <w:szCs w:val="21"/>
              </w:rPr>
            </w:pPr>
          </w:p>
        </w:tc>
      </w:tr>
      <w:tr w:rsidR="007516D5" w:rsidRPr="00BA3D71" w14:paraId="5C372E9C"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39B715AC" w14:textId="77777777" w:rsidR="007516D5" w:rsidRPr="00BA3D71" w:rsidRDefault="007516D5" w:rsidP="004E15D2">
            <w:pPr>
              <w:pStyle w:val="Tabletext"/>
              <w:spacing w:before="0" w:after="0"/>
              <w:rPr>
                <w:rFonts w:asciiTheme="minorHAnsi" w:hAnsiTheme="minorHAnsi"/>
                <w:sz w:val="21"/>
                <w:szCs w:val="21"/>
                <w:lang w:eastAsia="zh-CN"/>
              </w:rPr>
            </w:pPr>
            <w:r w:rsidRPr="00BA3D71">
              <w:rPr>
                <w:rFonts w:asciiTheme="minorHAnsi" w:hAnsiTheme="minorHAnsi"/>
                <w:sz w:val="21"/>
                <w:szCs w:val="21"/>
                <w:lang w:eastAsia="zh-CN"/>
              </w:rPr>
              <w:t>Total</w:t>
            </w:r>
          </w:p>
        </w:tc>
        <w:tc>
          <w:tcPr>
            <w:tcW w:w="861" w:type="dxa"/>
            <w:tcBorders>
              <w:top w:val="nil"/>
              <w:left w:val="nil"/>
              <w:bottom w:val="nil"/>
              <w:right w:val="nil"/>
            </w:tcBorders>
            <w:shd w:val="clear" w:color="auto" w:fill="auto"/>
            <w:vAlign w:val="center"/>
            <w:hideMark/>
          </w:tcPr>
          <w:p w14:paraId="3FC7355F" w14:textId="617881E1"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color w:val="000000"/>
                <w:sz w:val="21"/>
                <w:szCs w:val="21"/>
                <w:lang w:eastAsia="en-GB"/>
              </w:rPr>
              <w:t>17 762</w:t>
            </w:r>
          </w:p>
        </w:tc>
        <w:tc>
          <w:tcPr>
            <w:tcW w:w="861" w:type="dxa"/>
            <w:tcBorders>
              <w:top w:val="nil"/>
              <w:left w:val="nil"/>
              <w:bottom w:val="nil"/>
              <w:right w:val="nil"/>
            </w:tcBorders>
            <w:shd w:val="clear" w:color="auto" w:fill="auto"/>
            <w:vAlign w:val="center"/>
            <w:hideMark/>
          </w:tcPr>
          <w:p w14:paraId="5857636A" w14:textId="22F7EF3B"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color w:val="000000"/>
                <w:sz w:val="21"/>
                <w:szCs w:val="21"/>
                <w:lang w:eastAsia="en-GB"/>
              </w:rPr>
              <w:t>16 489</w:t>
            </w:r>
          </w:p>
        </w:tc>
        <w:tc>
          <w:tcPr>
            <w:tcW w:w="862" w:type="dxa"/>
            <w:tcBorders>
              <w:top w:val="nil"/>
              <w:left w:val="nil"/>
              <w:bottom w:val="nil"/>
              <w:right w:val="nil"/>
            </w:tcBorders>
            <w:shd w:val="clear" w:color="auto" w:fill="auto"/>
            <w:vAlign w:val="center"/>
            <w:hideMark/>
          </w:tcPr>
          <w:p w14:paraId="2B8DB48C" w14:textId="7A650E38"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color w:val="000000"/>
                <w:sz w:val="21"/>
                <w:szCs w:val="21"/>
                <w:lang w:eastAsia="en-GB"/>
              </w:rPr>
              <w:t>16 738</w:t>
            </w:r>
          </w:p>
        </w:tc>
        <w:tc>
          <w:tcPr>
            <w:tcW w:w="863" w:type="dxa"/>
            <w:tcBorders>
              <w:top w:val="nil"/>
              <w:left w:val="nil"/>
              <w:bottom w:val="nil"/>
              <w:right w:val="nil"/>
            </w:tcBorders>
            <w:shd w:val="clear" w:color="auto" w:fill="auto"/>
            <w:vAlign w:val="center"/>
            <w:hideMark/>
          </w:tcPr>
          <w:p w14:paraId="76542CEF" w14:textId="46BA8F9B"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sz w:val="21"/>
                <w:szCs w:val="21"/>
                <w:lang w:eastAsia="en-GB"/>
              </w:rPr>
              <w:t>16 312</w:t>
            </w:r>
          </w:p>
        </w:tc>
        <w:tc>
          <w:tcPr>
            <w:tcW w:w="863" w:type="dxa"/>
            <w:tcBorders>
              <w:top w:val="nil"/>
              <w:left w:val="nil"/>
              <w:bottom w:val="nil"/>
              <w:right w:val="nil"/>
            </w:tcBorders>
            <w:shd w:val="clear" w:color="auto" w:fill="auto"/>
            <w:vAlign w:val="center"/>
            <w:hideMark/>
          </w:tcPr>
          <w:p w14:paraId="164CB102" w14:textId="4586C1BF"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sz w:val="21"/>
                <w:szCs w:val="21"/>
                <w:lang w:eastAsia="en-GB"/>
              </w:rPr>
              <w:t>15 373</w:t>
            </w:r>
          </w:p>
        </w:tc>
        <w:tc>
          <w:tcPr>
            <w:tcW w:w="863" w:type="dxa"/>
            <w:tcBorders>
              <w:top w:val="nil"/>
              <w:left w:val="nil"/>
              <w:bottom w:val="nil"/>
              <w:right w:val="nil"/>
            </w:tcBorders>
            <w:shd w:val="clear" w:color="auto" w:fill="auto"/>
            <w:vAlign w:val="center"/>
            <w:hideMark/>
          </w:tcPr>
          <w:p w14:paraId="172F47A9" w14:textId="33614100"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sz w:val="21"/>
                <w:szCs w:val="21"/>
                <w:lang w:eastAsia="en-GB"/>
              </w:rPr>
              <w:t>13 943</w:t>
            </w:r>
          </w:p>
        </w:tc>
        <w:tc>
          <w:tcPr>
            <w:tcW w:w="863" w:type="dxa"/>
            <w:tcBorders>
              <w:top w:val="nil"/>
              <w:left w:val="nil"/>
              <w:bottom w:val="nil"/>
              <w:right w:val="nil"/>
            </w:tcBorders>
            <w:shd w:val="clear" w:color="auto" w:fill="auto"/>
            <w:vAlign w:val="center"/>
            <w:hideMark/>
          </w:tcPr>
          <w:p w14:paraId="0BDCDF23" w14:textId="7B91DA53" w:rsidR="007516D5" w:rsidRPr="00BA3D71" w:rsidRDefault="007516D5" w:rsidP="004E15D2">
            <w:pPr>
              <w:pStyle w:val="Tabletext"/>
              <w:spacing w:before="0" w:after="0"/>
              <w:jc w:val="right"/>
              <w:rPr>
                <w:rFonts w:asciiTheme="minorHAnsi" w:hAnsiTheme="minorHAnsi"/>
                <w:sz w:val="21"/>
                <w:szCs w:val="21"/>
              </w:rPr>
            </w:pPr>
            <w:r w:rsidRPr="00BA3D71">
              <w:rPr>
                <w:rFonts w:asciiTheme="minorHAnsi" w:hAnsiTheme="minorHAnsi" w:cs="Calibri"/>
                <w:sz w:val="21"/>
                <w:szCs w:val="21"/>
                <w:lang w:eastAsia="en-GB"/>
              </w:rPr>
              <w:t>11 265</w:t>
            </w:r>
          </w:p>
        </w:tc>
        <w:tc>
          <w:tcPr>
            <w:tcW w:w="863" w:type="dxa"/>
            <w:tcBorders>
              <w:top w:val="nil"/>
              <w:left w:val="nil"/>
              <w:bottom w:val="nil"/>
              <w:right w:val="nil"/>
            </w:tcBorders>
            <w:shd w:val="clear" w:color="auto" w:fill="auto"/>
            <w:vAlign w:val="center"/>
            <w:hideMark/>
          </w:tcPr>
          <w:p w14:paraId="3368F2CB" w14:textId="12601AF7" w:rsidR="007516D5" w:rsidRPr="00BA3D71" w:rsidRDefault="007516D5" w:rsidP="004E15D2">
            <w:pPr>
              <w:pStyle w:val="Tabletext"/>
              <w:spacing w:before="0" w:after="0"/>
              <w:jc w:val="right"/>
              <w:rPr>
                <w:rFonts w:asciiTheme="minorHAnsi" w:hAnsiTheme="minorHAnsi" w:cs="Calibri"/>
                <w:sz w:val="21"/>
                <w:szCs w:val="21"/>
                <w:lang w:eastAsia="en-GB"/>
              </w:rPr>
            </w:pPr>
            <w:r w:rsidRPr="00BA3D71">
              <w:rPr>
                <w:rFonts w:asciiTheme="minorHAnsi" w:hAnsiTheme="minorHAnsi" w:cs="Calibri"/>
                <w:sz w:val="21"/>
                <w:szCs w:val="21"/>
                <w:lang w:eastAsia="en-GB"/>
              </w:rPr>
              <w:t>11 245</w:t>
            </w:r>
          </w:p>
        </w:tc>
      </w:tr>
      <w:tr w:rsidR="007516D5" w:rsidRPr="00BA3D71" w14:paraId="0EEB6C1A"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4C0400D8" w14:textId="77777777" w:rsidR="007516D5" w:rsidRPr="00BA3D71" w:rsidRDefault="007516D5" w:rsidP="004E15D2">
            <w:pPr>
              <w:pStyle w:val="Tabletext"/>
              <w:spacing w:before="0" w:after="0"/>
              <w:rPr>
                <w:rFonts w:asciiTheme="minorHAnsi" w:eastAsia="Segoe UI Symbol" w:hAnsiTheme="minorHAnsi"/>
                <w:sz w:val="21"/>
                <w:szCs w:val="21"/>
                <w:lang w:eastAsia="ko-KR"/>
              </w:rPr>
            </w:pPr>
          </w:p>
        </w:tc>
        <w:tc>
          <w:tcPr>
            <w:tcW w:w="861" w:type="dxa"/>
            <w:tcBorders>
              <w:top w:val="nil"/>
              <w:left w:val="nil"/>
              <w:bottom w:val="nil"/>
              <w:right w:val="nil"/>
            </w:tcBorders>
            <w:shd w:val="clear" w:color="auto" w:fill="auto"/>
            <w:vAlign w:val="center"/>
            <w:hideMark/>
          </w:tcPr>
          <w:p w14:paraId="50A14711" w14:textId="77777777" w:rsidR="007516D5" w:rsidRPr="00BA3D71" w:rsidRDefault="007516D5" w:rsidP="004E15D2">
            <w:pPr>
              <w:pStyle w:val="Tabletext"/>
              <w:spacing w:before="0" w:after="0"/>
              <w:jc w:val="right"/>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563046E5" w14:textId="77777777" w:rsidR="007516D5" w:rsidRPr="00BA3D71" w:rsidRDefault="007516D5" w:rsidP="004E15D2">
            <w:pPr>
              <w:pStyle w:val="Tabletext"/>
              <w:spacing w:before="0" w:after="0"/>
              <w:jc w:val="right"/>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151C925D"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427C518"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4C0CBE4"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735A96B5"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75549663"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491A3EE3" w14:textId="77777777" w:rsidR="007516D5" w:rsidRPr="00BA3D71" w:rsidRDefault="007516D5" w:rsidP="004E15D2">
            <w:pPr>
              <w:pStyle w:val="Tabletext"/>
              <w:spacing w:before="0" w:after="0"/>
              <w:jc w:val="right"/>
              <w:rPr>
                <w:rFonts w:asciiTheme="minorHAnsi" w:hAnsiTheme="minorHAnsi"/>
                <w:sz w:val="21"/>
                <w:szCs w:val="21"/>
              </w:rPr>
            </w:pPr>
          </w:p>
        </w:tc>
      </w:tr>
      <w:tr w:rsidR="007516D5" w:rsidRPr="00BA3D71" w14:paraId="6EB60E8B"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789EC88E" w14:textId="77777777" w:rsidR="007516D5" w:rsidRPr="00BA3D71" w:rsidRDefault="007516D5" w:rsidP="004E15D2">
            <w:pPr>
              <w:pStyle w:val="Tabletext"/>
              <w:spacing w:before="0" w:after="0"/>
              <w:rPr>
                <w:rFonts w:asciiTheme="minorHAnsi" w:hAnsiTheme="minorHAnsi"/>
                <w:b/>
                <w:bCs/>
                <w:i/>
                <w:iCs/>
                <w:sz w:val="21"/>
                <w:szCs w:val="21"/>
                <w:lang w:eastAsia="zh-CN"/>
              </w:rPr>
            </w:pPr>
            <w:r w:rsidRPr="00BA3D71">
              <w:rPr>
                <w:rFonts w:asciiTheme="minorHAnsi" w:hAnsiTheme="minorHAnsi"/>
                <w:b/>
                <w:bCs/>
                <w:i/>
                <w:iCs/>
                <w:sz w:val="21"/>
                <w:szCs w:val="21"/>
                <w:lang w:eastAsia="zh-CN"/>
              </w:rPr>
              <w:t>Contributions</w:t>
            </w:r>
          </w:p>
        </w:tc>
        <w:tc>
          <w:tcPr>
            <w:tcW w:w="861" w:type="dxa"/>
            <w:tcBorders>
              <w:top w:val="nil"/>
              <w:left w:val="nil"/>
              <w:bottom w:val="nil"/>
              <w:right w:val="nil"/>
            </w:tcBorders>
            <w:shd w:val="clear" w:color="auto" w:fill="auto"/>
            <w:vAlign w:val="center"/>
            <w:hideMark/>
          </w:tcPr>
          <w:p w14:paraId="7E80E8BE" w14:textId="257E7636" w:rsidR="007516D5" w:rsidRPr="00BA3D71" w:rsidRDefault="007516D5" w:rsidP="004E15D2">
            <w:pPr>
              <w:pStyle w:val="Tabletext"/>
              <w:spacing w:before="0" w:after="0"/>
              <w:jc w:val="right"/>
              <w:rPr>
                <w:rFonts w:asciiTheme="minorHAnsi" w:hAnsiTheme="minorHAnsi"/>
                <w:b/>
                <w:bCs/>
                <w:i/>
                <w:sz w:val="21"/>
                <w:szCs w:val="21"/>
              </w:rPr>
            </w:pPr>
            <w:r w:rsidRPr="00BA3D71">
              <w:rPr>
                <w:rFonts w:asciiTheme="minorHAnsi" w:hAnsiTheme="minorHAnsi" w:cs="Calibri"/>
                <w:b/>
                <w:bCs/>
                <w:i/>
                <w:iCs/>
                <w:color w:val="000000"/>
                <w:sz w:val="21"/>
                <w:szCs w:val="21"/>
                <w:lang w:eastAsia="en-GB"/>
              </w:rPr>
              <w:t>28 300</w:t>
            </w:r>
          </w:p>
        </w:tc>
        <w:tc>
          <w:tcPr>
            <w:tcW w:w="861" w:type="dxa"/>
            <w:tcBorders>
              <w:top w:val="nil"/>
              <w:left w:val="nil"/>
              <w:bottom w:val="nil"/>
              <w:right w:val="nil"/>
            </w:tcBorders>
            <w:shd w:val="clear" w:color="auto" w:fill="auto"/>
            <w:vAlign w:val="center"/>
            <w:hideMark/>
          </w:tcPr>
          <w:p w14:paraId="326DB64A" w14:textId="60B85D6A" w:rsidR="007516D5" w:rsidRPr="00BA3D71" w:rsidRDefault="007516D5" w:rsidP="004E15D2">
            <w:pPr>
              <w:pStyle w:val="Tabletext"/>
              <w:spacing w:before="0" w:after="0"/>
              <w:jc w:val="right"/>
              <w:rPr>
                <w:rFonts w:asciiTheme="minorHAnsi" w:hAnsiTheme="minorHAnsi"/>
                <w:b/>
                <w:bCs/>
                <w:i/>
                <w:sz w:val="21"/>
                <w:szCs w:val="21"/>
              </w:rPr>
            </w:pPr>
            <w:r w:rsidRPr="00BA3D71">
              <w:rPr>
                <w:rFonts w:asciiTheme="minorHAnsi" w:hAnsiTheme="minorHAnsi" w:cs="Calibri"/>
                <w:b/>
                <w:bCs/>
                <w:i/>
                <w:iCs/>
                <w:color w:val="000000"/>
                <w:sz w:val="21"/>
                <w:szCs w:val="21"/>
                <w:lang w:eastAsia="en-GB"/>
              </w:rPr>
              <w:t>26 625</w:t>
            </w:r>
          </w:p>
        </w:tc>
        <w:tc>
          <w:tcPr>
            <w:tcW w:w="862" w:type="dxa"/>
            <w:tcBorders>
              <w:top w:val="nil"/>
              <w:left w:val="nil"/>
              <w:bottom w:val="nil"/>
              <w:right w:val="nil"/>
            </w:tcBorders>
            <w:shd w:val="clear" w:color="auto" w:fill="auto"/>
            <w:vAlign w:val="center"/>
            <w:hideMark/>
          </w:tcPr>
          <w:p w14:paraId="35F6F2B3" w14:textId="2932B520" w:rsidR="007516D5" w:rsidRPr="00BA3D71" w:rsidRDefault="007516D5" w:rsidP="004E15D2">
            <w:pPr>
              <w:pStyle w:val="Tabletext"/>
              <w:spacing w:before="0" w:after="0"/>
              <w:jc w:val="right"/>
              <w:rPr>
                <w:rFonts w:asciiTheme="minorHAnsi" w:hAnsiTheme="minorHAnsi"/>
                <w:b/>
                <w:bCs/>
                <w:i/>
                <w:sz w:val="21"/>
                <w:szCs w:val="21"/>
              </w:rPr>
            </w:pPr>
            <w:r w:rsidRPr="00BA3D71">
              <w:rPr>
                <w:rFonts w:asciiTheme="minorHAnsi" w:hAnsiTheme="minorHAnsi" w:cs="Calibri"/>
                <w:b/>
                <w:bCs/>
                <w:i/>
                <w:iCs/>
                <w:color w:val="000000"/>
                <w:sz w:val="21"/>
                <w:szCs w:val="21"/>
                <w:lang w:eastAsia="en-GB"/>
              </w:rPr>
              <w:t>24 554</w:t>
            </w:r>
          </w:p>
        </w:tc>
        <w:tc>
          <w:tcPr>
            <w:tcW w:w="863" w:type="dxa"/>
            <w:tcBorders>
              <w:top w:val="nil"/>
              <w:left w:val="nil"/>
              <w:bottom w:val="nil"/>
              <w:right w:val="nil"/>
            </w:tcBorders>
            <w:shd w:val="clear" w:color="auto" w:fill="auto"/>
            <w:vAlign w:val="center"/>
            <w:hideMark/>
          </w:tcPr>
          <w:p w14:paraId="5DC9913F" w14:textId="611DC46B" w:rsidR="007516D5" w:rsidRPr="00BA3D71" w:rsidRDefault="007516D5" w:rsidP="004E15D2">
            <w:pPr>
              <w:pStyle w:val="Tabletext"/>
              <w:spacing w:before="0" w:after="0"/>
              <w:jc w:val="right"/>
              <w:rPr>
                <w:rFonts w:asciiTheme="minorHAnsi" w:hAnsiTheme="minorHAnsi"/>
                <w:b/>
                <w:bCs/>
                <w:i/>
                <w:sz w:val="21"/>
                <w:szCs w:val="21"/>
              </w:rPr>
            </w:pPr>
            <w:r w:rsidRPr="00BA3D71">
              <w:rPr>
                <w:rFonts w:asciiTheme="minorHAnsi" w:hAnsiTheme="minorHAnsi" w:cs="Calibri"/>
                <w:b/>
                <w:bCs/>
                <w:i/>
                <w:iCs/>
                <w:sz w:val="21"/>
                <w:szCs w:val="21"/>
                <w:lang w:eastAsia="en-GB"/>
              </w:rPr>
              <w:t>24 750</w:t>
            </w:r>
          </w:p>
        </w:tc>
        <w:tc>
          <w:tcPr>
            <w:tcW w:w="863" w:type="dxa"/>
            <w:tcBorders>
              <w:top w:val="nil"/>
              <w:left w:val="nil"/>
              <w:bottom w:val="nil"/>
              <w:right w:val="nil"/>
            </w:tcBorders>
            <w:shd w:val="clear" w:color="auto" w:fill="auto"/>
            <w:vAlign w:val="center"/>
            <w:hideMark/>
          </w:tcPr>
          <w:p w14:paraId="18D5FE06" w14:textId="39529B98" w:rsidR="007516D5" w:rsidRPr="00BA3D71" w:rsidRDefault="007516D5" w:rsidP="004E15D2">
            <w:pPr>
              <w:pStyle w:val="Tabletext"/>
              <w:spacing w:before="0" w:after="0"/>
              <w:jc w:val="right"/>
              <w:rPr>
                <w:rFonts w:asciiTheme="minorHAnsi" w:hAnsiTheme="minorHAnsi"/>
                <w:b/>
                <w:bCs/>
                <w:i/>
                <w:sz w:val="21"/>
                <w:szCs w:val="21"/>
              </w:rPr>
            </w:pPr>
            <w:r w:rsidRPr="00BA3D71">
              <w:rPr>
                <w:rFonts w:asciiTheme="minorHAnsi" w:hAnsiTheme="minorHAnsi" w:cs="Calibri"/>
                <w:b/>
                <w:bCs/>
                <w:i/>
                <w:iCs/>
                <w:sz w:val="21"/>
                <w:szCs w:val="21"/>
                <w:lang w:eastAsia="en-GB"/>
              </w:rPr>
              <w:t>25 437</w:t>
            </w:r>
          </w:p>
        </w:tc>
        <w:tc>
          <w:tcPr>
            <w:tcW w:w="863" w:type="dxa"/>
            <w:tcBorders>
              <w:top w:val="nil"/>
              <w:left w:val="nil"/>
              <w:bottom w:val="nil"/>
              <w:right w:val="nil"/>
            </w:tcBorders>
            <w:shd w:val="clear" w:color="auto" w:fill="auto"/>
            <w:vAlign w:val="center"/>
            <w:hideMark/>
          </w:tcPr>
          <w:p w14:paraId="647EE160" w14:textId="622BD866" w:rsidR="007516D5" w:rsidRPr="00BA3D71" w:rsidRDefault="007516D5" w:rsidP="004E15D2">
            <w:pPr>
              <w:pStyle w:val="Tabletext"/>
              <w:spacing w:before="0" w:after="0"/>
              <w:jc w:val="right"/>
              <w:rPr>
                <w:rFonts w:asciiTheme="minorHAnsi" w:hAnsiTheme="minorHAnsi"/>
                <w:b/>
                <w:bCs/>
                <w:i/>
                <w:sz w:val="21"/>
                <w:szCs w:val="21"/>
              </w:rPr>
            </w:pPr>
            <w:r w:rsidRPr="00BA3D71">
              <w:rPr>
                <w:rFonts w:asciiTheme="minorHAnsi" w:hAnsiTheme="minorHAnsi" w:cs="Calibri"/>
                <w:b/>
                <w:bCs/>
                <w:i/>
                <w:iCs/>
                <w:sz w:val="21"/>
                <w:szCs w:val="21"/>
                <w:lang w:eastAsia="en-GB"/>
              </w:rPr>
              <w:t>23 577</w:t>
            </w:r>
          </w:p>
        </w:tc>
        <w:tc>
          <w:tcPr>
            <w:tcW w:w="863" w:type="dxa"/>
            <w:tcBorders>
              <w:top w:val="nil"/>
              <w:left w:val="nil"/>
              <w:bottom w:val="nil"/>
              <w:right w:val="nil"/>
            </w:tcBorders>
            <w:shd w:val="clear" w:color="auto" w:fill="auto"/>
            <w:vAlign w:val="center"/>
            <w:hideMark/>
          </w:tcPr>
          <w:p w14:paraId="72991EBA" w14:textId="3E353F65" w:rsidR="007516D5" w:rsidRPr="00BA3D71" w:rsidRDefault="007516D5" w:rsidP="004E15D2">
            <w:pPr>
              <w:pStyle w:val="Tabletext"/>
              <w:spacing w:before="0" w:after="0"/>
              <w:jc w:val="right"/>
              <w:rPr>
                <w:rFonts w:asciiTheme="minorHAnsi" w:hAnsiTheme="minorHAnsi"/>
                <w:b/>
                <w:bCs/>
                <w:i/>
                <w:sz w:val="21"/>
                <w:szCs w:val="21"/>
              </w:rPr>
            </w:pPr>
            <w:r w:rsidRPr="00BA3D71">
              <w:rPr>
                <w:rFonts w:asciiTheme="minorHAnsi" w:hAnsiTheme="minorHAnsi" w:cs="Calibri"/>
                <w:b/>
                <w:bCs/>
                <w:i/>
                <w:iCs/>
                <w:sz w:val="21"/>
                <w:szCs w:val="21"/>
                <w:lang w:eastAsia="en-GB"/>
              </w:rPr>
              <w:t>19 896</w:t>
            </w:r>
          </w:p>
        </w:tc>
        <w:tc>
          <w:tcPr>
            <w:tcW w:w="863" w:type="dxa"/>
            <w:tcBorders>
              <w:top w:val="nil"/>
              <w:left w:val="nil"/>
              <w:bottom w:val="nil"/>
              <w:right w:val="nil"/>
            </w:tcBorders>
            <w:shd w:val="clear" w:color="auto" w:fill="auto"/>
            <w:vAlign w:val="center"/>
            <w:hideMark/>
          </w:tcPr>
          <w:p w14:paraId="773CB343" w14:textId="44EB2BBB" w:rsidR="007516D5" w:rsidRPr="00BA3D71" w:rsidRDefault="007516D5" w:rsidP="004E15D2">
            <w:pPr>
              <w:pStyle w:val="Tabletext"/>
              <w:spacing w:before="0" w:after="0"/>
              <w:jc w:val="right"/>
              <w:rPr>
                <w:rFonts w:asciiTheme="minorHAnsi" w:hAnsiTheme="minorHAnsi"/>
                <w:b/>
                <w:bCs/>
                <w:i/>
                <w:sz w:val="21"/>
                <w:szCs w:val="21"/>
              </w:rPr>
            </w:pPr>
            <w:r w:rsidRPr="00BA3D71">
              <w:rPr>
                <w:rFonts w:asciiTheme="minorHAnsi" w:hAnsiTheme="minorHAnsi" w:cs="Calibri"/>
                <w:b/>
                <w:bCs/>
                <w:i/>
                <w:iCs/>
                <w:sz w:val="21"/>
                <w:szCs w:val="21"/>
                <w:lang w:eastAsia="en-GB"/>
              </w:rPr>
              <w:t>20 158</w:t>
            </w:r>
          </w:p>
        </w:tc>
      </w:tr>
      <w:tr w:rsidR="007516D5" w:rsidRPr="00BA3D71" w14:paraId="3A23344F"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5958D86A" w14:textId="77777777" w:rsidR="007516D5" w:rsidRPr="00BA3D71" w:rsidRDefault="007516D5" w:rsidP="004E15D2">
            <w:pPr>
              <w:pStyle w:val="Tabletext"/>
              <w:spacing w:before="0" w:after="0"/>
              <w:rPr>
                <w:rFonts w:asciiTheme="minorHAnsi" w:hAnsiTheme="minorHAnsi"/>
                <w:b/>
                <w:bCs/>
                <w:i/>
                <w:iCs/>
                <w:sz w:val="21"/>
                <w:szCs w:val="21"/>
                <w:lang w:eastAsia="zh-CN"/>
              </w:rPr>
            </w:pPr>
          </w:p>
        </w:tc>
        <w:tc>
          <w:tcPr>
            <w:tcW w:w="861" w:type="dxa"/>
            <w:tcBorders>
              <w:top w:val="nil"/>
              <w:left w:val="nil"/>
              <w:bottom w:val="nil"/>
              <w:right w:val="nil"/>
            </w:tcBorders>
            <w:shd w:val="clear" w:color="auto" w:fill="auto"/>
            <w:vAlign w:val="center"/>
            <w:hideMark/>
          </w:tcPr>
          <w:p w14:paraId="40734654" w14:textId="77777777" w:rsidR="007516D5" w:rsidRPr="00BA3D71" w:rsidRDefault="007516D5" w:rsidP="004E15D2">
            <w:pPr>
              <w:pStyle w:val="Tabletext"/>
              <w:spacing w:before="0" w:after="0"/>
              <w:jc w:val="right"/>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215DECF8" w14:textId="77777777" w:rsidR="007516D5" w:rsidRPr="00BA3D71" w:rsidRDefault="007516D5" w:rsidP="004E15D2">
            <w:pPr>
              <w:pStyle w:val="Tabletext"/>
              <w:spacing w:before="0" w:after="0"/>
              <w:jc w:val="right"/>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2B58A183"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238FA02"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5EDBC2EA"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2FD180F3"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134CB103"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02F858D" w14:textId="77777777" w:rsidR="007516D5" w:rsidRPr="00BA3D71" w:rsidRDefault="007516D5" w:rsidP="004E15D2">
            <w:pPr>
              <w:pStyle w:val="Tabletext"/>
              <w:spacing w:before="0" w:after="0"/>
              <w:jc w:val="right"/>
              <w:rPr>
                <w:rFonts w:asciiTheme="minorHAnsi" w:hAnsiTheme="minorHAnsi"/>
                <w:sz w:val="21"/>
                <w:szCs w:val="21"/>
              </w:rPr>
            </w:pPr>
          </w:p>
        </w:tc>
      </w:tr>
      <w:tr w:rsidR="007516D5" w:rsidRPr="00BA3D71" w14:paraId="0AED8F61"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739A9C7B" w14:textId="77777777" w:rsidR="007516D5" w:rsidRPr="00BA3D71" w:rsidRDefault="007516D5" w:rsidP="004E15D2">
            <w:pPr>
              <w:pStyle w:val="Tabletext"/>
              <w:spacing w:before="0" w:after="0"/>
              <w:rPr>
                <w:rFonts w:asciiTheme="minorHAnsi" w:hAnsiTheme="minorHAnsi"/>
                <w:b/>
                <w:bCs/>
                <w:i/>
                <w:iCs/>
                <w:sz w:val="21"/>
                <w:szCs w:val="21"/>
                <w:lang w:eastAsia="zh-CN"/>
              </w:rPr>
            </w:pPr>
            <w:r w:rsidRPr="00BA3D71">
              <w:rPr>
                <w:rFonts w:asciiTheme="minorHAnsi" w:hAnsiTheme="minorHAnsi"/>
                <w:b/>
                <w:bCs/>
                <w:i/>
                <w:iCs/>
                <w:sz w:val="21"/>
                <w:szCs w:val="21"/>
                <w:lang w:eastAsia="zh-CN"/>
              </w:rPr>
              <w:t>Publications</w:t>
            </w:r>
          </w:p>
        </w:tc>
        <w:tc>
          <w:tcPr>
            <w:tcW w:w="861" w:type="dxa"/>
            <w:tcBorders>
              <w:top w:val="nil"/>
              <w:left w:val="nil"/>
              <w:bottom w:val="nil"/>
              <w:right w:val="nil"/>
            </w:tcBorders>
            <w:shd w:val="clear" w:color="auto" w:fill="auto"/>
            <w:vAlign w:val="center"/>
            <w:hideMark/>
          </w:tcPr>
          <w:p w14:paraId="0D72047C" w14:textId="00CF76E5" w:rsidR="007516D5" w:rsidRPr="00BA3D71" w:rsidRDefault="007516D5" w:rsidP="004E15D2">
            <w:pPr>
              <w:pStyle w:val="Tabletext"/>
              <w:spacing w:before="0" w:after="0"/>
              <w:jc w:val="right"/>
              <w:rPr>
                <w:rFonts w:asciiTheme="minorHAnsi" w:hAnsiTheme="minorHAnsi"/>
                <w:b/>
                <w:bCs/>
                <w:i/>
                <w:sz w:val="21"/>
                <w:szCs w:val="21"/>
              </w:rPr>
            </w:pPr>
            <w:r w:rsidRPr="00BA3D71">
              <w:rPr>
                <w:rFonts w:asciiTheme="minorHAnsi" w:hAnsiTheme="minorHAnsi" w:cs="Calibri"/>
                <w:b/>
                <w:bCs/>
                <w:i/>
                <w:iCs/>
                <w:color w:val="000000"/>
                <w:sz w:val="21"/>
                <w:szCs w:val="21"/>
                <w:lang w:eastAsia="en-GB"/>
              </w:rPr>
              <w:t>53</w:t>
            </w:r>
          </w:p>
        </w:tc>
        <w:tc>
          <w:tcPr>
            <w:tcW w:w="861" w:type="dxa"/>
            <w:tcBorders>
              <w:top w:val="nil"/>
              <w:left w:val="nil"/>
              <w:bottom w:val="nil"/>
              <w:right w:val="nil"/>
            </w:tcBorders>
            <w:shd w:val="clear" w:color="auto" w:fill="auto"/>
            <w:vAlign w:val="center"/>
            <w:hideMark/>
          </w:tcPr>
          <w:p w14:paraId="6A22CECE" w14:textId="4D2DA7C9" w:rsidR="007516D5" w:rsidRPr="00BA3D71" w:rsidRDefault="007516D5" w:rsidP="004E15D2">
            <w:pPr>
              <w:pStyle w:val="Tabletext"/>
              <w:spacing w:before="0" w:after="0"/>
              <w:jc w:val="right"/>
              <w:rPr>
                <w:rFonts w:asciiTheme="minorHAnsi" w:hAnsiTheme="minorHAnsi"/>
                <w:b/>
                <w:bCs/>
                <w:i/>
                <w:sz w:val="21"/>
                <w:szCs w:val="21"/>
              </w:rPr>
            </w:pPr>
            <w:r w:rsidRPr="00BA3D71">
              <w:rPr>
                <w:rFonts w:asciiTheme="minorHAnsi" w:hAnsiTheme="minorHAnsi" w:cs="Calibri"/>
                <w:b/>
                <w:bCs/>
                <w:i/>
                <w:iCs/>
                <w:color w:val="000000"/>
                <w:sz w:val="21"/>
                <w:szCs w:val="21"/>
                <w:lang w:eastAsia="en-GB"/>
              </w:rPr>
              <w:t>54</w:t>
            </w:r>
          </w:p>
        </w:tc>
        <w:tc>
          <w:tcPr>
            <w:tcW w:w="862" w:type="dxa"/>
            <w:tcBorders>
              <w:top w:val="nil"/>
              <w:left w:val="nil"/>
              <w:bottom w:val="nil"/>
              <w:right w:val="nil"/>
            </w:tcBorders>
            <w:shd w:val="clear" w:color="auto" w:fill="auto"/>
            <w:vAlign w:val="center"/>
            <w:hideMark/>
          </w:tcPr>
          <w:p w14:paraId="546492CC" w14:textId="407F3356" w:rsidR="007516D5" w:rsidRPr="00BA3D71" w:rsidRDefault="007516D5" w:rsidP="004E15D2">
            <w:pPr>
              <w:pStyle w:val="Tabletext"/>
              <w:spacing w:before="0" w:after="0"/>
              <w:jc w:val="right"/>
              <w:rPr>
                <w:rFonts w:asciiTheme="minorHAnsi" w:hAnsiTheme="minorHAnsi"/>
                <w:b/>
                <w:bCs/>
                <w:i/>
                <w:sz w:val="21"/>
                <w:szCs w:val="21"/>
              </w:rPr>
            </w:pPr>
            <w:r w:rsidRPr="00BA3D71">
              <w:rPr>
                <w:rFonts w:asciiTheme="minorHAnsi" w:hAnsiTheme="minorHAnsi" w:cs="Calibri"/>
                <w:b/>
                <w:bCs/>
                <w:i/>
                <w:iCs/>
                <w:color w:val="000000"/>
                <w:sz w:val="21"/>
                <w:szCs w:val="21"/>
                <w:lang w:eastAsia="en-GB"/>
              </w:rPr>
              <w:t>45</w:t>
            </w:r>
          </w:p>
        </w:tc>
        <w:tc>
          <w:tcPr>
            <w:tcW w:w="863" w:type="dxa"/>
            <w:tcBorders>
              <w:top w:val="nil"/>
              <w:left w:val="nil"/>
              <w:bottom w:val="nil"/>
              <w:right w:val="nil"/>
            </w:tcBorders>
            <w:shd w:val="clear" w:color="auto" w:fill="auto"/>
            <w:vAlign w:val="center"/>
            <w:hideMark/>
          </w:tcPr>
          <w:p w14:paraId="31606D68" w14:textId="60341D55" w:rsidR="007516D5" w:rsidRPr="00BA3D71" w:rsidRDefault="007516D5" w:rsidP="004E15D2">
            <w:pPr>
              <w:pStyle w:val="Tabletext"/>
              <w:spacing w:before="0" w:after="0"/>
              <w:jc w:val="right"/>
              <w:rPr>
                <w:rFonts w:asciiTheme="minorHAnsi" w:hAnsiTheme="minorHAnsi"/>
                <w:b/>
                <w:bCs/>
                <w:i/>
                <w:sz w:val="21"/>
                <w:szCs w:val="21"/>
              </w:rPr>
            </w:pPr>
            <w:r w:rsidRPr="00BA3D71">
              <w:rPr>
                <w:rFonts w:asciiTheme="minorHAnsi" w:hAnsiTheme="minorHAnsi" w:cs="Calibri"/>
                <w:b/>
                <w:bCs/>
                <w:i/>
                <w:iCs/>
                <w:sz w:val="21"/>
                <w:szCs w:val="21"/>
                <w:lang w:eastAsia="en-GB"/>
              </w:rPr>
              <w:t>48</w:t>
            </w:r>
          </w:p>
        </w:tc>
        <w:tc>
          <w:tcPr>
            <w:tcW w:w="863" w:type="dxa"/>
            <w:tcBorders>
              <w:top w:val="nil"/>
              <w:left w:val="nil"/>
              <w:bottom w:val="nil"/>
              <w:right w:val="nil"/>
            </w:tcBorders>
            <w:shd w:val="clear" w:color="auto" w:fill="auto"/>
            <w:vAlign w:val="center"/>
            <w:hideMark/>
          </w:tcPr>
          <w:p w14:paraId="5B520BB1" w14:textId="674A8DA6" w:rsidR="007516D5" w:rsidRPr="00BA3D71" w:rsidRDefault="007516D5" w:rsidP="004E15D2">
            <w:pPr>
              <w:pStyle w:val="Tabletext"/>
              <w:spacing w:before="0" w:after="0"/>
              <w:jc w:val="right"/>
              <w:rPr>
                <w:rFonts w:asciiTheme="minorHAnsi" w:hAnsiTheme="minorHAnsi"/>
                <w:b/>
                <w:bCs/>
                <w:i/>
                <w:sz w:val="21"/>
                <w:szCs w:val="21"/>
              </w:rPr>
            </w:pPr>
            <w:r w:rsidRPr="00BA3D71">
              <w:rPr>
                <w:rFonts w:asciiTheme="minorHAnsi" w:hAnsiTheme="minorHAnsi" w:cs="Calibri"/>
                <w:b/>
                <w:bCs/>
                <w:i/>
                <w:iCs/>
                <w:sz w:val="21"/>
                <w:szCs w:val="21"/>
                <w:lang w:eastAsia="en-GB"/>
              </w:rPr>
              <w:t>42</w:t>
            </w:r>
          </w:p>
        </w:tc>
        <w:tc>
          <w:tcPr>
            <w:tcW w:w="863" w:type="dxa"/>
            <w:tcBorders>
              <w:top w:val="nil"/>
              <w:left w:val="nil"/>
              <w:bottom w:val="nil"/>
              <w:right w:val="nil"/>
            </w:tcBorders>
            <w:shd w:val="clear" w:color="auto" w:fill="auto"/>
            <w:vAlign w:val="center"/>
            <w:hideMark/>
          </w:tcPr>
          <w:p w14:paraId="75976821" w14:textId="6AEA42BF" w:rsidR="007516D5" w:rsidRPr="00BA3D71" w:rsidRDefault="007516D5" w:rsidP="004E15D2">
            <w:pPr>
              <w:pStyle w:val="Tabletext"/>
              <w:spacing w:before="0" w:after="0"/>
              <w:jc w:val="right"/>
              <w:rPr>
                <w:rFonts w:asciiTheme="minorHAnsi" w:hAnsiTheme="minorHAnsi"/>
                <w:b/>
                <w:bCs/>
                <w:i/>
                <w:sz w:val="21"/>
                <w:szCs w:val="21"/>
              </w:rPr>
            </w:pPr>
            <w:r w:rsidRPr="00BA3D71">
              <w:rPr>
                <w:rFonts w:asciiTheme="minorHAnsi" w:hAnsiTheme="minorHAnsi" w:cs="Calibri"/>
                <w:b/>
                <w:bCs/>
                <w:i/>
                <w:iCs/>
                <w:sz w:val="21"/>
                <w:szCs w:val="21"/>
                <w:lang w:eastAsia="en-GB"/>
              </w:rPr>
              <w:t>42</w:t>
            </w:r>
          </w:p>
        </w:tc>
        <w:tc>
          <w:tcPr>
            <w:tcW w:w="863" w:type="dxa"/>
            <w:tcBorders>
              <w:top w:val="nil"/>
              <w:left w:val="nil"/>
              <w:bottom w:val="nil"/>
              <w:right w:val="nil"/>
            </w:tcBorders>
            <w:shd w:val="clear" w:color="auto" w:fill="auto"/>
            <w:vAlign w:val="center"/>
            <w:hideMark/>
          </w:tcPr>
          <w:p w14:paraId="4C82AA3B" w14:textId="4556B7B6" w:rsidR="007516D5" w:rsidRPr="00BA3D71" w:rsidRDefault="007516D5" w:rsidP="004E15D2">
            <w:pPr>
              <w:pStyle w:val="Tabletext"/>
              <w:spacing w:before="0" w:after="0"/>
              <w:jc w:val="right"/>
              <w:rPr>
                <w:rFonts w:asciiTheme="minorHAnsi" w:hAnsiTheme="minorHAnsi"/>
                <w:b/>
                <w:bCs/>
                <w:i/>
                <w:sz w:val="21"/>
                <w:szCs w:val="21"/>
              </w:rPr>
            </w:pPr>
            <w:r w:rsidRPr="00BA3D71">
              <w:rPr>
                <w:rFonts w:asciiTheme="minorHAnsi" w:hAnsiTheme="minorHAnsi" w:cs="Calibri"/>
                <w:b/>
                <w:bCs/>
                <w:i/>
                <w:iCs/>
                <w:sz w:val="21"/>
                <w:szCs w:val="21"/>
                <w:lang w:eastAsia="en-GB"/>
              </w:rPr>
              <w:t>92</w:t>
            </w:r>
          </w:p>
        </w:tc>
        <w:tc>
          <w:tcPr>
            <w:tcW w:w="863" w:type="dxa"/>
            <w:tcBorders>
              <w:top w:val="nil"/>
              <w:left w:val="nil"/>
              <w:bottom w:val="nil"/>
              <w:right w:val="nil"/>
            </w:tcBorders>
            <w:shd w:val="clear" w:color="auto" w:fill="auto"/>
            <w:vAlign w:val="center"/>
            <w:hideMark/>
          </w:tcPr>
          <w:p w14:paraId="4BC9772B" w14:textId="6D501202" w:rsidR="007516D5" w:rsidRPr="00BA3D71" w:rsidRDefault="007516D5" w:rsidP="004E15D2">
            <w:pPr>
              <w:pStyle w:val="Tabletext"/>
              <w:spacing w:before="0" w:after="0"/>
              <w:jc w:val="right"/>
              <w:rPr>
                <w:rFonts w:asciiTheme="minorHAnsi" w:hAnsiTheme="minorHAnsi"/>
                <w:b/>
                <w:bCs/>
                <w:i/>
                <w:sz w:val="21"/>
                <w:szCs w:val="21"/>
              </w:rPr>
            </w:pPr>
            <w:r w:rsidRPr="00BA3D71">
              <w:rPr>
                <w:rFonts w:asciiTheme="minorHAnsi" w:hAnsiTheme="minorHAnsi" w:cs="Calibri"/>
                <w:b/>
                <w:bCs/>
                <w:i/>
                <w:iCs/>
                <w:sz w:val="21"/>
                <w:szCs w:val="21"/>
                <w:lang w:eastAsia="en-GB"/>
              </w:rPr>
              <w:t>93</w:t>
            </w:r>
          </w:p>
        </w:tc>
      </w:tr>
      <w:tr w:rsidR="007516D5" w:rsidRPr="00BA3D71" w14:paraId="310CDAB3"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56A23F26" w14:textId="77777777" w:rsidR="007516D5" w:rsidRPr="00BA3D71" w:rsidRDefault="007516D5" w:rsidP="004E15D2">
            <w:pPr>
              <w:pStyle w:val="Tabletext"/>
              <w:spacing w:before="0" w:after="0"/>
              <w:rPr>
                <w:rFonts w:asciiTheme="minorHAnsi" w:hAnsiTheme="minorHAnsi"/>
                <w:b/>
                <w:bCs/>
                <w:i/>
                <w:iCs/>
                <w:sz w:val="21"/>
                <w:szCs w:val="21"/>
                <w:lang w:eastAsia="zh-CN"/>
              </w:rPr>
            </w:pPr>
          </w:p>
        </w:tc>
        <w:tc>
          <w:tcPr>
            <w:tcW w:w="861" w:type="dxa"/>
            <w:tcBorders>
              <w:top w:val="nil"/>
              <w:left w:val="nil"/>
              <w:bottom w:val="nil"/>
              <w:right w:val="nil"/>
            </w:tcBorders>
            <w:shd w:val="clear" w:color="auto" w:fill="auto"/>
            <w:vAlign w:val="center"/>
            <w:hideMark/>
          </w:tcPr>
          <w:p w14:paraId="295D7683" w14:textId="77777777" w:rsidR="007516D5" w:rsidRPr="00BA3D71" w:rsidRDefault="007516D5" w:rsidP="004E15D2">
            <w:pPr>
              <w:pStyle w:val="Tabletext"/>
              <w:spacing w:before="0" w:after="0"/>
              <w:jc w:val="right"/>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0198540A" w14:textId="77777777" w:rsidR="007516D5" w:rsidRPr="00BA3D71" w:rsidRDefault="007516D5" w:rsidP="004E15D2">
            <w:pPr>
              <w:pStyle w:val="Tabletext"/>
              <w:spacing w:before="0" w:after="0"/>
              <w:jc w:val="right"/>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4BDCABF2"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6BBD321D"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5438679D"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12EBCD3A"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7B2CDFB7"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38F71C9" w14:textId="77777777" w:rsidR="007516D5" w:rsidRPr="00BA3D71" w:rsidRDefault="007516D5" w:rsidP="004E15D2">
            <w:pPr>
              <w:pStyle w:val="Tabletext"/>
              <w:spacing w:before="0" w:after="0"/>
              <w:jc w:val="right"/>
              <w:rPr>
                <w:rFonts w:asciiTheme="minorHAnsi" w:hAnsiTheme="minorHAnsi"/>
                <w:sz w:val="21"/>
                <w:szCs w:val="21"/>
              </w:rPr>
            </w:pPr>
          </w:p>
        </w:tc>
      </w:tr>
      <w:tr w:rsidR="007516D5" w:rsidRPr="00BA3D71" w14:paraId="238AE8B4"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552EE516" w14:textId="77777777" w:rsidR="007516D5" w:rsidRPr="00BA3D71" w:rsidRDefault="007516D5" w:rsidP="004E15D2">
            <w:pPr>
              <w:pStyle w:val="Tabletext"/>
              <w:spacing w:before="0" w:after="0"/>
              <w:rPr>
                <w:rFonts w:asciiTheme="minorHAnsi" w:hAnsiTheme="minorHAnsi"/>
                <w:b/>
                <w:bCs/>
                <w:sz w:val="21"/>
                <w:szCs w:val="21"/>
                <w:lang w:eastAsia="zh-CN"/>
              </w:rPr>
            </w:pPr>
            <w:r w:rsidRPr="00BA3D71">
              <w:rPr>
                <w:rFonts w:asciiTheme="minorHAnsi" w:hAnsiTheme="minorHAnsi"/>
                <w:b/>
                <w:bCs/>
                <w:sz w:val="21"/>
                <w:szCs w:val="21"/>
                <w:lang w:eastAsia="zh-CN"/>
              </w:rPr>
              <w:t>TOTAL DES ARRIÉRÉS</w:t>
            </w:r>
          </w:p>
        </w:tc>
        <w:tc>
          <w:tcPr>
            <w:tcW w:w="861" w:type="dxa"/>
            <w:tcBorders>
              <w:top w:val="nil"/>
              <w:left w:val="nil"/>
              <w:bottom w:val="nil"/>
              <w:right w:val="nil"/>
            </w:tcBorders>
            <w:shd w:val="clear" w:color="auto" w:fill="auto"/>
            <w:vAlign w:val="center"/>
            <w:hideMark/>
          </w:tcPr>
          <w:p w14:paraId="03175197" w14:textId="5CC5E97A"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color w:val="000000"/>
                <w:sz w:val="21"/>
                <w:szCs w:val="21"/>
                <w:lang w:eastAsia="en-GB"/>
              </w:rPr>
              <w:t>28 353</w:t>
            </w:r>
          </w:p>
        </w:tc>
        <w:tc>
          <w:tcPr>
            <w:tcW w:w="861" w:type="dxa"/>
            <w:tcBorders>
              <w:top w:val="nil"/>
              <w:left w:val="nil"/>
              <w:bottom w:val="nil"/>
              <w:right w:val="nil"/>
            </w:tcBorders>
            <w:shd w:val="clear" w:color="auto" w:fill="auto"/>
            <w:vAlign w:val="center"/>
            <w:hideMark/>
          </w:tcPr>
          <w:p w14:paraId="30A1C41B" w14:textId="6180AE6D"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color w:val="000000"/>
                <w:sz w:val="21"/>
                <w:szCs w:val="21"/>
                <w:lang w:eastAsia="en-GB"/>
              </w:rPr>
              <w:t>26 679</w:t>
            </w:r>
          </w:p>
        </w:tc>
        <w:tc>
          <w:tcPr>
            <w:tcW w:w="862" w:type="dxa"/>
            <w:tcBorders>
              <w:top w:val="nil"/>
              <w:left w:val="nil"/>
              <w:bottom w:val="nil"/>
              <w:right w:val="nil"/>
            </w:tcBorders>
            <w:shd w:val="clear" w:color="auto" w:fill="auto"/>
            <w:vAlign w:val="center"/>
            <w:hideMark/>
          </w:tcPr>
          <w:p w14:paraId="48ED06C5" w14:textId="2AB48569"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color w:val="000000"/>
                <w:sz w:val="21"/>
                <w:szCs w:val="21"/>
                <w:lang w:eastAsia="en-GB"/>
              </w:rPr>
              <w:t>24 599</w:t>
            </w:r>
          </w:p>
        </w:tc>
        <w:tc>
          <w:tcPr>
            <w:tcW w:w="863" w:type="dxa"/>
            <w:tcBorders>
              <w:top w:val="nil"/>
              <w:left w:val="nil"/>
              <w:bottom w:val="nil"/>
              <w:right w:val="nil"/>
            </w:tcBorders>
            <w:shd w:val="clear" w:color="auto" w:fill="auto"/>
            <w:vAlign w:val="center"/>
            <w:hideMark/>
          </w:tcPr>
          <w:p w14:paraId="48297E92" w14:textId="3BE5201E"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24 798</w:t>
            </w:r>
          </w:p>
        </w:tc>
        <w:tc>
          <w:tcPr>
            <w:tcW w:w="863" w:type="dxa"/>
            <w:tcBorders>
              <w:top w:val="nil"/>
              <w:left w:val="nil"/>
              <w:bottom w:val="nil"/>
              <w:right w:val="nil"/>
            </w:tcBorders>
            <w:shd w:val="clear" w:color="auto" w:fill="auto"/>
            <w:vAlign w:val="center"/>
            <w:hideMark/>
          </w:tcPr>
          <w:p w14:paraId="7AE97A0E" w14:textId="0FA82364"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25 479</w:t>
            </w:r>
          </w:p>
        </w:tc>
        <w:tc>
          <w:tcPr>
            <w:tcW w:w="863" w:type="dxa"/>
            <w:tcBorders>
              <w:top w:val="nil"/>
              <w:left w:val="nil"/>
              <w:bottom w:val="nil"/>
              <w:right w:val="nil"/>
            </w:tcBorders>
            <w:shd w:val="clear" w:color="auto" w:fill="auto"/>
            <w:vAlign w:val="center"/>
            <w:hideMark/>
          </w:tcPr>
          <w:p w14:paraId="69FC752D" w14:textId="1C87220F"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23 619</w:t>
            </w:r>
          </w:p>
        </w:tc>
        <w:tc>
          <w:tcPr>
            <w:tcW w:w="863" w:type="dxa"/>
            <w:tcBorders>
              <w:top w:val="nil"/>
              <w:left w:val="nil"/>
              <w:bottom w:val="nil"/>
              <w:right w:val="nil"/>
            </w:tcBorders>
            <w:shd w:val="clear" w:color="auto" w:fill="auto"/>
            <w:vAlign w:val="center"/>
            <w:hideMark/>
          </w:tcPr>
          <w:p w14:paraId="15283690" w14:textId="31C91A3C"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19 988</w:t>
            </w:r>
          </w:p>
        </w:tc>
        <w:tc>
          <w:tcPr>
            <w:tcW w:w="863" w:type="dxa"/>
            <w:tcBorders>
              <w:top w:val="nil"/>
              <w:left w:val="nil"/>
              <w:bottom w:val="nil"/>
              <w:right w:val="nil"/>
            </w:tcBorders>
            <w:shd w:val="clear" w:color="auto" w:fill="auto"/>
            <w:vAlign w:val="center"/>
            <w:hideMark/>
          </w:tcPr>
          <w:p w14:paraId="42C1E56A" w14:textId="21D9E922"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20 251</w:t>
            </w:r>
          </w:p>
        </w:tc>
      </w:tr>
      <w:tr w:rsidR="007516D5" w:rsidRPr="00BA3D71" w14:paraId="537C116B"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230E0906" w14:textId="77777777" w:rsidR="007516D5" w:rsidRPr="00BA3D71" w:rsidRDefault="007516D5" w:rsidP="004E15D2">
            <w:pPr>
              <w:pStyle w:val="Tabletext"/>
              <w:spacing w:before="0" w:after="0"/>
              <w:rPr>
                <w:rFonts w:asciiTheme="minorHAnsi" w:hAnsiTheme="minorHAnsi"/>
                <w:b/>
                <w:bCs/>
                <w:sz w:val="21"/>
                <w:szCs w:val="21"/>
                <w:lang w:eastAsia="zh-CN"/>
              </w:rPr>
            </w:pPr>
          </w:p>
        </w:tc>
        <w:tc>
          <w:tcPr>
            <w:tcW w:w="861" w:type="dxa"/>
            <w:tcBorders>
              <w:top w:val="nil"/>
              <w:left w:val="nil"/>
              <w:bottom w:val="nil"/>
              <w:right w:val="nil"/>
            </w:tcBorders>
            <w:shd w:val="clear" w:color="auto" w:fill="auto"/>
            <w:vAlign w:val="center"/>
            <w:hideMark/>
          </w:tcPr>
          <w:p w14:paraId="6C7CF787" w14:textId="77777777" w:rsidR="007516D5" w:rsidRPr="00BA3D71" w:rsidRDefault="007516D5" w:rsidP="004E15D2">
            <w:pPr>
              <w:pStyle w:val="Tabletext"/>
              <w:spacing w:before="0" w:after="0"/>
              <w:jc w:val="right"/>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1130F9C5" w14:textId="77777777" w:rsidR="007516D5" w:rsidRPr="00BA3D71" w:rsidRDefault="007516D5" w:rsidP="004E15D2">
            <w:pPr>
              <w:pStyle w:val="Tabletext"/>
              <w:spacing w:before="0" w:after="0"/>
              <w:jc w:val="right"/>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1EEABAA2"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2E0697F1"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4DFFD024"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69E0DBE1"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726028AB"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6E051178" w14:textId="77777777" w:rsidR="007516D5" w:rsidRPr="00BA3D71" w:rsidRDefault="007516D5" w:rsidP="004E15D2">
            <w:pPr>
              <w:pStyle w:val="Tabletext"/>
              <w:spacing w:before="0" w:after="0"/>
              <w:jc w:val="right"/>
              <w:rPr>
                <w:rFonts w:asciiTheme="minorHAnsi" w:hAnsiTheme="minorHAnsi"/>
                <w:sz w:val="21"/>
                <w:szCs w:val="21"/>
              </w:rPr>
            </w:pPr>
          </w:p>
        </w:tc>
      </w:tr>
      <w:tr w:rsidR="007516D5" w:rsidRPr="00BA3D71" w14:paraId="5FB0FD11" w14:textId="77777777" w:rsidTr="00116E6C">
        <w:trPr>
          <w:trHeight w:val="600"/>
          <w:jc w:val="center"/>
        </w:trPr>
        <w:tc>
          <w:tcPr>
            <w:tcW w:w="2967" w:type="dxa"/>
            <w:tcBorders>
              <w:top w:val="nil"/>
              <w:left w:val="nil"/>
              <w:bottom w:val="nil"/>
              <w:right w:val="nil"/>
            </w:tcBorders>
            <w:shd w:val="clear" w:color="auto" w:fill="auto"/>
            <w:vAlign w:val="center"/>
            <w:hideMark/>
          </w:tcPr>
          <w:p w14:paraId="59B51434" w14:textId="77777777" w:rsidR="007516D5" w:rsidRPr="00BA3D71" w:rsidRDefault="007516D5" w:rsidP="004E15D2">
            <w:pPr>
              <w:pStyle w:val="Tabletext"/>
              <w:spacing w:before="0" w:after="0"/>
              <w:rPr>
                <w:rFonts w:asciiTheme="minorHAnsi" w:hAnsiTheme="minorHAnsi"/>
                <w:b/>
                <w:bCs/>
                <w:sz w:val="21"/>
                <w:szCs w:val="21"/>
                <w:lang w:eastAsia="zh-CN"/>
              </w:rPr>
            </w:pPr>
            <w:r w:rsidRPr="00BA3D71">
              <w:rPr>
                <w:rFonts w:asciiTheme="minorHAnsi" w:hAnsiTheme="minorHAnsi"/>
                <w:b/>
                <w:bCs/>
                <w:sz w:val="21"/>
                <w:szCs w:val="21"/>
                <w:lang w:eastAsia="zh-CN"/>
              </w:rPr>
              <w:t>ACCORDS D'AMORTISSEMENT</w:t>
            </w:r>
          </w:p>
        </w:tc>
        <w:tc>
          <w:tcPr>
            <w:tcW w:w="861" w:type="dxa"/>
            <w:tcBorders>
              <w:top w:val="nil"/>
              <w:left w:val="nil"/>
              <w:bottom w:val="nil"/>
              <w:right w:val="nil"/>
            </w:tcBorders>
            <w:shd w:val="clear" w:color="auto" w:fill="auto"/>
            <w:vAlign w:val="center"/>
            <w:hideMark/>
          </w:tcPr>
          <w:p w14:paraId="12D50308" w14:textId="6634C963"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color w:val="000000"/>
                <w:sz w:val="21"/>
                <w:szCs w:val="21"/>
                <w:lang w:eastAsia="en-GB"/>
              </w:rPr>
              <w:t>15 919</w:t>
            </w:r>
          </w:p>
        </w:tc>
        <w:tc>
          <w:tcPr>
            <w:tcW w:w="861" w:type="dxa"/>
            <w:tcBorders>
              <w:top w:val="nil"/>
              <w:left w:val="nil"/>
              <w:bottom w:val="nil"/>
              <w:right w:val="nil"/>
            </w:tcBorders>
            <w:shd w:val="clear" w:color="auto" w:fill="auto"/>
            <w:vAlign w:val="center"/>
            <w:hideMark/>
          </w:tcPr>
          <w:p w14:paraId="10E21237" w14:textId="3F728FDA"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color w:val="000000"/>
                <w:sz w:val="21"/>
                <w:szCs w:val="21"/>
                <w:lang w:eastAsia="en-GB"/>
              </w:rPr>
              <w:t>10 019</w:t>
            </w:r>
          </w:p>
        </w:tc>
        <w:tc>
          <w:tcPr>
            <w:tcW w:w="862" w:type="dxa"/>
            <w:tcBorders>
              <w:top w:val="nil"/>
              <w:left w:val="nil"/>
              <w:bottom w:val="nil"/>
              <w:right w:val="nil"/>
            </w:tcBorders>
            <w:shd w:val="clear" w:color="auto" w:fill="auto"/>
            <w:vAlign w:val="center"/>
            <w:hideMark/>
          </w:tcPr>
          <w:p w14:paraId="4BE18652" w14:textId="528CFAEC"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color w:val="000000"/>
                <w:sz w:val="21"/>
                <w:szCs w:val="21"/>
                <w:lang w:eastAsia="en-GB"/>
              </w:rPr>
              <w:t>18 392</w:t>
            </w:r>
          </w:p>
        </w:tc>
        <w:tc>
          <w:tcPr>
            <w:tcW w:w="863" w:type="dxa"/>
            <w:tcBorders>
              <w:top w:val="nil"/>
              <w:left w:val="nil"/>
              <w:bottom w:val="nil"/>
              <w:right w:val="nil"/>
            </w:tcBorders>
            <w:shd w:val="clear" w:color="auto" w:fill="auto"/>
            <w:vAlign w:val="center"/>
            <w:hideMark/>
          </w:tcPr>
          <w:p w14:paraId="25EAD66D" w14:textId="10F6085A"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15 823</w:t>
            </w:r>
          </w:p>
        </w:tc>
        <w:tc>
          <w:tcPr>
            <w:tcW w:w="863" w:type="dxa"/>
            <w:tcBorders>
              <w:top w:val="nil"/>
              <w:left w:val="nil"/>
              <w:bottom w:val="nil"/>
              <w:right w:val="nil"/>
            </w:tcBorders>
            <w:shd w:val="clear" w:color="auto" w:fill="auto"/>
            <w:vAlign w:val="center"/>
            <w:hideMark/>
          </w:tcPr>
          <w:p w14:paraId="3D30D6E2" w14:textId="4374E589"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8 094</w:t>
            </w:r>
          </w:p>
        </w:tc>
        <w:tc>
          <w:tcPr>
            <w:tcW w:w="863" w:type="dxa"/>
            <w:tcBorders>
              <w:top w:val="nil"/>
              <w:left w:val="nil"/>
              <w:bottom w:val="nil"/>
              <w:right w:val="nil"/>
            </w:tcBorders>
            <w:shd w:val="clear" w:color="auto" w:fill="auto"/>
            <w:vAlign w:val="center"/>
            <w:hideMark/>
          </w:tcPr>
          <w:p w14:paraId="15B07A4A" w14:textId="0AB9AE61"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7 601</w:t>
            </w:r>
          </w:p>
        </w:tc>
        <w:tc>
          <w:tcPr>
            <w:tcW w:w="863" w:type="dxa"/>
            <w:tcBorders>
              <w:top w:val="nil"/>
              <w:left w:val="nil"/>
              <w:bottom w:val="nil"/>
              <w:right w:val="nil"/>
            </w:tcBorders>
            <w:shd w:val="clear" w:color="auto" w:fill="auto"/>
            <w:vAlign w:val="center"/>
            <w:hideMark/>
          </w:tcPr>
          <w:p w14:paraId="2E5028B9" w14:textId="54738E49"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17 229</w:t>
            </w:r>
          </w:p>
        </w:tc>
        <w:tc>
          <w:tcPr>
            <w:tcW w:w="863" w:type="dxa"/>
            <w:tcBorders>
              <w:top w:val="nil"/>
              <w:left w:val="nil"/>
              <w:bottom w:val="nil"/>
              <w:right w:val="nil"/>
            </w:tcBorders>
            <w:shd w:val="clear" w:color="auto" w:fill="auto"/>
            <w:vAlign w:val="center"/>
            <w:hideMark/>
          </w:tcPr>
          <w:p w14:paraId="543711C1" w14:textId="0E3119BB"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4 550</w:t>
            </w:r>
          </w:p>
        </w:tc>
      </w:tr>
      <w:tr w:rsidR="007516D5" w:rsidRPr="00BA3D71" w14:paraId="6BCE3C7C"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23E95ADB" w14:textId="77777777" w:rsidR="007516D5" w:rsidRPr="00BA3D71" w:rsidRDefault="007516D5" w:rsidP="004E15D2">
            <w:pPr>
              <w:pStyle w:val="Tabletext"/>
              <w:spacing w:before="0" w:after="0"/>
              <w:rPr>
                <w:rFonts w:asciiTheme="minorHAnsi" w:hAnsiTheme="minorHAnsi"/>
                <w:b/>
                <w:bCs/>
                <w:sz w:val="21"/>
                <w:szCs w:val="21"/>
                <w:lang w:eastAsia="zh-CN"/>
              </w:rPr>
            </w:pPr>
          </w:p>
        </w:tc>
        <w:tc>
          <w:tcPr>
            <w:tcW w:w="861" w:type="dxa"/>
            <w:tcBorders>
              <w:top w:val="nil"/>
              <w:left w:val="nil"/>
              <w:bottom w:val="nil"/>
              <w:right w:val="nil"/>
            </w:tcBorders>
            <w:shd w:val="clear" w:color="auto" w:fill="auto"/>
            <w:vAlign w:val="center"/>
            <w:hideMark/>
          </w:tcPr>
          <w:p w14:paraId="4A4F49B1" w14:textId="77777777" w:rsidR="007516D5" w:rsidRPr="00BA3D71" w:rsidRDefault="007516D5" w:rsidP="004E15D2">
            <w:pPr>
              <w:pStyle w:val="Tabletext"/>
              <w:spacing w:before="0" w:after="0"/>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5ECAE5BD" w14:textId="77777777" w:rsidR="007516D5" w:rsidRPr="00BA3D71" w:rsidRDefault="007516D5" w:rsidP="004E15D2">
            <w:pPr>
              <w:pStyle w:val="Tabletext"/>
              <w:spacing w:before="0" w:after="0"/>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28DC66B8" w14:textId="77777777" w:rsidR="007516D5" w:rsidRPr="00BA3D71"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2A5D5944" w14:textId="77777777" w:rsidR="007516D5" w:rsidRPr="00BA3D71"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5A3656ED" w14:textId="77777777" w:rsidR="007516D5" w:rsidRPr="00BA3D71"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71B1980A" w14:textId="77777777" w:rsidR="007516D5" w:rsidRPr="00BA3D71"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45229E96" w14:textId="77777777" w:rsidR="007516D5" w:rsidRPr="00BA3D71"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5C2AAA25" w14:textId="77777777" w:rsidR="007516D5" w:rsidRPr="00BA3D71" w:rsidRDefault="007516D5" w:rsidP="004E15D2">
            <w:pPr>
              <w:pStyle w:val="Tabletext"/>
              <w:spacing w:before="0" w:after="0"/>
              <w:rPr>
                <w:rFonts w:asciiTheme="minorHAnsi" w:hAnsiTheme="minorHAnsi"/>
                <w:sz w:val="21"/>
                <w:szCs w:val="21"/>
              </w:rPr>
            </w:pPr>
          </w:p>
        </w:tc>
      </w:tr>
      <w:tr w:rsidR="007516D5" w:rsidRPr="00BA3D71" w14:paraId="7C5B0A0D" w14:textId="77777777" w:rsidTr="00116E6C">
        <w:trPr>
          <w:trHeight w:val="600"/>
          <w:jc w:val="center"/>
        </w:trPr>
        <w:tc>
          <w:tcPr>
            <w:tcW w:w="2967" w:type="dxa"/>
            <w:tcBorders>
              <w:top w:val="nil"/>
              <w:left w:val="nil"/>
              <w:bottom w:val="nil"/>
              <w:right w:val="nil"/>
            </w:tcBorders>
            <w:shd w:val="clear" w:color="auto" w:fill="auto"/>
            <w:vAlign w:val="center"/>
            <w:hideMark/>
          </w:tcPr>
          <w:p w14:paraId="61F3423A" w14:textId="77777777" w:rsidR="007516D5" w:rsidRPr="00BA3D71" w:rsidRDefault="007516D5" w:rsidP="004E15D2">
            <w:pPr>
              <w:pStyle w:val="Tabletext"/>
              <w:spacing w:before="0" w:after="0"/>
              <w:rPr>
                <w:rFonts w:asciiTheme="minorHAnsi" w:hAnsiTheme="minorHAnsi"/>
                <w:b/>
                <w:bCs/>
                <w:sz w:val="21"/>
                <w:szCs w:val="21"/>
                <w:lang w:eastAsia="zh-CN"/>
              </w:rPr>
            </w:pPr>
            <w:r w:rsidRPr="00BA3D71">
              <w:rPr>
                <w:rFonts w:asciiTheme="minorHAnsi" w:hAnsiTheme="minorHAnsi"/>
                <w:b/>
                <w:bCs/>
                <w:sz w:val="21"/>
                <w:szCs w:val="21"/>
                <w:lang w:eastAsia="zh-CN"/>
              </w:rPr>
              <w:t>ACCORDS D'AMORTISSEMENT SUPPRIMÉS</w:t>
            </w:r>
          </w:p>
        </w:tc>
        <w:tc>
          <w:tcPr>
            <w:tcW w:w="861" w:type="dxa"/>
            <w:tcBorders>
              <w:top w:val="nil"/>
              <w:left w:val="nil"/>
              <w:bottom w:val="nil"/>
              <w:right w:val="nil"/>
            </w:tcBorders>
            <w:shd w:val="clear" w:color="auto" w:fill="auto"/>
            <w:vAlign w:val="center"/>
            <w:hideMark/>
          </w:tcPr>
          <w:p w14:paraId="4C409B8A" w14:textId="10F1D1B7"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color w:val="000000"/>
                <w:sz w:val="21"/>
                <w:szCs w:val="21"/>
                <w:lang w:eastAsia="en-GB"/>
              </w:rPr>
              <w:t>15 587</w:t>
            </w:r>
          </w:p>
        </w:tc>
        <w:tc>
          <w:tcPr>
            <w:tcW w:w="861" w:type="dxa"/>
            <w:tcBorders>
              <w:top w:val="nil"/>
              <w:left w:val="nil"/>
              <w:bottom w:val="nil"/>
              <w:right w:val="nil"/>
            </w:tcBorders>
            <w:shd w:val="clear" w:color="auto" w:fill="auto"/>
            <w:vAlign w:val="center"/>
            <w:hideMark/>
          </w:tcPr>
          <w:p w14:paraId="659BC942" w14:textId="313E280A"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color w:val="000000"/>
                <w:sz w:val="21"/>
                <w:szCs w:val="21"/>
                <w:lang w:eastAsia="en-GB"/>
              </w:rPr>
              <w:t>17 768</w:t>
            </w:r>
          </w:p>
        </w:tc>
        <w:tc>
          <w:tcPr>
            <w:tcW w:w="862" w:type="dxa"/>
            <w:tcBorders>
              <w:top w:val="nil"/>
              <w:left w:val="nil"/>
              <w:bottom w:val="nil"/>
              <w:right w:val="nil"/>
            </w:tcBorders>
            <w:shd w:val="clear" w:color="auto" w:fill="auto"/>
            <w:vAlign w:val="center"/>
            <w:hideMark/>
          </w:tcPr>
          <w:p w14:paraId="2484D7CC" w14:textId="749EBF1C"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color w:val="000000"/>
                <w:sz w:val="21"/>
                <w:szCs w:val="21"/>
                <w:lang w:eastAsia="en-GB"/>
              </w:rPr>
              <w:t>8 582</w:t>
            </w:r>
          </w:p>
        </w:tc>
        <w:tc>
          <w:tcPr>
            <w:tcW w:w="863" w:type="dxa"/>
            <w:tcBorders>
              <w:top w:val="nil"/>
              <w:left w:val="nil"/>
              <w:bottom w:val="nil"/>
              <w:right w:val="nil"/>
            </w:tcBorders>
            <w:shd w:val="clear" w:color="auto" w:fill="auto"/>
            <w:vAlign w:val="center"/>
            <w:hideMark/>
          </w:tcPr>
          <w:p w14:paraId="17577964" w14:textId="428A1454"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10 418</w:t>
            </w:r>
          </w:p>
        </w:tc>
        <w:tc>
          <w:tcPr>
            <w:tcW w:w="863" w:type="dxa"/>
            <w:tcBorders>
              <w:top w:val="nil"/>
              <w:left w:val="nil"/>
              <w:bottom w:val="nil"/>
              <w:right w:val="nil"/>
            </w:tcBorders>
            <w:shd w:val="clear" w:color="auto" w:fill="auto"/>
            <w:vAlign w:val="center"/>
            <w:hideMark/>
          </w:tcPr>
          <w:p w14:paraId="11D8A15C" w14:textId="55B2B264"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12 547</w:t>
            </w:r>
          </w:p>
        </w:tc>
        <w:tc>
          <w:tcPr>
            <w:tcW w:w="863" w:type="dxa"/>
            <w:tcBorders>
              <w:top w:val="nil"/>
              <w:left w:val="nil"/>
              <w:bottom w:val="nil"/>
              <w:right w:val="nil"/>
            </w:tcBorders>
            <w:shd w:val="clear" w:color="auto" w:fill="auto"/>
            <w:vAlign w:val="center"/>
            <w:hideMark/>
          </w:tcPr>
          <w:p w14:paraId="3EB30A75" w14:textId="1ED63351"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13 394</w:t>
            </w:r>
          </w:p>
        </w:tc>
        <w:tc>
          <w:tcPr>
            <w:tcW w:w="863" w:type="dxa"/>
            <w:tcBorders>
              <w:top w:val="nil"/>
              <w:left w:val="nil"/>
              <w:bottom w:val="nil"/>
              <w:right w:val="nil"/>
            </w:tcBorders>
            <w:shd w:val="clear" w:color="auto" w:fill="auto"/>
            <w:vAlign w:val="center"/>
            <w:hideMark/>
          </w:tcPr>
          <w:p w14:paraId="75A501A4" w14:textId="0A948FAB"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2 111</w:t>
            </w:r>
          </w:p>
        </w:tc>
        <w:tc>
          <w:tcPr>
            <w:tcW w:w="863" w:type="dxa"/>
            <w:tcBorders>
              <w:top w:val="nil"/>
              <w:left w:val="nil"/>
              <w:bottom w:val="nil"/>
              <w:right w:val="nil"/>
            </w:tcBorders>
            <w:shd w:val="clear" w:color="auto" w:fill="auto"/>
            <w:vAlign w:val="center"/>
            <w:hideMark/>
          </w:tcPr>
          <w:p w14:paraId="563CFA4C" w14:textId="58E9271A"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14 644</w:t>
            </w:r>
          </w:p>
        </w:tc>
      </w:tr>
      <w:tr w:rsidR="007516D5" w:rsidRPr="00BA3D71" w14:paraId="4F610D9E"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4B9D89C3" w14:textId="77777777" w:rsidR="007516D5" w:rsidRPr="00BA3D71" w:rsidRDefault="007516D5" w:rsidP="004E15D2">
            <w:pPr>
              <w:pStyle w:val="Tabletext"/>
              <w:spacing w:before="0" w:after="0"/>
              <w:rPr>
                <w:rFonts w:asciiTheme="minorHAnsi" w:hAnsiTheme="minorHAnsi"/>
                <w:b/>
                <w:bCs/>
                <w:sz w:val="21"/>
                <w:szCs w:val="21"/>
                <w:lang w:eastAsia="zh-CN"/>
              </w:rPr>
            </w:pPr>
          </w:p>
        </w:tc>
        <w:tc>
          <w:tcPr>
            <w:tcW w:w="861" w:type="dxa"/>
            <w:tcBorders>
              <w:top w:val="nil"/>
              <w:left w:val="nil"/>
              <w:bottom w:val="nil"/>
              <w:right w:val="nil"/>
            </w:tcBorders>
            <w:shd w:val="clear" w:color="auto" w:fill="auto"/>
            <w:vAlign w:val="center"/>
            <w:hideMark/>
          </w:tcPr>
          <w:p w14:paraId="75BACD30" w14:textId="77777777" w:rsidR="007516D5" w:rsidRPr="00BA3D71" w:rsidRDefault="007516D5" w:rsidP="004E15D2">
            <w:pPr>
              <w:pStyle w:val="Tabletext"/>
              <w:spacing w:before="0" w:after="0"/>
              <w:jc w:val="right"/>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1A5E91FE" w14:textId="77777777" w:rsidR="007516D5" w:rsidRPr="00BA3D71" w:rsidRDefault="007516D5" w:rsidP="004E15D2">
            <w:pPr>
              <w:pStyle w:val="Tabletext"/>
              <w:spacing w:before="0" w:after="0"/>
              <w:jc w:val="right"/>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391371F3"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3A07455A"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43FC71E0"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46A97298"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6D9E1159"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640C8541" w14:textId="77777777" w:rsidR="007516D5" w:rsidRPr="00BA3D71" w:rsidRDefault="007516D5" w:rsidP="004E15D2">
            <w:pPr>
              <w:pStyle w:val="Tabletext"/>
              <w:spacing w:before="0" w:after="0"/>
              <w:jc w:val="right"/>
              <w:rPr>
                <w:rFonts w:asciiTheme="minorHAnsi" w:hAnsiTheme="minorHAnsi"/>
                <w:sz w:val="21"/>
                <w:szCs w:val="21"/>
              </w:rPr>
            </w:pPr>
          </w:p>
        </w:tc>
      </w:tr>
      <w:tr w:rsidR="007516D5" w:rsidRPr="00BA3D71" w14:paraId="59A6EBB3"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59543BAA" w14:textId="77777777" w:rsidR="007516D5" w:rsidRPr="00BA3D71" w:rsidRDefault="007516D5" w:rsidP="004E15D2">
            <w:pPr>
              <w:pStyle w:val="Tabletext"/>
              <w:spacing w:before="0" w:after="0"/>
              <w:rPr>
                <w:rFonts w:asciiTheme="minorHAnsi" w:hAnsiTheme="minorHAnsi"/>
                <w:b/>
                <w:bCs/>
                <w:sz w:val="21"/>
                <w:szCs w:val="21"/>
                <w:lang w:eastAsia="zh-CN"/>
              </w:rPr>
            </w:pPr>
            <w:r w:rsidRPr="00BA3D71">
              <w:rPr>
                <w:rFonts w:asciiTheme="minorHAnsi" w:hAnsiTheme="minorHAnsi"/>
                <w:b/>
                <w:bCs/>
                <w:sz w:val="21"/>
                <w:szCs w:val="21"/>
                <w:lang w:eastAsia="zh-CN"/>
              </w:rPr>
              <w:t>FICHES DE NOTIFICATION DE RÉSEAUX À SATELLITE</w:t>
            </w:r>
          </w:p>
        </w:tc>
        <w:tc>
          <w:tcPr>
            <w:tcW w:w="861" w:type="dxa"/>
            <w:tcBorders>
              <w:top w:val="nil"/>
              <w:left w:val="nil"/>
              <w:bottom w:val="nil"/>
              <w:right w:val="nil"/>
            </w:tcBorders>
            <w:shd w:val="clear" w:color="auto" w:fill="auto"/>
            <w:vAlign w:val="center"/>
            <w:hideMark/>
          </w:tcPr>
          <w:p w14:paraId="0F81DDB9" w14:textId="1FAAF5CD"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color w:val="000000"/>
                <w:sz w:val="21"/>
                <w:szCs w:val="21"/>
                <w:lang w:eastAsia="en-GB"/>
              </w:rPr>
              <w:t>641</w:t>
            </w:r>
          </w:p>
        </w:tc>
        <w:tc>
          <w:tcPr>
            <w:tcW w:w="861" w:type="dxa"/>
            <w:tcBorders>
              <w:top w:val="nil"/>
              <w:left w:val="nil"/>
              <w:bottom w:val="nil"/>
              <w:right w:val="nil"/>
            </w:tcBorders>
            <w:shd w:val="clear" w:color="auto" w:fill="auto"/>
            <w:vAlign w:val="center"/>
            <w:hideMark/>
          </w:tcPr>
          <w:p w14:paraId="0423CA71" w14:textId="4AE4A8A9"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color w:val="000000"/>
                <w:sz w:val="21"/>
                <w:szCs w:val="21"/>
                <w:lang w:eastAsia="en-GB"/>
              </w:rPr>
              <w:t>571</w:t>
            </w:r>
          </w:p>
        </w:tc>
        <w:tc>
          <w:tcPr>
            <w:tcW w:w="862" w:type="dxa"/>
            <w:tcBorders>
              <w:top w:val="nil"/>
              <w:left w:val="nil"/>
              <w:bottom w:val="nil"/>
              <w:right w:val="nil"/>
            </w:tcBorders>
            <w:shd w:val="clear" w:color="auto" w:fill="auto"/>
            <w:vAlign w:val="center"/>
            <w:hideMark/>
          </w:tcPr>
          <w:p w14:paraId="6C1A086C" w14:textId="18AACB0A"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color w:val="000000"/>
                <w:sz w:val="21"/>
                <w:szCs w:val="21"/>
                <w:lang w:eastAsia="en-GB"/>
              </w:rPr>
              <w:t>577</w:t>
            </w:r>
          </w:p>
        </w:tc>
        <w:tc>
          <w:tcPr>
            <w:tcW w:w="863" w:type="dxa"/>
            <w:tcBorders>
              <w:top w:val="nil"/>
              <w:left w:val="nil"/>
              <w:bottom w:val="nil"/>
              <w:right w:val="nil"/>
            </w:tcBorders>
            <w:shd w:val="clear" w:color="auto" w:fill="auto"/>
            <w:vAlign w:val="center"/>
            <w:hideMark/>
          </w:tcPr>
          <w:p w14:paraId="3DC1F9FE" w14:textId="78814E49"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563</w:t>
            </w:r>
          </w:p>
        </w:tc>
        <w:tc>
          <w:tcPr>
            <w:tcW w:w="863" w:type="dxa"/>
            <w:tcBorders>
              <w:top w:val="nil"/>
              <w:left w:val="nil"/>
              <w:bottom w:val="nil"/>
              <w:right w:val="nil"/>
            </w:tcBorders>
            <w:shd w:val="clear" w:color="auto" w:fill="auto"/>
            <w:vAlign w:val="center"/>
            <w:hideMark/>
          </w:tcPr>
          <w:p w14:paraId="55A04855" w14:textId="45550770"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584</w:t>
            </w:r>
          </w:p>
        </w:tc>
        <w:tc>
          <w:tcPr>
            <w:tcW w:w="863" w:type="dxa"/>
            <w:tcBorders>
              <w:top w:val="nil"/>
              <w:left w:val="nil"/>
              <w:bottom w:val="nil"/>
              <w:right w:val="nil"/>
            </w:tcBorders>
            <w:shd w:val="clear" w:color="auto" w:fill="auto"/>
            <w:vAlign w:val="center"/>
            <w:hideMark/>
          </w:tcPr>
          <w:p w14:paraId="0103D487" w14:textId="4B067865"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584</w:t>
            </w:r>
          </w:p>
        </w:tc>
        <w:tc>
          <w:tcPr>
            <w:tcW w:w="863" w:type="dxa"/>
            <w:tcBorders>
              <w:top w:val="nil"/>
              <w:left w:val="nil"/>
              <w:bottom w:val="nil"/>
              <w:right w:val="nil"/>
            </w:tcBorders>
            <w:shd w:val="clear" w:color="auto" w:fill="auto"/>
            <w:vAlign w:val="center"/>
            <w:hideMark/>
          </w:tcPr>
          <w:p w14:paraId="0AFCE4E3" w14:textId="51EFDC1F"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384</w:t>
            </w:r>
          </w:p>
        </w:tc>
        <w:tc>
          <w:tcPr>
            <w:tcW w:w="863" w:type="dxa"/>
            <w:tcBorders>
              <w:top w:val="nil"/>
              <w:left w:val="nil"/>
              <w:bottom w:val="nil"/>
              <w:right w:val="nil"/>
            </w:tcBorders>
            <w:shd w:val="clear" w:color="auto" w:fill="auto"/>
            <w:vAlign w:val="center"/>
            <w:hideMark/>
          </w:tcPr>
          <w:p w14:paraId="22E58187" w14:textId="190B2A5A"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263</w:t>
            </w:r>
          </w:p>
        </w:tc>
      </w:tr>
      <w:tr w:rsidR="007516D5" w:rsidRPr="00BA3D71" w14:paraId="67859FAE"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73AD1771" w14:textId="77777777" w:rsidR="007516D5" w:rsidRPr="00BA3D71" w:rsidRDefault="007516D5" w:rsidP="004E15D2">
            <w:pPr>
              <w:pStyle w:val="Tabletext"/>
              <w:spacing w:before="0" w:after="0"/>
              <w:rPr>
                <w:rFonts w:asciiTheme="minorHAnsi" w:hAnsiTheme="minorHAnsi"/>
                <w:b/>
                <w:bCs/>
                <w:sz w:val="21"/>
                <w:szCs w:val="21"/>
                <w:lang w:eastAsia="zh-CN"/>
              </w:rPr>
            </w:pPr>
          </w:p>
        </w:tc>
        <w:tc>
          <w:tcPr>
            <w:tcW w:w="861" w:type="dxa"/>
            <w:tcBorders>
              <w:top w:val="nil"/>
              <w:left w:val="nil"/>
              <w:bottom w:val="nil"/>
              <w:right w:val="nil"/>
            </w:tcBorders>
            <w:shd w:val="clear" w:color="auto" w:fill="auto"/>
            <w:vAlign w:val="center"/>
            <w:hideMark/>
          </w:tcPr>
          <w:p w14:paraId="5269314D" w14:textId="77777777" w:rsidR="007516D5" w:rsidRPr="00BA3D71" w:rsidRDefault="007516D5" w:rsidP="004E15D2">
            <w:pPr>
              <w:pStyle w:val="Tabletext"/>
              <w:spacing w:before="0" w:after="0"/>
              <w:jc w:val="right"/>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28953C81" w14:textId="77777777" w:rsidR="007516D5" w:rsidRPr="00BA3D71" w:rsidRDefault="007516D5" w:rsidP="004E15D2">
            <w:pPr>
              <w:pStyle w:val="Tabletext"/>
              <w:spacing w:before="0" w:after="0"/>
              <w:jc w:val="right"/>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003ED910"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619F722"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2D2A8F4C"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54C82472"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1D2B082A" w14:textId="77777777" w:rsidR="007516D5" w:rsidRPr="00BA3D71"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16E4EDDB" w14:textId="77777777" w:rsidR="007516D5" w:rsidRPr="00BA3D71" w:rsidRDefault="007516D5" w:rsidP="004E15D2">
            <w:pPr>
              <w:pStyle w:val="Tabletext"/>
              <w:spacing w:before="0" w:after="0"/>
              <w:jc w:val="right"/>
              <w:rPr>
                <w:rFonts w:asciiTheme="minorHAnsi" w:hAnsiTheme="minorHAnsi"/>
                <w:sz w:val="21"/>
                <w:szCs w:val="21"/>
              </w:rPr>
            </w:pPr>
          </w:p>
        </w:tc>
      </w:tr>
      <w:tr w:rsidR="007516D5" w:rsidRPr="00BA3D71" w14:paraId="4A382D89"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0C4BCE1A" w14:textId="77777777" w:rsidR="007516D5" w:rsidRPr="00BA3D71" w:rsidRDefault="007516D5" w:rsidP="004E15D2">
            <w:pPr>
              <w:pStyle w:val="Tabletext"/>
              <w:spacing w:before="0" w:after="0"/>
              <w:rPr>
                <w:rFonts w:asciiTheme="minorHAnsi" w:hAnsiTheme="minorHAnsi"/>
                <w:b/>
                <w:bCs/>
                <w:sz w:val="21"/>
                <w:szCs w:val="21"/>
                <w:lang w:eastAsia="zh-CN"/>
              </w:rPr>
            </w:pPr>
            <w:r w:rsidRPr="00BA3D71">
              <w:rPr>
                <w:rFonts w:asciiTheme="minorHAnsi" w:hAnsiTheme="minorHAnsi"/>
                <w:b/>
                <w:bCs/>
                <w:sz w:val="21"/>
                <w:szCs w:val="21"/>
                <w:lang w:eastAsia="zh-CN"/>
              </w:rPr>
              <w:t>FACTURES DIVERSES</w:t>
            </w:r>
          </w:p>
        </w:tc>
        <w:tc>
          <w:tcPr>
            <w:tcW w:w="861" w:type="dxa"/>
            <w:tcBorders>
              <w:top w:val="nil"/>
              <w:left w:val="nil"/>
              <w:bottom w:val="nil"/>
              <w:right w:val="nil"/>
            </w:tcBorders>
            <w:shd w:val="clear" w:color="auto" w:fill="auto"/>
            <w:vAlign w:val="center"/>
            <w:hideMark/>
          </w:tcPr>
          <w:p w14:paraId="532E6089" w14:textId="15B9056F"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color w:val="000000"/>
                <w:sz w:val="21"/>
                <w:szCs w:val="21"/>
                <w:lang w:eastAsia="en-GB"/>
              </w:rPr>
              <w:t>76</w:t>
            </w:r>
          </w:p>
        </w:tc>
        <w:tc>
          <w:tcPr>
            <w:tcW w:w="861" w:type="dxa"/>
            <w:tcBorders>
              <w:top w:val="nil"/>
              <w:left w:val="nil"/>
              <w:bottom w:val="nil"/>
              <w:right w:val="nil"/>
            </w:tcBorders>
            <w:shd w:val="clear" w:color="auto" w:fill="auto"/>
            <w:vAlign w:val="center"/>
            <w:hideMark/>
          </w:tcPr>
          <w:p w14:paraId="353A3E3D" w14:textId="32644CC4"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color w:val="000000"/>
                <w:sz w:val="21"/>
                <w:szCs w:val="21"/>
                <w:lang w:eastAsia="en-GB"/>
              </w:rPr>
              <w:t>65</w:t>
            </w:r>
          </w:p>
        </w:tc>
        <w:tc>
          <w:tcPr>
            <w:tcW w:w="862" w:type="dxa"/>
            <w:tcBorders>
              <w:top w:val="nil"/>
              <w:left w:val="nil"/>
              <w:bottom w:val="nil"/>
              <w:right w:val="nil"/>
            </w:tcBorders>
            <w:shd w:val="clear" w:color="auto" w:fill="auto"/>
            <w:vAlign w:val="center"/>
            <w:hideMark/>
          </w:tcPr>
          <w:p w14:paraId="1672752B" w14:textId="0C107731"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color w:val="000000"/>
                <w:sz w:val="21"/>
                <w:szCs w:val="21"/>
                <w:lang w:eastAsia="en-GB"/>
              </w:rPr>
              <w:t>72</w:t>
            </w:r>
          </w:p>
        </w:tc>
        <w:tc>
          <w:tcPr>
            <w:tcW w:w="863" w:type="dxa"/>
            <w:tcBorders>
              <w:top w:val="nil"/>
              <w:left w:val="nil"/>
              <w:bottom w:val="nil"/>
              <w:right w:val="nil"/>
            </w:tcBorders>
            <w:shd w:val="clear" w:color="auto" w:fill="auto"/>
            <w:vAlign w:val="center"/>
            <w:hideMark/>
          </w:tcPr>
          <w:p w14:paraId="40059F47" w14:textId="56BE0CF6"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71</w:t>
            </w:r>
          </w:p>
        </w:tc>
        <w:tc>
          <w:tcPr>
            <w:tcW w:w="863" w:type="dxa"/>
            <w:tcBorders>
              <w:top w:val="nil"/>
              <w:left w:val="nil"/>
              <w:bottom w:val="nil"/>
              <w:right w:val="nil"/>
            </w:tcBorders>
            <w:shd w:val="clear" w:color="auto" w:fill="auto"/>
            <w:vAlign w:val="center"/>
            <w:hideMark/>
          </w:tcPr>
          <w:p w14:paraId="32BC4A86" w14:textId="3D169645"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68</w:t>
            </w:r>
          </w:p>
        </w:tc>
        <w:tc>
          <w:tcPr>
            <w:tcW w:w="863" w:type="dxa"/>
            <w:tcBorders>
              <w:top w:val="nil"/>
              <w:left w:val="nil"/>
              <w:bottom w:val="nil"/>
              <w:right w:val="nil"/>
            </w:tcBorders>
            <w:shd w:val="clear" w:color="auto" w:fill="auto"/>
            <w:vAlign w:val="center"/>
            <w:hideMark/>
          </w:tcPr>
          <w:p w14:paraId="7C83C773" w14:textId="6F41A274"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66</w:t>
            </w:r>
          </w:p>
        </w:tc>
        <w:tc>
          <w:tcPr>
            <w:tcW w:w="863" w:type="dxa"/>
            <w:tcBorders>
              <w:top w:val="nil"/>
              <w:left w:val="nil"/>
              <w:bottom w:val="nil"/>
              <w:right w:val="nil"/>
            </w:tcBorders>
            <w:shd w:val="clear" w:color="auto" w:fill="auto"/>
            <w:vAlign w:val="center"/>
            <w:hideMark/>
          </w:tcPr>
          <w:p w14:paraId="66877FA2" w14:textId="22FA62ED"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63</w:t>
            </w:r>
          </w:p>
        </w:tc>
        <w:tc>
          <w:tcPr>
            <w:tcW w:w="863" w:type="dxa"/>
            <w:tcBorders>
              <w:top w:val="nil"/>
              <w:left w:val="nil"/>
              <w:bottom w:val="nil"/>
              <w:right w:val="nil"/>
            </w:tcBorders>
            <w:shd w:val="clear" w:color="auto" w:fill="auto"/>
            <w:vAlign w:val="center"/>
            <w:hideMark/>
          </w:tcPr>
          <w:p w14:paraId="7738699A" w14:textId="174831F5" w:rsidR="007516D5" w:rsidRPr="00BA3D71" w:rsidRDefault="007516D5" w:rsidP="004E15D2">
            <w:pPr>
              <w:pStyle w:val="Tabletext"/>
              <w:spacing w:before="0" w:after="0"/>
              <w:jc w:val="right"/>
              <w:rPr>
                <w:rFonts w:asciiTheme="minorHAnsi" w:hAnsiTheme="minorHAnsi"/>
                <w:b/>
                <w:bCs/>
                <w:sz w:val="21"/>
                <w:szCs w:val="21"/>
              </w:rPr>
            </w:pPr>
            <w:r w:rsidRPr="00BA3D71">
              <w:rPr>
                <w:rFonts w:asciiTheme="minorHAnsi" w:hAnsiTheme="minorHAnsi" w:cs="Calibri"/>
                <w:b/>
                <w:bCs/>
                <w:sz w:val="21"/>
                <w:szCs w:val="21"/>
                <w:lang w:eastAsia="en-GB"/>
              </w:rPr>
              <w:t>63</w:t>
            </w:r>
          </w:p>
        </w:tc>
      </w:tr>
      <w:tr w:rsidR="009F1354" w:rsidRPr="00BA3D71" w14:paraId="086AF4F0"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6837AC85" w14:textId="77777777" w:rsidR="009F1354" w:rsidRPr="00BA3D71" w:rsidRDefault="009F1354" w:rsidP="004E15D2">
            <w:pPr>
              <w:pStyle w:val="Tabletext"/>
              <w:spacing w:before="0" w:after="0"/>
              <w:rPr>
                <w:rFonts w:asciiTheme="minorHAnsi" w:hAnsiTheme="minorHAnsi"/>
                <w:b/>
                <w:bCs/>
                <w:sz w:val="21"/>
                <w:szCs w:val="21"/>
                <w:lang w:eastAsia="zh-CN"/>
              </w:rPr>
            </w:pPr>
          </w:p>
        </w:tc>
        <w:tc>
          <w:tcPr>
            <w:tcW w:w="861" w:type="dxa"/>
            <w:tcBorders>
              <w:top w:val="nil"/>
              <w:left w:val="nil"/>
              <w:bottom w:val="nil"/>
              <w:right w:val="nil"/>
            </w:tcBorders>
            <w:shd w:val="clear" w:color="auto" w:fill="auto"/>
            <w:vAlign w:val="center"/>
            <w:hideMark/>
          </w:tcPr>
          <w:p w14:paraId="3AE25CA8" w14:textId="77777777" w:rsidR="009F1354" w:rsidRPr="00BA3D71" w:rsidRDefault="009F1354" w:rsidP="004E15D2">
            <w:pPr>
              <w:pStyle w:val="Tabletext"/>
              <w:spacing w:before="0" w:after="0"/>
              <w:jc w:val="right"/>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190979EB" w14:textId="77777777" w:rsidR="009F1354" w:rsidRPr="00BA3D71" w:rsidRDefault="009F1354" w:rsidP="004E15D2">
            <w:pPr>
              <w:pStyle w:val="Tabletext"/>
              <w:spacing w:before="0" w:after="0"/>
              <w:jc w:val="right"/>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1B96DA88" w14:textId="77777777" w:rsidR="009F1354" w:rsidRPr="00BA3D71" w:rsidRDefault="009F1354"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54A42B1" w14:textId="77777777" w:rsidR="009F1354" w:rsidRPr="00BA3D71" w:rsidRDefault="009F1354"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CED2505" w14:textId="77777777" w:rsidR="009F1354" w:rsidRPr="00BA3D71" w:rsidRDefault="009F1354"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0B1E472" w14:textId="77777777" w:rsidR="009F1354" w:rsidRPr="00BA3D71" w:rsidRDefault="009F1354"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4395A2A9" w14:textId="77777777" w:rsidR="009F1354" w:rsidRPr="00BA3D71" w:rsidRDefault="009F1354"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5E8DFE8B" w14:textId="77777777" w:rsidR="009F1354" w:rsidRPr="00BA3D71" w:rsidRDefault="009F1354" w:rsidP="004E15D2">
            <w:pPr>
              <w:pStyle w:val="Tabletext"/>
              <w:spacing w:before="0" w:after="0"/>
              <w:jc w:val="right"/>
              <w:rPr>
                <w:rFonts w:asciiTheme="minorHAnsi" w:hAnsiTheme="minorHAnsi"/>
                <w:sz w:val="21"/>
                <w:szCs w:val="21"/>
              </w:rPr>
            </w:pPr>
          </w:p>
        </w:tc>
      </w:tr>
      <w:tr w:rsidR="00116E6C" w:rsidRPr="00BA3D71" w14:paraId="00A1210E" w14:textId="77777777" w:rsidTr="003F0070">
        <w:trPr>
          <w:trHeight w:val="300"/>
          <w:jc w:val="center"/>
        </w:trPr>
        <w:tc>
          <w:tcPr>
            <w:tcW w:w="2967" w:type="dxa"/>
            <w:tcBorders>
              <w:top w:val="nil"/>
              <w:left w:val="nil"/>
              <w:bottom w:val="nil"/>
              <w:right w:val="nil"/>
            </w:tcBorders>
            <w:shd w:val="clear" w:color="auto" w:fill="auto"/>
            <w:noWrap/>
            <w:vAlign w:val="center"/>
          </w:tcPr>
          <w:p w14:paraId="62997953" w14:textId="18BA6BEB" w:rsidR="00116E6C" w:rsidRPr="00BA3D71" w:rsidRDefault="007A7853" w:rsidP="004E15D2">
            <w:pPr>
              <w:pStyle w:val="Tabletext"/>
              <w:spacing w:before="0" w:after="0"/>
              <w:rPr>
                <w:rFonts w:asciiTheme="minorHAnsi" w:hAnsiTheme="minorHAnsi"/>
                <w:b/>
                <w:bCs/>
                <w:sz w:val="21"/>
                <w:szCs w:val="21"/>
                <w:lang w:eastAsia="zh-CN"/>
              </w:rPr>
            </w:pPr>
            <w:r w:rsidRPr="00BA3D71">
              <w:rPr>
                <w:rFonts w:asciiTheme="minorHAnsi" w:hAnsiTheme="minorHAnsi" w:cs="Calibri"/>
                <w:b/>
                <w:bCs/>
                <w:color w:val="000000"/>
                <w:sz w:val="21"/>
                <w:szCs w:val="21"/>
                <w:lang w:eastAsia="en-GB"/>
              </w:rPr>
              <w:t>Droits de gestion pour les </w:t>
            </w:r>
            <w:r w:rsidR="003F23C2" w:rsidRPr="00BA3D71">
              <w:rPr>
                <w:rFonts w:asciiTheme="minorHAnsi" w:hAnsiTheme="minorHAnsi" w:cs="Calibri"/>
                <w:b/>
                <w:bCs/>
                <w:color w:val="000000"/>
                <w:sz w:val="21"/>
                <w:szCs w:val="21"/>
                <w:lang w:eastAsia="en-GB"/>
              </w:rPr>
              <w:t xml:space="preserve">numéros </w:t>
            </w:r>
            <w:r w:rsidR="00116E6C" w:rsidRPr="00BA3D71">
              <w:rPr>
                <w:rFonts w:asciiTheme="minorHAnsi" w:hAnsiTheme="minorHAnsi" w:cs="Calibri"/>
                <w:b/>
                <w:bCs/>
                <w:color w:val="000000"/>
                <w:sz w:val="21"/>
                <w:szCs w:val="21"/>
                <w:lang w:eastAsia="en-GB"/>
              </w:rPr>
              <w:t>UIF</w:t>
            </w:r>
            <w:r w:rsidR="003F23C2" w:rsidRPr="00BA3D71">
              <w:rPr>
                <w:rFonts w:asciiTheme="minorHAnsi" w:hAnsiTheme="minorHAnsi" w:cs="Calibri"/>
                <w:b/>
                <w:bCs/>
                <w:color w:val="000000"/>
                <w:sz w:val="21"/>
                <w:szCs w:val="21"/>
                <w:lang w:eastAsia="en-GB"/>
              </w:rPr>
              <w:t>N</w:t>
            </w:r>
          </w:p>
        </w:tc>
        <w:tc>
          <w:tcPr>
            <w:tcW w:w="861" w:type="dxa"/>
            <w:tcBorders>
              <w:top w:val="nil"/>
              <w:left w:val="nil"/>
              <w:bottom w:val="nil"/>
              <w:right w:val="nil"/>
            </w:tcBorders>
            <w:shd w:val="clear" w:color="auto" w:fill="auto"/>
            <w:vAlign w:val="center"/>
          </w:tcPr>
          <w:p w14:paraId="34D048CF" w14:textId="280821C3" w:rsidR="00116E6C" w:rsidRPr="00BA3D71" w:rsidRDefault="00116E6C" w:rsidP="004E15D2">
            <w:pPr>
              <w:pStyle w:val="Tabletext"/>
              <w:spacing w:before="0" w:after="0"/>
              <w:jc w:val="right"/>
              <w:rPr>
                <w:rFonts w:asciiTheme="minorHAnsi" w:hAnsiTheme="minorHAnsi"/>
                <w:sz w:val="21"/>
                <w:szCs w:val="21"/>
              </w:rPr>
            </w:pPr>
            <w:r w:rsidRPr="00BA3D71">
              <w:rPr>
                <w:rFonts w:asciiTheme="minorHAnsi" w:hAnsiTheme="minorHAnsi" w:cs="Calibri"/>
                <w:b/>
                <w:bCs/>
                <w:color w:val="000000"/>
                <w:sz w:val="21"/>
                <w:szCs w:val="21"/>
                <w:lang w:eastAsia="en-GB"/>
              </w:rPr>
              <w:t>–</w:t>
            </w:r>
          </w:p>
        </w:tc>
        <w:tc>
          <w:tcPr>
            <w:tcW w:w="861" w:type="dxa"/>
            <w:tcBorders>
              <w:top w:val="nil"/>
              <w:left w:val="nil"/>
              <w:bottom w:val="nil"/>
              <w:right w:val="nil"/>
            </w:tcBorders>
            <w:shd w:val="clear" w:color="auto" w:fill="auto"/>
            <w:vAlign w:val="center"/>
          </w:tcPr>
          <w:p w14:paraId="3585F701" w14:textId="75D93B73" w:rsidR="00116E6C" w:rsidRPr="00BA3D71" w:rsidRDefault="00116E6C" w:rsidP="004E15D2">
            <w:pPr>
              <w:pStyle w:val="Tabletext"/>
              <w:spacing w:before="0" w:after="0"/>
              <w:jc w:val="right"/>
              <w:rPr>
                <w:rFonts w:asciiTheme="minorHAnsi" w:hAnsiTheme="minorHAnsi"/>
                <w:sz w:val="21"/>
                <w:szCs w:val="21"/>
              </w:rPr>
            </w:pPr>
            <w:r w:rsidRPr="00BA3D71">
              <w:rPr>
                <w:rFonts w:asciiTheme="minorHAnsi" w:hAnsiTheme="minorHAnsi" w:cs="Calibri"/>
                <w:b/>
                <w:bCs/>
                <w:color w:val="000000"/>
                <w:sz w:val="21"/>
                <w:szCs w:val="21"/>
                <w:lang w:eastAsia="en-GB"/>
              </w:rPr>
              <w:t>–</w:t>
            </w:r>
          </w:p>
        </w:tc>
        <w:tc>
          <w:tcPr>
            <w:tcW w:w="862" w:type="dxa"/>
            <w:tcBorders>
              <w:top w:val="nil"/>
              <w:left w:val="nil"/>
              <w:bottom w:val="nil"/>
              <w:right w:val="nil"/>
            </w:tcBorders>
            <w:shd w:val="clear" w:color="auto" w:fill="auto"/>
            <w:vAlign w:val="center"/>
          </w:tcPr>
          <w:p w14:paraId="6F61B7FA" w14:textId="5EC93408" w:rsidR="00116E6C" w:rsidRPr="00BA3D71" w:rsidRDefault="00116E6C" w:rsidP="004E15D2">
            <w:pPr>
              <w:pStyle w:val="Tabletext"/>
              <w:spacing w:before="0" w:after="0"/>
              <w:jc w:val="right"/>
              <w:rPr>
                <w:rFonts w:asciiTheme="minorHAnsi" w:hAnsiTheme="minorHAnsi"/>
                <w:sz w:val="21"/>
                <w:szCs w:val="21"/>
              </w:rPr>
            </w:pPr>
            <w:r w:rsidRPr="00BA3D71">
              <w:rPr>
                <w:rFonts w:asciiTheme="minorHAnsi" w:hAnsiTheme="minorHAnsi" w:cs="Calibri"/>
                <w:b/>
                <w:bCs/>
                <w:color w:val="000000"/>
                <w:sz w:val="21"/>
                <w:szCs w:val="21"/>
                <w:lang w:eastAsia="en-GB"/>
              </w:rPr>
              <w:t>–</w:t>
            </w:r>
          </w:p>
        </w:tc>
        <w:tc>
          <w:tcPr>
            <w:tcW w:w="863" w:type="dxa"/>
            <w:tcBorders>
              <w:top w:val="nil"/>
              <w:left w:val="nil"/>
              <w:bottom w:val="nil"/>
              <w:right w:val="nil"/>
            </w:tcBorders>
            <w:shd w:val="clear" w:color="auto" w:fill="auto"/>
            <w:vAlign w:val="center"/>
          </w:tcPr>
          <w:p w14:paraId="12DBF120" w14:textId="4CB68F87" w:rsidR="00116E6C" w:rsidRPr="00BA3D71" w:rsidRDefault="00116E6C" w:rsidP="004E15D2">
            <w:pPr>
              <w:pStyle w:val="Tabletext"/>
              <w:spacing w:before="0" w:after="0"/>
              <w:jc w:val="right"/>
              <w:rPr>
                <w:rFonts w:asciiTheme="minorHAnsi" w:hAnsiTheme="minorHAnsi"/>
                <w:sz w:val="21"/>
                <w:szCs w:val="21"/>
              </w:rPr>
            </w:pPr>
            <w:r w:rsidRPr="00BA3D71">
              <w:rPr>
                <w:rFonts w:asciiTheme="minorHAnsi" w:hAnsiTheme="minorHAnsi" w:cs="Calibri"/>
                <w:b/>
                <w:bCs/>
                <w:color w:val="000000"/>
                <w:sz w:val="21"/>
                <w:szCs w:val="21"/>
                <w:lang w:eastAsia="en-GB"/>
              </w:rPr>
              <w:t>–</w:t>
            </w:r>
          </w:p>
        </w:tc>
        <w:tc>
          <w:tcPr>
            <w:tcW w:w="863" w:type="dxa"/>
            <w:tcBorders>
              <w:top w:val="nil"/>
              <w:left w:val="nil"/>
              <w:bottom w:val="nil"/>
              <w:right w:val="nil"/>
            </w:tcBorders>
            <w:shd w:val="clear" w:color="auto" w:fill="auto"/>
            <w:vAlign w:val="center"/>
          </w:tcPr>
          <w:p w14:paraId="1ABE237B" w14:textId="123124FE" w:rsidR="00116E6C" w:rsidRPr="00BA3D71" w:rsidRDefault="00116E6C" w:rsidP="004E15D2">
            <w:pPr>
              <w:pStyle w:val="Tabletext"/>
              <w:spacing w:before="0" w:after="0"/>
              <w:jc w:val="right"/>
              <w:rPr>
                <w:rFonts w:asciiTheme="minorHAnsi" w:hAnsiTheme="minorHAnsi"/>
                <w:sz w:val="21"/>
                <w:szCs w:val="21"/>
              </w:rPr>
            </w:pPr>
            <w:r w:rsidRPr="00BA3D71">
              <w:rPr>
                <w:rFonts w:asciiTheme="minorHAnsi" w:hAnsiTheme="minorHAnsi" w:cs="Calibri"/>
                <w:b/>
                <w:bCs/>
                <w:color w:val="000000"/>
                <w:sz w:val="21"/>
                <w:szCs w:val="21"/>
                <w:lang w:eastAsia="en-GB"/>
              </w:rPr>
              <w:t>–</w:t>
            </w:r>
          </w:p>
        </w:tc>
        <w:tc>
          <w:tcPr>
            <w:tcW w:w="863" w:type="dxa"/>
            <w:tcBorders>
              <w:top w:val="nil"/>
              <w:left w:val="nil"/>
              <w:bottom w:val="nil"/>
              <w:right w:val="nil"/>
            </w:tcBorders>
            <w:shd w:val="clear" w:color="auto" w:fill="auto"/>
            <w:vAlign w:val="center"/>
          </w:tcPr>
          <w:p w14:paraId="0B63EAC5" w14:textId="747032FE" w:rsidR="00116E6C" w:rsidRPr="00BA3D71" w:rsidRDefault="00116E6C" w:rsidP="004E15D2">
            <w:pPr>
              <w:pStyle w:val="Tabletext"/>
              <w:spacing w:before="0" w:after="0"/>
              <w:jc w:val="right"/>
              <w:rPr>
                <w:rFonts w:asciiTheme="minorHAnsi" w:hAnsiTheme="minorHAnsi"/>
                <w:sz w:val="21"/>
                <w:szCs w:val="21"/>
              </w:rPr>
            </w:pPr>
            <w:r w:rsidRPr="00BA3D71">
              <w:rPr>
                <w:rFonts w:asciiTheme="minorHAnsi" w:hAnsiTheme="minorHAnsi" w:cs="Calibri"/>
                <w:b/>
                <w:bCs/>
                <w:color w:val="000000"/>
                <w:sz w:val="21"/>
                <w:szCs w:val="21"/>
                <w:lang w:eastAsia="en-GB"/>
              </w:rPr>
              <w:t>–</w:t>
            </w:r>
          </w:p>
        </w:tc>
        <w:tc>
          <w:tcPr>
            <w:tcW w:w="863" w:type="dxa"/>
            <w:tcBorders>
              <w:top w:val="nil"/>
              <w:left w:val="nil"/>
              <w:bottom w:val="nil"/>
              <w:right w:val="nil"/>
            </w:tcBorders>
            <w:shd w:val="clear" w:color="auto" w:fill="auto"/>
            <w:vAlign w:val="center"/>
          </w:tcPr>
          <w:p w14:paraId="13324D2E" w14:textId="1F63AAB4" w:rsidR="00116E6C" w:rsidRPr="00BA3D71" w:rsidRDefault="00116E6C" w:rsidP="004E15D2">
            <w:pPr>
              <w:pStyle w:val="Tabletext"/>
              <w:spacing w:before="0" w:after="0"/>
              <w:jc w:val="right"/>
              <w:rPr>
                <w:rFonts w:asciiTheme="minorHAnsi" w:hAnsiTheme="minorHAnsi"/>
                <w:sz w:val="21"/>
                <w:szCs w:val="21"/>
              </w:rPr>
            </w:pPr>
            <w:r w:rsidRPr="00BA3D71">
              <w:rPr>
                <w:rFonts w:asciiTheme="minorHAnsi" w:hAnsiTheme="minorHAnsi" w:cs="Calibri"/>
                <w:b/>
                <w:bCs/>
                <w:color w:val="000000"/>
                <w:sz w:val="21"/>
                <w:szCs w:val="21"/>
                <w:lang w:eastAsia="en-GB"/>
              </w:rPr>
              <w:t>–</w:t>
            </w:r>
          </w:p>
        </w:tc>
        <w:tc>
          <w:tcPr>
            <w:tcW w:w="863" w:type="dxa"/>
            <w:tcBorders>
              <w:top w:val="nil"/>
              <w:left w:val="nil"/>
              <w:bottom w:val="nil"/>
              <w:right w:val="nil"/>
            </w:tcBorders>
            <w:shd w:val="clear" w:color="auto" w:fill="auto"/>
            <w:vAlign w:val="center"/>
          </w:tcPr>
          <w:p w14:paraId="0BC78760" w14:textId="0324311A" w:rsidR="00116E6C" w:rsidRPr="00BA3D71" w:rsidRDefault="00116E6C" w:rsidP="004E15D2">
            <w:pPr>
              <w:pStyle w:val="Tabletext"/>
              <w:spacing w:before="0" w:after="0"/>
              <w:jc w:val="right"/>
              <w:rPr>
                <w:rFonts w:asciiTheme="minorHAnsi" w:hAnsiTheme="minorHAnsi"/>
                <w:sz w:val="21"/>
                <w:szCs w:val="21"/>
              </w:rPr>
            </w:pPr>
            <w:r w:rsidRPr="00BA3D71">
              <w:rPr>
                <w:rFonts w:asciiTheme="minorHAnsi" w:hAnsiTheme="minorHAnsi" w:cs="Calibri"/>
                <w:b/>
                <w:bCs/>
                <w:sz w:val="21"/>
                <w:szCs w:val="21"/>
                <w:lang w:eastAsia="en-GB"/>
              </w:rPr>
              <w:t>29</w:t>
            </w:r>
          </w:p>
        </w:tc>
      </w:tr>
      <w:tr w:rsidR="00116E6C" w:rsidRPr="00BA3D71" w14:paraId="73C39F4B" w14:textId="77777777" w:rsidTr="00FC1C04">
        <w:trPr>
          <w:trHeight w:val="227"/>
          <w:jc w:val="center"/>
        </w:trPr>
        <w:tc>
          <w:tcPr>
            <w:tcW w:w="2967" w:type="dxa"/>
            <w:tcBorders>
              <w:top w:val="nil"/>
              <w:left w:val="nil"/>
              <w:bottom w:val="nil"/>
              <w:right w:val="nil"/>
            </w:tcBorders>
            <w:shd w:val="clear" w:color="auto" w:fill="auto"/>
            <w:noWrap/>
            <w:vAlign w:val="center"/>
          </w:tcPr>
          <w:p w14:paraId="343CEB21" w14:textId="77777777" w:rsidR="00116E6C" w:rsidRPr="00BA3D71" w:rsidRDefault="00116E6C" w:rsidP="004E15D2">
            <w:pPr>
              <w:pStyle w:val="Tabletext"/>
              <w:spacing w:before="0" w:after="0"/>
              <w:rPr>
                <w:rFonts w:asciiTheme="minorHAnsi" w:hAnsiTheme="minorHAnsi"/>
                <w:b/>
                <w:bCs/>
                <w:sz w:val="16"/>
                <w:szCs w:val="16"/>
                <w:lang w:eastAsia="zh-CN"/>
              </w:rPr>
            </w:pPr>
          </w:p>
        </w:tc>
        <w:tc>
          <w:tcPr>
            <w:tcW w:w="861" w:type="dxa"/>
            <w:tcBorders>
              <w:top w:val="nil"/>
              <w:left w:val="nil"/>
              <w:bottom w:val="nil"/>
              <w:right w:val="nil"/>
            </w:tcBorders>
            <w:shd w:val="clear" w:color="auto" w:fill="auto"/>
            <w:vAlign w:val="center"/>
          </w:tcPr>
          <w:p w14:paraId="2015164D" w14:textId="77777777" w:rsidR="00116E6C" w:rsidRPr="00BA3D71" w:rsidRDefault="00116E6C" w:rsidP="004E15D2">
            <w:pPr>
              <w:pStyle w:val="Tabletext"/>
              <w:spacing w:before="0" w:after="0"/>
              <w:jc w:val="right"/>
              <w:rPr>
                <w:rFonts w:asciiTheme="minorHAnsi" w:hAnsiTheme="minorHAnsi"/>
                <w:sz w:val="16"/>
                <w:szCs w:val="16"/>
              </w:rPr>
            </w:pPr>
          </w:p>
        </w:tc>
        <w:tc>
          <w:tcPr>
            <w:tcW w:w="861" w:type="dxa"/>
            <w:tcBorders>
              <w:top w:val="nil"/>
              <w:left w:val="nil"/>
              <w:bottom w:val="nil"/>
              <w:right w:val="nil"/>
            </w:tcBorders>
            <w:shd w:val="clear" w:color="auto" w:fill="auto"/>
            <w:vAlign w:val="center"/>
          </w:tcPr>
          <w:p w14:paraId="64053C1F" w14:textId="77777777" w:rsidR="00116E6C" w:rsidRPr="00BA3D71" w:rsidRDefault="00116E6C" w:rsidP="004E15D2">
            <w:pPr>
              <w:pStyle w:val="Tabletext"/>
              <w:spacing w:before="0" w:after="0"/>
              <w:jc w:val="right"/>
              <w:rPr>
                <w:rFonts w:asciiTheme="minorHAnsi" w:hAnsiTheme="minorHAnsi"/>
                <w:sz w:val="16"/>
                <w:szCs w:val="16"/>
              </w:rPr>
            </w:pPr>
          </w:p>
        </w:tc>
        <w:tc>
          <w:tcPr>
            <w:tcW w:w="862" w:type="dxa"/>
            <w:tcBorders>
              <w:top w:val="nil"/>
              <w:left w:val="nil"/>
              <w:bottom w:val="nil"/>
              <w:right w:val="nil"/>
            </w:tcBorders>
            <w:shd w:val="clear" w:color="auto" w:fill="auto"/>
            <w:vAlign w:val="center"/>
          </w:tcPr>
          <w:p w14:paraId="37E05B49" w14:textId="77777777" w:rsidR="00116E6C" w:rsidRPr="00BA3D71" w:rsidRDefault="00116E6C"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tcPr>
          <w:p w14:paraId="351ADA2F" w14:textId="77777777" w:rsidR="00116E6C" w:rsidRPr="00BA3D71" w:rsidRDefault="00116E6C"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tcPr>
          <w:p w14:paraId="62310EAB" w14:textId="77777777" w:rsidR="00116E6C" w:rsidRPr="00BA3D71" w:rsidRDefault="00116E6C"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tcPr>
          <w:p w14:paraId="0F0CAEE9" w14:textId="77777777" w:rsidR="00116E6C" w:rsidRPr="00BA3D71" w:rsidRDefault="00116E6C"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tcPr>
          <w:p w14:paraId="749ECCA0" w14:textId="77777777" w:rsidR="00116E6C" w:rsidRPr="00BA3D71" w:rsidRDefault="00116E6C"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tcPr>
          <w:p w14:paraId="0B1D07DF" w14:textId="77777777" w:rsidR="00116E6C" w:rsidRPr="00BA3D71" w:rsidRDefault="00116E6C" w:rsidP="004E15D2">
            <w:pPr>
              <w:pStyle w:val="Tabletext"/>
              <w:spacing w:before="0" w:after="0"/>
              <w:jc w:val="right"/>
              <w:rPr>
                <w:rFonts w:asciiTheme="minorHAnsi" w:hAnsiTheme="minorHAnsi"/>
                <w:sz w:val="16"/>
                <w:szCs w:val="16"/>
              </w:rPr>
            </w:pPr>
          </w:p>
        </w:tc>
      </w:tr>
      <w:tr w:rsidR="00116E6C" w:rsidRPr="00BA3D71" w14:paraId="119E1A69"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0A4357E2" w14:textId="77777777" w:rsidR="00116E6C" w:rsidRPr="00BA3D71" w:rsidRDefault="00116E6C" w:rsidP="00D459BB">
            <w:pPr>
              <w:pStyle w:val="Tabletext"/>
              <w:spacing w:before="120" w:after="120"/>
              <w:rPr>
                <w:rFonts w:asciiTheme="minorHAnsi" w:hAnsiTheme="minorHAnsi"/>
                <w:b/>
                <w:bCs/>
                <w:sz w:val="21"/>
                <w:szCs w:val="21"/>
                <w:lang w:eastAsia="zh-CN"/>
              </w:rPr>
            </w:pPr>
            <w:r w:rsidRPr="00BA3D71">
              <w:rPr>
                <w:rFonts w:asciiTheme="minorHAnsi" w:hAnsiTheme="minorHAnsi"/>
                <w:b/>
                <w:bCs/>
                <w:sz w:val="21"/>
                <w:szCs w:val="21"/>
                <w:lang w:eastAsia="zh-CN"/>
              </w:rPr>
              <w:t>Total</w:t>
            </w:r>
          </w:p>
        </w:tc>
        <w:tc>
          <w:tcPr>
            <w:tcW w:w="861" w:type="dxa"/>
            <w:tcBorders>
              <w:top w:val="nil"/>
              <w:left w:val="nil"/>
              <w:bottom w:val="nil"/>
              <w:right w:val="nil"/>
            </w:tcBorders>
            <w:shd w:val="clear" w:color="auto" w:fill="auto"/>
            <w:vAlign w:val="center"/>
            <w:hideMark/>
          </w:tcPr>
          <w:p w14:paraId="548F3186" w14:textId="4ABE90E4" w:rsidR="00116E6C" w:rsidRPr="00BA3D71" w:rsidRDefault="00116E6C" w:rsidP="00D459BB">
            <w:pPr>
              <w:pStyle w:val="Tabletext"/>
              <w:spacing w:before="120" w:after="120"/>
              <w:jc w:val="right"/>
              <w:rPr>
                <w:rFonts w:asciiTheme="minorHAnsi" w:hAnsiTheme="minorHAnsi"/>
                <w:b/>
                <w:bCs/>
                <w:sz w:val="21"/>
                <w:szCs w:val="21"/>
                <w:u w:val="double"/>
              </w:rPr>
            </w:pPr>
            <w:r w:rsidRPr="00BA3D71">
              <w:rPr>
                <w:rFonts w:asciiTheme="minorHAnsi" w:hAnsiTheme="minorHAnsi" w:cs="Calibri"/>
                <w:b/>
                <w:bCs/>
                <w:color w:val="000000"/>
                <w:sz w:val="21"/>
                <w:szCs w:val="21"/>
                <w:u w:val="double"/>
                <w:lang w:eastAsia="en-GB"/>
              </w:rPr>
              <w:t>60 576</w:t>
            </w:r>
          </w:p>
        </w:tc>
        <w:tc>
          <w:tcPr>
            <w:tcW w:w="861" w:type="dxa"/>
            <w:tcBorders>
              <w:top w:val="nil"/>
              <w:left w:val="nil"/>
              <w:bottom w:val="nil"/>
              <w:right w:val="nil"/>
            </w:tcBorders>
            <w:shd w:val="clear" w:color="auto" w:fill="auto"/>
            <w:vAlign w:val="center"/>
            <w:hideMark/>
          </w:tcPr>
          <w:p w14:paraId="146BB2E8" w14:textId="45D614E3" w:rsidR="00116E6C" w:rsidRPr="00BA3D71" w:rsidRDefault="00116E6C" w:rsidP="00D459BB">
            <w:pPr>
              <w:pStyle w:val="Tabletext"/>
              <w:spacing w:before="120" w:after="120"/>
              <w:jc w:val="right"/>
              <w:rPr>
                <w:rFonts w:asciiTheme="minorHAnsi" w:hAnsiTheme="minorHAnsi"/>
                <w:b/>
                <w:bCs/>
                <w:sz w:val="21"/>
                <w:szCs w:val="21"/>
                <w:u w:val="double"/>
              </w:rPr>
            </w:pPr>
            <w:r w:rsidRPr="00BA3D71">
              <w:rPr>
                <w:rFonts w:asciiTheme="minorHAnsi" w:hAnsiTheme="minorHAnsi" w:cs="Calibri"/>
                <w:b/>
                <w:bCs/>
                <w:color w:val="000000"/>
                <w:sz w:val="21"/>
                <w:szCs w:val="21"/>
                <w:u w:val="double"/>
                <w:lang w:eastAsia="en-GB"/>
              </w:rPr>
              <w:t>55 102</w:t>
            </w:r>
          </w:p>
        </w:tc>
        <w:tc>
          <w:tcPr>
            <w:tcW w:w="862" w:type="dxa"/>
            <w:tcBorders>
              <w:top w:val="nil"/>
              <w:left w:val="nil"/>
              <w:bottom w:val="nil"/>
              <w:right w:val="nil"/>
            </w:tcBorders>
            <w:shd w:val="clear" w:color="auto" w:fill="auto"/>
            <w:vAlign w:val="center"/>
            <w:hideMark/>
          </w:tcPr>
          <w:p w14:paraId="02BB1DDD" w14:textId="3B7EE807" w:rsidR="00116E6C" w:rsidRPr="00BA3D71" w:rsidRDefault="00116E6C" w:rsidP="00D459BB">
            <w:pPr>
              <w:pStyle w:val="Tabletext"/>
              <w:spacing w:before="120" w:after="120"/>
              <w:jc w:val="right"/>
              <w:rPr>
                <w:rFonts w:asciiTheme="minorHAnsi" w:hAnsiTheme="minorHAnsi"/>
                <w:b/>
                <w:bCs/>
                <w:sz w:val="21"/>
                <w:szCs w:val="21"/>
                <w:u w:val="double"/>
              </w:rPr>
            </w:pPr>
            <w:r w:rsidRPr="00BA3D71">
              <w:rPr>
                <w:rFonts w:asciiTheme="minorHAnsi" w:hAnsiTheme="minorHAnsi" w:cs="Calibri"/>
                <w:b/>
                <w:bCs/>
                <w:color w:val="000000"/>
                <w:sz w:val="21"/>
                <w:szCs w:val="21"/>
                <w:u w:val="double"/>
                <w:lang w:eastAsia="en-GB"/>
              </w:rPr>
              <w:t>52 222</w:t>
            </w:r>
          </w:p>
        </w:tc>
        <w:tc>
          <w:tcPr>
            <w:tcW w:w="863" w:type="dxa"/>
            <w:tcBorders>
              <w:top w:val="nil"/>
              <w:left w:val="nil"/>
              <w:bottom w:val="nil"/>
              <w:right w:val="nil"/>
            </w:tcBorders>
            <w:shd w:val="clear" w:color="auto" w:fill="auto"/>
            <w:vAlign w:val="center"/>
            <w:hideMark/>
          </w:tcPr>
          <w:p w14:paraId="5F7567DF" w14:textId="12F2BFA9" w:rsidR="00116E6C" w:rsidRPr="00BA3D71" w:rsidRDefault="00116E6C" w:rsidP="00D459BB">
            <w:pPr>
              <w:pStyle w:val="Tabletext"/>
              <w:spacing w:before="120" w:after="120"/>
              <w:jc w:val="right"/>
              <w:rPr>
                <w:rFonts w:asciiTheme="minorHAnsi" w:hAnsiTheme="minorHAnsi"/>
                <w:b/>
                <w:bCs/>
                <w:sz w:val="21"/>
                <w:szCs w:val="21"/>
                <w:u w:val="double"/>
              </w:rPr>
            </w:pPr>
            <w:r w:rsidRPr="00BA3D71">
              <w:rPr>
                <w:rFonts w:asciiTheme="minorHAnsi" w:hAnsiTheme="minorHAnsi" w:cs="Calibri"/>
                <w:b/>
                <w:bCs/>
                <w:sz w:val="21"/>
                <w:szCs w:val="21"/>
                <w:u w:val="double"/>
                <w:lang w:eastAsia="en-GB"/>
              </w:rPr>
              <w:t>51 673</w:t>
            </w:r>
          </w:p>
        </w:tc>
        <w:tc>
          <w:tcPr>
            <w:tcW w:w="863" w:type="dxa"/>
            <w:tcBorders>
              <w:top w:val="nil"/>
              <w:left w:val="nil"/>
              <w:bottom w:val="nil"/>
              <w:right w:val="nil"/>
            </w:tcBorders>
            <w:shd w:val="clear" w:color="auto" w:fill="auto"/>
            <w:vAlign w:val="center"/>
            <w:hideMark/>
          </w:tcPr>
          <w:p w14:paraId="361EC5E2" w14:textId="38829EE5" w:rsidR="00116E6C" w:rsidRPr="00BA3D71" w:rsidRDefault="00116E6C" w:rsidP="00D459BB">
            <w:pPr>
              <w:pStyle w:val="Tabletext"/>
              <w:spacing w:before="120" w:after="120"/>
              <w:jc w:val="right"/>
              <w:rPr>
                <w:rFonts w:asciiTheme="minorHAnsi" w:hAnsiTheme="minorHAnsi"/>
                <w:b/>
                <w:bCs/>
                <w:sz w:val="21"/>
                <w:szCs w:val="21"/>
                <w:u w:val="double"/>
              </w:rPr>
            </w:pPr>
            <w:r w:rsidRPr="00BA3D71">
              <w:rPr>
                <w:rFonts w:asciiTheme="minorHAnsi" w:hAnsiTheme="minorHAnsi" w:cs="Calibri"/>
                <w:b/>
                <w:bCs/>
                <w:sz w:val="21"/>
                <w:szCs w:val="21"/>
                <w:u w:val="double"/>
                <w:lang w:eastAsia="en-GB"/>
              </w:rPr>
              <w:t>46 772</w:t>
            </w:r>
          </w:p>
        </w:tc>
        <w:tc>
          <w:tcPr>
            <w:tcW w:w="863" w:type="dxa"/>
            <w:tcBorders>
              <w:top w:val="nil"/>
              <w:left w:val="nil"/>
              <w:bottom w:val="nil"/>
              <w:right w:val="nil"/>
            </w:tcBorders>
            <w:shd w:val="clear" w:color="auto" w:fill="auto"/>
            <w:vAlign w:val="center"/>
            <w:hideMark/>
          </w:tcPr>
          <w:p w14:paraId="559A40D9" w14:textId="2B4DCB80" w:rsidR="00116E6C" w:rsidRPr="00BA3D71" w:rsidRDefault="00116E6C" w:rsidP="00D459BB">
            <w:pPr>
              <w:pStyle w:val="Tabletext"/>
              <w:spacing w:before="120" w:after="120"/>
              <w:jc w:val="right"/>
              <w:rPr>
                <w:rFonts w:asciiTheme="minorHAnsi" w:hAnsiTheme="minorHAnsi"/>
                <w:b/>
                <w:bCs/>
                <w:sz w:val="21"/>
                <w:szCs w:val="21"/>
                <w:u w:val="double"/>
              </w:rPr>
            </w:pPr>
            <w:r w:rsidRPr="00BA3D71">
              <w:rPr>
                <w:rFonts w:asciiTheme="minorHAnsi" w:hAnsiTheme="minorHAnsi" w:cs="Calibri"/>
                <w:b/>
                <w:bCs/>
                <w:sz w:val="21"/>
                <w:szCs w:val="21"/>
                <w:u w:val="double"/>
                <w:lang w:eastAsia="en-GB"/>
              </w:rPr>
              <w:t>45 264</w:t>
            </w:r>
          </w:p>
        </w:tc>
        <w:tc>
          <w:tcPr>
            <w:tcW w:w="863" w:type="dxa"/>
            <w:tcBorders>
              <w:top w:val="nil"/>
              <w:left w:val="nil"/>
              <w:bottom w:val="nil"/>
              <w:right w:val="nil"/>
            </w:tcBorders>
            <w:shd w:val="clear" w:color="auto" w:fill="auto"/>
            <w:vAlign w:val="center"/>
            <w:hideMark/>
          </w:tcPr>
          <w:p w14:paraId="19B6A531" w14:textId="1A870A4A" w:rsidR="00116E6C" w:rsidRPr="00BA3D71" w:rsidRDefault="00116E6C" w:rsidP="00D459BB">
            <w:pPr>
              <w:pStyle w:val="Tabletext"/>
              <w:spacing w:before="120" w:after="120"/>
              <w:jc w:val="right"/>
              <w:rPr>
                <w:rFonts w:asciiTheme="minorHAnsi" w:hAnsiTheme="minorHAnsi"/>
                <w:b/>
                <w:bCs/>
                <w:sz w:val="21"/>
                <w:szCs w:val="21"/>
                <w:u w:val="double"/>
              </w:rPr>
            </w:pPr>
            <w:r w:rsidRPr="00BA3D71">
              <w:rPr>
                <w:rFonts w:asciiTheme="minorHAnsi" w:hAnsiTheme="minorHAnsi" w:cs="Calibri"/>
                <w:b/>
                <w:bCs/>
                <w:sz w:val="21"/>
                <w:szCs w:val="21"/>
                <w:u w:val="double"/>
                <w:lang w:eastAsia="en-GB"/>
              </w:rPr>
              <w:t>39 775</w:t>
            </w:r>
          </w:p>
        </w:tc>
        <w:tc>
          <w:tcPr>
            <w:tcW w:w="863" w:type="dxa"/>
            <w:tcBorders>
              <w:top w:val="nil"/>
              <w:left w:val="nil"/>
              <w:bottom w:val="nil"/>
              <w:right w:val="nil"/>
            </w:tcBorders>
            <w:shd w:val="clear" w:color="auto" w:fill="auto"/>
            <w:vAlign w:val="center"/>
            <w:hideMark/>
          </w:tcPr>
          <w:p w14:paraId="0EEC12E8" w14:textId="78F86203" w:rsidR="00116E6C" w:rsidRPr="00BA3D71" w:rsidRDefault="00116E6C" w:rsidP="00D459BB">
            <w:pPr>
              <w:pStyle w:val="Tabletext"/>
              <w:spacing w:before="120" w:after="120"/>
              <w:jc w:val="right"/>
              <w:rPr>
                <w:rFonts w:asciiTheme="minorHAnsi" w:hAnsiTheme="minorHAnsi"/>
                <w:b/>
                <w:bCs/>
                <w:sz w:val="21"/>
                <w:szCs w:val="21"/>
                <w:u w:val="double"/>
              </w:rPr>
            </w:pPr>
            <w:r w:rsidRPr="00BA3D71">
              <w:rPr>
                <w:rFonts w:asciiTheme="minorHAnsi" w:hAnsiTheme="minorHAnsi" w:cs="Calibri"/>
                <w:b/>
                <w:bCs/>
                <w:sz w:val="21"/>
                <w:szCs w:val="21"/>
                <w:u w:val="double"/>
                <w:lang w:eastAsia="en-GB"/>
              </w:rPr>
              <w:t>39 800</w:t>
            </w:r>
          </w:p>
        </w:tc>
      </w:tr>
    </w:tbl>
    <w:p w14:paraId="7967F699" w14:textId="71A4D2D0" w:rsidR="009F1354" w:rsidRPr="00BA3D71" w:rsidRDefault="009F1354" w:rsidP="00FC1C04">
      <w:pPr>
        <w:spacing w:before="240"/>
      </w:pPr>
      <w:r w:rsidRPr="00BA3D71">
        <w:t>Non compris les débiteurs courants, c'est-à-dire de l'année 201</w:t>
      </w:r>
      <w:r w:rsidR="007516D5" w:rsidRPr="00BA3D71">
        <w:t>9</w:t>
      </w:r>
      <w:r w:rsidR="00515713" w:rsidRPr="00BA3D71">
        <w:t>, dont le montant s'élève à </w:t>
      </w:r>
      <w:r w:rsidRPr="00BA3D71">
        <w:t>1</w:t>
      </w:r>
      <w:r w:rsidR="007516D5" w:rsidRPr="00BA3D71">
        <w:t>2</w:t>
      </w:r>
      <w:r w:rsidRPr="00BA3D71">
        <w:t> </w:t>
      </w:r>
      <w:r w:rsidR="007516D5" w:rsidRPr="00BA3D71">
        <w:t>797</w:t>
      </w:r>
      <w:r w:rsidRPr="00BA3D71">
        <w:t> 000 CHF au 31 décembre 201</w:t>
      </w:r>
      <w:r w:rsidR="007516D5" w:rsidRPr="00BA3D71">
        <w:t>9</w:t>
      </w:r>
      <w:r w:rsidRPr="00BA3D71">
        <w:t>, ce qui porte le total des sommes dues à 5</w:t>
      </w:r>
      <w:r w:rsidR="007516D5" w:rsidRPr="00BA3D71">
        <w:t>2</w:t>
      </w:r>
      <w:r w:rsidRPr="00BA3D71">
        <w:t> </w:t>
      </w:r>
      <w:r w:rsidR="007516D5" w:rsidRPr="00BA3D71">
        <w:t>597</w:t>
      </w:r>
      <w:r w:rsidRPr="00BA3D71">
        <w:t xml:space="preserve"> 000 CHF.</w:t>
      </w:r>
    </w:p>
    <w:p w14:paraId="246C3E39" w14:textId="77777777" w:rsidR="009F1354" w:rsidRPr="00BA3D71" w:rsidRDefault="009F1354" w:rsidP="004E15D2">
      <w:pPr>
        <w:pStyle w:val="AnnexNo"/>
        <w:spacing w:before="600"/>
      </w:pPr>
      <w:r w:rsidRPr="00BA3D71">
        <w:lastRenderedPageBreak/>
        <w:t>ANNEXE B</w:t>
      </w:r>
    </w:p>
    <w:p w14:paraId="679BE73F" w14:textId="77777777" w:rsidR="009F1354" w:rsidRPr="00BA3D71" w:rsidRDefault="009F1354" w:rsidP="004E15D2">
      <w:pPr>
        <w:pStyle w:val="RecNo"/>
        <w:spacing w:before="480"/>
      </w:pPr>
      <w:r w:rsidRPr="00BA3D71">
        <w:t>PROJET DE DéCISION</w:t>
      </w:r>
    </w:p>
    <w:p w14:paraId="63035438" w14:textId="77777777" w:rsidR="009F1354" w:rsidRPr="00BA3D71" w:rsidRDefault="009F1354" w:rsidP="004E15D2">
      <w:pPr>
        <w:pStyle w:val="Rectitle"/>
      </w:pPr>
      <w:r w:rsidRPr="00BA3D71">
        <w:t>Passation par pertes et profits d'intérêts moratoires et</w:t>
      </w:r>
      <w:r w:rsidRPr="00BA3D71">
        <w:br/>
        <w:t>de créances irrécupérables</w:t>
      </w:r>
    </w:p>
    <w:p w14:paraId="11C2DD9C" w14:textId="77777777" w:rsidR="009F1354" w:rsidRPr="00BA3D71" w:rsidRDefault="009F1354" w:rsidP="004E15D2">
      <w:pPr>
        <w:pStyle w:val="Normalaftertitle"/>
      </w:pPr>
      <w:r w:rsidRPr="00BA3D71">
        <w:t>Le Conseil,</w:t>
      </w:r>
    </w:p>
    <w:p w14:paraId="7BBC6769" w14:textId="77777777" w:rsidR="009F1354" w:rsidRPr="00BA3D71" w:rsidRDefault="009F1354" w:rsidP="004E15D2">
      <w:pPr>
        <w:pStyle w:val="Call"/>
      </w:pPr>
      <w:r w:rsidRPr="00BA3D71">
        <w:t>ayant examiné</w:t>
      </w:r>
    </w:p>
    <w:p w14:paraId="05D81AC3" w14:textId="5E1212EE" w:rsidR="009F1354" w:rsidRPr="00BA3D71" w:rsidRDefault="009F1354" w:rsidP="004E15D2">
      <w:pPr>
        <w:rPr>
          <w:szCs w:val="24"/>
        </w:rPr>
      </w:pPr>
      <w:r w:rsidRPr="00BA3D71">
        <w:t>le Rapport du Secrétaire général sur les arriérés et comptes spéciaux d'arriérés (</w:t>
      </w:r>
      <w:hyperlink r:id="rId25" w:history="1">
        <w:r w:rsidR="006F2BD6" w:rsidRPr="00BA3D71">
          <w:rPr>
            <w:rStyle w:val="Hyperlink"/>
          </w:rPr>
          <w:t>Document C20/11</w:t>
        </w:r>
        <w:r w:rsidR="000929C2" w:rsidRPr="00BA3D71">
          <w:rPr>
            <w:rStyle w:val="Hyperlink"/>
          </w:rPr>
          <w:t>(Rév.1)</w:t>
        </w:r>
      </w:hyperlink>
      <w:r w:rsidRPr="00BA3D71">
        <w:t>)</w:t>
      </w:r>
      <w:r w:rsidRPr="00BA3D71">
        <w:rPr>
          <w:szCs w:val="24"/>
        </w:rPr>
        <w:t>,</w:t>
      </w:r>
    </w:p>
    <w:p w14:paraId="4E8768CE" w14:textId="77777777" w:rsidR="009F1354" w:rsidRPr="00BA3D71" w:rsidRDefault="009F1354" w:rsidP="004E15D2">
      <w:pPr>
        <w:pStyle w:val="Call"/>
      </w:pPr>
      <w:r w:rsidRPr="00BA3D71">
        <w:t>décide</w:t>
      </w:r>
    </w:p>
    <w:p w14:paraId="3BCC88FE" w14:textId="7BF628D1" w:rsidR="009F1354" w:rsidRPr="00BA3D71" w:rsidRDefault="009F1354" w:rsidP="004E15D2">
      <w:r w:rsidRPr="00BA3D71">
        <w:t xml:space="preserve">d'approuver la passation par pertes et profits des intérêts moratoires et des créances irrécupérables suivants pour un montant total de </w:t>
      </w:r>
      <w:r w:rsidR="000929C2" w:rsidRPr="00BA3D71">
        <w:rPr>
          <w:b/>
          <w:bCs/>
        </w:rPr>
        <w:t xml:space="preserve">2 720 252,63 </w:t>
      </w:r>
      <w:r w:rsidRPr="00BA3D71">
        <w:rPr>
          <w:b/>
          <w:bCs/>
        </w:rPr>
        <w:t xml:space="preserve">CHF </w:t>
      </w:r>
      <w:r w:rsidRPr="00BA3D71">
        <w:t>par un prélèvement correspondant de la Provision pour comptes débiteurs. Veuillez consulter le tableau ci-dessous pour plus de précisions.</w:t>
      </w:r>
    </w:p>
    <w:p w14:paraId="30B0502A" w14:textId="77777777" w:rsidR="009F1354" w:rsidRPr="00BA3D71" w:rsidRDefault="009F1354" w:rsidP="004E15D2">
      <w:pPr>
        <w:tabs>
          <w:tab w:val="clear" w:pos="567"/>
          <w:tab w:val="clear" w:pos="1134"/>
          <w:tab w:val="clear" w:pos="1701"/>
          <w:tab w:val="clear" w:pos="2268"/>
          <w:tab w:val="clear" w:pos="2835"/>
        </w:tabs>
        <w:overflowPunct/>
        <w:autoSpaceDE/>
        <w:autoSpaceDN/>
        <w:adjustRightInd/>
        <w:spacing w:before="0"/>
        <w:textAlignment w:val="auto"/>
      </w:pPr>
      <w:r w:rsidRPr="00BA3D71">
        <w:br w:type="page"/>
      </w:r>
    </w:p>
    <w:tbl>
      <w:tblPr>
        <w:tblW w:w="5153" w:type="pct"/>
        <w:tblInd w:w="-147" w:type="dxa"/>
        <w:tblLayout w:type="fixed"/>
        <w:tblLook w:val="04A0" w:firstRow="1" w:lastRow="0" w:firstColumn="1" w:lastColumn="0" w:noHBand="0" w:noVBand="1"/>
      </w:tblPr>
      <w:tblGrid>
        <w:gridCol w:w="1561"/>
        <w:gridCol w:w="3261"/>
        <w:gridCol w:w="1133"/>
        <w:gridCol w:w="1278"/>
        <w:gridCol w:w="1276"/>
        <w:gridCol w:w="1415"/>
      </w:tblGrid>
      <w:tr w:rsidR="009F1354" w:rsidRPr="00BA3D71" w14:paraId="5C472427" w14:textId="77777777" w:rsidTr="00BA3D71">
        <w:trPr>
          <w:trHeight w:val="255"/>
          <w:tblHeader/>
        </w:trPr>
        <w:tc>
          <w:tcPr>
            <w:tcW w:w="786"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7003791" w14:textId="77777777" w:rsidR="009F1354" w:rsidRPr="00BA3D71" w:rsidRDefault="009F1354" w:rsidP="00BA3D71">
            <w:pPr>
              <w:pStyle w:val="Tablehead"/>
              <w:spacing w:before="40" w:after="40"/>
              <w:rPr>
                <w:sz w:val="20"/>
              </w:rPr>
            </w:pPr>
            <w:r w:rsidRPr="00BA3D71">
              <w:rPr>
                <w:sz w:val="20"/>
              </w:rPr>
              <w:lastRenderedPageBreak/>
              <w:t>Pays</w:t>
            </w:r>
          </w:p>
        </w:tc>
        <w:tc>
          <w:tcPr>
            <w:tcW w:w="1643" w:type="pct"/>
            <w:tcBorders>
              <w:top w:val="single" w:sz="4" w:space="0" w:color="auto"/>
              <w:left w:val="nil"/>
              <w:bottom w:val="single" w:sz="4" w:space="0" w:color="auto"/>
              <w:right w:val="single" w:sz="4" w:space="0" w:color="auto"/>
            </w:tcBorders>
            <w:shd w:val="clear" w:color="000000" w:fill="C0C0C0"/>
            <w:noWrap/>
            <w:vAlign w:val="center"/>
            <w:hideMark/>
          </w:tcPr>
          <w:p w14:paraId="5E60AD7C" w14:textId="77777777" w:rsidR="009F1354" w:rsidRPr="00BA3D71" w:rsidRDefault="009F1354" w:rsidP="00BA3D71">
            <w:pPr>
              <w:pStyle w:val="Tablehead"/>
              <w:spacing w:before="40" w:after="40"/>
              <w:rPr>
                <w:sz w:val="20"/>
              </w:rPr>
            </w:pPr>
            <w:r w:rsidRPr="00BA3D71">
              <w:rPr>
                <w:sz w:val="20"/>
              </w:rPr>
              <w:t>Nom de l'entreprise</w:t>
            </w:r>
          </w:p>
        </w:tc>
        <w:tc>
          <w:tcPr>
            <w:tcW w:w="571" w:type="pct"/>
            <w:tcBorders>
              <w:top w:val="single" w:sz="4" w:space="0" w:color="auto"/>
              <w:left w:val="nil"/>
              <w:bottom w:val="single" w:sz="4" w:space="0" w:color="auto"/>
              <w:right w:val="single" w:sz="4" w:space="0" w:color="auto"/>
            </w:tcBorders>
            <w:shd w:val="clear" w:color="000000" w:fill="C0C0C0"/>
            <w:noWrap/>
            <w:vAlign w:val="center"/>
            <w:hideMark/>
          </w:tcPr>
          <w:p w14:paraId="3DEC58F8" w14:textId="77777777" w:rsidR="009F1354" w:rsidRPr="00BA3D71" w:rsidRDefault="009F1354" w:rsidP="00BA3D71">
            <w:pPr>
              <w:pStyle w:val="Tablehead"/>
              <w:spacing w:before="40" w:after="40"/>
              <w:rPr>
                <w:sz w:val="20"/>
              </w:rPr>
            </w:pPr>
            <w:r w:rsidRPr="00BA3D71">
              <w:rPr>
                <w:sz w:val="20"/>
              </w:rPr>
              <w:t>Année</w:t>
            </w:r>
          </w:p>
        </w:tc>
        <w:tc>
          <w:tcPr>
            <w:tcW w:w="644" w:type="pct"/>
            <w:tcBorders>
              <w:top w:val="single" w:sz="4" w:space="0" w:color="auto"/>
              <w:left w:val="nil"/>
              <w:bottom w:val="single" w:sz="4" w:space="0" w:color="auto"/>
              <w:right w:val="single" w:sz="4" w:space="0" w:color="auto"/>
            </w:tcBorders>
            <w:shd w:val="clear" w:color="000000" w:fill="C0C0C0"/>
            <w:noWrap/>
            <w:vAlign w:val="center"/>
            <w:hideMark/>
          </w:tcPr>
          <w:p w14:paraId="2F1E03A7" w14:textId="77777777" w:rsidR="009F1354" w:rsidRPr="00BA3D71" w:rsidRDefault="009F1354" w:rsidP="00BA3D71">
            <w:pPr>
              <w:pStyle w:val="Tablehead"/>
              <w:spacing w:before="40" w:after="40"/>
              <w:rPr>
                <w:sz w:val="20"/>
              </w:rPr>
            </w:pPr>
            <w:r w:rsidRPr="00BA3D71">
              <w:rPr>
                <w:sz w:val="20"/>
              </w:rPr>
              <w:t>Capital restant dû</w:t>
            </w:r>
          </w:p>
        </w:tc>
        <w:tc>
          <w:tcPr>
            <w:tcW w:w="643" w:type="pct"/>
            <w:tcBorders>
              <w:top w:val="single" w:sz="4" w:space="0" w:color="auto"/>
              <w:left w:val="nil"/>
              <w:bottom w:val="single" w:sz="4" w:space="0" w:color="auto"/>
              <w:right w:val="single" w:sz="4" w:space="0" w:color="auto"/>
            </w:tcBorders>
            <w:shd w:val="clear" w:color="000000" w:fill="C0C0C0"/>
            <w:noWrap/>
            <w:vAlign w:val="center"/>
            <w:hideMark/>
          </w:tcPr>
          <w:p w14:paraId="2D7EE42D" w14:textId="77777777" w:rsidR="009F1354" w:rsidRPr="00BA3D71" w:rsidRDefault="009F1354" w:rsidP="00BA3D71">
            <w:pPr>
              <w:pStyle w:val="Tablehead"/>
              <w:spacing w:before="40" w:after="40"/>
              <w:rPr>
                <w:sz w:val="20"/>
              </w:rPr>
            </w:pPr>
            <w:r w:rsidRPr="00BA3D71">
              <w:rPr>
                <w:sz w:val="20"/>
              </w:rPr>
              <w:t>Intérêts</w:t>
            </w:r>
          </w:p>
        </w:tc>
        <w:tc>
          <w:tcPr>
            <w:tcW w:w="713" w:type="pct"/>
            <w:tcBorders>
              <w:top w:val="single" w:sz="4" w:space="0" w:color="auto"/>
              <w:left w:val="nil"/>
              <w:bottom w:val="single" w:sz="4" w:space="0" w:color="auto"/>
              <w:right w:val="single" w:sz="4" w:space="0" w:color="auto"/>
            </w:tcBorders>
            <w:shd w:val="clear" w:color="000000" w:fill="C0C0C0"/>
            <w:noWrap/>
            <w:vAlign w:val="center"/>
            <w:hideMark/>
          </w:tcPr>
          <w:p w14:paraId="78046943" w14:textId="77777777" w:rsidR="009F1354" w:rsidRPr="00BA3D71" w:rsidRDefault="009F1354" w:rsidP="00BA3D71">
            <w:pPr>
              <w:pStyle w:val="Tablehead"/>
              <w:spacing w:before="40" w:after="40"/>
              <w:rPr>
                <w:sz w:val="20"/>
              </w:rPr>
            </w:pPr>
            <w:r w:rsidRPr="00BA3D71">
              <w:rPr>
                <w:sz w:val="20"/>
              </w:rPr>
              <w:t>Total</w:t>
            </w:r>
          </w:p>
        </w:tc>
      </w:tr>
      <w:tr w:rsidR="000929C2" w:rsidRPr="00BA3D71" w14:paraId="072ED2F9" w14:textId="77777777" w:rsidTr="00FC1C04">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64A8B2F8" w14:textId="2A87EC12" w:rsidR="000929C2" w:rsidRPr="00BA3D71" w:rsidRDefault="000929C2" w:rsidP="000929C2">
            <w:pPr>
              <w:spacing w:before="40" w:after="40"/>
              <w:jc w:val="center"/>
              <w:rPr>
                <w:sz w:val="20"/>
              </w:rPr>
            </w:pPr>
            <w:r w:rsidRPr="00BA3D71">
              <w:rPr>
                <w:rFonts w:cs="Calibri"/>
                <w:sz w:val="20"/>
              </w:rPr>
              <w:t>Belgique</w:t>
            </w:r>
          </w:p>
        </w:tc>
        <w:tc>
          <w:tcPr>
            <w:tcW w:w="1643" w:type="pct"/>
            <w:tcBorders>
              <w:top w:val="nil"/>
              <w:left w:val="single" w:sz="4" w:space="0" w:color="auto"/>
              <w:bottom w:val="single" w:sz="4" w:space="0" w:color="auto"/>
              <w:right w:val="single" w:sz="4" w:space="0" w:color="auto"/>
            </w:tcBorders>
            <w:shd w:val="clear" w:color="000000" w:fill="FFFFFF"/>
            <w:vAlign w:val="center"/>
          </w:tcPr>
          <w:p w14:paraId="36E6BB0C" w14:textId="5A05B22D" w:rsidR="000929C2" w:rsidRPr="00BA3D71" w:rsidRDefault="000929C2" w:rsidP="000929C2">
            <w:pPr>
              <w:spacing w:before="40" w:after="40"/>
              <w:jc w:val="center"/>
              <w:rPr>
                <w:b/>
                <w:bCs/>
                <w:i/>
                <w:iCs/>
                <w:sz w:val="20"/>
              </w:rPr>
            </w:pPr>
            <w:r w:rsidRPr="00BA3D71">
              <w:rPr>
                <w:rFonts w:cs="Calibri"/>
                <w:sz w:val="20"/>
              </w:rPr>
              <w:t>AnSem, Heverlee</w:t>
            </w:r>
          </w:p>
        </w:tc>
        <w:tc>
          <w:tcPr>
            <w:tcW w:w="571" w:type="pct"/>
            <w:tcBorders>
              <w:top w:val="nil"/>
              <w:left w:val="single" w:sz="4" w:space="0" w:color="auto"/>
              <w:bottom w:val="single" w:sz="4" w:space="0" w:color="auto"/>
              <w:right w:val="single" w:sz="4" w:space="0" w:color="auto"/>
            </w:tcBorders>
            <w:shd w:val="clear" w:color="000000" w:fill="FFFFFF"/>
            <w:vAlign w:val="center"/>
          </w:tcPr>
          <w:p w14:paraId="1757F608" w14:textId="0BE6EEA1" w:rsidR="000929C2" w:rsidRPr="00BA3D71" w:rsidRDefault="000929C2" w:rsidP="000929C2">
            <w:pPr>
              <w:spacing w:before="40" w:after="40"/>
              <w:jc w:val="center"/>
              <w:rPr>
                <w:b/>
                <w:bCs/>
                <w:i/>
                <w:iCs/>
                <w:sz w:val="20"/>
              </w:rPr>
            </w:pPr>
            <w:r w:rsidRPr="00BA3D71">
              <w:rPr>
                <w:rFonts w:cs="Calibri"/>
                <w:sz w:val="20"/>
              </w:rPr>
              <w:t>2010</w:t>
            </w:r>
          </w:p>
        </w:tc>
        <w:tc>
          <w:tcPr>
            <w:tcW w:w="644" w:type="pct"/>
            <w:tcBorders>
              <w:top w:val="nil"/>
              <w:left w:val="nil"/>
              <w:bottom w:val="single" w:sz="4" w:space="0" w:color="auto"/>
              <w:right w:val="single" w:sz="4" w:space="0" w:color="auto"/>
            </w:tcBorders>
            <w:shd w:val="clear" w:color="auto" w:fill="auto"/>
            <w:noWrap/>
            <w:vAlign w:val="center"/>
          </w:tcPr>
          <w:p w14:paraId="248650BF" w14:textId="1004C858" w:rsidR="000929C2" w:rsidRPr="00BA3D71" w:rsidRDefault="000929C2" w:rsidP="000929C2">
            <w:pPr>
              <w:spacing w:before="40" w:after="40"/>
              <w:jc w:val="right"/>
              <w:rPr>
                <w:rFonts w:cs="Calibri"/>
                <w:b/>
                <w:bCs/>
                <w:color w:val="000000"/>
                <w:sz w:val="20"/>
                <w:lang w:eastAsia="en-GB"/>
              </w:rPr>
            </w:pPr>
            <w:r w:rsidRPr="00BA3D71">
              <w:rPr>
                <w:rFonts w:cs="Calibri"/>
                <w:sz w:val="20"/>
              </w:rPr>
              <w:t>0,00</w:t>
            </w:r>
          </w:p>
        </w:tc>
        <w:tc>
          <w:tcPr>
            <w:tcW w:w="643" w:type="pct"/>
            <w:tcBorders>
              <w:top w:val="nil"/>
              <w:left w:val="nil"/>
              <w:bottom w:val="single" w:sz="4" w:space="0" w:color="auto"/>
              <w:right w:val="single" w:sz="4" w:space="0" w:color="auto"/>
            </w:tcBorders>
            <w:shd w:val="clear" w:color="auto" w:fill="auto"/>
            <w:noWrap/>
            <w:vAlign w:val="center"/>
          </w:tcPr>
          <w:p w14:paraId="4FD47FEF" w14:textId="330538BC" w:rsidR="000929C2" w:rsidRPr="00BA3D71" w:rsidRDefault="000929C2" w:rsidP="000929C2">
            <w:pPr>
              <w:spacing w:before="40" w:after="40"/>
              <w:jc w:val="right"/>
              <w:rPr>
                <w:rFonts w:cs="Calibri"/>
                <w:b/>
                <w:bCs/>
                <w:color w:val="000000"/>
                <w:sz w:val="20"/>
                <w:lang w:eastAsia="en-GB"/>
              </w:rPr>
            </w:pPr>
            <w:r w:rsidRPr="00BA3D71">
              <w:rPr>
                <w:rFonts w:cs="Calibri"/>
                <w:sz w:val="20"/>
              </w:rPr>
              <w:t>7 980,05</w:t>
            </w:r>
          </w:p>
        </w:tc>
        <w:tc>
          <w:tcPr>
            <w:tcW w:w="713" w:type="pct"/>
            <w:tcBorders>
              <w:top w:val="nil"/>
              <w:left w:val="nil"/>
              <w:bottom w:val="single" w:sz="4" w:space="0" w:color="auto"/>
              <w:right w:val="single" w:sz="4" w:space="0" w:color="auto"/>
            </w:tcBorders>
            <w:shd w:val="clear" w:color="auto" w:fill="auto"/>
            <w:noWrap/>
            <w:vAlign w:val="center"/>
          </w:tcPr>
          <w:p w14:paraId="263CD7C8" w14:textId="3EAEB812" w:rsidR="000929C2" w:rsidRPr="00BA3D71" w:rsidRDefault="000929C2" w:rsidP="000929C2">
            <w:pPr>
              <w:spacing w:before="40" w:after="40"/>
              <w:jc w:val="right"/>
              <w:rPr>
                <w:rFonts w:cs="Calibri"/>
                <w:b/>
                <w:bCs/>
                <w:color w:val="000000"/>
                <w:sz w:val="20"/>
                <w:lang w:eastAsia="en-GB"/>
              </w:rPr>
            </w:pPr>
            <w:r w:rsidRPr="00BA3D71">
              <w:rPr>
                <w:rFonts w:cs="Calibri"/>
                <w:sz w:val="20"/>
              </w:rPr>
              <w:t>7 980,05</w:t>
            </w:r>
          </w:p>
        </w:tc>
      </w:tr>
      <w:tr w:rsidR="000929C2" w:rsidRPr="00BA3D71" w14:paraId="10C083C7" w14:textId="77777777" w:rsidTr="00FC1C04">
        <w:trPr>
          <w:trHeight w:val="270"/>
        </w:trPr>
        <w:tc>
          <w:tcPr>
            <w:tcW w:w="3000" w:type="pct"/>
            <w:gridSpan w:val="3"/>
            <w:tcBorders>
              <w:top w:val="nil"/>
              <w:left w:val="single" w:sz="4" w:space="0" w:color="auto"/>
              <w:bottom w:val="single" w:sz="4" w:space="0" w:color="auto"/>
              <w:right w:val="single" w:sz="4" w:space="0" w:color="auto"/>
            </w:tcBorders>
            <w:shd w:val="clear" w:color="000000" w:fill="FFFFFF"/>
            <w:noWrap/>
            <w:vAlign w:val="center"/>
          </w:tcPr>
          <w:p w14:paraId="29799E94" w14:textId="0BF46F79" w:rsidR="000929C2" w:rsidRPr="00BA3D71" w:rsidRDefault="000929C2" w:rsidP="000929C2">
            <w:pPr>
              <w:spacing w:before="40" w:after="40"/>
              <w:jc w:val="center"/>
              <w:rPr>
                <w:sz w:val="20"/>
              </w:rPr>
            </w:pPr>
            <w:r w:rsidRPr="00BA3D71">
              <w:rPr>
                <w:b/>
                <w:bCs/>
                <w:i/>
                <w:iCs/>
                <w:sz w:val="20"/>
              </w:rPr>
              <w:t>Sous-total 3.2</w:t>
            </w:r>
          </w:p>
        </w:tc>
        <w:tc>
          <w:tcPr>
            <w:tcW w:w="644" w:type="pct"/>
            <w:tcBorders>
              <w:top w:val="nil"/>
              <w:left w:val="nil"/>
              <w:bottom w:val="single" w:sz="4" w:space="0" w:color="auto"/>
              <w:right w:val="single" w:sz="4" w:space="0" w:color="auto"/>
            </w:tcBorders>
            <w:shd w:val="clear" w:color="auto" w:fill="auto"/>
            <w:noWrap/>
            <w:vAlign w:val="center"/>
          </w:tcPr>
          <w:p w14:paraId="39C56C2F" w14:textId="00C717FB" w:rsidR="000929C2" w:rsidRPr="00BA3D71" w:rsidRDefault="000929C2" w:rsidP="000929C2">
            <w:pPr>
              <w:spacing w:before="40" w:after="40"/>
              <w:jc w:val="right"/>
              <w:rPr>
                <w:sz w:val="20"/>
              </w:rPr>
            </w:pPr>
            <w:r w:rsidRPr="00BA3D71">
              <w:rPr>
                <w:rFonts w:cs="Calibri"/>
                <w:b/>
                <w:bCs/>
                <w:color w:val="000000"/>
                <w:sz w:val="20"/>
                <w:lang w:eastAsia="en-GB"/>
              </w:rPr>
              <w:t>0,00</w:t>
            </w:r>
          </w:p>
        </w:tc>
        <w:tc>
          <w:tcPr>
            <w:tcW w:w="643" w:type="pct"/>
            <w:tcBorders>
              <w:top w:val="nil"/>
              <w:left w:val="nil"/>
              <w:bottom w:val="single" w:sz="4" w:space="0" w:color="auto"/>
              <w:right w:val="single" w:sz="4" w:space="0" w:color="auto"/>
            </w:tcBorders>
            <w:shd w:val="clear" w:color="auto" w:fill="auto"/>
            <w:noWrap/>
            <w:vAlign w:val="center"/>
          </w:tcPr>
          <w:p w14:paraId="65D40770" w14:textId="6F2E70D8" w:rsidR="000929C2" w:rsidRPr="00BA3D71" w:rsidRDefault="000929C2" w:rsidP="000929C2">
            <w:pPr>
              <w:spacing w:before="40" w:after="40"/>
              <w:jc w:val="right"/>
              <w:rPr>
                <w:sz w:val="20"/>
              </w:rPr>
            </w:pPr>
            <w:r w:rsidRPr="00BA3D71">
              <w:rPr>
                <w:rFonts w:cs="Calibri"/>
                <w:b/>
                <w:bCs/>
                <w:sz w:val="20"/>
              </w:rPr>
              <w:t>7 980,05</w:t>
            </w:r>
          </w:p>
        </w:tc>
        <w:tc>
          <w:tcPr>
            <w:tcW w:w="713" w:type="pct"/>
            <w:tcBorders>
              <w:top w:val="nil"/>
              <w:left w:val="nil"/>
              <w:bottom w:val="single" w:sz="4" w:space="0" w:color="auto"/>
              <w:right w:val="single" w:sz="4" w:space="0" w:color="auto"/>
            </w:tcBorders>
            <w:shd w:val="clear" w:color="auto" w:fill="auto"/>
            <w:noWrap/>
            <w:vAlign w:val="center"/>
          </w:tcPr>
          <w:p w14:paraId="122E2EA7" w14:textId="0DC7176F" w:rsidR="000929C2" w:rsidRPr="00BA3D71" w:rsidRDefault="000929C2" w:rsidP="000929C2">
            <w:pPr>
              <w:spacing w:before="40" w:after="40"/>
              <w:jc w:val="right"/>
              <w:rPr>
                <w:sz w:val="20"/>
              </w:rPr>
            </w:pPr>
            <w:r w:rsidRPr="00BA3D71">
              <w:rPr>
                <w:rFonts w:cs="Calibri"/>
                <w:b/>
                <w:bCs/>
                <w:sz w:val="20"/>
              </w:rPr>
              <w:t>7 980,05</w:t>
            </w:r>
          </w:p>
        </w:tc>
      </w:tr>
      <w:tr w:rsidR="000929C2" w:rsidRPr="00BA3D71" w14:paraId="650625E1" w14:textId="77777777" w:rsidTr="00FC1C04">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5407D337" w14:textId="73DBE2A6" w:rsidR="000929C2" w:rsidRPr="00BA3D71" w:rsidRDefault="000929C2" w:rsidP="000929C2">
            <w:pPr>
              <w:pStyle w:val="Tabletext"/>
              <w:rPr>
                <w:b/>
                <w:bCs/>
                <w:i/>
                <w:iCs/>
                <w:sz w:val="20"/>
              </w:rPr>
            </w:pPr>
            <w:r w:rsidRPr="00BA3D71">
              <w:rPr>
                <w:sz w:val="20"/>
                <w:lang w:eastAsia="en-GB"/>
              </w:rPr>
              <w:t>Algérie</w:t>
            </w:r>
          </w:p>
        </w:tc>
        <w:tc>
          <w:tcPr>
            <w:tcW w:w="1643" w:type="pct"/>
            <w:tcBorders>
              <w:top w:val="nil"/>
              <w:left w:val="single" w:sz="4" w:space="0" w:color="auto"/>
              <w:bottom w:val="single" w:sz="4" w:space="0" w:color="auto"/>
              <w:right w:val="single" w:sz="4" w:space="0" w:color="auto"/>
            </w:tcBorders>
            <w:shd w:val="clear" w:color="000000" w:fill="FFFFFF"/>
            <w:vAlign w:val="center"/>
          </w:tcPr>
          <w:p w14:paraId="4B3ED838" w14:textId="6177984B" w:rsidR="000929C2" w:rsidRPr="00BA3D71" w:rsidRDefault="000929C2" w:rsidP="000929C2">
            <w:pPr>
              <w:pStyle w:val="Tabletext"/>
              <w:rPr>
                <w:b/>
                <w:bCs/>
                <w:i/>
                <w:iCs/>
                <w:sz w:val="20"/>
              </w:rPr>
            </w:pPr>
            <w:r w:rsidRPr="00BA3D71">
              <w:rPr>
                <w:sz w:val="20"/>
                <w:lang w:eastAsia="en-GB"/>
              </w:rPr>
              <w:t>Orascom Telecom Algérie, Alger</w:t>
            </w:r>
          </w:p>
        </w:tc>
        <w:tc>
          <w:tcPr>
            <w:tcW w:w="571" w:type="pct"/>
            <w:tcBorders>
              <w:top w:val="nil"/>
              <w:left w:val="single" w:sz="4" w:space="0" w:color="auto"/>
              <w:bottom w:val="single" w:sz="4" w:space="0" w:color="auto"/>
              <w:right w:val="single" w:sz="4" w:space="0" w:color="auto"/>
            </w:tcBorders>
            <w:shd w:val="clear" w:color="000000" w:fill="FFFFFF"/>
            <w:vAlign w:val="center"/>
          </w:tcPr>
          <w:p w14:paraId="7015B7CE" w14:textId="441A6F9B" w:rsidR="000929C2" w:rsidRPr="00BA3D71" w:rsidRDefault="000929C2" w:rsidP="000929C2">
            <w:pPr>
              <w:pStyle w:val="Tabletext"/>
              <w:jc w:val="center"/>
              <w:rPr>
                <w:b/>
                <w:bCs/>
                <w:i/>
                <w:iCs/>
                <w:sz w:val="20"/>
              </w:rPr>
            </w:pPr>
            <w:r w:rsidRPr="00BA3D71">
              <w:rPr>
                <w:sz w:val="20"/>
                <w:lang w:eastAsia="en-GB"/>
              </w:rPr>
              <w:t>2010</w:t>
            </w:r>
          </w:p>
        </w:tc>
        <w:tc>
          <w:tcPr>
            <w:tcW w:w="644" w:type="pct"/>
            <w:tcBorders>
              <w:top w:val="nil"/>
              <w:left w:val="nil"/>
              <w:bottom w:val="single" w:sz="4" w:space="0" w:color="auto"/>
              <w:right w:val="single" w:sz="4" w:space="0" w:color="auto"/>
            </w:tcBorders>
            <w:shd w:val="clear" w:color="auto" w:fill="auto"/>
            <w:noWrap/>
            <w:vAlign w:val="center"/>
          </w:tcPr>
          <w:p w14:paraId="0C395F49" w14:textId="0E355F80" w:rsidR="000929C2" w:rsidRPr="00BA3D71" w:rsidRDefault="000929C2" w:rsidP="000929C2">
            <w:pPr>
              <w:pStyle w:val="Tabletext"/>
              <w:jc w:val="right"/>
              <w:rPr>
                <w:b/>
                <w:bCs/>
                <w:color w:val="000000"/>
                <w:sz w:val="20"/>
                <w:lang w:eastAsia="en-GB"/>
              </w:rPr>
            </w:pPr>
            <w:r w:rsidRPr="00BA3D71">
              <w:rPr>
                <w:color w:val="000000"/>
                <w:sz w:val="20"/>
                <w:lang w:eastAsia="en-GB"/>
              </w:rPr>
              <w:t>3 975,00</w:t>
            </w:r>
          </w:p>
        </w:tc>
        <w:tc>
          <w:tcPr>
            <w:tcW w:w="643" w:type="pct"/>
            <w:tcBorders>
              <w:top w:val="nil"/>
              <w:left w:val="nil"/>
              <w:bottom w:val="single" w:sz="4" w:space="0" w:color="auto"/>
              <w:right w:val="single" w:sz="4" w:space="0" w:color="auto"/>
            </w:tcBorders>
            <w:shd w:val="clear" w:color="auto" w:fill="auto"/>
            <w:noWrap/>
            <w:vAlign w:val="center"/>
          </w:tcPr>
          <w:p w14:paraId="10093A54" w14:textId="230387CD" w:rsidR="000929C2" w:rsidRPr="00BA3D71" w:rsidRDefault="000929C2" w:rsidP="000929C2">
            <w:pPr>
              <w:pStyle w:val="Tabletext"/>
              <w:jc w:val="right"/>
              <w:rPr>
                <w:b/>
                <w:bCs/>
                <w:color w:val="000000"/>
                <w:sz w:val="20"/>
                <w:lang w:eastAsia="en-GB"/>
              </w:rPr>
            </w:pPr>
            <w:r w:rsidRPr="00BA3D71">
              <w:rPr>
                <w:color w:val="000000"/>
                <w:sz w:val="20"/>
                <w:lang w:eastAsia="en-GB"/>
              </w:rPr>
              <w:t>2 992,55</w:t>
            </w:r>
          </w:p>
        </w:tc>
        <w:tc>
          <w:tcPr>
            <w:tcW w:w="713" w:type="pct"/>
            <w:tcBorders>
              <w:top w:val="nil"/>
              <w:left w:val="nil"/>
              <w:bottom w:val="single" w:sz="4" w:space="0" w:color="auto"/>
              <w:right w:val="single" w:sz="4" w:space="0" w:color="auto"/>
            </w:tcBorders>
            <w:shd w:val="clear" w:color="auto" w:fill="auto"/>
            <w:noWrap/>
            <w:vAlign w:val="center"/>
          </w:tcPr>
          <w:p w14:paraId="4D0F74F1" w14:textId="41E3A4ED" w:rsidR="000929C2" w:rsidRPr="00BA3D71" w:rsidRDefault="000929C2" w:rsidP="000929C2">
            <w:pPr>
              <w:pStyle w:val="Tabletext"/>
              <w:jc w:val="right"/>
              <w:rPr>
                <w:b/>
                <w:bCs/>
                <w:color w:val="000000"/>
                <w:sz w:val="20"/>
                <w:lang w:eastAsia="en-GB"/>
              </w:rPr>
            </w:pPr>
            <w:r w:rsidRPr="00BA3D71">
              <w:rPr>
                <w:color w:val="000000"/>
                <w:sz w:val="20"/>
                <w:lang w:eastAsia="en-GB"/>
              </w:rPr>
              <w:t>6 967,55</w:t>
            </w:r>
          </w:p>
        </w:tc>
      </w:tr>
      <w:tr w:rsidR="000929C2" w:rsidRPr="00BA3D71" w14:paraId="2ADC6A0F" w14:textId="77777777" w:rsidTr="00FC1C04">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256D9863" w14:textId="42BB56F2" w:rsidR="000929C2" w:rsidRPr="00BA3D71" w:rsidRDefault="000929C2" w:rsidP="000929C2">
            <w:pPr>
              <w:pStyle w:val="Tabletext"/>
              <w:rPr>
                <w:sz w:val="20"/>
              </w:rPr>
            </w:pPr>
            <w:r w:rsidRPr="00BA3D71">
              <w:rPr>
                <w:sz w:val="20"/>
                <w:lang w:eastAsia="en-GB"/>
              </w:rPr>
              <w:t>Argentine</w:t>
            </w:r>
          </w:p>
        </w:tc>
        <w:tc>
          <w:tcPr>
            <w:tcW w:w="1643" w:type="pct"/>
            <w:tcBorders>
              <w:top w:val="nil"/>
              <w:left w:val="nil"/>
              <w:bottom w:val="single" w:sz="4" w:space="0" w:color="auto"/>
              <w:right w:val="single" w:sz="4" w:space="0" w:color="auto"/>
            </w:tcBorders>
            <w:shd w:val="clear" w:color="auto" w:fill="auto"/>
            <w:noWrap/>
            <w:vAlign w:val="center"/>
          </w:tcPr>
          <w:p w14:paraId="787BE148" w14:textId="145E2EF5" w:rsidR="000929C2" w:rsidRPr="00C227C0" w:rsidRDefault="000929C2" w:rsidP="000929C2">
            <w:pPr>
              <w:pStyle w:val="Tabletext"/>
              <w:rPr>
                <w:sz w:val="20"/>
                <w:lang w:val="en-GB"/>
              </w:rPr>
            </w:pPr>
            <w:r w:rsidRPr="00C227C0">
              <w:rPr>
                <w:sz w:val="20"/>
                <w:lang w:val="en-GB" w:eastAsia="en-GB"/>
              </w:rPr>
              <w:t>Cooperativa Telefónica</w:t>
            </w:r>
            <w:r w:rsidRPr="00C227C0">
              <w:rPr>
                <w:sz w:val="20"/>
                <w:lang w:val="en-GB" w:eastAsia="en-GB"/>
              </w:rPr>
              <w:br/>
              <w:t>López Camelo (COTELCAM), Buenos Aires</w:t>
            </w:r>
          </w:p>
        </w:tc>
        <w:tc>
          <w:tcPr>
            <w:tcW w:w="571" w:type="pct"/>
            <w:tcBorders>
              <w:top w:val="nil"/>
              <w:left w:val="nil"/>
              <w:bottom w:val="single" w:sz="4" w:space="0" w:color="auto"/>
              <w:right w:val="single" w:sz="4" w:space="0" w:color="auto"/>
            </w:tcBorders>
            <w:shd w:val="clear" w:color="000000" w:fill="FFFFFF"/>
            <w:noWrap/>
            <w:vAlign w:val="center"/>
          </w:tcPr>
          <w:p w14:paraId="437E86C2" w14:textId="7C3C207A" w:rsidR="000929C2" w:rsidRPr="00BA3D71" w:rsidRDefault="000929C2" w:rsidP="000929C2">
            <w:pPr>
              <w:pStyle w:val="Tabletext"/>
              <w:jc w:val="right"/>
              <w:rPr>
                <w:sz w:val="20"/>
              </w:rPr>
            </w:pPr>
            <w:r w:rsidRPr="00BA3D71">
              <w:rPr>
                <w:sz w:val="20"/>
                <w:lang w:eastAsia="en-GB"/>
              </w:rPr>
              <w:t>2003-2006</w:t>
            </w:r>
          </w:p>
        </w:tc>
        <w:tc>
          <w:tcPr>
            <w:tcW w:w="644" w:type="pct"/>
            <w:tcBorders>
              <w:top w:val="nil"/>
              <w:left w:val="nil"/>
              <w:bottom w:val="single" w:sz="4" w:space="0" w:color="auto"/>
              <w:right w:val="single" w:sz="4" w:space="0" w:color="auto"/>
            </w:tcBorders>
            <w:shd w:val="clear" w:color="auto" w:fill="auto"/>
            <w:noWrap/>
            <w:vAlign w:val="center"/>
          </w:tcPr>
          <w:p w14:paraId="6804A733" w14:textId="242BA98E" w:rsidR="000929C2" w:rsidRPr="00BA3D71" w:rsidRDefault="000929C2" w:rsidP="000929C2">
            <w:pPr>
              <w:pStyle w:val="Tabletext"/>
              <w:jc w:val="right"/>
              <w:rPr>
                <w:color w:val="000000"/>
                <w:sz w:val="20"/>
              </w:rPr>
            </w:pPr>
            <w:r w:rsidRPr="00BA3D71">
              <w:rPr>
                <w:color w:val="000000"/>
                <w:sz w:val="20"/>
                <w:lang w:eastAsia="en-GB"/>
              </w:rPr>
              <w:t>15 787,50</w:t>
            </w:r>
          </w:p>
        </w:tc>
        <w:tc>
          <w:tcPr>
            <w:tcW w:w="643" w:type="pct"/>
            <w:tcBorders>
              <w:top w:val="nil"/>
              <w:left w:val="nil"/>
              <w:bottom w:val="single" w:sz="4" w:space="0" w:color="auto"/>
              <w:right w:val="single" w:sz="4" w:space="0" w:color="auto"/>
            </w:tcBorders>
            <w:shd w:val="clear" w:color="auto" w:fill="auto"/>
            <w:noWrap/>
            <w:vAlign w:val="center"/>
          </w:tcPr>
          <w:p w14:paraId="158F50DB" w14:textId="3C73A370" w:rsidR="000929C2" w:rsidRPr="00BA3D71" w:rsidRDefault="000929C2" w:rsidP="000929C2">
            <w:pPr>
              <w:pStyle w:val="Tabletext"/>
              <w:jc w:val="right"/>
              <w:rPr>
                <w:color w:val="000000"/>
                <w:sz w:val="20"/>
              </w:rPr>
            </w:pPr>
            <w:r w:rsidRPr="00BA3D71">
              <w:rPr>
                <w:color w:val="000000"/>
                <w:sz w:val="20"/>
                <w:lang w:eastAsia="en-GB"/>
              </w:rPr>
              <w:t>22 394,60</w:t>
            </w:r>
          </w:p>
        </w:tc>
        <w:tc>
          <w:tcPr>
            <w:tcW w:w="713" w:type="pct"/>
            <w:tcBorders>
              <w:top w:val="nil"/>
              <w:left w:val="nil"/>
              <w:bottom w:val="single" w:sz="4" w:space="0" w:color="auto"/>
              <w:right w:val="single" w:sz="4" w:space="0" w:color="auto"/>
            </w:tcBorders>
            <w:shd w:val="clear" w:color="auto" w:fill="auto"/>
            <w:noWrap/>
            <w:vAlign w:val="center"/>
          </w:tcPr>
          <w:p w14:paraId="361DA8AB" w14:textId="50042B57" w:rsidR="000929C2" w:rsidRPr="00BA3D71" w:rsidRDefault="000929C2" w:rsidP="000929C2">
            <w:pPr>
              <w:pStyle w:val="Tabletext"/>
              <w:jc w:val="right"/>
              <w:rPr>
                <w:color w:val="000000"/>
                <w:sz w:val="20"/>
              </w:rPr>
            </w:pPr>
            <w:r w:rsidRPr="00BA3D71">
              <w:rPr>
                <w:color w:val="000000"/>
                <w:sz w:val="20"/>
                <w:lang w:eastAsia="en-GB"/>
              </w:rPr>
              <w:t>38 182,10</w:t>
            </w:r>
          </w:p>
        </w:tc>
      </w:tr>
      <w:tr w:rsidR="000929C2" w:rsidRPr="00BA3D71" w14:paraId="71D7E941" w14:textId="77777777" w:rsidTr="00FC1C04">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0D23B6A2" w14:textId="2EF63D03" w:rsidR="000929C2" w:rsidRPr="00BA3D71" w:rsidRDefault="000929C2" w:rsidP="000929C2">
            <w:pPr>
              <w:pStyle w:val="Tabletext"/>
              <w:rPr>
                <w:sz w:val="20"/>
              </w:rPr>
            </w:pPr>
            <w:r w:rsidRPr="00BA3D71">
              <w:rPr>
                <w:sz w:val="20"/>
                <w:lang w:eastAsia="en-GB"/>
              </w:rPr>
              <w:t>Argentine</w:t>
            </w:r>
          </w:p>
        </w:tc>
        <w:tc>
          <w:tcPr>
            <w:tcW w:w="1643" w:type="pct"/>
            <w:tcBorders>
              <w:top w:val="nil"/>
              <w:left w:val="nil"/>
              <w:bottom w:val="single" w:sz="4" w:space="0" w:color="auto"/>
              <w:right w:val="single" w:sz="4" w:space="0" w:color="auto"/>
            </w:tcBorders>
            <w:shd w:val="clear" w:color="000000" w:fill="FFFFFF"/>
            <w:noWrap/>
            <w:vAlign w:val="center"/>
          </w:tcPr>
          <w:p w14:paraId="2E220E23" w14:textId="09BE4980" w:rsidR="000929C2" w:rsidRPr="00BA3D71" w:rsidRDefault="000929C2" w:rsidP="000929C2">
            <w:pPr>
              <w:pStyle w:val="Tabletext"/>
              <w:rPr>
                <w:sz w:val="20"/>
              </w:rPr>
            </w:pPr>
            <w:r w:rsidRPr="00BA3D71">
              <w:rPr>
                <w:sz w:val="20"/>
                <w:lang w:eastAsia="en-GB"/>
              </w:rPr>
              <w:t>Impsat Corp., Buenos Aires</w:t>
            </w:r>
          </w:p>
        </w:tc>
        <w:tc>
          <w:tcPr>
            <w:tcW w:w="571" w:type="pct"/>
            <w:tcBorders>
              <w:top w:val="nil"/>
              <w:left w:val="nil"/>
              <w:bottom w:val="single" w:sz="4" w:space="0" w:color="auto"/>
              <w:right w:val="single" w:sz="4" w:space="0" w:color="auto"/>
            </w:tcBorders>
            <w:shd w:val="clear" w:color="000000" w:fill="FFFFFF"/>
            <w:noWrap/>
            <w:vAlign w:val="center"/>
          </w:tcPr>
          <w:p w14:paraId="6B8531C6" w14:textId="641679B5" w:rsidR="000929C2" w:rsidRPr="00BA3D71" w:rsidRDefault="000929C2" w:rsidP="000929C2">
            <w:pPr>
              <w:pStyle w:val="Tabletext"/>
              <w:jc w:val="right"/>
              <w:rPr>
                <w:sz w:val="20"/>
              </w:rPr>
            </w:pPr>
            <w:r w:rsidRPr="00BA3D71">
              <w:rPr>
                <w:sz w:val="20"/>
                <w:lang w:eastAsia="en-GB"/>
              </w:rPr>
              <w:t>1999-2006</w:t>
            </w:r>
          </w:p>
        </w:tc>
        <w:tc>
          <w:tcPr>
            <w:tcW w:w="644" w:type="pct"/>
            <w:tcBorders>
              <w:top w:val="nil"/>
              <w:left w:val="nil"/>
              <w:bottom w:val="single" w:sz="4" w:space="0" w:color="auto"/>
              <w:right w:val="single" w:sz="4" w:space="0" w:color="auto"/>
            </w:tcBorders>
            <w:shd w:val="clear" w:color="000000" w:fill="FFFFFF"/>
            <w:noWrap/>
            <w:vAlign w:val="center"/>
          </w:tcPr>
          <w:p w14:paraId="6FD369B2" w14:textId="12A3E00E" w:rsidR="000929C2" w:rsidRPr="00BA3D71" w:rsidRDefault="000929C2" w:rsidP="000929C2">
            <w:pPr>
              <w:pStyle w:val="Tabletext"/>
              <w:jc w:val="right"/>
              <w:rPr>
                <w:color w:val="000000"/>
                <w:sz w:val="20"/>
              </w:rPr>
            </w:pPr>
            <w:r w:rsidRPr="00BA3D71">
              <w:rPr>
                <w:color w:val="000000"/>
                <w:sz w:val="20"/>
                <w:lang w:eastAsia="en-GB"/>
              </w:rPr>
              <w:t>23 662,50</w:t>
            </w:r>
          </w:p>
        </w:tc>
        <w:tc>
          <w:tcPr>
            <w:tcW w:w="643" w:type="pct"/>
            <w:tcBorders>
              <w:top w:val="nil"/>
              <w:left w:val="nil"/>
              <w:bottom w:val="single" w:sz="4" w:space="0" w:color="auto"/>
              <w:right w:val="single" w:sz="4" w:space="0" w:color="auto"/>
            </w:tcBorders>
            <w:shd w:val="clear" w:color="000000" w:fill="FFFFFF"/>
            <w:noWrap/>
            <w:vAlign w:val="center"/>
          </w:tcPr>
          <w:p w14:paraId="1C8AB9BE" w14:textId="60C9E280" w:rsidR="000929C2" w:rsidRPr="00BA3D71" w:rsidRDefault="000929C2" w:rsidP="000929C2">
            <w:pPr>
              <w:pStyle w:val="Tabletext"/>
              <w:jc w:val="right"/>
              <w:rPr>
                <w:color w:val="000000"/>
                <w:sz w:val="20"/>
              </w:rPr>
            </w:pPr>
            <w:r w:rsidRPr="00BA3D71">
              <w:rPr>
                <w:color w:val="000000"/>
                <w:sz w:val="20"/>
                <w:lang w:eastAsia="en-GB"/>
              </w:rPr>
              <w:t>37 308,20</w:t>
            </w:r>
          </w:p>
        </w:tc>
        <w:tc>
          <w:tcPr>
            <w:tcW w:w="713" w:type="pct"/>
            <w:tcBorders>
              <w:top w:val="nil"/>
              <w:left w:val="nil"/>
              <w:bottom w:val="single" w:sz="4" w:space="0" w:color="auto"/>
              <w:right w:val="single" w:sz="4" w:space="0" w:color="auto"/>
            </w:tcBorders>
            <w:shd w:val="clear" w:color="000000" w:fill="FFFFFF"/>
            <w:noWrap/>
            <w:vAlign w:val="center"/>
          </w:tcPr>
          <w:p w14:paraId="11046D0B" w14:textId="61B0599A" w:rsidR="000929C2" w:rsidRPr="00BA3D71" w:rsidRDefault="000929C2" w:rsidP="000929C2">
            <w:pPr>
              <w:pStyle w:val="Tabletext"/>
              <w:jc w:val="right"/>
              <w:rPr>
                <w:color w:val="000000"/>
                <w:sz w:val="20"/>
              </w:rPr>
            </w:pPr>
            <w:r w:rsidRPr="00BA3D71">
              <w:rPr>
                <w:color w:val="000000"/>
                <w:sz w:val="20"/>
                <w:lang w:eastAsia="en-GB"/>
              </w:rPr>
              <w:t>60 970,70</w:t>
            </w:r>
          </w:p>
        </w:tc>
      </w:tr>
      <w:tr w:rsidR="000929C2" w:rsidRPr="00BA3D71" w14:paraId="03BFAB31" w14:textId="77777777" w:rsidTr="00FC1C04">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1A8BC0E0" w14:textId="1F341832" w:rsidR="000929C2" w:rsidRPr="00BA3D71" w:rsidRDefault="000929C2" w:rsidP="000929C2">
            <w:pPr>
              <w:pStyle w:val="Tabletext"/>
              <w:rPr>
                <w:sz w:val="20"/>
                <w:lang w:eastAsia="en-GB"/>
              </w:rPr>
            </w:pPr>
            <w:r w:rsidRPr="00BA3D71">
              <w:rPr>
                <w:rFonts w:cs="Calibri"/>
                <w:sz w:val="20"/>
              </w:rPr>
              <w:t>Bélarus</w:t>
            </w:r>
          </w:p>
        </w:tc>
        <w:tc>
          <w:tcPr>
            <w:tcW w:w="1643" w:type="pct"/>
            <w:tcBorders>
              <w:top w:val="nil"/>
              <w:left w:val="nil"/>
              <w:bottom w:val="single" w:sz="4" w:space="0" w:color="auto"/>
              <w:right w:val="single" w:sz="4" w:space="0" w:color="auto"/>
            </w:tcBorders>
            <w:shd w:val="clear" w:color="000000" w:fill="FFFFFF"/>
            <w:noWrap/>
            <w:vAlign w:val="center"/>
          </w:tcPr>
          <w:p w14:paraId="7E730825" w14:textId="02CE890F" w:rsidR="000929C2" w:rsidRPr="00BA3D71" w:rsidRDefault="000929C2" w:rsidP="000929C2">
            <w:pPr>
              <w:pStyle w:val="Tabletext"/>
              <w:rPr>
                <w:sz w:val="20"/>
                <w:lang w:eastAsia="en-GB"/>
              </w:rPr>
            </w:pPr>
            <w:r w:rsidRPr="00BA3D71">
              <w:rPr>
                <w:rFonts w:cs="Calibri"/>
                <w:sz w:val="20"/>
              </w:rPr>
              <w:t>Belarsat LLC, Minsk</w:t>
            </w:r>
          </w:p>
        </w:tc>
        <w:tc>
          <w:tcPr>
            <w:tcW w:w="571" w:type="pct"/>
            <w:tcBorders>
              <w:top w:val="nil"/>
              <w:left w:val="nil"/>
              <w:bottom w:val="single" w:sz="4" w:space="0" w:color="auto"/>
              <w:right w:val="single" w:sz="4" w:space="0" w:color="auto"/>
            </w:tcBorders>
            <w:shd w:val="clear" w:color="000000" w:fill="FFFFFF"/>
            <w:noWrap/>
            <w:vAlign w:val="center"/>
          </w:tcPr>
          <w:p w14:paraId="1E0C6B2E" w14:textId="486CC2B7" w:rsidR="000929C2" w:rsidRPr="00BA3D71" w:rsidRDefault="000929C2" w:rsidP="000929C2">
            <w:pPr>
              <w:pStyle w:val="Tabletext"/>
              <w:jc w:val="right"/>
              <w:rPr>
                <w:sz w:val="20"/>
                <w:lang w:eastAsia="en-GB"/>
              </w:rPr>
            </w:pPr>
            <w:r w:rsidRPr="00BA3D71">
              <w:rPr>
                <w:rFonts w:cs="Calibri"/>
                <w:sz w:val="20"/>
              </w:rPr>
              <w:t>2009-2010</w:t>
            </w:r>
          </w:p>
        </w:tc>
        <w:tc>
          <w:tcPr>
            <w:tcW w:w="644" w:type="pct"/>
            <w:tcBorders>
              <w:top w:val="nil"/>
              <w:left w:val="nil"/>
              <w:bottom w:val="single" w:sz="4" w:space="0" w:color="auto"/>
              <w:right w:val="single" w:sz="4" w:space="0" w:color="auto"/>
            </w:tcBorders>
            <w:shd w:val="clear" w:color="000000" w:fill="FFFFFF"/>
            <w:noWrap/>
            <w:vAlign w:val="center"/>
          </w:tcPr>
          <w:p w14:paraId="5D788160" w14:textId="65C73F40" w:rsidR="000929C2" w:rsidRPr="00BA3D71" w:rsidRDefault="000929C2" w:rsidP="000929C2">
            <w:pPr>
              <w:pStyle w:val="Tabletext"/>
              <w:jc w:val="right"/>
              <w:rPr>
                <w:color w:val="000000"/>
                <w:sz w:val="20"/>
                <w:lang w:eastAsia="en-GB"/>
              </w:rPr>
            </w:pPr>
            <w:r w:rsidRPr="00BA3D71">
              <w:rPr>
                <w:rFonts w:cs="Calibri"/>
                <w:sz w:val="20"/>
              </w:rPr>
              <w:t>12 366,20</w:t>
            </w:r>
          </w:p>
        </w:tc>
        <w:tc>
          <w:tcPr>
            <w:tcW w:w="643" w:type="pct"/>
            <w:tcBorders>
              <w:top w:val="nil"/>
              <w:left w:val="nil"/>
              <w:bottom w:val="single" w:sz="4" w:space="0" w:color="auto"/>
              <w:right w:val="single" w:sz="4" w:space="0" w:color="auto"/>
            </w:tcBorders>
            <w:shd w:val="clear" w:color="000000" w:fill="FFFFFF"/>
            <w:noWrap/>
            <w:vAlign w:val="center"/>
          </w:tcPr>
          <w:p w14:paraId="73082C85" w14:textId="4BF76F8D" w:rsidR="000929C2" w:rsidRPr="00BA3D71" w:rsidRDefault="000929C2" w:rsidP="000929C2">
            <w:pPr>
              <w:pStyle w:val="Tabletext"/>
              <w:jc w:val="right"/>
              <w:rPr>
                <w:color w:val="000000"/>
                <w:sz w:val="20"/>
                <w:lang w:eastAsia="en-GB"/>
              </w:rPr>
            </w:pPr>
            <w:r w:rsidRPr="00BA3D71">
              <w:rPr>
                <w:rFonts w:cs="Calibri"/>
                <w:sz w:val="20"/>
              </w:rPr>
              <w:t>9 673,30</w:t>
            </w:r>
          </w:p>
        </w:tc>
        <w:tc>
          <w:tcPr>
            <w:tcW w:w="713" w:type="pct"/>
            <w:tcBorders>
              <w:top w:val="nil"/>
              <w:left w:val="nil"/>
              <w:bottom w:val="single" w:sz="4" w:space="0" w:color="auto"/>
              <w:right w:val="single" w:sz="4" w:space="0" w:color="auto"/>
            </w:tcBorders>
            <w:shd w:val="clear" w:color="000000" w:fill="FFFFFF"/>
            <w:noWrap/>
            <w:vAlign w:val="center"/>
          </w:tcPr>
          <w:p w14:paraId="1BA0D2B2" w14:textId="585EE69F" w:rsidR="000929C2" w:rsidRPr="00BA3D71" w:rsidRDefault="000929C2" w:rsidP="000929C2">
            <w:pPr>
              <w:pStyle w:val="Tabletext"/>
              <w:jc w:val="right"/>
              <w:rPr>
                <w:color w:val="000000"/>
                <w:sz w:val="20"/>
                <w:lang w:eastAsia="en-GB"/>
              </w:rPr>
            </w:pPr>
            <w:r w:rsidRPr="00BA3D71">
              <w:rPr>
                <w:rFonts w:cs="Calibri"/>
                <w:sz w:val="20"/>
              </w:rPr>
              <w:t>22 039,50</w:t>
            </w:r>
          </w:p>
        </w:tc>
      </w:tr>
      <w:tr w:rsidR="000929C2" w:rsidRPr="00BA3D71" w14:paraId="21A91427"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031C4D8A" w14:textId="4CFFA206" w:rsidR="000929C2" w:rsidRPr="00BA3D71" w:rsidRDefault="000929C2" w:rsidP="000929C2">
            <w:pPr>
              <w:pStyle w:val="Tabletext"/>
              <w:spacing w:before="40" w:after="40"/>
              <w:rPr>
                <w:sz w:val="20"/>
              </w:rPr>
            </w:pPr>
            <w:r w:rsidRPr="00BA3D71">
              <w:rPr>
                <w:rFonts w:cs="Calibri"/>
                <w:sz w:val="20"/>
                <w:lang w:eastAsia="en-GB"/>
              </w:rPr>
              <w:t>Canada</w:t>
            </w:r>
          </w:p>
        </w:tc>
        <w:tc>
          <w:tcPr>
            <w:tcW w:w="1643" w:type="pct"/>
            <w:tcBorders>
              <w:top w:val="nil"/>
              <w:left w:val="nil"/>
              <w:bottom w:val="single" w:sz="4" w:space="0" w:color="auto"/>
              <w:right w:val="single" w:sz="4" w:space="0" w:color="auto"/>
            </w:tcBorders>
            <w:shd w:val="clear" w:color="auto" w:fill="auto"/>
            <w:noWrap/>
            <w:vAlign w:val="center"/>
          </w:tcPr>
          <w:p w14:paraId="6FD76266" w14:textId="05F79C6C" w:rsidR="000929C2" w:rsidRPr="00BA3D71" w:rsidRDefault="000929C2" w:rsidP="000929C2">
            <w:pPr>
              <w:pStyle w:val="Tabletext"/>
              <w:spacing w:before="40" w:after="40"/>
              <w:rPr>
                <w:sz w:val="20"/>
              </w:rPr>
            </w:pPr>
            <w:r w:rsidRPr="00BA3D71">
              <w:rPr>
                <w:rFonts w:cs="Calibri"/>
                <w:sz w:val="20"/>
                <w:lang w:eastAsia="en-GB"/>
              </w:rPr>
              <w:t>Avvasi Inc, Waterloo</w:t>
            </w:r>
          </w:p>
        </w:tc>
        <w:tc>
          <w:tcPr>
            <w:tcW w:w="571" w:type="pct"/>
            <w:tcBorders>
              <w:top w:val="nil"/>
              <w:left w:val="nil"/>
              <w:bottom w:val="single" w:sz="4" w:space="0" w:color="auto"/>
              <w:right w:val="single" w:sz="4" w:space="0" w:color="auto"/>
            </w:tcBorders>
            <w:shd w:val="clear" w:color="auto" w:fill="auto"/>
            <w:noWrap/>
            <w:vAlign w:val="center"/>
          </w:tcPr>
          <w:p w14:paraId="34E6D6E6" w14:textId="07387F5B" w:rsidR="000929C2" w:rsidRPr="00BA3D71" w:rsidRDefault="000929C2" w:rsidP="000929C2">
            <w:pPr>
              <w:pStyle w:val="Tabletext"/>
              <w:spacing w:before="40" w:after="40"/>
              <w:jc w:val="center"/>
              <w:rPr>
                <w:sz w:val="20"/>
              </w:rPr>
            </w:pPr>
            <w:r w:rsidRPr="00BA3D71">
              <w:rPr>
                <w:rFonts w:cs="Calibri"/>
                <w:sz w:val="20"/>
                <w:lang w:eastAsia="en-GB"/>
              </w:rPr>
              <w:t>2015</w:t>
            </w:r>
          </w:p>
        </w:tc>
        <w:tc>
          <w:tcPr>
            <w:tcW w:w="644" w:type="pct"/>
            <w:tcBorders>
              <w:top w:val="nil"/>
              <w:left w:val="nil"/>
              <w:bottom w:val="single" w:sz="4" w:space="0" w:color="auto"/>
              <w:right w:val="single" w:sz="4" w:space="0" w:color="auto"/>
            </w:tcBorders>
            <w:shd w:val="clear" w:color="auto" w:fill="auto"/>
            <w:noWrap/>
            <w:vAlign w:val="center"/>
          </w:tcPr>
          <w:p w14:paraId="16CEF911" w14:textId="0CFC1845"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10 600,00</w:t>
            </w:r>
          </w:p>
        </w:tc>
        <w:tc>
          <w:tcPr>
            <w:tcW w:w="643" w:type="pct"/>
            <w:tcBorders>
              <w:top w:val="nil"/>
              <w:left w:val="nil"/>
              <w:bottom w:val="single" w:sz="4" w:space="0" w:color="auto"/>
              <w:right w:val="single" w:sz="4" w:space="0" w:color="auto"/>
            </w:tcBorders>
            <w:shd w:val="clear" w:color="auto" w:fill="auto"/>
            <w:noWrap/>
            <w:vAlign w:val="center"/>
          </w:tcPr>
          <w:p w14:paraId="1D35CDE8" w14:textId="7012EA1B"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2 498,20</w:t>
            </w:r>
          </w:p>
        </w:tc>
        <w:tc>
          <w:tcPr>
            <w:tcW w:w="713" w:type="pct"/>
            <w:tcBorders>
              <w:top w:val="nil"/>
              <w:left w:val="nil"/>
              <w:bottom w:val="single" w:sz="4" w:space="0" w:color="auto"/>
              <w:right w:val="single" w:sz="4" w:space="0" w:color="auto"/>
            </w:tcBorders>
            <w:shd w:val="clear" w:color="auto" w:fill="auto"/>
            <w:noWrap/>
            <w:vAlign w:val="center"/>
          </w:tcPr>
          <w:p w14:paraId="3428F0C2" w14:textId="643ADD91"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13 098,20</w:t>
            </w:r>
          </w:p>
        </w:tc>
      </w:tr>
      <w:tr w:rsidR="000929C2" w:rsidRPr="00BA3D71" w14:paraId="785FDE6E"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6E76CF31" w14:textId="39DF94B7" w:rsidR="000929C2" w:rsidRPr="00BA3D71" w:rsidRDefault="000929C2" w:rsidP="000929C2">
            <w:pPr>
              <w:pStyle w:val="Tabletext"/>
              <w:spacing w:before="40" w:after="40"/>
              <w:rPr>
                <w:sz w:val="20"/>
              </w:rPr>
            </w:pPr>
            <w:r w:rsidRPr="00BA3D71">
              <w:rPr>
                <w:rFonts w:cs="Calibri"/>
                <w:sz w:val="20"/>
                <w:lang w:eastAsia="en-GB"/>
              </w:rPr>
              <w:t>France</w:t>
            </w:r>
          </w:p>
        </w:tc>
        <w:tc>
          <w:tcPr>
            <w:tcW w:w="1643" w:type="pct"/>
            <w:tcBorders>
              <w:top w:val="nil"/>
              <w:left w:val="nil"/>
              <w:bottom w:val="single" w:sz="4" w:space="0" w:color="auto"/>
              <w:right w:val="single" w:sz="4" w:space="0" w:color="auto"/>
            </w:tcBorders>
            <w:shd w:val="clear" w:color="auto" w:fill="auto"/>
            <w:noWrap/>
            <w:vAlign w:val="center"/>
          </w:tcPr>
          <w:p w14:paraId="5EF77F63" w14:textId="5159078C" w:rsidR="000929C2" w:rsidRPr="00BA3D71" w:rsidRDefault="000929C2" w:rsidP="000929C2">
            <w:pPr>
              <w:pStyle w:val="Tabletext"/>
              <w:spacing w:before="40" w:after="40"/>
              <w:rPr>
                <w:sz w:val="20"/>
              </w:rPr>
            </w:pPr>
            <w:r w:rsidRPr="00BA3D71">
              <w:rPr>
                <w:rFonts w:cs="Calibri"/>
                <w:sz w:val="20"/>
                <w:lang w:eastAsia="en-GB"/>
              </w:rPr>
              <w:t>VIABLE France Sarl, Paris</w:t>
            </w:r>
          </w:p>
        </w:tc>
        <w:tc>
          <w:tcPr>
            <w:tcW w:w="571" w:type="pct"/>
            <w:tcBorders>
              <w:top w:val="nil"/>
              <w:left w:val="nil"/>
              <w:bottom w:val="single" w:sz="4" w:space="0" w:color="auto"/>
              <w:right w:val="single" w:sz="4" w:space="0" w:color="auto"/>
            </w:tcBorders>
            <w:shd w:val="clear" w:color="auto" w:fill="auto"/>
            <w:noWrap/>
            <w:vAlign w:val="center"/>
          </w:tcPr>
          <w:p w14:paraId="57DEEB14" w14:textId="5F83623F" w:rsidR="000929C2" w:rsidRPr="00BA3D71" w:rsidRDefault="000929C2" w:rsidP="000929C2">
            <w:pPr>
              <w:pStyle w:val="Tabletext"/>
              <w:spacing w:before="40" w:after="40"/>
              <w:jc w:val="center"/>
              <w:rPr>
                <w:sz w:val="20"/>
              </w:rPr>
            </w:pPr>
            <w:r w:rsidRPr="00BA3D71">
              <w:rPr>
                <w:rFonts w:cs="Calibri"/>
                <w:sz w:val="20"/>
                <w:lang w:eastAsia="en-GB"/>
              </w:rPr>
              <w:t>2010-2012</w:t>
            </w:r>
          </w:p>
        </w:tc>
        <w:tc>
          <w:tcPr>
            <w:tcW w:w="644" w:type="pct"/>
            <w:tcBorders>
              <w:top w:val="nil"/>
              <w:left w:val="nil"/>
              <w:bottom w:val="single" w:sz="4" w:space="0" w:color="auto"/>
              <w:right w:val="single" w:sz="4" w:space="0" w:color="auto"/>
            </w:tcBorders>
            <w:shd w:val="clear" w:color="auto" w:fill="auto"/>
            <w:noWrap/>
            <w:vAlign w:val="center"/>
          </w:tcPr>
          <w:p w14:paraId="1DED509C" w14:textId="293BE6F6"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11 925,00</w:t>
            </w:r>
          </w:p>
        </w:tc>
        <w:tc>
          <w:tcPr>
            <w:tcW w:w="643" w:type="pct"/>
            <w:tcBorders>
              <w:top w:val="nil"/>
              <w:left w:val="nil"/>
              <w:bottom w:val="single" w:sz="4" w:space="0" w:color="auto"/>
              <w:right w:val="single" w:sz="4" w:space="0" w:color="auto"/>
            </w:tcBorders>
            <w:shd w:val="clear" w:color="auto" w:fill="auto"/>
            <w:noWrap/>
            <w:vAlign w:val="center"/>
          </w:tcPr>
          <w:p w14:paraId="343A2B31" w14:textId="0285C792"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1 170,30</w:t>
            </w:r>
          </w:p>
        </w:tc>
        <w:tc>
          <w:tcPr>
            <w:tcW w:w="713" w:type="pct"/>
            <w:tcBorders>
              <w:top w:val="nil"/>
              <w:left w:val="nil"/>
              <w:bottom w:val="single" w:sz="4" w:space="0" w:color="auto"/>
              <w:right w:val="single" w:sz="4" w:space="0" w:color="auto"/>
            </w:tcBorders>
            <w:shd w:val="clear" w:color="auto" w:fill="auto"/>
            <w:noWrap/>
            <w:vAlign w:val="center"/>
          </w:tcPr>
          <w:p w14:paraId="3697CB52" w14:textId="28612511"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13 095,30</w:t>
            </w:r>
          </w:p>
        </w:tc>
      </w:tr>
      <w:tr w:rsidR="000929C2" w:rsidRPr="00BA3D71" w14:paraId="0F9C25BC"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10E51368" w14:textId="03D29F87" w:rsidR="000929C2" w:rsidRPr="00BA3D71" w:rsidRDefault="000929C2" w:rsidP="000929C2">
            <w:pPr>
              <w:pStyle w:val="Tabletext"/>
              <w:spacing w:before="40" w:after="40"/>
              <w:rPr>
                <w:sz w:val="20"/>
              </w:rPr>
            </w:pPr>
            <w:r w:rsidRPr="00BA3D71">
              <w:rPr>
                <w:rFonts w:cs="Calibri"/>
                <w:sz w:val="20"/>
                <w:lang w:eastAsia="en-GB"/>
              </w:rPr>
              <w:t>Haïti</w:t>
            </w:r>
          </w:p>
        </w:tc>
        <w:tc>
          <w:tcPr>
            <w:tcW w:w="1643" w:type="pct"/>
            <w:tcBorders>
              <w:top w:val="nil"/>
              <w:left w:val="nil"/>
              <w:bottom w:val="single" w:sz="4" w:space="0" w:color="auto"/>
              <w:right w:val="single" w:sz="4" w:space="0" w:color="auto"/>
            </w:tcBorders>
            <w:shd w:val="clear" w:color="auto" w:fill="auto"/>
            <w:noWrap/>
            <w:vAlign w:val="center"/>
          </w:tcPr>
          <w:p w14:paraId="3F26308F" w14:textId="07ABD158" w:rsidR="000929C2" w:rsidRPr="00BA3D71" w:rsidRDefault="000929C2" w:rsidP="000929C2">
            <w:pPr>
              <w:pStyle w:val="Tabletext"/>
              <w:spacing w:before="40" w:after="40"/>
              <w:rPr>
                <w:sz w:val="20"/>
              </w:rPr>
            </w:pPr>
            <w:r w:rsidRPr="00BA3D71">
              <w:rPr>
                <w:rFonts w:cs="Calibri"/>
                <w:sz w:val="20"/>
                <w:lang w:eastAsia="en-GB"/>
              </w:rPr>
              <w:t>Haïti Télécommunications Internationales S.A. (HaiTel S.A.), Pétion-Ville</w:t>
            </w:r>
          </w:p>
        </w:tc>
        <w:tc>
          <w:tcPr>
            <w:tcW w:w="571" w:type="pct"/>
            <w:tcBorders>
              <w:top w:val="nil"/>
              <w:left w:val="nil"/>
              <w:bottom w:val="single" w:sz="4" w:space="0" w:color="auto"/>
              <w:right w:val="single" w:sz="4" w:space="0" w:color="auto"/>
            </w:tcBorders>
            <w:shd w:val="clear" w:color="auto" w:fill="auto"/>
            <w:noWrap/>
            <w:vAlign w:val="center"/>
          </w:tcPr>
          <w:p w14:paraId="3721A522" w14:textId="722955FA" w:rsidR="000929C2" w:rsidRPr="00BA3D71" w:rsidRDefault="000929C2" w:rsidP="000929C2">
            <w:pPr>
              <w:pStyle w:val="Tabletext"/>
              <w:spacing w:before="40" w:after="40"/>
              <w:jc w:val="center"/>
              <w:rPr>
                <w:rFonts w:cs="Calibri"/>
                <w:sz w:val="20"/>
              </w:rPr>
            </w:pPr>
            <w:r w:rsidRPr="00BA3D71">
              <w:rPr>
                <w:rFonts w:cs="Calibri"/>
                <w:sz w:val="20"/>
                <w:lang w:eastAsia="en-GB"/>
              </w:rPr>
              <w:t>2008</w:t>
            </w:r>
          </w:p>
        </w:tc>
        <w:tc>
          <w:tcPr>
            <w:tcW w:w="644" w:type="pct"/>
            <w:tcBorders>
              <w:top w:val="nil"/>
              <w:left w:val="nil"/>
              <w:bottom w:val="single" w:sz="4" w:space="0" w:color="auto"/>
              <w:right w:val="single" w:sz="4" w:space="0" w:color="auto"/>
            </w:tcBorders>
            <w:shd w:val="clear" w:color="auto" w:fill="auto"/>
            <w:noWrap/>
            <w:vAlign w:val="center"/>
          </w:tcPr>
          <w:p w14:paraId="20C8D242" w14:textId="72223C33"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31 800,00</w:t>
            </w:r>
          </w:p>
        </w:tc>
        <w:tc>
          <w:tcPr>
            <w:tcW w:w="643" w:type="pct"/>
            <w:tcBorders>
              <w:top w:val="nil"/>
              <w:left w:val="nil"/>
              <w:bottom w:val="single" w:sz="4" w:space="0" w:color="auto"/>
              <w:right w:val="single" w:sz="4" w:space="0" w:color="auto"/>
            </w:tcBorders>
            <w:shd w:val="clear" w:color="auto" w:fill="auto"/>
            <w:noWrap/>
            <w:vAlign w:val="center"/>
          </w:tcPr>
          <w:p w14:paraId="5336FDB3" w14:textId="4E71D596" w:rsidR="000929C2" w:rsidRPr="00BA3D71" w:rsidRDefault="000929C2" w:rsidP="000929C2">
            <w:pPr>
              <w:pStyle w:val="Tabletext"/>
              <w:spacing w:before="40" w:after="40"/>
              <w:jc w:val="right"/>
              <w:rPr>
                <w:rFonts w:cs="Calibri"/>
                <w:color w:val="000000"/>
                <w:sz w:val="20"/>
              </w:rPr>
            </w:pPr>
            <w:r w:rsidRPr="00BA3D71">
              <w:rPr>
                <w:rFonts w:cs="Calibri"/>
                <w:color w:val="000000"/>
                <w:sz w:val="20"/>
                <w:lang w:eastAsia="en-GB"/>
              </w:rPr>
              <w:t>30 829,55</w:t>
            </w:r>
          </w:p>
        </w:tc>
        <w:tc>
          <w:tcPr>
            <w:tcW w:w="713" w:type="pct"/>
            <w:tcBorders>
              <w:top w:val="nil"/>
              <w:left w:val="nil"/>
              <w:bottom w:val="single" w:sz="4" w:space="0" w:color="auto"/>
              <w:right w:val="single" w:sz="4" w:space="0" w:color="auto"/>
            </w:tcBorders>
            <w:shd w:val="clear" w:color="auto" w:fill="auto"/>
            <w:noWrap/>
            <w:vAlign w:val="center"/>
          </w:tcPr>
          <w:p w14:paraId="7FAFA00E" w14:textId="3F8BCFB2" w:rsidR="000929C2" w:rsidRPr="00BA3D71" w:rsidRDefault="000929C2" w:rsidP="000929C2">
            <w:pPr>
              <w:pStyle w:val="Tabletext"/>
              <w:spacing w:before="40" w:after="40"/>
              <w:jc w:val="right"/>
              <w:rPr>
                <w:rFonts w:cs="Calibri"/>
                <w:color w:val="000000"/>
                <w:sz w:val="20"/>
              </w:rPr>
            </w:pPr>
            <w:r w:rsidRPr="00BA3D71">
              <w:rPr>
                <w:rFonts w:cs="Calibri"/>
                <w:color w:val="000000"/>
                <w:sz w:val="20"/>
                <w:lang w:eastAsia="en-GB"/>
              </w:rPr>
              <w:t>62 629,55</w:t>
            </w:r>
          </w:p>
        </w:tc>
      </w:tr>
      <w:tr w:rsidR="000929C2" w:rsidRPr="00BA3D71" w14:paraId="52DE9898" w14:textId="77777777" w:rsidTr="00FC1C04">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74605F75" w14:textId="72387690" w:rsidR="000929C2" w:rsidRPr="00BA3D71" w:rsidRDefault="000929C2" w:rsidP="000929C2">
            <w:pPr>
              <w:pStyle w:val="Tabletext"/>
              <w:spacing w:before="40" w:after="40"/>
              <w:rPr>
                <w:sz w:val="20"/>
              </w:rPr>
            </w:pPr>
            <w:r w:rsidRPr="00BA3D71">
              <w:rPr>
                <w:rFonts w:cs="Calibri"/>
                <w:sz w:val="20"/>
                <w:lang w:eastAsia="en-GB"/>
              </w:rPr>
              <w:t>Inde</w:t>
            </w:r>
          </w:p>
        </w:tc>
        <w:tc>
          <w:tcPr>
            <w:tcW w:w="1643" w:type="pct"/>
            <w:tcBorders>
              <w:top w:val="nil"/>
              <w:left w:val="nil"/>
              <w:bottom w:val="single" w:sz="4" w:space="0" w:color="auto"/>
              <w:right w:val="single" w:sz="4" w:space="0" w:color="auto"/>
            </w:tcBorders>
            <w:shd w:val="clear" w:color="000000" w:fill="FFFFFF"/>
            <w:noWrap/>
            <w:vAlign w:val="center"/>
          </w:tcPr>
          <w:p w14:paraId="303AF441" w14:textId="1012AE6B" w:rsidR="000929C2" w:rsidRPr="00BA3D71" w:rsidRDefault="000929C2" w:rsidP="000929C2">
            <w:pPr>
              <w:pStyle w:val="Tabletext"/>
              <w:spacing w:before="40" w:after="40"/>
              <w:rPr>
                <w:sz w:val="20"/>
              </w:rPr>
            </w:pPr>
            <w:r w:rsidRPr="00BA3D71">
              <w:rPr>
                <w:rFonts w:cs="Calibri"/>
                <w:sz w:val="20"/>
                <w:lang w:eastAsia="en-GB"/>
              </w:rPr>
              <w:t>Reliance Communications (Ex. Reliance Infocomm Ltd.), Navi Mumbai</w:t>
            </w:r>
          </w:p>
        </w:tc>
        <w:tc>
          <w:tcPr>
            <w:tcW w:w="571" w:type="pct"/>
            <w:tcBorders>
              <w:top w:val="nil"/>
              <w:left w:val="nil"/>
              <w:bottom w:val="single" w:sz="4" w:space="0" w:color="auto"/>
              <w:right w:val="single" w:sz="4" w:space="0" w:color="auto"/>
            </w:tcBorders>
            <w:shd w:val="clear" w:color="000000" w:fill="FFFFFF"/>
            <w:noWrap/>
            <w:vAlign w:val="center"/>
          </w:tcPr>
          <w:p w14:paraId="60B9390E" w14:textId="37B9F5F2" w:rsidR="000929C2" w:rsidRPr="00BA3D71" w:rsidRDefault="000929C2" w:rsidP="000929C2">
            <w:pPr>
              <w:pStyle w:val="Tabletext"/>
              <w:spacing w:before="40" w:after="40"/>
              <w:jc w:val="center"/>
              <w:rPr>
                <w:sz w:val="20"/>
              </w:rPr>
            </w:pPr>
            <w:r w:rsidRPr="00BA3D71">
              <w:rPr>
                <w:rFonts w:cs="Calibri"/>
                <w:sz w:val="20"/>
                <w:lang w:eastAsia="en-GB"/>
              </w:rPr>
              <w:t>2009</w:t>
            </w:r>
          </w:p>
        </w:tc>
        <w:tc>
          <w:tcPr>
            <w:tcW w:w="644" w:type="pct"/>
            <w:tcBorders>
              <w:top w:val="nil"/>
              <w:left w:val="nil"/>
              <w:bottom w:val="single" w:sz="4" w:space="0" w:color="auto"/>
              <w:right w:val="single" w:sz="4" w:space="0" w:color="auto"/>
            </w:tcBorders>
            <w:shd w:val="clear" w:color="000000" w:fill="FFFFFF"/>
            <w:noWrap/>
            <w:vAlign w:val="center"/>
          </w:tcPr>
          <w:p w14:paraId="3CCEA6F4" w14:textId="16A5D488"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67 575,00</w:t>
            </w:r>
          </w:p>
        </w:tc>
        <w:tc>
          <w:tcPr>
            <w:tcW w:w="643" w:type="pct"/>
            <w:tcBorders>
              <w:top w:val="nil"/>
              <w:left w:val="nil"/>
              <w:bottom w:val="single" w:sz="4" w:space="0" w:color="auto"/>
              <w:right w:val="single" w:sz="4" w:space="0" w:color="auto"/>
            </w:tcBorders>
            <w:shd w:val="clear" w:color="000000" w:fill="FFFFFF"/>
            <w:noWrap/>
            <w:vAlign w:val="center"/>
          </w:tcPr>
          <w:p w14:paraId="5EE7A273" w14:textId="43DFBA57"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57 979,60</w:t>
            </w:r>
          </w:p>
        </w:tc>
        <w:tc>
          <w:tcPr>
            <w:tcW w:w="713" w:type="pct"/>
            <w:tcBorders>
              <w:top w:val="nil"/>
              <w:left w:val="nil"/>
              <w:bottom w:val="single" w:sz="4" w:space="0" w:color="auto"/>
              <w:right w:val="single" w:sz="4" w:space="0" w:color="auto"/>
            </w:tcBorders>
            <w:shd w:val="clear" w:color="000000" w:fill="FFFFFF"/>
            <w:noWrap/>
            <w:vAlign w:val="center"/>
          </w:tcPr>
          <w:p w14:paraId="774FFE60" w14:textId="639C5FAC"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125 554,60</w:t>
            </w:r>
          </w:p>
        </w:tc>
      </w:tr>
      <w:tr w:rsidR="000929C2" w:rsidRPr="00BA3D71" w14:paraId="07DA42F9"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76E6EC1F" w14:textId="7FCA8751" w:rsidR="000929C2" w:rsidRPr="00BA3D71" w:rsidRDefault="000929C2" w:rsidP="000929C2">
            <w:pPr>
              <w:pStyle w:val="Tabletext"/>
              <w:spacing w:before="40" w:after="40"/>
              <w:rPr>
                <w:sz w:val="20"/>
              </w:rPr>
            </w:pPr>
            <w:r w:rsidRPr="00BA3D71">
              <w:rPr>
                <w:rFonts w:cs="Calibri"/>
                <w:sz w:val="20"/>
                <w:lang w:eastAsia="en-GB"/>
              </w:rPr>
              <w:t>Indonésie</w:t>
            </w:r>
          </w:p>
        </w:tc>
        <w:tc>
          <w:tcPr>
            <w:tcW w:w="1643" w:type="pct"/>
            <w:tcBorders>
              <w:top w:val="nil"/>
              <w:left w:val="nil"/>
              <w:bottom w:val="single" w:sz="4" w:space="0" w:color="auto"/>
              <w:right w:val="single" w:sz="4" w:space="0" w:color="auto"/>
            </w:tcBorders>
            <w:shd w:val="clear" w:color="auto" w:fill="auto"/>
            <w:vAlign w:val="center"/>
          </w:tcPr>
          <w:p w14:paraId="13FD5D1F" w14:textId="556BA2CC" w:rsidR="000929C2" w:rsidRPr="00C227C0" w:rsidRDefault="000929C2" w:rsidP="000929C2">
            <w:pPr>
              <w:pStyle w:val="Tabletext"/>
              <w:spacing w:before="40" w:after="40"/>
              <w:rPr>
                <w:sz w:val="20"/>
                <w:lang w:val="en-GB"/>
              </w:rPr>
            </w:pPr>
            <w:r w:rsidRPr="00C227C0">
              <w:rPr>
                <w:rFonts w:cs="Calibri"/>
                <w:sz w:val="20"/>
                <w:lang w:val="en-GB" w:eastAsia="en-GB"/>
              </w:rPr>
              <w:t>PT Bakrie Telecom Tbk, Jakarta</w:t>
            </w:r>
          </w:p>
        </w:tc>
        <w:tc>
          <w:tcPr>
            <w:tcW w:w="571" w:type="pct"/>
            <w:tcBorders>
              <w:top w:val="nil"/>
              <w:left w:val="nil"/>
              <w:bottom w:val="single" w:sz="4" w:space="0" w:color="auto"/>
              <w:right w:val="single" w:sz="4" w:space="0" w:color="auto"/>
            </w:tcBorders>
            <w:shd w:val="clear" w:color="auto" w:fill="auto"/>
            <w:noWrap/>
            <w:vAlign w:val="center"/>
          </w:tcPr>
          <w:p w14:paraId="79EA2B7A" w14:textId="1D515AA2" w:rsidR="000929C2" w:rsidRPr="00BA3D71" w:rsidRDefault="000929C2" w:rsidP="000929C2">
            <w:pPr>
              <w:pStyle w:val="Tabletext"/>
              <w:spacing w:before="40" w:after="40"/>
              <w:jc w:val="center"/>
              <w:rPr>
                <w:sz w:val="20"/>
              </w:rPr>
            </w:pPr>
            <w:r w:rsidRPr="00BA3D71">
              <w:rPr>
                <w:rFonts w:cs="Calibri"/>
                <w:sz w:val="20"/>
                <w:lang w:eastAsia="en-GB"/>
              </w:rPr>
              <w:t>1997-2002</w:t>
            </w:r>
          </w:p>
        </w:tc>
        <w:tc>
          <w:tcPr>
            <w:tcW w:w="644" w:type="pct"/>
            <w:tcBorders>
              <w:top w:val="nil"/>
              <w:left w:val="nil"/>
              <w:bottom w:val="single" w:sz="4" w:space="0" w:color="auto"/>
              <w:right w:val="single" w:sz="4" w:space="0" w:color="auto"/>
            </w:tcBorders>
            <w:shd w:val="clear" w:color="auto" w:fill="auto"/>
            <w:noWrap/>
            <w:vAlign w:val="center"/>
          </w:tcPr>
          <w:p w14:paraId="2792D085" w14:textId="42B9D290"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21 752,05</w:t>
            </w:r>
          </w:p>
        </w:tc>
        <w:tc>
          <w:tcPr>
            <w:tcW w:w="643" w:type="pct"/>
            <w:tcBorders>
              <w:top w:val="nil"/>
              <w:left w:val="nil"/>
              <w:bottom w:val="single" w:sz="4" w:space="0" w:color="auto"/>
              <w:right w:val="single" w:sz="4" w:space="0" w:color="auto"/>
            </w:tcBorders>
            <w:shd w:val="clear" w:color="auto" w:fill="auto"/>
            <w:noWrap/>
            <w:vAlign w:val="center"/>
          </w:tcPr>
          <w:p w14:paraId="4656590E" w14:textId="0A549DE7"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42 734,20</w:t>
            </w:r>
          </w:p>
        </w:tc>
        <w:tc>
          <w:tcPr>
            <w:tcW w:w="713" w:type="pct"/>
            <w:tcBorders>
              <w:top w:val="nil"/>
              <w:left w:val="nil"/>
              <w:bottom w:val="single" w:sz="4" w:space="0" w:color="auto"/>
              <w:right w:val="single" w:sz="4" w:space="0" w:color="auto"/>
            </w:tcBorders>
            <w:shd w:val="clear" w:color="auto" w:fill="auto"/>
            <w:noWrap/>
            <w:vAlign w:val="center"/>
          </w:tcPr>
          <w:p w14:paraId="79A346A6" w14:textId="3F435C5F"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64 486,25</w:t>
            </w:r>
          </w:p>
        </w:tc>
      </w:tr>
      <w:tr w:rsidR="000929C2" w:rsidRPr="00BA3D71" w14:paraId="4705C645"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5B47F6E3" w14:textId="44301C56" w:rsidR="000929C2" w:rsidRPr="00BA3D71" w:rsidRDefault="000929C2" w:rsidP="000929C2">
            <w:pPr>
              <w:pStyle w:val="Tabletext"/>
              <w:spacing w:before="40" w:after="40"/>
              <w:rPr>
                <w:sz w:val="20"/>
              </w:rPr>
            </w:pPr>
            <w:r w:rsidRPr="00BA3D71">
              <w:rPr>
                <w:rFonts w:cs="Calibri"/>
                <w:sz w:val="20"/>
                <w:lang w:eastAsia="en-GB"/>
              </w:rPr>
              <w:t>Israël</w:t>
            </w:r>
          </w:p>
        </w:tc>
        <w:tc>
          <w:tcPr>
            <w:tcW w:w="1643" w:type="pct"/>
            <w:tcBorders>
              <w:top w:val="nil"/>
              <w:left w:val="nil"/>
              <w:bottom w:val="single" w:sz="4" w:space="0" w:color="auto"/>
              <w:right w:val="single" w:sz="4" w:space="0" w:color="auto"/>
            </w:tcBorders>
            <w:shd w:val="clear" w:color="auto" w:fill="auto"/>
            <w:vAlign w:val="center"/>
          </w:tcPr>
          <w:p w14:paraId="72D757A6" w14:textId="7D624D25" w:rsidR="000929C2" w:rsidRPr="00C227C0" w:rsidRDefault="000929C2" w:rsidP="000929C2">
            <w:pPr>
              <w:pStyle w:val="Tabletext"/>
              <w:spacing w:before="40" w:after="40"/>
              <w:rPr>
                <w:sz w:val="20"/>
                <w:lang w:val="en-GB"/>
              </w:rPr>
            </w:pPr>
            <w:r w:rsidRPr="00C227C0">
              <w:rPr>
                <w:rFonts w:cs="Calibri"/>
                <w:sz w:val="20"/>
                <w:lang w:val="en-GB" w:eastAsia="en-GB"/>
              </w:rPr>
              <w:t>Gilat Satellite Networks Ltd., Petah Tikva</w:t>
            </w:r>
          </w:p>
        </w:tc>
        <w:tc>
          <w:tcPr>
            <w:tcW w:w="571" w:type="pct"/>
            <w:tcBorders>
              <w:top w:val="nil"/>
              <w:left w:val="nil"/>
              <w:bottom w:val="single" w:sz="4" w:space="0" w:color="auto"/>
              <w:right w:val="single" w:sz="4" w:space="0" w:color="auto"/>
            </w:tcBorders>
            <w:shd w:val="clear" w:color="auto" w:fill="auto"/>
            <w:noWrap/>
            <w:vAlign w:val="center"/>
          </w:tcPr>
          <w:p w14:paraId="4A4A7ECE" w14:textId="3F368312" w:rsidR="000929C2" w:rsidRPr="00BA3D71" w:rsidRDefault="000929C2" w:rsidP="000929C2">
            <w:pPr>
              <w:pStyle w:val="Tabletext"/>
              <w:spacing w:before="40" w:after="40"/>
              <w:jc w:val="center"/>
              <w:rPr>
                <w:sz w:val="20"/>
              </w:rPr>
            </w:pPr>
            <w:r w:rsidRPr="00BA3D71">
              <w:rPr>
                <w:rFonts w:cs="Calibri"/>
                <w:sz w:val="20"/>
                <w:lang w:eastAsia="en-GB"/>
              </w:rPr>
              <w:t>1997-2002</w:t>
            </w:r>
          </w:p>
        </w:tc>
        <w:tc>
          <w:tcPr>
            <w:tcW w:w="644" w:type="pct"/>
            <w:tcBorders>
              <w:top w:val="nil"/>
              <w:left w:val="nil"/>
              <w:bottom w:val="single" w:sz="4" w:space="0" w:color="auto"/>
              <w:right w:val="single" w:sz="4" w:space="0" w:color="auto"/>
            </w:tcBorders>
            <w:shd w:val="clear" w:color="auto" w:fill="auto"/>
            <w:noWrap/>
            <w:vAlign w:val="center"/>
          </w:tcPr>
          <w:p w14:paraId="26EF7649" w14:textId="57006902"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36 000,00</w:t>
            </w:r>
          </w:p>
        </w:tc>
        <w:tc>
          <w:tcPr>
            <w:tcW w:w="643" w:type="pct"/>
            <w:tcBorders>
              <w:top w:val="nil"/>
              <w:left w:val="nil"/>
              <w:bottom w:val="single" w:sz="4" w:space="0" w:color="auto"/>
              <w:right w:val="single" w:sz="4" w:space="0" w:color="auto"/>
            </w:tcBorders>
            <w:shd w:val="clear" w:color="auto" w:fill="auto"/>
            <w:noWrap/>
            <w:vAlign w:val="center"/>
          </w:tcPr>
          <w:p w14:paraId="4B999301" w14:textId="3B45885C"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77 629,75</w:t>
            </w:r>
          </w:p>
        </w:tc>
        <w:tc>
          <w:tcPr>
            <w:tcW w:w="713" w:type="pct"/>
            <w:tcBorders>
              <w:top w:val="nil"/>
              <w:left w:val="nil"/>
              <w:bottom w:val="single" w:sz="4" w:space="0" w:color="auto"/>
              <w:right w:val="single" w:sz="4" w:space="0" w:color="auto"/>
            </w:tcBorders>
            <w:shd w:val="clear" w:color="auto" w:fill="auto"/>
            <w:noWrap/>
            <w:vAlign w:val="center"/>
          </w:tcPr>
          <w:p w14:paraId="5DA967F3" w14:textId="060FBC4C"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113 629,75</w:t>
            </w:r>
          </w:p>
        </w:tc>
      </w:tr>
      <w:tr w:rsidR="000929C2" w:rsidRPr="00BA3D71" w14:paraId="655D861B"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43941B9C" w14:textId="3990294A" w:rsidR="000929C2" w:rsidRPr="00BA3D71" w:rsidRDefault="000929C2" w:rsidP="000929C2">
            <w:pPr>
              <w:pStyle w:val="Tabletext"/>
              <w:spacing w:before="40" w:after="40"/>
              <w:rPr>
                <w:sz w:val="20"/>
              </w:rPr>
            </w:pPr>
            <w:r w:rsidRPr="00BA3D71">
              <w:rPr>
                <w:rFonts w:cs="Calibri"/>
                <w:sz w:val="20"/>
                <w:lang w:eastAsia="en-GB"/>
              </w:rPr>
              <w:t>Israël</w:t>
            </w:r>
          </w:p>
        </w:tc>
        <w:tc>
          <w:tcPr>
            <w:tcW w:w="1643" w:type="pct"/>
            <w:tcBorders>
              <w:top w:val="nil"/>
              <w:left w:val="nil"/>
              <w:bottom w:val="single" w:sz="4" w:space="0" w:color="auto"/>
              <w:right w:val="single" w:sz="4" w:space="0" w:color="auto"/>
            </w:tcBorders>
            <w:shd w:val="clear" w:color="auto" w:fill="auto"/>
            <w:vAlign w:val="center"/>
          </w:tcPr>
          <w:p w14:paraId="23F401A5" w14:textId="16421F77" w:rsidR="000929C2" w:rsidRPr="00BA3D71" w:rsidRDefault="000929C2" w:rsidP="000929C2">
            <w:pPr>
              <w:pStyle w:val="Tabletext"/>
              <w:spacing w:before="40" w:after="40"/>
              <w:rPr>
                <w:sz w:val="20"/>
              </w:rPr>
            </w:pPr>
            <w:r w:rsidRPr="00BA3D71">
              <w:rPr>
                <w:rFonts w:cs="Calibri"/>
                <w:sz w:val="20"/>
                <w:lang w:eastAsia="en-GB"/>
              </w:rPr>
              <w:t>Telrad Networks Ltd, Lod</w:t>
            </w:r>
          </w:p>
        </w:tc>
        <w:tc>
          <w:tcPr>
            <w:tcW w:w="571" w:type="pct"/>
            <w:tcBorders>
              <w:top w:val="nil"/>
              <w:left w:val="nil"/>
              <w:bottom w:val="single" w:sz="4" w:space="0" w:color="auto"/>
              <w:right w:val="single" w:sz="4" w:space="0" w:color="auto"/>
            </w:tcBorders>
            <w:shd w:val="clear" w:color="auto" w:fill="auto"/>
            <w:noWrap/>
            <w:vAlign w:val="center"/>
          </w:tcPr>
          <w:p w14:paraId="62EFE5D7" w14:textId="01BDCEEF" w:rsidR="000929C2" w:rsidRPr="00BA3D71" w:rsidRDefault="000929C2" w:rsidP="000929C2">
            <w:pPr>
              <w:pStyle w:val="Tabletext"/>
              <w:spacing w:before="40" w:after="40"/>
              <w:jc w:val="center"/>
              <w:rPr>
                <w:sz w:val="20"/>
              </w:rPr>
            </w:pPr>
            <w:r w:rsidRPr="00BA3D71">
              <w:rPr>
                <w:rFonts w:cs="Calibri"/>
                <w:sz w:val="20"/>
                <w:lang w:eastAsia="en-GB"/>
              </w:rPr>
              <w:t>1998-2006</w:t>
            </w:r>
          </w:p>
        </w:tc>
        <w:tc>
          <w:tcPr>
            <w:tcW w:w="644" w:type="pct"/>
            <w:tcBorders>
              <w:top w:val="nil"/>
              <w:left w:val="nil"/>
              <w:bottom w:val="single" w:sz="4" w:space="0" w:color="auto"/>
              <w:right w:val="single" w:sz="4" w:space="0" w:color="auto"/>
            </w:tcBorders>
            <w:shd w:val="clear" w:color="auto" w:fill="auto"/>
            <w:noWrap/>
            <w:vAlign w:val="center"/>
          </w:tcPr>
          <w:p w14:paraId="28514D36" w14:textId="58813308"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39 450,00</w:t>
            </w:r>
          </w:p>
        </w:tc>
        <w:tc>
          <w:tcPr>
            <w:tcW w:w="643" w:type="pct"/>
            <w:tcBorders>
              <w:top w:val="nil"/>
              <w:left w:val="nil"/>
              <w:bottom w:val="single" w:sz="4" w:space="0" w:color="auto"/>
              <w:right w:val="single" w:sz="4" w:space="0" w:color="auto"/>
            </w:tcBorders>
            <w:shd w:val="clear" w:color="auto" w:fill="auto"/>
            <w:noWrap/>
            <w:vAlign w:val="center"/>
          </w:tcPr>
          <w:p w14:paraId="520BDDDE" w14:textId="3F5D565B"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59 681,35</w:t>
            </w:r>
          </w:p>
        </w:tc>
        <w:tc>
          <w:tcPr>
            <w:tcW w:w="713" w:type="pct"/>
            <w:tcBorders>
              <w:top w:val="nil"/>
              <w:left w:val="nil"/>
              <w:bottom w:val="single" w:sz="4" w:space="0" w:color="auto"/>
              <w:right w:val="single" w:sz="4" w:space="0" w:color="auto"/>
            </w:tcBorders>
            <w:shd w:val="clear" w:color="auto" w:fill="auto"/>
            <w:noWrap/>
            <w:vAlign w:val="center"/>
          </w:tcPr>
          <w:p w14:paraId="2C4B71E7" w14:textId="2BB16589"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99 131,35</w:t>
            </w:r>
          </w:p>
        </w:tc>
      </w:tr>
      <w:tr w:rsidR="000929C2" w:rsidRPr="00BA3D71" w14:paraId="40AE1803"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4FEE95D2" w14:textId="0C00B717" w:rsidR="000929C2" w:rsidRPr="00BA3D71" w:rsidRDefault="000929C2" w:rsidP="000929C2">
            <w:pPr>
              <w:pStyle w:val="Tabletext"/>
              <w:spacing w:before="40" w:after="40"/>
              <w:rPr>
                <w:sz w:val="20"/>
              </w:rPr>
            </w:pPr>
            <w:r w:rsidRPr="00BA3D71">
              <w:rPr>
                <w:rFonts w:cs="Calibri"/>
                <w:sz w:val="20"/>
                <w:lang w:eastAsia="en-GB"/>
              </w:rPr>
              <w:t>Italie</w:t>
            </w:r>
          </w:p>
        </w:tc>
        <w:tc>
          <w:tcPr>
            <w:tcW w:w="1643" w:type="pct"/>
            <w:tcBorders>
              <w:top w:val="nil"/>
              <w:left w:val="nil"/>
              <w:bottom w:val="single" w:sz="4" w:space="0" w:color="auto"/>
              <w:right w:val="single" w:sz="4" w:space="0" w:color="auto"/>
            </w:tcBorders>
            <w:shd w:val="clear" w:color="auto" w:fill="auto"/>
            <w:vAlign w:val="center"/>
          </w:tcPr>
          <w:p w14:paraId="0EF6753B" w14:textId="2D4EB0FC" w:rsidR="000929C2" w:rsidRPr="00BA3D71" w:rsidRDefault="000929C2" w:rsidP="000929C2">
            <w:pPr>
              <w:pStyle w:val="Tabletext"/>
              <w:spacing w:before="40" w:after="40"/>
              <w:rPr>
                <w:sz w:val="20"/>
              </w:rPr>
            </w:pPr>
            <w:r w:rsidRPr="00BA3D71">
              <w:rPr>
                <w:rFonts w:cs="Calibri"/>
                <w:sz w:val="20"/>
                <w:lang w:eastAsia="en-GB"/>
              </w:rPr>
              <w:t>Leonardo (Ex. Selex Communications S.p.A.), Rome</w:t>
            </w:r>
          </w:p>
        </w:tc>
        <w:tc>
          <w:tcPr>
            <w:tcW w:w="571" w:type="pct"/>
            <w:tcBorders>
              <w:top w:val="nil"/>
              <w:left w:val="nil"/>
              <w:bottom w:val="single" w:sz="4" w:space="0" w:color="auto"/>
              <w:right w:val="single" w:sz="4" w:space="0" w:color="auto"/>
            </w:tcBorders>
            <w:shd w:val="clear" w:color="auto" w:fill="auto"/>
            <w:noWrap/>
            <w:vAlign w:val="center"/>
          </w:tcPr>
          <w:p w14:paraId="1FFC070B" w14:textId="3EE871D0" w:rsidR="000929C2" w:rsidRPr="00BA3D71" w:rsidRDefault="000929C2" w:rsidP="000929C2">
            <w:pPr>
              <w:pStyle w:val="Tabletext"/>
              <w:spacing w:before="40" w:after="40"/>
              <w:jc w:val="center"/>
              <w:rPr>
                <w:sz w:val="20"/>
              </w:rPr>
            </w:pPr>
            <w:r w:rsidRPr="00BA3D71">
              <w:rPr>
                <w:rFonts w:cs="Calibri"/>
                <w:sz w:val="20"/>
                <w:lang w:eastAsia="en-GB"/>
              </w:rPr>
              <w:t>2001-2007</w:t>
            </w:r>
          </w:p>
        </w:tc>
        <w:tc>
          <w:tcPr>
            <w:tcW w:w="644" w:type="pct"/>
            <w:tcBorders>
              <w:top w:val="nil"/>
              <w:left w:val="nil"/>
              <w:bottom w:val="single" w:sz="4" w:space="0" w:color="auto"/>
              <w:right w:val="single" w:sz="4" w:space="0" w:color="auto"/>
            </w:tcBorders>
            <w:shd w:val="clear" w:color="auto" w:fill="auto"/>
            <w:noWrap/>
            <w:vAlign w:val="center"/>
          </w:tcPr>
          <w:p w14:paraId="22A6E3BA" w14:textId="76B2E38D"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254 400,00</w:t>
            </w:r>
          </w:p>
        </w:tc>
        <w:tc>
          <w:tcPr>
            <w:tcW w:w="643" w:type="pct"/>
            <w:tcBorders>
              <w:top w:val="nil"/>
              <w:left w:val="nil"/>
              <w:bottom w:val="single" w:sz="4" w:space="0" w:color="auto"/>
              <w:right w:val="single" w:sz="4" w:space="0" w:color="auto"/>
            </w:tcBorders>
            <w:shd w:val="clear" w:color="auto" w:fill="auto"/>
            <w:noWrap/>
            <w:vAlign w:val="center"/>
          </w:tcPr>
          <w:p w14:paraId="777B08EB" w14:textId="35B4D2F3"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324 693,00</w:t>
            </w:r>
          </w:p>
        </w:tc>
        <w:tc>
          <w:tcPr>
            <w:tcW w:w="713" w:type="pct"/>
            <w:tcBorders>
              <w:top w:val="nil"/>
              <w:left w:val="nil"/>
              <w:bottom w:val="single" w:sz="4" w:space="0" w:color="auto"/>
              <w:right w:val="single" w:sz="4" w:space="0" w:color="auto"/>
            </w:tcBorders>
            <w:shd w:val="clear" w:color="auto" w:fill="auto"/>
            <w:noWrap/>
            <w:vAlign w:val="center"/>
          </w:tcPr>
          <w:p w14:paraId="461221F9" w14:textId="082E02C2"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579 093,00</w:t>
            </w:r>
          </w:p>
        </w:tc>
      </w:tr>
      <w:tr w:rsidR="000929C2" w:rsidRPr="00BA3D71" w14:paraId="6E7CE5B2"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71DBFAA9" w14:textId="22D0C272" w:rsidR="000929C2" w:rsidRPr="00BA3D71" w:rsidRDefault="000929C2" w:rsidP="000929C2">
            <w:pPr>
              <w:pStyle w:val="Tabletext"/>
              <w:spacing w:before="40" w:after="40"/>
              <w:rPr>
                <w:sz w:val="20"/>
              </w:rPr>
            </w:pPr>
            <w:r w:rsidRPr="00BA3D71">
              <w:rPr>
                <w:rFonts w:cs="Calibri"/>
                <w:sz w:val="20"/>
                <w:lang w:eastAsia="en-GB"/>
              </w:rPr>
              <w:t>Corée (Rép. de)</w:t>
            </w:r>
          </w:p>
        </w:tc>
        <w:tc>
          <w:tcPr>
            <w:tcW w:w="1643" w:type="pct"/>
            <w:tcBorders>
              <w:top w:val="nil"/>
              <w:left w:val="nil"/>
              <w:bottom w:val="single" w:sz="4" w:space="0" w:color="auto"/>
              <w:right w:val="single" w:sz="4" w:space="0" w:color="auto"/>
            </w:tcBorders>
            <w:shd w:val="clear" w:color="auto" w:fill="auto"/>
            <w:noWrap/>
            <w:vAlign w:val="center"/>
          </w:tcPr>
          <w:p w14:paraId="1F2C21DA" w14:textId="7A0BC9F9" w:rsidR="000929C2" w:rsidRPr="00BA3D71" w:rsidRDefault="000929C2" w:rsidP="000929C2">
            <w:pPr>
              <w:pStyle w:val="Tabletext"/>
              <w:spacing w:before="40" w:after="40"/>
              <w:rPr>
                <w:sz w:val="20"/>
              </w:rPr>
            </w:pPr>
            <w:r w:rsidRPr="00BA3D71">
              <w:rPr>
                <w:rFonts w:cs="Calibri"/>
                <w:sz w:val="20"/>
                <w:lang w:eastAsia="en-GB"/>
              </w:rPr>
              <w:t>SUNY Korea, Incheon</w:t>
            </w:r>
          </w:p>
        </w:tc>
        <w:tc>
          <w:tcPr>
            <w:tcW w:w="571" w:type="pct"/>
            <w:tcBorders>
              <w:top w:val="nil"/>
              <w:left w:val="nil"/>
              <w:bottom w:val="single" w:sz="4" w:space="0" w:color="auto"/>
              <w:right w:val="single" w:sz="4" w:space="0" w:color="auto"/>
            </w:tcBorders>
            <w:shd w:val="clear" w:color="auto" w:fill="auto"/>
            <w:noWrap/>
            <w:vAlign w:val="center"/>
          </w:tcPr>
          <w:p w14:paraId="7B1B76CB" w14:textId="31505E47" w:rsidR="000929C2" w:rsidRPr="00BA3D71" w:rsidRDefault="000929C2" w:rsidP="000929C2">
            <w:pPr>
              <w:pStyle w:val="Tabletext"/>
              <w:spacing w:before="40" w:after="40"/>
              <w:jc w:val="center"/>
              <w:rPr>
                <w:sz w:val="20"/>
              </w:rPr>
            </w:pPr>
            <w:r w:rsidRPr="00BA3D71">
              <w:rPr>
                <w:rFonts w:cs="Calibri"/>
                <w:sz w:val="20"/>
                <w:lang w:eastAsia="en-GB"/>
              </w:rPr>
              <w:t>2018</w:t>
            </w:r>
          </w:p>
        </w:tc>
        <w:tc>
          <w:tcPr>
            <w:tcW w:w="644" w:type="pct"/>
            <w:tcBorders>
              <w:top w:val="nil"/>
              <w:left w:val="nil"/>
              <w:bottom w:val="single" w:sz="4" w:space="0" w:color="auto"/>
              <w:right w:val="single" w:sz="4" w:space="0" w:color="auto"/>
            </w:tcBorders>
            <w:shd w:val="clear" w:color="auto" w:fill="auto"/>
            <w:noWrap/>
            <w:vAlign w:val="center"/>
          </w:tcPr>
          <w:p w14:paraId="67A93857" w14:textId="24DC88BB"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1 821,88</w:t>
            </w:r>
          </w:p>
        </w:tc>
        <w:tc>
          <w:tcPr>
            <w:tcW w:w="643" w:type="pct"/>
            <w:tcBorders>
              <w:top w:val="nil"/>
              <w:left w:val="nil"/>
              <w:bottom w:val="single" w:sz="4" w:space="0" w:color="auto"/>
              <w:right w:val="single" w:sz="4" w:space="0" w:color="auto"/>
            </w:tcBorders>
            <w:shd w:val="clear" w:color="auto" w:fill="auto"/>
            <w:noWrap/>
            <w:vAlign w:val="center"/>
          </w:tcPr>
          <w:p w14:paraId="61E33F57" w14:textId="1CE3E4BC"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181,75</w:t>
            </w:r>
          </w:p>
        </w:tc>
        <w:tc>
          <w:tcPr>
            <w:tcW w:w="713" w:type="pct"/>
            <w:tcBorders>
              <w:top w:val="nil"/>
              <w:left w:val="nil"/>
              <w:bottom w:val="single" w:sz="4" w:space="0" w:color="auto"/>
              <w:right w:val="single" w:sz="4" w:space="0" w:color="auto"/>
            </w:tcBorders>
            <w:shd w:val="clear" w:color="auto" w:fill="auto"/>
            <w:noWrap/>
            <w:vAlign w:val="center"/>
          </w:tcPr>
          <w:p w14:paraId="6601CF5C" w14:textId="0D976C6E"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2 003,63</w:t>
            </w:r>
          </w:p>
        </w:tc>
      </w:tr>
      <w:tr w:rsidR="000929C2" w:rsidRPr="00BA3D71" w14:paraId="5109F02A"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04DB3CA1" w14:textId="343A9E6A" w:rsidR="000929C2" w:rsidRPr="00BA3D71" w:rsidRDefault="000929C2" w:rsidP="000929C2">
            <w:pPr>
              <w:pStyle w:val="Tabletext"/>
              <w:spacing w:before="40" w:after="40"/>
              <w:rPr>
                <w:sz w:val="20"/>
              </w:rPr>
            </w:pPr>
            <w:r w:rsidRPr="00BA3D71">
              <w:rPr>
                <w:rFonts w:cs="Calibri"/>
                <w:sz w:val="20"/>
                <w:lang w:eastAsia="en-GB"/>
              </w:rPr>
              <w:t>Liban</w:t>
            </w:r>
          </w:p>
        </w:tc>
        <w:tc>
          <w:tcPr>
            <w:tcW w:w="1643" w:type="pct"/>
            <w:tcBorders>
              <w:top w:val="nil"/>
              <w:left w:val="nil"/>
              <w:bottom w:val="single" w:sz="4" w:space="0" w:color="auto"/>
              <w:right w:val="single" w:sz="4" w:space="0" w:color="auto"/>
            </w:tcBorders>
            <w:shd w:val="clear" w:color="auto" w:fill="auto"/>
            <w:noWrap/>
            <w:vAlign w:val="center"/>
          </w:tcPr>
          <w:p w14:paraId="69B1B072" w14:textId="3E0A405B" w:rsidR="000929C2" w:rsidRPr="00C227C0" w:rsidRDefault="000929C2" w:rsidP="000929C2">
            <w:pPr>
              <w:pStyle w:val="Tabletext"/>
              <w:spacing w:before="40" w:after="40"/>
              <w:rPr>
                <w:sz w:val="20"/>
                <w:lang w:val="en-GB"/>
              </w:rPr>
            </w:pPr>
            <w:r w:rsidRPr="00C227C0">
              <w:rPr>
                <w:rFonts w:cs="Calibri"/>
                <w:sz w:val="20"/>
                <w:lang w:val="en-GB" w:eastAsia="en-GB"/>
              </w:rPr>
              <w:t>Al-Iktissad Wal-Aamal Group, Beyrouth</w:t>
            </w:r>
          </w:p>
        </w:tc>
        <w:tc>
          <w:tcPr>
            <w:tcW w:w="571" w:type="pct"/>
            <w:tcBorders>
              <w:top w:val="nil"/>
              <w:left w:val="nil"/>
              <w:bottom w:val="single" w:sz="4" w:space="0" w:color="auto"/>
              <w:right w:val="single" w:sz="4" w:space="0" w:color="auto"/>
            </w:tcBorders>
            <w:shd w:val="clear" w:color="auto" w:fill="auto"/>
            <w:noWrap/>
            <w:vAlign w:val="center"/>
          </w:tcPr>
          <w:p w14:paraId="60CAFBF3" w14:textId="50CEED79" w:rsidR="000929C2" w:rsidRPr="00BA3D71" w:rsidRDefault="000929C2" w:rsidP="000929C2">
            <w:pPr>
              <w:pStyle w:val="Tabletext"/>
              <w:spacing w:before="40" w:after="40"/>
              <w:jc w:val="center"/>
              <w:rPr>
                <w:sz w:val="20"/>
              </w:rPr>
            </w:pPr>
            <w:r w:rsidRPr="00BA3D71">
              <w:rPr>
                <w:rFonts w:cs="Calibri"/>
                <w:sz w:val="20"/>
                <w:lang w:eastAsia="en-GB"/>
              </w:rPr>
              <w:t>2015</w:t>
            </w:r>
          </w:p>
        </w:tc>
        <w:tc>
          <w:tcPr>
            <w:tcW w:w="644" w:type="pct"/>
            <w:tcBorders>
              <w:top w:val="nil"/>
              <w:left w:val="nil"/>
              <w:bottom w:val="single" w:sz="4" w:space="0" w:color="auto"/>
              <w:right w:val="single" w:sz="4" w:space="0" w:color="auto"/>
            </w:tcBorders>
            <w:shd w:val="clear" w:color="auto" w:fill="auto"/>
            <w:noWrap/>
            <w:vAlign w:val="center"/>
          </w:tcPr>
          <w:p w14:paraId="663080C0" w14:textId="410E86BC"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3 975,00</w:t>
            </w:r>
          </w:p>
        </w:tc>
        <w:tc>
          <w:tcPr>
            <w:tcW w:w="643" w:type="pct"/>
            <w:tcBorders>
              <w:top w:val="nil"/>
              <w:left w:val="nil"/>
              <w:bottom w:val="single" w:sz="4" w:space="0" w:color="auto"/>
              <w:right w:val="single" w:sz="4" w:space="0" w:color="auto"/>
            </w:tcBorders>
            <w:shd w:val="clear" w:color="auto" w:fill="auto"/>
            <w:noWrap/>
            <w:vAlign w:val="center"/>
          </w:tcPr>
          <w:p w14:paraId="6DC84008" w14:textId="24BE5ED0"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1 231,55</w:t>
            </w:r>
          </w:p>
        </w:tc>
        <w:tc>
          <w:tcPr>
            <w:tcW w:w="713" w:type="pct"/>
            <w:tcBorders>
              <w:top w:val="nil"/>
              <w:left w:val="nil"/>
              <w:bottom w:val="single" w:sz="4" w:space="0" w:color="auto"/>
              <w:right w:val="single" w:sz="4" w:space="0" w:color="auto"/>
            </w:tcBorders>
            <w:shd w:val="clear" w:color="auto" w:fill="auto"/>
            <w:noWrap/>
            <w:vAlign w:val="center"/>
          </w:tcPr>
          <w:p w14:paraId="364D5D88" w14:textId="53B92036"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5 206,55</w:t>
            </w:r>
          </w:p>
        </w:tc>
      </w:tr>
      <w:tr w:rsidR="000929C2" w:rsidRPr="00BA3D71" w14:paraId="2082C95D"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3C67E2B3" w14:textId="5719B899" w:rsidR="000929C2" w:rsidRPr="00BA3D71" w:rsidRDefault="000929C2" w:rsidP="000929C2">
            <w:pPr>
              <w:pStyle w:val="Tabletext"/>
              <w:spacing w:before="40" w:after="40"/>
              <w:rPr>
                <w:sz w:val="20"/>
              </w:rPr>
            </w:pPr>
            <w:r w:rsidRPr="00BA3D71">
              <w:rPr>
                <w:rFonts w:cs="Calibri"/>
                <w:sz w:val="20"/>
                <w:lang w:eastAsia="en-GB"/>
              </w:rPr>
              <w:t>Liban</w:t>
            </w:r>
          </w:p>
        </w:tc>
        <w:tc>
          <w:tcPr>
            <w:tcW w:w="1643" w:type="pct"/>
            <w:tcBorders>
              <w:top w:val="nil"/>
              <w:left w:val="nil"/>
              <w:bottom w:val="single" w:sz="4" w:space="0" w:color="auto"/>
              <w:right w:val="single" w:sz="4" w:space="0" w:color="auto"/>
            </w:tcBorders>
            <w:shd w:val="clear" w:color="auto" w:fill="auto"/>
            <w:noWrap/>
            <w:vAlign w:val="center"/>
          </w:tcPr>
          <w:p w14:paraId="7870B734" w14:textId="43EA2AA6" w:rsidR="000929C2" w:rsidRPr="00BA3D71" w:rsidRDefault="000929C2" w:rsidP="000929C2">
            <w:pPr>
              <w:pStyle w:val="Tabletext"/>
              <w:spacing w:before="40" w:after="40"/>
              <w:rPr>
                <w:sz w:val="20"/>
              </w:rPr>
            </w:pPr>
            <w:r w:rsidRPr="00BA3D71">
              <w:rPr>
                <w:rFonts w:cs="Calibri"/>
                <w:sz w:val="20"/>
                <w:lang w:eastAsia="en-GB"/>
              </w:rPr>
              <w:t>IMDI, Sal offshore, Beyrouth</w:t>
            </w:r>
          </w:p>
        </w:tc>
        <w:tc>
          <w:tcPr>
            <w:tcW w:w="571" w:type="pct"/>
            <w:tcBorders>
              <w:top w:val="nil"/>
              <w:left w:val="nil"/>
              <w:bottom w:val="single" w:sz="4" w:space="0" w:color="auto"/>
              <w:right w:val="single" w:sz="4" w:space="0" w:color="auto"/>
            </w:tcBorders>
            <w:shd w:val="clear" w:color="auto" w:fill="auto"/>
            <w:noWrap/>
            <w:vAlign w:val="center"/>
          </w:tcPr>
          <w:p w14:paraId="17313F5A" w14:textId="12D83A88" w:rsidR="000929C2" w:rsidRPr="00BA3D71" w:rsidRDefault="000929C2" w:rsidP="000929C2">
            <w:pPr>
              <w:pStyle w:val="Tabletext"/>
              <w:spacing w:before="40" w:after="40"/>
              <w:jc w:val="center"/>
              <w:rPr>
                <w:sz w:val="20"/>
              </w:rPr>
            </w:pPr>
            <w:r w:rsidRPr="00BA3D71">
              <w:rPr>
                <w:rFonts w:cs="Calibri"/>
                <w:sz w:val="20"/>
                <w:lang w:eastAsia="en-GB"/>
              </w:rPr>
              <w:t>2011</w:t>
            </w:r>
          </w:p>
        </w:tc>
        <w:tc>
          <w:tcPr>
            <w:tcW w:w="644" w:type="pct"/>
            <w:tcBorders>
              <w:top w:val="nil"/>
              <w:left w:val="nil"/>
              <w:bottom w:val="single" w:sz="4" w:space="0" w:color="auto"/>
              <w:right w:val="single" w:sz="4" w:space="0" w:color="auto"/>
            </w:tcBorders>
            <w:shd w:val="clear" w:color="auto" w:fill="auto"/>
            <w:noWrap/>
            <w:vAlign w:val="center"/>
          </w:tcPr>
          <w:p w14:paraId="5758241B" w14:textId="574C5339"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3 975,00</w:t>
            </w:r>
          </w:p>
        </w:tc>
        <w:tc>
          <w:tcPr>
            <w:tcW w:w="643" w:type="pct"/>
            <w:tcBorders>
              <w:top w:val="nil"/>
              <w:left w:val="nil"/>
              <w:bottom w:val="single" w:sz="4" w:space="0" w:color="auto"/>
              <w:right w:val="single" w:sz="4" w:space="0" w:color="auto"/>
            </w:tcBorders>
            <w:shd w:val="clear" w:color="auto" w:fill="auto"/>
            <w:noWrap/>
            <w:vAlign w:val="center"/>
          </w:tcPr>
          <w:p w14:paraId="6B6DF36D" w14:textId="071AFE19"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2 598,15</w:t>
            </w:r>
          </w:p>
        </w:tc>
        <w:tc>
          <w:tcPr>
            <w:tcW w:w="713" w:type="pct"/>
            <w:tcBorders>
              <w:top w:val="nil"/>
              <w:left w:val="nil"/>
              <w:bottom w:val="single" w:sz="4" w:space="0" w:color="auto"/>
              <w:right w:val="single" w:sz="4" w:space="0" w:color="auto"/>
            </w:tcBorders>
            <w:shd w:val="clear" w:color="auto" w:fill="auto"/>
            <w:noWrap/>
            <w:vAlign w:val="center"/>
          </w:tcPr>
          <w:p w14:paraId="742091B5" w14:textId="5A653A0A" w:rsidR="000929C2" w:rsidRPr="00BA3D71" w:rsidRDefault="000929C2" w:rsidP="000929C2">
            <w:pPr>
              <w:pStyle w:val="Tabletext"/>
              <w:spacing w:before="40" w:after="40"/>
              <w:jc w:val="right"/>
              <w:rPr>
                <w:color w:val="000000"/>
                <w:sz w:val="20"/>
              </w:rPr>
            </w:pPr>
            <w:r w:rsidRPr="00BA3D71">
              <w:rPr>
                <w:rFonts w:cs="Calibri"/>
                <w:color w:val="000000"/>
                <w:sz w:val="20"/>
                <w:lang w:eastAsia="en-GB"/>
              </w:rPr>
              <w:t>6 573,15</w:t>
            </w:r>
          </w:p>
        </w:tc>
      </w:tr>
      <w:tr w:rsidR="000929C2" w:rsidRPr="00BA3D71" w14:paraId="33699410"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14:paraId="4884BF5F" w14:textId="77777777" w:rsidR="000929C2" w:rsidRPr="00BA3D71" w:rsidRDefault="000929C2" w:rsidP="000929C2">
            <w:pPr>
              <w:pStyle w:val="Tabletext"/>
              <w:spacing w:before="40" w:after="40"/>
              <w:rPr>
                <w:sz w:val="20"/>
              </w:rPr>
            </w:pPr>
            <w:r w:rsidRPr="00BA3D71">
              <w:rPr>
                <w:sz w:val="20"/>
              </w:rPr>
              <w:t>Pakistan</w:t>
            </w:r>
          </w:p>
        </w:tc>
        <w:tc>
          <w:tcPr>
            <w:tcW w:w="1643" w:type="pct"/>
            <w:tcBorders>
              <w:top w:val="nil"/>
              <w:left w:val="nil"/>
              <w:bottom w:val="single" w:sz="4" w:space="0" w:color="auto"/>
              <w:right w:val="single" w:sz="4" w:space="0" w:color="auto"/>
            </w:tcBorders>
            <w:shd w:val="clear" w:color="auto" w:fill="auto"/>
            <w:noWrap/>
            <w:vAlign w:val="center"/>
          </w:tcPr>
          <w:p w14:paraId="27AE73F5" w14:textId="58051681" w:rsidR="000929C2" w:rsidRPr="00BA3D71" w:rsidRDefault="000929C2" w:rsidP="000929C2">
            <w:pPr>
              <w:pStyle w:val="Tabletext"/>
              <w:rPr>
                <w:sz w:val="20"/>
              </w:rPr>
            </w:pPr>
            <w:r w:rsidRPr="00BA3D71">
              <w:rPr>
                <w:sz w:val="20"/>
                <w:lang w:eastAsia="en-GB"/>
              </w:rPr>
              <w:t>Sysnet Pakistan (Pvt) Ltd., Karachi</w:t>
            </w:r>
          </w:p>
        </w:tc>
        <w:tc>
          <w:tcPr>
            <w:tcW w:w="571" w:type="pct"/>
            <w:tcBorders>
              <w:top w:val="nil"/>
              <w:left w:val="nil"/>
              <w:bottom w:val="single" w:sz="4" w:space="0" w:color="auto"/>
              <w:right w:val="single" w:sz="4" w:space="0" w:color="auto"/>
            </w:tcBorders>
            <w:shd w:val="clear" w:color="auto" w:fill="auto"/>
            <w:noWrap/>
            <w:vAlign w:val="center"/>
          </w:tcPr>
          <w:p w14:paraId="6AA34CAD" w14:textId="563D256F" w:rsidR="000929C2" w:rsidRPr="00BA3D71" w:rsidRDefault="000929C2" w:rsidP="000929C2">
            <w:pPr>
              <w:pStyle w:val="Tabletext"/>
              <w:jc w:val="center"/>
              <w:rPr>
                <w:sz w:val="20"/>
              </w:rPr>
            </w:pPr>
            <w:r w:rsidRPr="00BA3D71">
              <w:rPr>
                <w:sz w:val="20"/>
                <w:lang w:eastAsia="en-GB"/>
              </w:rPr>
              <w:t>2003-2006</w:t>
            </w:r>
          </w:p>
        </w:tc>
        <w:tc>
          <w:tcPr>
            <w:tcW w:w="644" w:type="pct"/>
            <w:tcBorders>
              <w:top w:val="nil"/>
              <w:left w:val="nil"/>
              <w:bottom w:val="single" w:sz="4" w:space="0" w:color="auto"/>
              <w:right w:val="single" w:sz="4" w:space="0" w:color="auto"/>
            </w:tcBorders>
            <w:shd w:val="clear" w:color="auto" w:fill="auto"/>
            <w:noWrap/>
            <w:vAlign w:val="center"/>
          </w:tcPr>
          <w:p w14:paraId="15C17E6A" w14:textId="1C5F4184" w:rsidR="000929C2" w:rsidRPr="00BA3D71" w:rsidRDefault="000929C2" w:rsidP="000929C2">
            <w:pPr>
              <w:pStyle w:val="Tabletext"/>
              <w:jc w:val="right"/>
              <w:rPr>
                <w:color w:val="000000"/>
                <w:sz w:val="20"/>
              </w:rPr>
            </w:pPr>
            <w:r w:rsidRPr="00BA3D71">
              <w:rPr>
                <w:color w:val="000000"/>
                <w:sz w:val="20"/>
                <w:lang w:eastAsia="en-GB"/>
              </w:rPr>
              <w:t>13 818,75</w:t>
            </w:r>
          </w:p>
        </w:tc>
        <w:tc>
          <w:tcPr>
            <w:tcW w:w="643" w:type="pct"/>
            <w:tcBorders>
              <w:top w:val="nil"/>
              <w:left w:val="nil"/>
              <w:bottom w:val="single" w:sz="4" w:space="0" w:color="auto"/>
              <w:right w:val="single" w:sz="4" w:space="0" w:color="auto"/>
            </w:tcBorders>
            <w:shd w:val="clear" w:color="auto" w:fill="auto"/>
            <w:noWrap/>
            <w:vAlign w:val="center"/>
          </w:tcPr>
          <w:p w14:paraId="3B1B5BC2" w14:textId="618B5EC7" w:rsidR="000929C2" w:rsidRPr="00BA3D71" w:rsidRDefault="000929C2" w:rsidP="000929C2">
            <w:pPr>
              <w:pStyle w:val="Tabletext"/>
              <w:jc w:val="right"/>
              <w:rPr>
                <w:color w:val="000000"/>
                <w:sz w:val="20"/>
              </w:rPr>
            </w:pPr>
            <w:r w:rsidRPr="00BA3D71">
              <w:rPr>
                <w:color w:val="000000"/>
                <w:sz w:val="20"/>
                <w:lang w:eastAsia="en-GB"/>
              </w:rPr>
              <w:t>18 961,55</w:t>
            </w:r>
          </w:p>
        </w:tc>
        <w:tc>
          <w:tcPr>
            <w:tcW w:w="713" w:type="pct"/>
            <w:tcBorders>
              <w:top w:val="nil"/>
              <w:left w:val="nil"/>
              <w:bottom w:val="single" w:sz="4" w:space="0" w:color="auto"/>
              <w:right w:val="single" w:sz="4" w:space="0" w:color="auto"/>
            </w:tcBorders>
            <w:shd w:val="clear" w:color="auto" w:fill="auto"/>
            <w:noWrap/>
            <w:vAlign w:val="center"/>
          </w:tcPr>
          <w:p w14:paraId="239C049C" w14:textId="6D9F407E" w:rsidR="000929C2" w:rsidRPr="00BA3D71" w:rsidRDefault="000929C2" w:rsidP="000929C2">
            <w:pPr>
              <w:pStyle w:val="Tabletext"/>
              <w:jc w:val="right"/>
              <w:rPr>
                <w:color w:val="000000"/>
                <w:sz w:val="20"/>
              </w:rPr>
            </w:pPr>
            <w:r w:rsidRPr="00BA3D71">
              <w:rPr>
                <w:color w:val="000000"/>
                <w:sz w:val="20"/>
                <w:lang w:eastAsia="en-GB"/>
              </w:rPr>
              <w:t>32 780,30</w:t>
            </w:r>
          </w:p>
        </w:tc>
      </w:tr>
      <w:tr w:rsidR="000929C2" w:rsidRPr="00BA3D71" w14:paraId="6DA4C97F"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7461F6E9" w14:textId="23C7928C" w:rsidR="000929C2" w:rsidRPr="00BA3D71" w:rsidRDefault="000929C2" w:rsidP="000929C2">
            <w:pPr>
              <w:pStyle w:val="Tabletext"/>
              <w:spacing w:before="40" w:after="40"/>
              <w:rPr>
                <w:sz w:val="20"/>
              </w:rPr>
            </w:pPr>
            <w:r w:rsidRPr="00BA3D71">
              <w:rPr>
                <w:rFonts w:cs="Calibri"/>
                <w:sz w:val="20"/>
                <w:lang w:eastAsia="en-GB"/>
              </w:rPr>
              <w:t>Togo</w:t>
            </w:r>
          </w:p>
        </w:tc>
        <w:tc>
          <w:tcPr>
            <w:tcW w:w="1643" w:type="pct"/>
            <w:tcBorders>
              <w:top w:val="nil"/>
              <w:left w:val="nil"/>
              <w:bottom w:val="single" w:sz="4" w:space="0" w:color="auto"/>
              <w:right w:val="single" w:sz="4" w:space="0" w:color="auto"/>
            </w:tcBorders>
            <w:shd w:val="clear" w:color="auto" w:fill="auto"/>
            <w:noWrap/>
            <w:vAlign w:val="center"/>
          </w:tcPr>
          <w:p w14:paraId="6D4A4553" w14:textId="3A4DDB54" w:rsidR="000929C2" w:rsidRPr="00BA3D71" w:rsidRDefault="000929C2" w:rsidP="000929C2">
            <w:pPr>
              <w:pStyle w:val="Tabletext"/>
              <w:rPr>
                <w:sz w:val="20"/>
              </w:rPr>
            </w:pPr>
            <w:r w:rsidRPr="00BA3D71">
              <w:rPr>
                <w:sz w:val="20"/>
                <w:lang w:eastAsia="en-GB"/>
              </w:rPr>
              <w:t>Centre régional de Maintenance des</w:t>
            </w:r>
            <w:r w:rsidRPr="00BA3D71">
              <w:rPr>
                <w:sz w:val="20"/>
                <w:lang w:eastAsia="en-GB"/>
              </w:rPr>
              <w:br/>
              <w:t>Télécommunications de Lomé (CMTL), Lomé</w:t>
            </w:r>
          </w:p>
        </w:tc>
        <w:tc>
          <w:tcPr>
            <w:tcW w:w="571" w:type="pct"/>
            <w:tcBorders>
              <w:top w:val="nil"/>
              <w:left w:val="nil"/>
              <w:bottom w:val="single" w:sz="4" w:space="0" w:color="auto"/>
              <w:right w:val="single" w:sz="4" w:space="0" w:color="auto"/>
            </w:tcBorders>
            <w:shd w:val="clear" w:color="auto" w:fill="auto"/>
            <w:noWrap/>
            <w:vAlign w:val="center"/>
          </w:tcPr>
          <w:p w14:paraId="55526495" w14:textId="57E3F085" w:rsidR="000929C2" w:rsidRPr="00BA3D71" w:rsidRDefault="000929C2" w:rsidP="000929C2">
            <w:pPr>
              <w:pStyle w:val="Tabletext"/>
              <w:rPr>
                <w:sz w:val="20"/>
              </w:rPr>
            </w:pPr>
            <w:r w:rsidRPr="00BA3D71">
              <w:rPr>
                <w:sz w:val="20"/>
                <w:lang w:eastAsia="en-GB"/>
              </w:rPr>
              <w:t>2003-2007</w:t>
            </w:r>
          </w:p>
        </w:tc>
        <w:tc>
          <w:tcPr>
            <w:tcW w:w="644" w:type="pct"/>
            <w:tcBorders>
              <w:top w:val="nil"/>
              <w:left w:val="nil"/>
              <w:bottom w:val="single" w:sz="4" w:space="0" w:color="auto"/>
              <w:right w:val="single" w:sz="4" w:space="0" w:color="auto"/>
            </w:tcBorders>
            <w:shd w:val="clear" w:color="auto" w:fill="auto"/>
            <w:noWrap/>
            <w:vAlign w:val="center"/>
          </w:tcPr>
          <w:p w14:paraId="54E98377" w14:textId="407C66C1" w:rsidR="000929C2" w:rsidRPr="00BA3D71" w:rsidRDefault="000929C2" w:rsidP="000929C2">
            <w:pPr>
              <w:pStyle w:val="Tabletext"/>
              <w:jc w:val="right"/>
              <w:rPr>
                <w:color w:val="000000"/>
                <w:sz w:val="20"/>
              </w:rPr>
            </w:pPr>
            <w:r w:rsidRPr="00BA3D71">
              <w:rPr>
                <w:color w:val="000000"/>
                <w:sz w:val="20"/>
                <w:lang w:eastAsia="en-GB"/>
              </w:rPr>
              <w:t>101 137,50</w:t>
            </w:r>
          </w:p>
        </w:tc>
        <w:tc>
          <w:tcPr>
            <w:tcW w:w="643" w:type="pct"/>
            <w:tcBorders>
              <w:top w:val="nil"/>
              <w:left w:val="nil"/>
              <w:bottom w:val="single" w:sz="4" w:space="0" w:color="auto"/>
              <w:right w:val="single" w:sz="4" w:space="0" w:color="auto"/>
            </w:tcBorders>
            <w:shd w:val="clear" w:color="auto" w:fill="auto"/>
            <w:noWrap/>
            <w:vAlign w:val="center"/>
          </w:tcPr>
          <w:p w14:paraId="1D65562E" w14:textId="3F5671E9" w:rsidR="000929C2" w:rsidRPr="00BA3D71" w:rsidRDefault="000929C2" w:rsidP="000929C2">
            <w:pPr>
              <w:pStyle w:val="Tabletext"/>
              <w:jc w:val="right"/>
              <w:rPr>
                <w:color w:val="000000"/>
                <w:sz w:val="20"/>
              </w:rPr>
            </w:pPr>
            <w:r w:rsidRPr="00BA3D71">
              <w:rPr>
                <w:color w:val="000000"/>
                <w:sz w:val="20"/>
                <w:lang w:eastAsia="en-GB"/>
              </w:rPr>
              <w:t>149 640,95</w:t>
            </w:r>
          </w:p>
        </w:tc>
        <w:tc>
          <w:tcPr>
            <w:tcW w:w="713" w:type="pct"/>
            <w:tcBorders>
              <w:top w:val="nil"/>
              <w:left w:val="nil"/>
              <w:bottom w:val="single" w:sz="4" w:space="0" w:color="auto"/>
              <w:right w:val="single" w:sz="4" w:space="0" w:color="auto"/>
            </w:tcBorders>
            <w:shd w:val="clear" w:color="auto" w:fill="auto"/>
            <w:noWrap/>
            <w:vAlign w:val="center"/>
          </w:tcPr>
          <w:p w14:paraId="53A7F668" w14:textId="6CA460FE" w:rsidR="000929C2" w:rsidRPr="00BA3D71" w:rsidRDefault="000929C2" w:rsidP="000929C2">
            <w:pPr>
              <w:pStyle w:val="Tabletext"/>
              <w:jc w:val="right"/>
              <w:rPr>
                <w:color w:val="000000"/>
                <w:sz w:val="20"/>
              </w:rPr>
            </w:pPr>
            <w:r w:rsidRPr="00BA3D71">
              <w:rPr>
                <w:color w:val="000000"/>
                <w:sz w:val="20"/>
                <w:lang w:eastAsia="en-GB"/>
              </w:rPr>
              <w:t>250 778,45</w:t>
            </w:r>
          </w:p>
        </w:tc>
      </w:tr>
      <w:tr w:rsidR="000929C2" w:rsidRPr="00BA3D71" w14:paraId="17504309"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65D3058B" w14:textId="032A4F29" w:rsidR="000929C2" w:rsidRPr="00BA3D71" w:rsidRDefault="000929C2" w:rsidP="000929C2">
            <w:pPr>
              <w:pStyle w:val="Tabletext"/>
              <w:spacing w:before="40" w:after="40"/>
              <w:rPr>
                <w:sz w:val="20"/>
              </w:rPr>
            </w:pPr>
            <w:r w:rsidRPr="00BA3D71">
              <w:rPr>
                <w:rFonts w:cs="Calibri"/>
                <w:sz w:val="20"/>
                <w:lang w:eastAsia="en-GB"/>
              </w:rPr>
              <w:t>Royaume-Uni</w:t>
            </w:r>
          </w:p>
        </w:tc>
        <w:tc>
          <w:tcPr>
            <w:tcW w:w="1643" w:type="pct"/>
            <w:tcBorders>
              <w:top w:val="nil"/>
              <w:left w:val="nil"/>
              <w:bottom w:val="single" w:sz="4" w:space="0" w:color="auto"/>
              <w:right w:val="single" w:sz="4" w:space="0" w:color="auto"/>
            </w:tcBorders>
            <w:shd w:val="clear" w:color="000000" w:fill="FFFFFF"/>
            <w:vAlign w:val="center"/>
          </w:tcPr>
          <w:p w14:paraId="6B88A1CD" w14:textId="0E25DD89" w:rsidR="000929C2" w:rsidRPr="00BA3D71" w:rsidRDefault="000929C2" w:rsidP="000929C2">
            <w:pPr>
              <w:pStyle w:val="Tabletext"/>
              <w:rPr>
                <w:sz w:val="20"/>
              </w:rPr>
            </w:pPr>
            <w:r w:rsidRPr="00BA3D71">
              <w:rPr>
                <w:sz w:val="20"/>
                <w:lang w:eastAsia="en-GB"/>
              </w:rPr>
              <w:t>Times Publications Ltd., Londres</w:t>
            </w:r>
          </w:p>
        </w:tc>
        <w:tc>
          <w:tcPr>
            <w:tcW w:w="571" w:type="pct"/>
            <w:tcBorders>
              <w:top w:val="nil"/>
              <w:left w:val="nil"/>
              <w:bottom w:val="single" w:sz="4" w:space="0" w:color="auto"/>
              <w:right w:val="single" w:sz="4" w:space="0" w:color="auto"/>
            </w:tcBorders>
            <w:shd w:val="clear" w:color="000000" w:fill="FFFFFF"/>
            <w:vAlign w:val="center"/>
          </w:tcPr>
          <w:p w14:paraId="73B41C6C" w14:textId="7CCB498C" w:rsidR="000929C2" w:rsidRPr="00BA3D71" w:rsidRDefault="000929C2" w:rsidP="000929C2">
            <w:pPr>
              <w:pStyle w:val="Tabletext"/>
              <w:rPr>
                <w:sz w:val="20"/>
              </w:rPr>
            </w:pPr>
            <w:r w:rsidRPr="00BA3D71">
              <w:rPr>
                <w:sz w:val="20"/>
                <w:lang w:eastAsia="en-GB"/>
              </w:rPr>
              <w:t>1998-2002</w:t>
            </w:r>
          </w:p>
        </w:tc>
        <w:tc>
          <w:tcPr>
            <w:tcW w:w="644" w:type="pct"/>
            <w:tcBorders>
              <w:top w:val="nil"/>
              <w:left w:val="nil"/>
              <w:bottom w:val="single" w:sz="4" w:space="0" w:color="auto"/>
              <w:right w:val="single" w:sz="4" w:space="0" w:color="auto"/>
            </w:tcBorders>
            <w:shd w:val="clear" w:color="000000" w:fill="FFFFFF"/>
            <w:vAlign w:val="center"/>
          </w:tcPr>
          <w:p w14:paraId="5FB34B40" w14:textId="41819333" w:rsidR="000929C2" w:rsidRPr="00BA3D71" w:rsidRDefault="000929C2" w:rsidP="000929C2">
            <w:pPr>
              <w:pStyle w:val="Tabletext"/>
              <w:jc w:val="right"/>
              <w:rPr>
                <w:color w:val="000000"/>
                <w:sz w:val="20"/>
              </w:rPr>
            </w:pPr>
            <w:r w:rsidRPr="00BA3D71">
              <w:rPr>
                <w:color w:val="000000"/>
                <w:sz w:val="20"/>
                <w:lang w:eastAsia="en-GB"/>
              </w:rPr>
              <w:t>29 775,00</w:t>
            </w:r>
          </w:p>
        </w:tc>
        <w:tc>
          <w:tcPr>
            <w:tcW w:w="643" w:type="pct"/>
            <w:tcBorders>
              <w:top w:val="nil"/>
              <w:left w:val="nil"/>
              <w:bottom w:val="single" w:sz="4" w:space="0" w:color="auto"/>
              <w:right w:val="single" w:sz="4" w:space="0" w:color="auto"/>
            </w:tcBorders>
            <w:shd w:val="clear" w:color="auto" w:fill="auto"/>
            <w:noWrap/>
            <w:vAlign w:val="center"/>
          </w:tcPr>
          <w:p w14:paraId="7C5AC55E" w14:textId="6CE05F19" w:rsidR="000929C2" w:rsidRPr="00BA3D71" w:rsidRDefault="000929C2" w:rsidP="000929C2">
            <w:pPr>
              <w:pStyle w:val="Tabletext"/>
              <w:jc w:val="right"/>
              <w:rPr>
                <w:color w:val="000000"/>
                <w:sz w:val="20"/>
              </w:rPr>
            </w:pPr>
            <w:r w:rsidRPr="00BA3D71">
              <w:rPr>
                <w:color w:val="000000"/>
                <w:sz w:val="20"/>
                <w:lang w:eastAsia="en-GB"/>
              </w:rPr>
              <w:t>57 560,25</w:t>
            </w:r>
          </w:p>
        </w:tc>
        <w:tc>
          <w:tcPr>
            <w:tcW w:w="713" w:type="pct"/>
            <w:tcBorders>
              <w:top w:val="nil"/>
              <w:left w:val="nil"/>
              <w:bottom w:val="single" w:sz="4" w:space="0" w:color="auto"/>
              <w:right w:val="single" w:sz="4" w:space="0" w:color="auto"/>
            </w:tcBorders>
            <w:shd w:val="clear" w:color="000000" w:fill="FFFFFF"/>
            <w:vAlign w:val="center"/>
          </w:tcPr>
          <w:p w14:paraId="41528F4D" w14:textId="5723DF47" w:rsidR="000929C2" w:rsidRPr="00BA3D71" w:rsidRDefault="000929C2" w:rsidP="000929C2">
            <w:pPr>
              <w:pStyle w:val="Tabletext"/>
              <w:jc w:val="right"/>
              <w:rPr>
                <w:color w:val="000000"/>
                <w:sz w:val="20"/>
              </w:rPr>
            </w:pPr>
            <w:r w:rsidRPr="00BA3D71">
              <w:rPr>
                <w:color w:val="000000"/>
                <w:sz w:val="20"/>
                <w:lang w:eastAsia="en-GB"/>
              </w:rPr>
              <w:t>87 335,25</w:t>
            </w:r>
          </w:p>
        </w:tc>
      </w:tr>
      <w:tr w:rsidR="000929C2" w:rsidRPr="00BA3D71" w14:paraId="64C80023"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14:paraId="7D285D5F" w14:textId="77777777" w:rsidR="000929C2" w:rsidRPr="00BA3D71" w:rsidRDefault="000929C2" w:rsidP="000929C2">
            <w:pPr>
              <w:pStyle w:val="Tabletext"/>
              <w:rPr>
                <w:sz w:val="20"/>
              </w:rPr>
            </w:pPr>
            <w:r w:rsidRPr="00BA3D71">
              <w:rPr>
                <w:sz w:val="20"/>
              </w:rPr>
              <w:t>États-Unis</w:t>
            </w:r>
          </w:p>
        </w:tc>
        <w:tc>
          <w:tcPr>
            <w:tcW w:w="1643" w:type="pct"/>
            <w:tcBorders>
              <w:top w:val="nil"/>
              <w:left w:val="nil"/>
              <w:bottom w:val="single" w:sz="4" w:space="0" w:color="auto"/>
              <w:right w:val="single" w:sz="4" w:space="0" w:color="auto"/>
            </w:tcBorders>
            <w:shd w:val="clear" w:color="000000" w:fill="FFFFFF"/>
            <w:vAlign w:val="center"/>
            <w:hideMark/>
          </w:tcPr>
          <w:p w14:paraId="1093130E" w14:textId="167C2B60" w:rsidR="000929C2" w:rsidRPr="00C227C0" w:rsidRDefault="000929C2" w:rsidP="000929C2">
            <w:pPr>
              <w:pStyle w:val="Tabletext"/>
              <w:rPr>
                <w:sz w:val="20"/>
                <w:lang w:val="en-GB"/>
              </w:rPr>
            </w:pPr>
            <w:r w:rsidRPr="00C227C0">
              <w:rPr>
                <w:rFonts w:cs="Calibri"/>
                <w:sz w:val="20"/>
                <w:lang w:val="en-GB" w:eastAsia="en-GB"/>
              </w:rPr>
              <w:t>Calient Networks, Inc., San Jose</w:t>
            </w:r>
          </w:p>
        </w:tc>
        <w:tc>
          <w:tcPr>
            <w:tcW w:w="571" w:type="pct"/>
            <w:tcBorders>
              <w:top w:val="nil"/>
              <w:left w:val="nil"/>
              <w:bottom w:val="single" w:sz="4" w:space="0" w:color="auto"/>
              <w:right w:val="single" w:sz="4" w:space="0" w:color="auto"/>
            </w:tcBorders>
            <w:shd w:val="clear" w:color="000000" w:fill="FFFFFF"/>
            <w:vAlign w:val="center"/>
            <w:hideMark/>
          </w:tcPr>
          <w:p w14:paraId="754EB834" w14:textId="6146F14E" w:rsidR="000929C2" w:rsidRPr="00BA3D71" w:rsidRDefault="000929C2" w:rsidP="000929C2">
            <w:pPr>
              <w:pStyle w:val="Tabletext"/>
              <w:jc w:val="center"/>
              <w:rPr>
                <w:sz w:val="20"/>
              </w:rPr>
            </w:pPr>
            <w:r w:rsidRPr="00BA3D71">
              <w:rPr>
                <w:rFonts w:cs="Calibri"/>
                <w:sz w:val="20"/>
                <w:lang w:eastAsia="en-GB"/>
              </w:rPr>
              <w:t>2003-2006</w:t>
            </w:r>
          </w:p>
        </w:tc>
        <w:tc>
          <w:tcPr>
            <w:tcW w:w="644" w:type="pct"/>
            <w:tcBorders>
              <w:top w:val="nil"/>
              <w:left w:val="nil"/>
              <w:bottom w:val="single" w:sz="4" w:space="0" w:color="auto"/>
              <w:right w:val="single" w:sz="4" w:space="0" w:color="auto"/>
            </w:tcBorders>
            <w:shd w:val="clear" w:color="000000" w:fill="FFFFFF"/>
            <w:vAlign w:val="center"/>
            <w:hideMark/>
          </w:tcPr>
          <w:p w14:paraId="67FDA4F7" w14:textId="5F9A4E79" w:rsidR="000929C2" w:rsidRPr="00BA3D71" w:rsidRDefault="000929C2" w:rsidP="000929C2">
            <w:pPr>
              <w:pStyle w:val="Tabletext"/>
              <w:jc w:val="right"/>
              <w:rPr>
                <w:sz w:val="20"/>
              </w:rPr>
            </w:pPr>
            <w:r w:rsidRPr="00BA3D71">
              <w:rPr>
                <w:rFonts w:cs="Calibri"/>
                <w:sz w:val="20"/>
                <w:lang w:eastAsia="en-GB"/>
              </w:rPr>
              <w:t>126 300,00</w:t>
            </w:r>
          </w:p>
        </w:tc>
        <w:tc>
          <w:tcPr>
            <w:tcW w:w="643" w:type="pct"/>
            <w:tcBorders>
              <w:top w:val="nil"/>
              <w:left w:val="nil"/>
              <w:bottom w:val="single" w:sz="4" w:space="0" w:color="auto"/>
              <w:right w:val="single" w:sz="4" w:space="0" w:color="auto"/>
            </w:tcBorders>
            <w:shd w:val="clear" w:color="auto" w:fill="auto"/>
            <w:noWrap/>
            <w:vAlign w:val="center"/>
            <w:hideMark/>
          </w:tcPr>
          <w:p w14:paraId="08AE7E29" w14:textId="39CACDBE" w:rsidR="000929C2" w:rsidRPr="00BA3D71" w:rsidRDefault="000929C2" w:rsidP="000929C2">
            <w:pPr>
              <w:pStyle w:val="Tabletext"/>
              <w:jc w:val="right"/>
              <w:rPr>
                <w:sz w:val="20"/>
              </w:rPr>
            </w:pPr>
            <w:r w:rsidRPr="00BA3D71">
              <w:rPr>
                <w:rFonts w:cs="Calibri"/>
                <w:sz w:val="20"/>
                <w:lang w:eastAsia="en-GB"/>
              </w:rPr>
              <w:t>161 865,80</w:t>
            </w:r>
          </w:p>
        </w:tc>
        <w:tc>
          <w:tcPr>
            <w:tcW w:w="713" w:type="pct"/>
            <w:tcBorders>
              <w:top w:val="nil"/>
              <w:left w:val="nil"/>
              <w:bottom w:val="single" w:sz="4" w:space="0" w:color="auto"/>
              <w:right w:val="single" w:sz="4" w:space="0" w:color="auto"/>
            </w:tcBorders>
            <w:shd w:val="clear" w:color="000000" w:fill="FFFFFF"/>
            <w:vAlign w:val="center"/>
            <w:hideMark/>
          </w:tcPr>
          <w:p w14:paraId="292AA9FC" w14:textId="279AEB63" w:rsidR="000929C2" w:rsidRPr="00BA3D71" w:rsidRDefault="000929C2" w:rsidP="000929C2">
            <w:pPr>
              <w:pStyle w:val="Tabletext"/>
              <w:jc w:val="right"/>
              <w:rPr>
                <w:sz w:val="20"/>
              </w:rPr>
            </w:pPr>
            <w:r w:rsidRPr="00BA3D71">
              <w:rPr>
                <w:rFonts w:cs="Calibri"/>
                <w:sz w:val="20"/>
                <w:lang w:eastAsia="en-GB"/>
              </w:rPr>
              <w:t>288 165,80</w:t>
            </w:r>
          </w:p>
        </w:tc>
      </w:tr>
      <w:tr w:rsidR="000929C2" w:rsidRPr="00BA3D71" w14:paraId="64AE3912"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14:paraId="15A18D7E" w14:textId="77777777" w:rsidR="000929C2" w:rsidRPr="00BA3D71" w:rsidRDefault="000929C2" w:rsidP="000929C2">
            <w:pPr>
              <w:pStyle w:val="Tabletext"/>
              <w:rPr>
                <w:sz w:val="20"/>
              </w:rPr>
            </w:pPr>
            <w:r w:rsidRPr="00BA3D71">
              <w:rPr>
                <w:sz w:val="20"/>
              </w:rPr>
              <w:t>États-Unis</w:t>
            </w:r>
          </w:p>
        </w:tc>
        <w:tc>
          <w:tcPr>
            <w:tcW w:w="1643" w:type="pct"/>
            <w:tcBorders>
              <w:top w:val="nil"/>
              <w:left w:val="nil"/>
              <w:bottom w:val="single" w:sz="4" w:space="0" w:color="auto"/>
              <w:right w:val="single" w:sz="4" w:space="0" w:color="auto"/>
            </w:tcBorders>
            <w:shd w:val="clear" w:color="000000" w:fill="FFFFFF"/>
            <w:vAlign w:val="center"/>
            <w:hideMark/>
          </w:tcPr>
          <w:p w14:paraId="71BDD690" w14:textId="0F3F997A" w:rsidR="000929C2" w:rsidRPr="00BA3D71" w:rsidRDefault="000929C2" w:rsidP="000929C2">
            <w:pPr>
              <w:pStyle w:val="Tabletext"/>
              <w:rPr>
                <w:sz w:val="20"/>
              </w:rPr>
            </w:pPr>
            <w:r w:rsidRPr="00BA3D71">
              <w:rPr>
                <w:rFonts w:cs="Calibri"/>
                <w:sz w:val="20"/>
                <w:lang w:eastAsia="en-GB"/>
              </w:rPr>
              <w:t>Ezenia, Inc., Nashua</w:t>
            </w:r>
          </w:p>
        </w:tc>
        <w:tc>
          <w:tcPr>
            <w:tcW w:w="571" w:type="pct"/>
            <w:tcBorders>
              <w:top w:val="nil"/>
              <w:left w:val="nil"/>
              <w:bottom w:val="single" w:sz="4" w:space="0" w:color="auto"/>
              <w:right w:val="single" w:sz="4" w:space="0" w:color="auto"/>
            </w:tcBorders>
            <w:shd w:val="clear" w:color="000000" w:fill="FFFFFF"/>
            <w:vAlign w:val="center"/>
            <w:hideMark/>
          </w:tcPr>
          <w:p w14:paraId="1ADD5092" w14:textId="209BAA6A" w:rsidR="000929C2" w:rsidRPr="00BA3D71" w:rsidRDefault="000929C2" w:rsidP="000929C2">
            <w:pPr>
              <w:pStyle w:val="Tabletext"/>
              <w:jc w:val="center"/>
              <w:rPr>
                <w:sz w:val="20"/>
              </w:rPr>
            </w:pPr>
            <w:r w:rsidRPr="00BA3D71">
              <w:rPr>
                <w:rFonts w:cs="Calibri"/>
                <w:sz w:val="20"/>
                <w:lang w:eastAsia="en-GB"/>
              </w:rPr>
              <w:t>2000-2006</w:t>
            </w:r>
          </w:p>
        </w:tc>
        <w:tc>
          <w:tcPr>
            <w:tcW w:w="644" w:type="pct"/>
            <w:tcBorders>
              <w:top w:val="nil"/>
              <w:left w:val="nil"/>
              <w:bottom w:val="single" w:sz="4" w:space="0" w:color="auto"/>
              <w:right w:val="single" w:sz="4" w:space="0" w:color="auto"/>
            </w:tcBorders>
            <w:shd w:val="clear" w:color="000000" w:fill="FFFFFF"/>
            <w:vAlign w:val="center"/>
            <w:hideMark/>
          </w:tcPr>
          <w:p w14:paraId="3768A710" w14:textId="3E20BD20" w:rsidR="000929C2" w:rsidRPr="00BA3D71" w:rsidRDefault="000929C2" w:rsidP="000929C2">
            <w:pPr>
              <w:pStyle w:val="Tabletext"/>
              <w:jc w:val="right"/>
              <w:rPr>
                <w:sz w:val="20"/>
              </w:rPr>
            </w:pPr>
            <w:r w:rsidRPr="00BA3D71">
              <w:rPr>
                <w:rFonts w:cs="Calibri"/>
                <w:sz w:val="20"/>
                <w:lang w:eastAsia="en-GB"/>
              </w:rPr>
              <w:t>157 800,00</w:t>
            </w:r>
          </w:p>
        </w:tc>
        <w:tc>
          <w:tcPr>
            <w:tcW w:w="643" w:type="pct"/>
            <w:tcBorders>
              <w:top w:val="nil"/>
              <w:left w:val="nil"/>
              <w:bottom w:val="single" w:sz="4" w:space="0" w:color="auto"/>
              <w:right w:val="single" w:sz="4" w:space="0" w:color="auto"/>
            </w:tcBorders>
            <w:shd w:val="clear" w:color="auto" w:fill="auto"/>
            <w:noWrap/>
            <w:vAlign w:val="center"/>
            <w:hideMark/>
          </w:tcPr>
          <w:p w14:paraId="44DDE93A" w14:textId="28FC02EE" w:rsidR="000929C2" w:rsidRPr="00BA3D71" w:rsidRDefault="000929C2" w:rsidP="000929C2">
            <w:pPr>
              <w:pStyle w:val="Tabletext"/>
              <w:jc w:val="right"/>
              <w:rPr>
                <w:sz w:val="20"/>
              </w:rPr>
            </w:pPr>
            <w:r w:rsidRPr="00BA3D71">
              <w:rPr>
                <w:rFonts w:cs="Calibri"/>
                <w:sz w:val="20"/>
                <w:lang w:eastAsia="en-GB"/>
              </w:rPr>
              <w:t>213 652,25</w:t>
            </w:r>
          </w:p>
        </w:tc>
        <w:tc>
          <w:tcPr>
            <w:tcW w:w="713" w:type="pct"/>
            <w:tcBorders>
              <w:top w:val="nil"/>
              <w:left w:val="nil"/>
              <w:bottom w:val="single" w:sz="4" w:space="0" w:color="auto"/>
              <w:right w:val="single" w:sz="4" w:space="0" w:color="auto"/>
            </w:tcBorders>
            <w:shd w:val="clear" w:color="000000" w:fill="FFFFFF"/>
            <w:vAlign w:val="center"/>
            <w:hideMark/>
          </w:tcPr>
          <w:p w14:paraId="10493CCD" w14:textId="585C5FCC" w:rsidR="000929C2" w:rsidRPr="00BA3D71" w:rsidRDefault="000929C2" w:rsidP="000929C2">
            <w:pPr>
              <w:pStyle w:val="Tabletext"/>
              <w:jc w:val="right"/>
              <w:rPr>
                <w:sz w:val="20"/>
              </w:rPr>
            </w:pPr>
            <w:r w:rsidRPr="00BA3D71">
              <w:rPr>
                <w:rFonts w:cs="Calibri"/>
                <w:sz w:val="20"/>
                <w:lang w:eastAsia="en-GB"/>
              </w:rPr>
              <w:t>371 452,25</w:t>
            </w:r>
          </w:p>
        </w:tc>
      </w:tr>
      <w:tr w:rsidR="000929C2" w:rsidRPr="00BA3D71" w14:paraId="3D0C2AD8"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14:paraId="691B77CD" w14:textId="77777777" w:rsidR="000929C2" w:rsidRPr="00BA3D71" w:rsidRDefault="000929C2" w:rsidP="000929C2">
            <w:pPr>
              <w:pStyle w:val="Tabletext"/>
              <w:rPr>
                <w:sz w:val="20"/>
              </w:rPr>
            </w:pPr>
            <w:r w:rsidRPr="00BA3D71">
              <w:rPr>
                <w:sz w:val="20"/>
              </w:rPr>
              <w:t>États-Unis</w:t>
            </w:r>
          </w:p>
        </w:tc>
        <w:tc>
          <w:tcPr>
            <w:tcW w:w="1643" w:type="pct"/>
            <w:tcBorders>
              <w:top w:val="nil"/>
              <w:left w:val="nil"/>
              <w:bottom w:val="single" w:sz="4" w:space="0" w:color="auto"/>
              <w:right w:val="single" w:sz="4" w:space="0" w:color="auto"/>
            </w:tcBorders>
            <w:shd w:val="clear" w:color="auto" w:fill="auto"/>
            <w:noWrap/>
            <w:vAlign w:val="center"/>
            <w:hideMark/>
          </w:tcPr>
          <w:p w14:paraId="5DCFD328" w14:textId="5C946116" w:rsidR="000929C2" w:rsidRPr="00BA3D71" w:rsidRDefault="000929C2" w:rsidP="000929C2">
            <w:pPr>
              <w:pStyle w:val="Tabletext"/>
              <w:rPr>
                <w:sz w:val="20"/>
              </w:rPr>
            </w:pPr>
            <w:r w:rsidRPr="00C227C0">
              <w:rPr>
                <w:rFonts w:cs="Calibri"/>
                <w:sz w:val="20"/>
                <w:lang w:val="en-GB" w:eastAsia="en-GB"/>
              </w:rPr>
              <w:t xml:space="preserve">The Gores Technology Group LLC, Los Angeles (Ex. </w:t>
            </w:r>
            <w:r w:rsidRPr="00BA3D71">
              <w:rPr>
                <w:rFonts w:cs="Calibri"/>
                <w:sz w:val="20"/>
                <w:lang w:eastAsia="en-GB"/>
              </w:rPr>
              <w:t>Forgent Networks Inc.)</w:t>
            </w:r>
          </w:p>
        </w:tc>
        <w:tc>
          <w:tcPr>
            <w:tcW w:w="571" w:type="pct"/>
            <w:tcBorders>
              <w:top w:val="nil"/>
              <w:left w:val="nil"/>
              <w:bottom w:val="single" w:sz="4" w:space="0" w:color="auto"/>
              <w:right w:val="single" w:sz="4" w:space="0" w:color="auto"/>
            </w:tcBorders>
            <w:shd w:val="clear" w:color="auto" w:fill="auto"/>
            <w:noWrap/>
            <w:vAlign w:val="center"/>
            <w:hideMark/>
          </w:tcPr>
          <w:p w14:paraId="08E47DA7" w14:textId="742ECE4F" w:rsidR="000929C2" w:rsidRPr="00BA3D71" w:rsidRDefault="000929C2" w:rsidP="000929C2">
            <w:pPr>
              <w:pStyle w:val="Tabletext"/>
              <w:jc w:val="center"/>
              <w:rPr>
                <w:sz w:val="20"/>
              </w:rPr>
            </w:pPr>
            <w:r w:rsidRPr="00BA3D71">
              <w:rPr>
                <w:rFonts w:cs="Calibri"/>
                <w:sz w:val="20"/>
                <w:lang w:eastAsia="en-GB"/>
              </w:rPr>
              <w:t>1998-2006</w:t>
            </w:r>
          </w:p>
        </w:tc>
        <w:tc>
          <w:tcPr>
            <w:tcW w:w="644" w:type="pct"/>
            <w:tcBorders>
              <w:top w:val="nil"/>
              <w:left w:val="nil"/>
              <w:bottom w:val="single" w:sz="4" w:space="0" w:color="auto"/>
              <w:right w:val="single" w:sz="4" w:space="0" w:color="auto"/>
            </w:tcBorders>
            <w:shd w:val="clear" w:color="auto" w:fill="auto"/>
            <w:noWrap/>
            <w:vAlign w:val="center"/>
            <w:hideMark/>
          </w:tcPr>
          <w:p w14:paraId="40B51429" w14:textId="034ED369" w:rsidR="000929C2" w:rsidRPr="00BA3D71" w:rsidRDefault="000929C2" w:rsidP="000929C2">
            <w:pPr>
              <w:pStyle w:val="Tabletext"/>
              <w:jc w:val="right"/>
              <w:rPr>
                <w:sz w:val="20"/>
              </w:rPr>
            </w:pPr>
            <w:r w:rsidRPr="00BA3D71">
              <w:rPr>
                <w:rFonts w:cs="Calibri"/>
                <w:sz w:val="20"/>
                <w:lang w:eastAsia="en-GB"/>
              </w:rPr>
              <w:t>185 133,30</w:t>
            </w:r>
          </w:p>
        </w:tc>
        <w:tc>
          <w:tcPr>
            <w:tcW w:w="643" w:type="pct"/>
            <w:tcBorders>
              <w:top w:val="nil"/>
              <w:left w:val="nil"/>
              <w:bottom w:val="single" w:sz="4" w:space="0" w:color="auto"/>
              <w:right w:val="single" w:sz="4" w:space="0" w:color="auto"/>
            </w:tcBorders>
            <w:shd w:val="clear" w:color="auto" w:fill="auto"/>
            <w:noWrap/>
            <w:vAlign w:val="center"/>
            <w:hideMark/>
          </w:tcPr>
          <w:p w14:paraId="7DD32DFA" w14:textId="68A501C6" w:rsidR="000929C2" w:rsidRPr="00BA3D71" w:rsidRDefault="000929C2" w:rsidP="000929C2">
            <w:pPr>
              <w:pStyle w:val="Tabletext"/>
              <w:jc w:val="right"/>
              <w:rPr>
                <w:sz w:val="20"/>
              </w:rPr>
            </w:pPr>
            <w:r w:rsidRPr="00BA3D71">
              <w:rPr>
                <w:rFonts w:cs="Calibri"/>
                <w:sz w:val="20"/>
                <w:lang w:eastAsia="en-GB"/>
              </w:rPr>
              <w:t>239 814,70</w:t>
            </w:r>
          </w:p>
        </w:tc>
        <w:tc>
          <w:tcPr>
            <w:tcW w:w="713" w:type="pct"/>
            <w:tcBorders>
              <w:top w:val="nil"/>
              <w:left w:val="nil"/>
              <w:bottom w:val="single" w:sz="4" w:space="0" w:color="auto"/>
              <w:right w:val="single" w:sz="4" w:space="0" w:color="auto"/>
            </w:tcBorders>
            <w:shd w:val="clear" w:color="auto" w:fill="auto"/>
            <w:noWrap/>
            <w:vAlign w:val="center"/>
            <w:hideMark/>
          </w:tcPr>
          <w:p w14:paraId="2997BBCB" w14:textId="62D58BAB" w:rsidR="000929C2" w:rsidRPr="00BA3D71" w:rsidRDefault="000929C2" w:rsidP="000929C2">
            <w:pPr>
              <w:pStyle w:val="Tabletext"/>
              <w:jc w:val="right"/>
              <w:rPr>
                <w:sz w:val="20"/>
              </w:rPr>
            </w:pPr>
            <w:r w:rsidRPr="00BA3D71">
              <w:rPr>
                <w:rFonts w:cs="Calibri"/>
                <w:sz w:val="20"/>
                <w:lang w:eastAsia="en-GB"/>
              </w:rPr>
              <w:t>424 948,00</w:t>
            </w:r>
          </w:p>
        </w:tc>
      </w:tr>
      <w:tr w:rsidR="000929C2" w:rsidRPr="00BA3D71" w14:paraId="59D357DA"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14:paraId="16D480FB" w14:textId="77777777" w:rsidR="000929C2" w:rsidRPr="00BA3D71" w:rsidRDefault="000929C2" w:rsidP="000929C2">
            <w:pPr>
              <w:pStyle w:val="Tabletext"/>
              <w:rPr>
                <w:sz w:val="20"/>
              </w:rPr>
            </w:pPr>
            <w:r w:rsidRPr="00BA3D71">
              <w:rPr>
                <w:sz w:val="20"/>
              </w:rPr>
              <w:t xml:space="preserve">États-Unis </w:t>
            </w:r>
          </w:p>
        </w:tc>
        <w:tc>
          <w:tcPr>
            <w:tcW w:w="1643" w:type="pct"/>
            <w:tcBorders>
              <w:top w:val="nil"/>
              <w:left w:val="nil"/>
              <w:bottom w:val="single" w:sz="4" w:space="0" w:color="auto"/>
              <w:right w:val="single" w:sz="4" w:space="0" w:color="auto"/>
            </w:tcBorders>
            <w:shd w:val="clear" w:color="auto" w:fill="auto"/>
            <w:noWrap/>
            <w:vAlign w:val="center"/>
            <w:hideMark/>
          </w:tcPr>
          <w:p w14:paraId="7164CEDC" w14:textId="70C1A86E" w:rsidR="000929C2" w:rsidRPr="00BA3D71" w:rsidRDefault="000929C2" w:rsidP="000929C2">
            <w:pPr>
              <w:pStyle w:val="Tabletext"/>
              <w:rPr>
                <w:sz w:val="20"/>
              </w:rPr>
            </w:pPr>
            <w:r w:rsidRPr="00BA3D71">
              <w:rPr>
                <w:rFonts w:cs="Calibri"/>
                <w:sz w:val="20"/>
                <w:lang w:eastAsia="en-GB"/>
              </w:rPr>
              <w:t>WI-FI Alliance (Ex. Wireless Gigabit Alliance), Austin</w:t>
            </w:r>
          </w:p>
        </w:tc>
        <w:tc>
          <w:tcPr>
            <w:tcW w:w="571" w:type="pct"/>
            <w:tcBorders>
              <w:top w:val="nil"/>
              <w:left w:val="nil"/>
              <w:bottom w:val="single" w:sz="4" w:space="0" w:color="auto"/>
              <w:right w:val="single" w:sz="4" w:space="0" w:color="auto"/>
            </w:tcBorders>
            <w:shd w:val="clear" w:color="auto" w:fill="auto"/>
            <w:noWrap/>
            <w:vAlign w:val="center"/>
            <w:hideMark/>
          </w:tcPr>
          <w:p w14:paraId="4360B82C" w14:textId="2EDE6A14" w:rsidR="000929C2" w:rsidRPr="00BA3D71" w:rsidRDefault="000929C2" w:rsidP="000929C2">
            <w:pPr>
              <w:pStyle w:val="Tabletext"/>
              <w:jc w:val="center"/>
              <w:rPr>
                <w:sz w:val="20"/>
              </w:rPr>
            </w:pPr>
            <w:r w:rsidRPr="00BA3D71">
              <w:rPr>
                <w:rFonts w:cs="Calibri"/>
                <w:sz w:val="20"/>
                <w:lang w:eastAsia="en-GB"/>
              </w:rPr>
              <w:t>2013</w:t>
            </w:r>
          </w:p>
        </w:tc>
        <w:tc>
          <w:tcPr>
            <w:tcW w:w="644" w:type="pct"/>
            <w:tcBorders>
              <w:top w:val="nil"/>
              <w:left w:val="nil"/>
              <w:bottom w:val="single" w:sz="4" w:space="0" w:color="auto"/>
              <w:right w:val="single" w:sz="4" w:space="0" w:color="auto"/>
            </w:tcBorders>
            <w:shd w:val="clear" w:color="auto" w:fill="auto"/>
            <w:noWrap/>
            <w:vAlign w:val="center"/>
            <w:hideMark/>
          </w:tcPr>
          <w:p w14:paraId="70863956" w14:textId="62C638A5" w:rsidR="000929C2" w:rsidRPr="00BA3D71" w:rsidRDefault="000929C2" w:rsidP="000929C2">
            <w:pPr>
              <w:pStyle w:val="Tabletext"/>
              <w:jc w:val="right"/>
              <w:rPr>
                <w:sz w:val="20"/>
              </w:rPr>
            </w:pPr>
            <w:r w:rsidRPr="00BA3D71">
              <w:rPr>
                <w:rFonts w:cs="Calibri"/>
                <w:sz w:val="20"/>
                <w:lang w:eastAsia="en-GB"/>
              </w:rPr>
              <w:t>31 800,00</w:t>
            </w:r>
          </w:p>
        </w:tc>
        <w:tc>
          <w:tcPr>
            <w:tcW w:w="643" w:type="pct"/>
            <w:tcBorders>
              <w:top w:val="nil"/>
              <w:left w:val="nil"/>
              <w:bottom w:val="single" w:sz="4" w:space="0" w:color="auto"/>
              <w:right w:val="single" w:sz="4" w:space="0" w:color="auto"/>
            </w:tcBorders>
            <w:shd w:val="clear" w:color="auto" w:fill="auto"/>
            <w:noWrap/>
            <w:vAlign w:val="center"/>
            <w:hideMark/>
          </w:tcPr>
          <w:p w14:paraId="685291C6" w14:textId="04324AE8" w:rsidR="000929C2" w:rsidRPr="00BA3D71" w:rsidRDefault="000929C2" w:rsidP="000929C2">
            <w:pPr>
              <w:pStyle w:val="Tabletext"/>
              <w:jc w:val="right"/>
              <w:rPr>
                <w:sz w:val="20"/>
              </w:rPr>
            </w:pPr>
            <w:r w:rsidRPr="00BA3D71">
              <w:rPr>
                <w:rFonts w:cs="Calibri"/>
                <w:sz w:val="20"/>
                <w:lang w:eastAsia="en-GB"/>
              </w:rPr>
              <w:t>12 351,35</w:t>
            </w:r>
          </w:p>
        </w:tc>
        <w:tc>
          <w:tcPr>
            <w:tcW w:w="713" w:type="pct"/>
            <w:tcBorders>
              <w:top w:val="nil"/>
              <w:left w:val="nil"/>
              <w:bottom w:val="single" w:sz="4" w:space="0" w:color="auto"/>
              <w:right w:val="single" w:sz="4" w:space="0" w:color="auto"/>
            </w:tcBorders>
            <w:shd w:val="clear" w:color="auto" w:fill="auto"/>
            <w:noWrap/>
            <w:vAlign w:val="center"/>
            <w:hideMark/>
          </w:tcPr>
          <w:p w14:paraId="42AF4ABF" w14:textId="258A3A1C" w:rsidR="000929C2" w:rsidRPr="00BA3D71" w:rsidRDefault="000929C2" w:rsidP="000929C2">
            <w:pPr>
              <w:pStyle w:val="Tabletext"/>
              <w:jc w:val="right"/>
              <w:rPr>
                <w:sz w:val="20"/>
              </w:rPr>
            </w:pPr>
            <w:r w:rsidRPr="00BA3D71">
              <w:rPr>
                <w:rFonts w:cs="Calibri"/>
                <w:sz w:val="20"/>
                <w:lang w:eastAsia="en-GB"/>
              </w:rPr>
              <w:t>44 151,35</w:t>
            </w:r>
          </w:p>
        </w:tc>
      </w:tr>
      <w:tr w:rsidR="000929C2" w:rsidRPr="00BA3D71" w14:paraId="64FBCD46" w14:textId="77777777" w:rsidTr="00FC1C04">
        <w:trPr>
          <w:trHeight w:val="270"/>
        </w:trPr>
        <w:tc>
          <w:tcPr>
            <w:tcW w:w="3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C5AF00" w14:textId="77777777" w:rsidR="000929C2" w:rsidRPr="00BA3D71" w:rsidRDefault="000929C2" w:rsidP="000929C2">
            <w:pPr>
              <w:pStyle w:val="Tabletext"/>
              <w:spacing w:before="40" w:after="40"/>
              <w:jc w:val="center"/>
              <w:rPr>
                <w:b/>
                <w:bCs/>
                <w:i/>
                <w:iCs/>
                <w:sz w:val="20"/>
                <w:lang w:eastAsia="zh-CN"/>
              </w:rPr>
            </w:pPr>
            <w:r w:rsidRPr="00BA3D71">
              <w:rPr>
                <w:b/>
                <w:bCs/>
                <w:i/>
                <w:iCs/>
                <w:sz w:val="20"/>
                <w:lang w:eastAsia="zh-CN"/>
              </w:rPr>
              <w:t>Sous-total 3.3</w:t>
            </w:r>
          </w:p>
        </w:tc>
        <w:tc>
          <w:tcPr>
            <w:tcW w:w="644" w:type="pct"/>
            <w:tcBorders>
              <w:top w:val="nil"/>
              <w:left w:val="nil"/>
              <w:bottom w:val="single" w:sz="4" w:space="0" w:color="auto"/>
              <w:right w:val="single" w:sz="4" w:space="0" w:color="auto"/>
            </w:tcBorders>
            <w:shd w:val="clear" w:color="auto" w:fill="auto"/>
            <w:noWrap/>
            <w:vAlign w:val="center"/>
            <w:hideMark/>
          </w:tcPr>
          <w:p w14:paraId="7BD75E99" w14:textId="5A16AA63" w:rsidR="000929C2" w:rsidRPr="00BA3D71" w:rsidRDefault="000929C2" w:rsidP="000929C2">
            <w:pPr>
              <w:pStyle w:val="Tabletext"/>
              <w:jc w:val="right"/>
              <w:rPr>
                <w:b/>
                <w:bCs/>
                <w:sz w:val="20"/>
              </w:rPr>
            </w:pPr>
            <w:r w:rsidRPr="00BA3D71">
              <w:rPr>
                <w:rFonts w:cs="Calibri"/>
                <w:b/>
                <w:bCs/>
                <w:sz w:val="20"/>
              </w:rPr>
              <w:t>1 184 829,68</w:t>
            </w:r>
          </w:p>
        </w:tc>
        <w:tc>
          <w:tcPr>
            <w:tcW w:w="643" w:type="pct"/>
            <w:tcBorders>
              <w:top w:val="nil"/>
              <w:left w:val="nil"/>
              <w:bottom w:val="single" w:sz="4" w:space="0" w:color="auto"/>
              <w:right w:val="single" w:sz="4" w:space="0" w:color="auto"/>
            </w:tcBorders>
            <w:shd w:val="clear" w:color="auto" w:fill="auto"/>
            <w:noWrap/>
            <w:vAlign w:val="center"/>
            <w:hideMark/>
          </w:tcPr>
          <w:p w14:paraId="10551E5A" w14:textId="51E5A34D" w:rsidR="000929C2" w:rsidRPr="00BA3D71" w:rsidRDefault="000929C2" w:rsidP="000929C2">
            <w:pPr>
              <w:pStyle w:val="Tabletext"/>
              <w:jc w:val="right"/>
              <w:rPr>
                <w:b/>
                <w:bCs/>
                <w:sz w:val="20"/>
              </w:rPr>
            </w:pPr>
            <w:r w:rsidRPr="00BA3D71">
              <w:rPr>
                <w:rFonts w:cs="Calibri"/>
                <w:b/>
                <w:bCs/>
                <w:sz w:val="20"/>
              </w:rPr>
              <w:t>1 527 442,90</w:t>
            </w:r>
          </w:p>
        </w:tc>
        <w:tc>
          <w:tcPr>
            <w:tcW w:w="713" w:type="pct"/>
            <w:tcBorders>
              <w:top w:val="nil"/>
              <w:left w:val="nil"/>
              <w:bottom w:val="single" w:sz="4" w:space="0" w:color="auto"/>
              <w:right w:val="single" w:sz="4" w:space="0" w:color="auto"/>
            </w:tcBorders>
            <w:shd w:val="clear" w:color="auto" w:fill="auto"/>
            <w:noWrap/>
            <w:vAlign w:val="center"/>
            <w:hideMark/>
          </w:tcPr>
          <w:p w14:paraId="2C7A2575" w14:textId="5376D67A" w:rsidR="000929C2" w:rsidRPr="00BA3D71" w:rsidRDefault="000929C2" w:rsidP="000929C2">
            <w:pPr>
              <w:pStyle w:val="Tabletext"/>
              <w:jc w:val="right"/>
              <w:rPr>
                <w:b/>
                <w:bCs/>
                <w:sz w:val="20"/>
              </w:rPr>
            </w:pPr>
            <w:r w:rsidRPr="00BA3D71">
              <w:rPr>
                <w:rFonts w:cs="Calibri"/>
                <w:b/>
                <w:bCs/>
                <w:sz w:val="20"/>
              </w:rPr>
              <w:t>2 712 272,58</w:t>
            </w:r>
          </w:p>
        </w:tc>
      </w:tr>
      <w:tr w:rsidR="000929C2" w:rsidRPr="00BA3D71" w14:paraId="5F28120D" w14:textId="77777777" w:rsidTr="00FC1C04">
        <w:trPr>
          <w:trHeight w:val="270"/>
        </w:trPr>
        <w:tc>
          <w:tcPr>
            <w:tcW w:w="3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FED31E" w14:textId="77777777" w:rsidR="000929C2" w:rsidRPr="00BA3D71" w:rsidRDefault="000929C2" w:rsidP="000929C2">
            <w:pPr>
              <w:pStyle w:val="Tabletext"/>
              <w:spacing w:before="40" w:after="40"/>
              <w:rPr>
                <w:b/>
                <w:bCs/>
                <w:sz w:val="20"/>
                <w:lang w:eastAsia="zh-CN"/>
              </w:rPr>
            </w:pPr>
            <w:r w:rsidRPr="00BA3D71">
              <w:rPr>
                <w:b/>
                <w:bCs/>
                <w:sz w:val="20"/>
                <w:lang w:eastAsia="zh-CN"/>
              </w:rPr>
              <w:t>Total général</w:t>
            </w:r>
          </w:p>
        </w:tc>
        <w:tc>
          <w:tcPr>
            <w:tcW w:w="644" w:type="pct"/>
            <w:tcBorders>
              <w:top w:val="nil"/>
              <w:left w:val="nil"/>
              <w:bottom w:val="single" w:sz="4" w:space="0" w:color="auto"/>
              <w:right w:val="single" w:sz="4" w:space="0" w:color="auto"/>
            </w:tcBorders>
            <w:shd w:val="clear" w:color="auto" w:fill="auto"/>
            <w:noWrap/>
            <w:vAlign w:val="center"/>
            <w:hideMark/>
          </w:tcPr>
          <w:p w14:paraId="0CF5F3D4" w14:textId="6951A0CB" w:rsidR="000929C2" w:rsidRPr="00BA3D71" w:rsidRDefault="000929C2" w:rsidP="000929C2">
            <w:pPr>
              <w:pStyle w:val="Tabletext"/>
              <w:jc w:val="right"/>
              <w:rPr>
                <w:b/>
                <w:bCs/>
                <w:sz w:val="20"/>
              </w:rPr>
            </w:pPr>
            <w:r w:rsidRPr="00BA3D71">
              <w:rPr>
                <w:rFonts w:cs="Calibri"/>
                <w:b/>
                <w:bCs/>
                <w:sz w:val="20"/>
              </w:rPr>
              <w:t>1 184 829,68</w:t>
            </w:r>
          </w:p>
        </w:tc>
        <w:tc>
          <w:tcPr>
            <w:tcW w:w="643" w:type="pct"/>
            <w:tcBorders>
              <w:top w:val="nil"/>
              <w:left w:val="nil"/>
              <w:bottom w:val="single" w:sz="4" w:space="0" w:color="auto"/>
              <w:right w:val="single" w:sz="4" w:space="0" w:color="auto"/>
            </w:tcBorders>
            <w:shd w:val="clear" w:color="auto" w:fill="auto"/>
            <w:noWrap/>
            <w:vAlign w:val="center"/>
            <w:hideMark/>
          </w:tcPr>
          <w:p w14:paraId="5297BBE5" w14:textId="21B4130F" w:rsidR="000929C2" w:rsidRPr="00BA3D71" w:rsidRDefault="000929C2" w:rsidP="000929C2">
            <w:pPr>
              <w:pStyle w:val="Tabletext"/>
              <w:jc w:val="right"/>
              <w:rPr>
                <w:b/>
                <w:bCs/>
                <w:sz w:val="20"/>
              </w:rPr>
            </w:pPr>
            <w:r w:rsidRPr="00BA3D71">
              <w:rPr>
                <w:rFonts w:cs="Calibri"/>
                <w:b/>
                <w:bCs/>
                <w:sz w:val="20"/>
              </w:rPr>
              <w:t>1 535 422,95</w:t>
            </w:r>
          </w:p>
        </w:tc>
        <w:tc>
          <w:tcPr>
            <w:tcW w:w="713" w:type="pct"/>
            <w:tcBorders>
              <w:top w:val="nil"/>
              <w:left w:val="nil"/>
              <w:bottom w:val="single" w:sz="4" w:space="0" w:color="auto"/>
              <w:right w:val="single" w:sz="4" w:space="0" w:color="auto"/>
            </w:tcBorders>
            <w:shd w:val="clear" w:color="auto" w:fill="auto"/>
            <w:noWrap/>
            <w:vAlign w:val="center"/>
            <w:hideMark/>
          </w:tcPr>
          <w:p w14:paraId="22101CA8" w14:textId="2E997699" w:rsidR="000929C2" w:rsidRPr="00BA3D71" w:rsidRDefault="000929C2" w:rsidP="000929C2">
            <w:pPr>
              <w:pStyle w:val="Tabletext"/>
              <w:jc w:val="right"/>
              <w:rPr>
                <w:b/>
                <w:bCs/>
                <w:sz w:val="20"/>
              </w:rPr>
            </w:pPr>
            <w:r w:rsidRPr="00BA3D71">
              <w:rPr>
                <w:rFonts w:cs="Calibri"/>
                <w:b/>
                <w:bCs/>
                <w:sz w:val="20"/>
              </w:rPr>
              <w:t>2 720 252,63</w:t>
            </w:r>
          </w:p>
        </w:tc>
      </w:tr>
    </w:tbl>
    <w:p w14:paraId="5CDAF4DA" w14:textId="77777777" w:rsidR="009F1354" w:rsidRPr="00BA3D71" w:rsidRDefault="009F1354" w:rsidP="004E15D2">
      <w:pPr>
        <w:spacing w:before="360"/>
        <w:jc w:val="center"/>
      </w:pPr>
      <w:r w:rsidRPr="00BA3D71">
        <w:t>______________</w:t>
      </w:r>
    </w:p>
    <w:sectPr w:rsidR="009F1354" w:rsidRPr="00BA3D71" w:rsidSect="005C3890">
      <w:headerReference w:type="even" r:id="rId26"/>
      <w:headerReference w:type="default" r:id="rId27"/>
      <w:footerReference w:type="even" r:id="rId28"/>
      <w:footerReference w:type="default" r:id="rId29"/>
      <w:footerReference w:type="first" r:id="rId3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C8390" w14:textId="77777777" w:rsidR="00D55A0F" w:rsidRDefault="00D55A0F">
      <w:r>
        <w:separator/>
      </w:r>
    </w:p>
  </w:endnote>
  <w:endnote w:type="continuationSeparator" w:id="0">
    <w:p w14:paraId="6E1777BC" w14:textId="77777777" w:rsidR="00D55A0F" w:rsidRDefault="00D5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F25FF" w14:textId="13D31A39" w:rsidR="00D55A0F" w:rsidRDefault="00BA3D71">
    <w:pPr>
      <w:pStyle w:val="Footer"/>
    </w:pPr>
    <w:fldSimple w:instr=" FILENAME \p \* MERGEFORMAT ">
      <w:r w:rsidR="00FC1C04">
        <w:t>P:\FRA\SG\CONSEIL\C20\000\011F.docx</w:t>
      </w:r>
    </w:fldSimple>
    <w:r w:rsidR="00D55A0F">
      <w:tab/>
    </w:r>
    <w:r w:rsidR="00D55A0F">
      <w:fldChar w:fldCharType="begin"/>
    </w:r>
    <w:r w:rsidR="00D55A0F">
      <w:instrText xml:space="preserve"> savedate \@ dd.MM.yy </w:instrText>
    </w:r>
    <w:r w:rsidR="00D55A0F">
      <w:fldChar w:fldCharType="separate"/>
    </w:r>
    <w:r w:rsidR="00C227C0">
      <w:t>08.10.20</w:t>
    </w:r>
    <w:r w:rsidR="00D55A0F">
      <w:fldChar w:fldCharType="end"/>
    </w:r>
    <w:r w:rsidR="00D55A0F">
      <w:tab/>
    </w:r>
    <w:r w:rsidR="00D55A0F">
      <w:fldChar w:fldCharType="begin"/>
    </w:r>
    <w:r w:rsidR="00D55A0F">
      <w:instrText xml:space="preserve"> printdate \@ dd.MM.yy </w:instrText>
    </w:r>
    <w:r w:rsidR="00D55A0F">
      <w:fldChar w:fldCharType="separate"/>
    </w:r>
    <w:r w:rsidR="00FC1C04">
      <w:t>18.07.00</w:t>
    </w:r>
    <w:r w:rsidR="00D55A0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F75A1" w14:textId="076CA417" w:rsidR="00D55A0F" w:rsidRPr="00C227C0" w:rsidRDefault="00C227C0">
    <w:pPr>
      <w:pStyle w:val="Footer"/>
      <w:rPr>
        <w:color w:val="D9D9D9" w:themeColor="background1" w:themeShade="D9"/>
      </w:rPr>
    </w:pPr>
    <w:r w:rsidRPr="00C227C0">
      <w:rPr>
        <w:color w:val="D9D9D9" w:themeColor="background1" w:themeShade="D9"/>
      </w:rPr>
      <w:fldChar w:fldCharType="begin"/>
    </w:r>
    <w:r w:rsidRPr="00C227C0">
      <w:rPr>
        <w:color w:val="D9D9D9" w:themeColor="background1" w:themeShade="D9"/>
      </w:rPr>
      <w:instrText xml:space="preserve"> FILENAME \p \* MERGEFORMAT </w:instrText>
    </w:r>
    <w:r w:rsidRPr="00C227C0">
      <w:rPr>
        <w:color w:val="D9D9D9" w:themeColor="background1" w:themeShade="D9"/>
      </w:rPr>
      <w:fldChar w:fldCharType="separate"/>
    </w:r>
    <w:r w:rsidR="00BA3D71" w:rsidRPr="00C227C0">
      <w:rPr>
        <w:color w:val="D9D9D9" w:themeColor="background1" w:themeShade="D9"/>
      </w:rPr>
      <w:t>P:\FRA\SG\CONSEIL\C20\000\011REV1F.docx</w:t>
    </w:r>
    <w:r w:rsidRPr="00C227C0">
      <w:rPr>
        <w:color w:val="D9D9D9" w:themeColor="background1" w:themeShade="D9"/>
      </w:rPr>
      <w:fldChar w:fldCharType="end"/>
    </w:r>
    <w:r w:rsidR="00D55A0F" w:rsidRPr="00C227C0">
      <w:rPr>
        <w:color w:val="D9D9D9" w:themeColor="background1" w:themeShade="D9"/>
      </w:rPr>
      <w:t xml:space="preserve"> (4</w:t>
    </w:r>
    <w:r w:rsidR="00BA3D71" w:rsidRPr="00C227C0">
      <w:rPr>
        <w:color w:val="D9D9D9" w:themeColor="background1" w:themeShade="D9"/>
      </w:rPr>
      <w:t>78012</w:t>
    </w:r>
    <w:r w:rsidR="00D55A0F" w:rsidRPr="00C227C0">
      <w:rPr>
        <w:color w:val="D9D9D9" w:themeColor="background1" w:themeShade="D9"/>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3841B" w14:textId="3B990A61" w:rsidR="00D55A0F" w:rsidRDefault="00D55A0F" w:rsidP="009F135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F678B" w14:textId="77777777" w:rsidR="00D55A0F" w:rsidRDefault="00D55A0F">
      <w:r>
        <w:t>____________________</w:t>
      </w:r>
    </w:p>
  </w:footnote>
  <w:footnote w:type="continuationSeparator" w:id="0">
    <w:p w14:paraId="10B9C2DD" w14:textId="77777777" w:rsidR="00D55A0F" w:rsidRDefault="00D55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6120C" w14:textId="77777777" w:rsidR="00D55A0F" w:rsidRDefault="00D55A0F">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186F190C" w14:textId="77777777" w:rsidR="00D55A0F" w:rsidRDefault="00D55A0F">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63BB3" w14:textId="6D3F01F5" w:rsidR="00D55A0F" w:rsidRDefault="00D55A0F" w:rsidP="00475FB3">
    <w:pPr>
      <w:pStyle w:val="Header"/>
    </w:pPr>
    <w:r>
      <w:fldChar w:fldCharType="begin"/>
    </w:r>
    <w:r>
      <w:instrText>PAGE</w:instrText>
    </w:r>
    <w:r>
      <w:fldChar w:fldCharType="separate"/>
    </w:r>
    <w:r w:rsidR="00D459BB">
      <w:rPr>
        <w:noProof/>
      </w:rPr>
      <w:t>8</w:t>
    </w:r>
    <w:r>
      <w:rPr>
        <w:noProof/>
      </w:rPr>
      <w:fldChar w:fldCharType="end"/>
    </w:r>
  </w:p>
  <w:p w14:paraId="50ED35F1" w14:textId="00CA9840" w:rsidR="00D55A0F" w:rsidRDefault="00D55A0F" w:rsidP="00106B19">
    <w:pPr>
      <w:pStyle w:val="Header"/>
    </w:pPr>
    <w:r>
      <w:t>C20/11</w:t>
    </w:r>
    <w:r w:rsidR="00BA3D71">
      <w:t>(Rév.1)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B2BFD"/>
    <w:multiLevelType w:val="hybridMultilevel"/>
    <w:tmpl w:val="2E54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37C09DD-B758-4788-ABAE-C720A6320458}"/>
    <w:docVar w:name="dgnword-eventsink" w:val="2227906050336"/>
  </w:docVars>
  <w:rsids>
    <w:rsidRoot w:val="009F1354"/>
    <w:rsid w:val="00062047"/>
    <w:rsid w:val="000929C2"/>
    <w:rsid w:val="000D0D0A"/>
    <w:rsid w:val="000D770D"/>
    <w:rsid w:val="000F5E20"/>
    <w:rsid w:val="00103163"/>
    <w:rsid w:val="00106B19"/>
    <w:rsid w:val="00115D93"/>
    <w:rsid w:val="00116E6C"/>
    <w:rsid w:val="001247A8"/>
    <w:rsid w:val="001378C0"/>
    <w:rsid w:val="00141575"/>
    <w:rsid w:val="00171B0E"/>
    <w:rsid w:val="0018694A"/>
    <w:rsid w:val="001A3287"/>
    <w:rsid w:val="001A6508"/>
    <w:rsid w:val="001D4C31"/>
    <w:rsid w:val="001E4D21"/>
    <w:rsid w:val="001E5C4A"/>
    <w:rsid w:val="00207CD1"/>
    <w:rsid w:val="002477A2"/>
    <w:rsid w:val="00256400"/>
    <w:rsid w:val="00263A51"/>
    <w:rsid w:val="00267E02"/>
    <w:rsid w:val="002A5D44"/>
    <w:rsid w:val="002E0BC4"/>
    <w:rsid w:val="002E5B1C"/>
    <w:rsid w:val="002F1B76"/>
    <w:rsid w:val="0033568E"/>
    <w:rsid w:val="00355FF5"/>
    <w:rsid w:val="00361350"/>
    <w:rsid w:val="00381802"/>
    <w:rsid w:val="003C3FAE"/>
    <w:rsid w:val="003F0070"/>
    <w:rsid w:val="003F23C2"/>
    <w:rsid w:val="004038CB"/>
    <w:rsid w:val="0040546F"/>
    <w:rsid w:val="0042404A"/>
    <w:rsid w:val="0044618F"/>
    <w:rsid w:val="00460FA7"/>
    <w:rsid w:val="0046769A"/>
    <w:rsid w:val="00475FB3"/>
    <w:rsid w:val="004C37A9"/>
    <w:rsid w:val="004E15D2"/>
    <w:rsid w:val="004F259E"/>
    <w:rsid w:val="00511F1D"/>
    <w:rsid w:val="00515713"/>
    <w:rsid w:val="00520F36"/>
    <w:rsid w:val="00523C4F"/>
    <w:rsid w:val="00540615"/>
    <w:rsid w:val="00540A6D"/>
    <w:rsid w:val="00571EEA"/>
    <w:rsid w:val="00575417"/>
    <w:rsid w:val="005768E1"/>
    <w:rsid w:val="005B1938"/>
    <w:rsid w:val="005C3890"/>
    <w:rsid w:val="005F483E"/>
    <w:rsid w:val="005F49D9"/>
    <w:rsid w:val="005F7BFE"/>
    <w:rsid w:val="00600017"/>
    <w:rsid w:val="006235CA"/>
    <w:rsid w:val="006643AB"/>
    <w:rsid w:val="006B12E1"/>
    <w:rsid w:val="006C4297"/>
    <w:rsid w:val="006F2BD6"/>
    <w:rsid w:val="007210CD"/>
    <w:rsid w:val="00732045"/>
    <w:rsid w:val="007369DB"/>
    <w:rsid w:val="007516D5"/>
    <w:rsid w:val="007956C2"/>
    <w:rsid w:val="007A187E"/>
    <w:rsid w:val="007A7853"/>
    <w:rsid w:val="007C72C2"/>
    <w:rsid w:val="007D4436"/>
    <w:rsid w:val="007F257A"/>
    <w:rsid w:val="007F3665"/>
    <w:rsid w:val="00800037"/>
    <w:rsid w:val="00861D73"/>
    <w:rsid w:val="0088415A"/>
    <w:rsid w:val="008A4E87"/>
    <w:rsid w:val="008B5668"/>
    <w:rsid w:val="008D76E6"/>
    <w:rsid w:val="008F16C6"/>
    <w:rsid w:val="0092392D"/>
    <w:rsid w:val="0093234A"/>
    <w:rsid w:val="00955172"/>
    <w:rsid w:val="009C307F"/>
    <w:rsid w:val="009C353C"/>
    <w:rsid w:val="009C47D6"/>
    <w:rsid w:val="009F1354"/>
    <w:rsid w:val="00A2113E"/>
    <w:rsid w:val="00A23A51"/>
    <w:rsid w:val="00A24607"/>
    <w:rsid w:val="00A25CD3"/>
    <w:rsid w:val="00A25FF6"/>
    <w:rsid w:val="00A82767"/>
    <w:rsid w:val="00AA332F"/>
    <w:rsid w:val="00AA7BBB"/>
    <w:rsid w:val="00AB64A8"/>
    <w:rsid w:val="00AC0266"/>
    <w:rsid w:val="00AD24EC"/>
    <w:rsid w:val="00B309F9"/>
    <w:rsid w:val="00B32B60"/>
    <w:rsid w:val="00B61619"/>
    <w:rsid w:val="00BA3D71"/>
    <w:rsid w:val="00BB4545"/>
    <w:rsid w:val="00BD4DB1"/>
    <w:rsid w:val="00BD5873"/>
    <w:rsid w:val="00C04BE3"/>
    <w:rsid w:val="00C227C0"/>
    <w:rsid w:val="00C25D29"/>
    <w:rsid w:val="00C27A7C"/>
    <w:rsid w:val="00C67888"/>
    <w:rsid w:val="00C965BF"/>
    <w:rsid w:val="00CA08ED"/>
    <w:rsid w:val="00CB4E96"/>
    <w:rsid w:val="00CC3723"/>
    <w:rsid w:val="00CC3B32"/>
    <w:rsid w:val="00CE6A37"/>
    <w:rsid w:val="00CF183B"/>
    <w:rsid w:val="00CF7C09"/>
    <w:rsid w:val="00D04A1D"/>
    <w:rsid w:val="00D04A4A"/>
    <w:rsid w:val="00D05C9E"/>
    <w:rsid w:val="00D265C2"/>
    <w:rsid w:val="00D375CD"/>
    <w:rsid w:val="00D459BB"/>
    <w:rsid w:val="00D553A2"/>
    <w:rsid w:val="00D55A0F"/>
    <w:rsid w:val="00D774D3"/>
    <w:rsid w:val="00D80922"/>
    <w:rsid w:val="00D904E8"/>
    <w:rsid w:val="00DA08C3"/>
    <w:rsid w:val="00DB5A3E"/>
    <w:rsid w:val="00DC22AA"/>
    <w:rsid w:val="00DF74DD"/>
    <w:rsid w:val="00E25AD0"/>
    <w:rsid w:val="00EB09FC"/>
    <w:rsid w:val="00EB6350"/>
    <w:rsid w:val="00F15B57"/>
    <w:rsid w:val="00F427DB"/>
    <w:rsid w:val="00FA5EB1"/>
    <w:rsid w:val="00FA7439"/>
    <w:rsid w:val="00FC1C04"/>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7F8C4ED"/>
  <w15:docId w15:val="{B6490046-24D5-4A9C-809E-0C15B173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9F1354"/>
    <w:rPr>
      <w:color w:val="605E5C"/>
      <w:shd w:val="clear" w:color="auto" w:fill="E1DFDD"/>
    </w:rPr>
  </w:style>
  <w:style w:type="paragraph" w:styleId="BodyTextIndent">
    <w:name w:val="Body Text Indent"/>
    <w:basedOn w:val="Normal"/>
    <w:link w:val="BodyTextIndentChar"/>
    <w:rsid w:val="009F1354"/>
    <w:pPr>
      <w:tabs>
        <w:tab w:val="clear" w:pos="1701"/>
        <w:tab w:val="clear" w:pos="2268"/>
        <w:tab w:val="clear" w:pos="2835"/>
        <w:tab w:val="left" w:pos="851"/>
        <w:tab w:val="left" w:pos="1418"/>
        <w:tab w:val="left" w:pos="1588"/>
        <w:tab w:val="left" w:pos="1985"/>
      </w:tabs>
      <w:spacing w:before="0" w:line="0" w:lineRule="atLeast"/>
      <w:ind w:left="142"/>
    </w:pPr>
    <w:rPr>
      <w:rFonts w:ascii="Times New Roman" w:eastAsia="Batang" w:hAnsi="Times New Roman"/>
    </w:rPr>
  </w:style>
  <w:style w:type="character" w:customStyle="1" w:styleId="BodyTextIndentChar">
    <w:name w:val="Body Text Indent Char"/>
    <w:basedOn w:val="DefaultParagraphFont"/>
    <w:link w:val="BodyTextIndent"/>
    <w:rsid w:val="009F1354"/>
    <w:rPr>
      <w:rFonts w:ascii="Times New Roman" w:eastAsia="Batang" w:hAnsi="Times New Roman"/>
      <w:sz w:val="24"/>
      <w:lang w:val="fr-FR" w:eastAsia="en-US"/>
    </w:rPr>
  </w:style>
  <w:style w:type="paragraph" w:styleId="ListParagraph">
    <w:name w:val="List Paragraph"/>
    <w:basedOn w:val="Normal"/>
    <w:uiPriority w:val="34"/>
    <w:qFormat/>
    <w:rsid w:val="009F1354"/>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eastAsia="Batang" w:hAnsi="Times New Roman"/>
    </w:rPr>
  </w:style>
  <w:style w:type="paragraph" w:styleId="BalloonText">
    <w:name w:val="Balloon Text"/>
    <w:basedOn w:val="Normal"/>
    <w:link w:val="BalloonTextChar"/>
    <w:semiHidden/>
    <w:unhideWhenUsed/>
    <w:rsid w:val="0014157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41575"/>
    <w:rPr>
      <w:rFonts w:ascii="Segoe UI" w:hAnsi="Segoe UI" w:cs="Segoe UI"/>
      <w:sz w:val="18"/>
      <w:szCs w:val="18"/>
      <w:lang w:val="fr-FR" w:eastAsia="en-US"/>
    </w:rPr>
  </w:style>
  <w:style w:type="character" w:styleId="UnresolvedMention">
    <w:name w:val="Unresolved Mention"/>
    <w:basedOn w:val="DefaultParagraphFont"/>
    <w:uiPriority w:val="99"/>
    <w:semiHidden/>
    <w:unhideWhenUsed/>
    <w:rsid w:val="00BA3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council/Documents/basic-texts/RES-041-F.pdf" TargetMode="External"/><Relationship Id="rId18" Type="http://schemas.openxmlformats.org/officeDocument/2006/relationships/hyperlink" Target="http://www.itu.int/md/S16-CL-C-0042/f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itu.int/md/S19-CL-C-0042/fr" TargetMode="External"/><Relationship Id="rId7" Type="http://schemas.openxmlformats.org/officeDocument/2006/relationships/webSettings" Target="webSettings.xml"/><Relationship Id="rId12" Type="http://schemas.openxmlformats.org/officeDocument/2006/relationships/hyperlink" Target="https://www.itu.int/en/council/Documents/basic-texts/Convention-F.pdf" TargetMode="External"/><Relationship Id="rId17" Type="http://schemas.openxmlformats.org/officeDocument/2006/relationships/hyperlink" Target="http://www.itu.int/md/S15-CL-C-0050/fr" TargetMode="External"/><Relationship Id="rId25" Type="http://schemas.openxmlformats.org/officeDocument/2006/relationships/hyperlink" Target="https://www.itu.int/md/S20-CL-C-0011/en" TargetMode="External"/><Relationship Id="rId2" Type="http://schemas.openxmlformats.org/officeDocument/2006/relationships/customXml" Target="../customXml/item2.xml"/><Relationship Id="rId16" Type="http://schemas.openxmlformats.org/officeDocument/2006/relationships/hyperlink" Target="http://www.itu.int/md/S14-CL-C-0026/fr" TargetMode="External"/><Relationship Id="rId20" Type="http://schemas.openxmlformats.org/officeDocument/2006/relationships/hyperlink" Target="http://www.itu.int/md/S18-CL-C-0042/f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Constitution-F.pdf" TargetMode="External"/><Relationship Id="rId24" Type="http://schemas.openxmlformats.org/officeDocument/2006/relationships/hyperlink" Target="https://www.itu.int/pub/S-CONF-ACTF-2018/fr"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itudoc/gs/council/c99/docs/docs1/027-fr.html" TargetMode="External"/><Relationship Id="rId23" Type="http://schemas.openxmlformats.org/officeDocument/2006/relationships/hyperlink" Target="https://www.itu.int/md/S20-CL-C-0042/en"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itu.int/md/S17-CL-C-0042/fr"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council/Documents/basic-texts/RES-152-F.pdf" TargetMode="External"/><Relationship Id="rId22" Type="http://schemas.openxmlformats.org/officeDocument/2006/relationships/hyperlink" Target="http://www.itu.int/md/S20-CL-C-0042/fr" TargetMode="External"/><Relationship Id="rId27" Type="http://schemas.openxmlformats.org/officeDocument/2006/relationships/header" Target="header2.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46978-2046-45AD-B9DA-8B3627EA46F9}">
  <ds:schemaRefs>
    <ds:schemaRef ds:uri="http://purl.org/dc/elements/1.1/"/>
    <ds:schemaRef ds:uri="http://schemas.microsoft.com/office/2006/documentManagement/types"/>
    <ds:schemaRef ds:uri="http://schemas.openxmlformats.org/package/2006/metadata/core-properties"/>
    <ds:schemaRef ds:uri="8480b3bf-ff93-433f-9495-f8457f78f22f"/>
    <ds:schemaRef ds:uri="http://purl.org/dc/terms/"/>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6EAF66D-76E5-49F6-9576-22D639436518}">
  <ds:schemaRefs>
    <ds:schemaRef ds:uri="http://schemas.microsoft.com/sharepoint/v3/contenttype/forms"/>
  </ds:schemaRefs>
</ds:datastoreItem>
</file>

<file path=customXml/itemProps3.xml><?xml version="1.0" encoding="utf-8"?>
<ds:datastoreItem xmlns:ds="http://schemas.openxmlformats.org/officeDocument/2006/customXml" ds:itemID="{DF6C2DD1-0713-4C6A-AE16-7C648B01D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PF_C20.dotx</Template>
  <TotalTime>1</TotalTime>
  <Pages>8</Pages>
  <Words>2417</Words>
  <Characters>13970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Arriérés et comptes spéciaux d'arriérés</vt:lpstr>
    </vt:vector>
  </TitlesOfParts>
  <Manager>Secrétariat général - Pool</Manager>
  <Company>Union internationale des télécommunications (UIT)</Company>
  <LinksUpToDate>false</LinksUpToDate>
  <CharactersWithSpaces>16355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Arriérés et comptes spéciaux d'arriérés</dc:title>
  <dc:subject>Conseil 2020, consultation virtuelle des conseillers</dc:subject>
  <dc:creator>Chanavat, Emilie</dc:creator>
  <cp:keywords>C2020, C20, VC, VCC-2</cp:keywords>
  <dc:description/>
  <cp:lastModifiedBy>Brouard, Ricarda</cp:lastModifiedBy>
  <cp:revision>2</cp:revision>
  <cp:lastPrinted>2000-07-18T08:55:00Z</cp:lastPrinted>
  <dcterms:created xsi:type="dcterms:W3CDTF">2020-10-16T13:09:00Z</dcterms:created>
  <dcterms:modified xsi:type="dcterms:W3CDTF">2020-10-16T13:09:00Z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