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6B93FE07" w14:textId="77777777">
        <w:trPr>
          <w:cantSplit/>
        </w:trPr>
        <w:tc>
          <w:tcPr>
            <w:tcW w:w="6911" w:type="dxa"/>
          </w:tcPr>
          <w:p w14:paraId="74416A12" w14:textId="203B792C"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B0231">
              <w:rPr>
                <w:rFonts w:cs="Arial"/>
                <w:b/>
                <w:bCs/>
                <w:sz w:val="26"/>
                <w:szCs w:val="26"/>
                <w:lang w:val="en-US" w:eastAsia="zh-CN"/>
              </w:rPr>
              <w:t>20</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w:t>
            </w:r>
            <w:r w:rsidR="003B0231">
              <w:rPr>
                <w:b/>
                <w:bCs/>
                <w:color w:val="000000"/>
                <w:lang w:eastAsia="zh-CN"/>
              </w:rPr>
              <w:t>20</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3B0231">
              <w:rPr>
                <w:b/>
                <w:bCs/>
                <w:color w:val="000000"/>
                <w:lang w:eastAsia="zh-CN"/>
              </w:rPr>
              <w:t>9</w:t>
            </w:r>
            <w:r w:rsidR="00A5354B">
              <w:rPr>
                <w:b/>
                <w:bCs/>
                <w:color w:val="000000"/>
                <w:lang w:eastAsia="zh-CN"/>
              </w:rPr>
              <w:t>-</w:t>
            </w:r>
            <w:r w:rsidR="003B0231">
              <w:rPr>
                <w:b/>
                <w:bCs/>
                <w:color w:val="000000"/>
                <w:lang w:eastAsia="zh-CN"/>
              </w:rPr>
              <w:t>19</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14:paraId="0C8F2BE7" w14:textId="3DC7723C" w:rsidR="00700D1F" w:rsidRDefault="003B0231" w:rsidP="003B0231">
            <w:pPr>
              <w:spacing w:before="0"/>
            </w:pPr>
            <w:bookmarkStart w:id="0" w:name="ditulogo"/>
            <w:bookmarkEnd w:id="0"/>
            <w:r>
              <w:rPr>
                <w:noProof/>
                <w:lang w:eastAsia="zh-CN"/>
              </w:rPr>
              <w:drawing>
                <wp:inline distT="0" distB="0" distL="0" distR="0" wp14:anchorId="27763427" wp14:editId="7CBB732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3B5FDA7A" w14:textId="77777777">
        <w:trPr>
          <w:cantSplit/>
        </w:trPr>
        <w:tc>
          <w:tcPr>
            <w:tcW w:w="6911" w:type="dxa"/>
            <w:tcBorders>
              <w:bottom w:val="single" w:sz="12" w:space="0" w:color="auto"/>
            </w:tcBorders>
          </w:tcPr>
          <w:p w14:paraId="27854CD4"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3FE12547" w14:textId="77777777" w:rsidR="00700D1F" w:rsidRPr="00617BE4" w:rsidRDefault="00700D1F" w:rsidP="00001B77">
            <w:pPr>
              <w:spacing w:before="0"/>
              <w:rPr>
                <w:rFonts w:ascii="Verdana" w:hAnsi="Verdana"/>
                <w:szCs w:val="24"/>
              </w:rPr>
            </w:pPr>
          </w:p>
        </w:tc>
      </w:tr>
      <w:tr w:rsidR="00700D1F" w:rsidRPr="00617BE4" w14:paraId="41D12E38" w14:textId="77777777">
        <w:trPr>
          <w:cantSplit/>
        </w:trPr>
        <w:tc>
          <w:tcPr>
            <w:tcW w:w="6911" w:type="dxa"/>
            <w:tcBorders>
              <w:top w:val="single" w:sz="12" w:space="0" w:color="auto"/>
            </w:tcBorders>
          </w:tcPr>
          <w:p w14:paraId="674D514F"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1C353F7C" w14:textId="77777777" w:rsidR="00700D1F" w:rsidRPr="00617BE4" w:rsidRDefault="00700D1F" w:rsidP="00001B77">
            <w:pPr>
              <w:spacing w:before="0"/>
              <w:rPr>
                <w:rFonts w:ascii="Verdana" w:hAnsi="Verdana"/>
                <w:szCs w:val="24"/>
              </w:rPr>
            </w:pPr>
          </w:p>
        </w:tc>
      </w:tr>
      <w:tr w:rsidR="00700D1F" w14:paraId="27710C85" w14:textId="77777777">
        <w:trPr>
          <w:cantSplit/>
          <w:trHeight w:val="23"/>
        </w:trPr>
        <w:tc>
          <w:tcPr>
            <w:tcW w:w="6911" w:type="dxa"/>
            <w:vMerge w:val="restart"/>
          </w:tcPr>
          <w:p w14:paraId="10E700B3" w14:textId="4D12F77C"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574DB1" w:rsidRPr="004A72D9">
              <w:rPr>
                <w:b/>
              </w:rPr>
              <w:t>ADM 1</w:t>
            </w:r>
            <w:r w:rsidR="003B0231">
              <w:rPr>
                <w:b/>
              </w:rPr>
              <w:t>7</w:t>
            </w:r>
          </w:p>
        </w:tc>
        <w:tc>
          <w:tcPr>
            <w:tcW w:w="3120" w:type="dxa"/>
          </w:tcPr>
          <w:p w14:paraId="09128B27" w14:textId="35D698F5"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0B2689">
              <w:rPr>
                <w:b/>
                <w:bCs/>
                <w:szCs w:val="24"/>
                <w:lang w:eastAsia="zh-CN"/>
              </w:rPr>
              <w:t>20</w:t>
            </w:r>
            <w:r w:rsidRPr="00FC5386">
              <w:rPr>
                <w:b/>
                <w:bCs/>
                <w:szCs w:val="24"/>
                <w:lang w:eastAsia="zh-CN"/>
              </w:rPr>
              <w:t>/</w:t>
            </w:r>
            <w:r w:rsidR="007A1659">
              <w:rPr>
                <w:b/>
                <w:bCs/>
                <w:szCs w:val="24"/>
                <w:lang w:eastAsia="zh-CN"/>
              </w:rPr>
              <w:t>4</w:t>
            </w:r>
            <w:r w:rsidR="004338CB">
              <w:rPr>
                <w:b/>
                <w:bCs/>
                <w:szCs w:val="24"/>
                <w:lang w:eastAsia="zh-CN"/>
              </w:rPr>
              <w:t>6</w:t>
            </w:r>
            <w:r w:rsidRPr="00FC5386">
              <w:rPr>
                <w:b/>
                <w:bCs/>
                <w:szCs w:val="24"/>
                <w:lang w:eastAsia="zh-CN"/>
              </w:rPr>
              <w:t>-C</w:t>
            </w:r>
          </w:p>
        </w:tc>
      </w:tr>
      <w:bookmarkEnd w:id="1"/>
      <w:tr w:rsidR="00700D1F" w14:paraId="40262DE4" w14:textId="77777777">
        <w:trPr>
          <w:cantSplit/>
          <w:trHeight w:val="23"/>
        </w:trPr>
        <w:tc>
          <w:tcPr>
            <w:tcW w:w="6911" w:type="dxa"/>
            <w:vMerge/>
          </w:tcPr>
          <w:p w14:paraId="36FA0A62" w14:textId="77777777" w:rsidR="00700D1F" w:rsidRDefault="00700D1F" w:rsidP="00001B77">
            <w:pPr>
              <w:tabs>
                <w:tab w:val="left" w:pos="851"/>
              </w:tabs>
              <w:rPr>
                <w:b/>
                <w:lang w:eastAsia="zh-CN"/>
              </w:rPr>
            </w:pPr>
          </w:p>
        </w:tc>
        <w:tc>
          <w:tcPr>
            <w:tcW w:w="3120" w:type="dxa"/>
          </w:tcPr>
          <w:p w14:paraId="316D10B1" w14:textId="790F4D1E" w:rsidR="00700D1F" w:rsidRPr="00FC5386" w:rsidRDefault="00700D1F" w:rsidP="004338CB">
            <w:pPr>
              <w:tabs>
                <w:tab w:val="left" w:pos="993"/>
              </w:tabs>
              <w:spacing w:before="0"/>
              <w:rPr>
                <w:b/>
                <w:bCs/>
                <w:szCs w:val="24"/>
                <w:lang w:eastAsia="zh-CN"/>
              </w:rPr>
            </w:pPr>
            <w:r w:rsidRPr="00FC5386">
              <w:rPr>
                <w:b/>
                <w:bCs/>
                <w:szCs w:val="24"/>
                <w:lang w:eastAsia="zh-CN"/>
              </w:rPr>
              <w:t>20</w:t>
            </w:r>
            <w:r w:rsidR="006A6E24">
              <w:rPr>
                <w:b/>
                <w:bCs/>
                <w:szCs w:val="24"/>
                <w:lang w:eastAsia="zh-CN"/>
              </w:rPr>
              <w:t>20</w:t>
            </w:r>
            <w:r w:rsidRPr="00FC5386">
              <w:rPr>
                <w:rFonts w:hint="eastAsia"/>
                <w:b/>
                <w:bCs/>
                <w:szCs w:val="24"/>
                <w:lang w:eastAsia="zh-CN"/>
              </w:rPr>
              <w:t>年</w:t>
            </w:r>
            <w:r w:rsidR="00574DB1">
              <w:rPr>
                <w:rFonts w:asciiTheme="minorHAnsi" w:hAnsiTheme="minorHAnsi" w:cstheme="minorHAnsi"/>
                <w:b/>
                <w:bCs/>
                <w:szCs w:val="24"/>
                <w:lang w:eastAsia="zh-CN"/>
              </w:rPr>
              <w:t>4</w:t>
            </w:r>
            <w:r w:rsidRPr="00FC5386">
              <w:rPr>
                <w:rFonts w:hint="eastAsia"/>
                <w:b/>
                <w:bCs/>
                <w:szCs w:val="24"/>
                <w:lang w:eastAsia="zh-CN"/>
              </w:rPr>
              <w:t>月</w:t>
            </w:r>
            <w:r w:rsidR="00574DB1">
              <w:rPr>
                <w:rFonts w:hint="eastAsia"/>
                <w:b/>
                <w:bCs/>
                <w:szCs w:val="24"/>
                <w:lang w:eastAsia="zh-CN"/>
              </w:rPr>
              <w:t>2</w:t>
            </w:r>
            <w:r w:rsidR="000B2689">
              <w:rPr>
                <w:b/>
                <w:bCs/>
                <w:szCs w:val="24"/>
                <w:lang w:eastAsia="zh-CN"/>
              </w:rPr>
              <w:t>7</w:t>
            </w:r>
            <w:r w:rsidRPr="00FC5386">
              <w:rPr>
                <w:rFonts w:hint="eastAsia"/>
                <w:b/>
                <w:bCs/>
                <w:szCs w:val="24"/>
                <w:lang w:eastAsia="zh-CN"/>
              </w:rPr>
              <w:t>日</w:t>
            </w:r>
          </w:p>
        </w:tc>
      </w:tr>
      <w:tr w:rsidR="00700D1F" w14:paraId="6742E638" w14:textId="77777777">
        <w:trPr>
          <w:cantSplit/>
          <w:trHeight w:val="23"/>
        </w:trPr>
        <w:tc>
          <w:tcPr>
            <w:tcW w:w="6911" w:type="dxa"/>
            <w:vMerge/>
          </w:tcPr>
          <w:p w14:paraId="13BB6AA2" w14:textId="77777777" w:rsidR="00700D1F" w:rsidRDefault="00700D1F" w:rsidP="00001B77">
            <w:pPr>
              <w:tabs>
                <w:tab w:val="left" w:pos="851"/>
              </w:tabs>
              <w:rPr>
                <w:b/>
                <w:lang w:eastAsia="zh-CN"/>
              </w:rPr>
            </w:pPr>
          </w:p>
        </w:tc>
        <w:tc>
          <w:tcPr>
            <w:tcW w:w="3120" w:type="dxa"/>
          </w:tcPr>
          <w:p w14:paraId="17F6846C"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2C8D1F24" w14:textId="77777777">
        <w:trPr>
          <w:cantSplit/>
        </w:trPr>
        <w:tc>
          <w:tcPr>
            <w:tcW w:w="10031" w:type="dxa"/>
          </w:tcPr>
          <w:p w14:paraId="0C86DB06"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7016F8AA" w14:textId="77777777">
        <w:trPr>
          <w:cantSplit/>
        </w:trPr>
        <w:tc>
          <w:tcPr>
            <w:tcW w:w="10031" w:type="dxa"/>
          </w:tcPr>
          <w:p w14:paraId="3CF07721" w14:textId="77777777" w:rsidR="0093362E" w:rsidRDefault="00931963" w:rsidP="00001B77">
            <w:pPr>
              <w:pStyle w:val="Title1"/>
              <w:rPr>
                <w:bCs/>
                <w:lang w:eastAsia="zh-CN"/>
              </w:rPr>
            </w:pPr>
            <w:r w:rsidRPr="00EB1CEE">
              <w:rPr>
                <w:rFonts w:hint="eastAsia"/>
                <w:lang w:eastAsia="zh-CN"/>
              </w:rPr>
              <w:t>离职后健康保险基金（</w:t>
            </w:r>
            <w:r w:rsidRPr="00EB1CEE">
              <w:rPr>
                <w:rFonts w:hint="eastAsia"/>
                <w:lang w:eastAsia="zh-CN"/>
              </w:rPr>
              <w:t>ASHI</w:t>
            </w:r>
            <w:r w:rsidRPr="00EB1CEE">
              <w:rPr>
                <w:rFonts w:hint="eastAsia"/>
                <w:lang w:eastAsia="zh-CN"/>
              </w:rPr>
              <w:t>）的负债</w:t>
            </w:r>
          </w:p>
        </w:tc>
      </w:tr>
    </w:tbl>
    <w:p w14:paraId="3C4E7D21" w14:textId="77777777" w:rsidR="00B40A53" w:rsidRPr="00456733" w:rsidRDefault="00B40A53" w:rsidP="007E3353">
      <w:pPr>
        <w:spacing w:before="360"/>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72E4836D"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2A234011" w14:textId="77777777" w:rsidR="00B40A53" w:rsidRPr="00456733" w:rsidRDefault="00B40A53" w:rsidP="003C2E37">
            <w:pPr>
              <w:pStyle w:val="Headingb"/>
              <w:rPr>
                <w:lang w:eastAsia="zh-CN"/>
              </w:rPr>
            </w:pPr>
            <w:r>
              <w:rPr>
                <w:rFonts w:hint="eastAsia"/>
                <w:lang w:val="fr-FR" w:eastAsia="zh-CN"/>
              </w:rPr>
              <w:t>概</w:t>
            </w:r>
            <w:r>
              <w:rPr>
                <w:rFonts w:hint="eastAsia"/>
                <w:lang w:eastAsia="zh-CN"/>
              </w:rPr>
              <w:t>要</w:t>
            </w:r>
          </w:p>
          <w:p w14:paraId="255DA74A" w14:textId="6CD9D41C" w:rsidR="00B40A53" w:rsidRPr="00456733" w:rsidRDefault="00574DB1" w:rsidP="004338CB">
            <w:pPr>
              <w:ind w:firstLineChars="200" w:firstLine="480"/>
              <w:rPr>
                <w:szCs w:val="22"/>
                <w:lang w:eastAsia="zh-CN"/>
              </w:rPr>
            </w:pPr>
            <w:r>
              <w:rPr>
                <w:rFonts w:hint="eastAsia"/>
                <w:szCs w:val="22"/>
                <w:lang w:val="fr-FR" w:eastAsia="zh-CN"/>
              </w:rPr>
              <w:t>理事会</w:t>
            </w:r>
            <w:r w:rsidRPr="00456733">
              <w:rPr>
                <w:rFonts w:hint="eastAsia"/>
                <w:szCs w:val="22"/>
                <w:lang w:eastAsia="zh-CN"/>
              </w:rPr>
              <w:t>2014</w:t>
            </w:r>
            <w:r>
              <w:rPr>
                <w:rFonts w:hint="eastAsia"/>
                <w:szCs w:val="22"/>
                <w:lang w:val="fr-FR" w:eastAsia="zh-CN"/>
              </w:rPr>
              <w:t>年</w:t>
            </w:r>
            <w:r>
              <w:rPr>
                <w:szCs w:val="22"/>
                <w:lang w:val="fr-FR" w:eastAsia="zh-CN"/>
              </w:rPr>
              <w:t>会议要求国际电联每年提交有关</w:t>
            </w:r>
            <w:r w:rsidRPr="00456733">
              <w:rPr>
                <w:szCs w:val="22"/>
                <w:lang w:eastAsia="zh-CN"/>
              </w:rPr>
              <w:t>ASHI</w:t>
            </w:r>
            <w:r>
              <w:rPr>
                <w:szCs w:val="22"/>
                <w:lang w:val="fr-FR" w:eastAsia="zh-CN"/>
              </w:rPr>
              <w:t>负债情况的报告</w:t>
            </w:r>
            <w:r w:rsidRPr="00456733">
              <w:rPr>
                <w:rFonts w:hint="eastAsia"/>
                <w:szCs w:val="22"/>
                <w:lang w:eastAsia="zh-CN"/>
              </w:rPr>
              <w:t>，</w:t>
            </w:r>
            <w:r>
              <w:rPr>
                <w:rFonts w:hint="eastAsia"/>
                <w:szCs w:val="22"/>
                <w:lang w:val="fr-FR" w:eastAsia="zh-CN"/>
              </w:rPr>
              <w:t>而且有</w:t>
            </w:r>
            <w:r>
              <w:rPr>
                <w:szCs w:val="22"/>
                <w:lang w:val="fr-FR" w:eastAsia="zh-CN"/>
              </w:rPr>
              <w:t>关</w:t>
            </w:r>
            <w:r w:rsidRPr="00456733">
              <w:rPr>
                <w:rFonts w:hint="eastAsia"/>
                <w:szCs w:val="22"/>
                <w:lang w:eastAsia="zh-CN"/>
              </w:rPr>
              <w:t>2012</w:t>
            </w:r>
            <w:r>
              <w:rPr>
                <w:rFonts w:hint="eastAsia"/>
                <w:szCs w:val="22"/>
                <w:lang w:val="fr-FR" w:eastAsia="zh-CN"/>
              </w:rPr>
              <w:t>年</w:t>
            </w:r>
            <w:r>
              <w:rPr>
                <w:szCs w:val="22"/>
                <w:lang w:val="fr-FR" w:eastAsia="zh-CN"/>
              </w:rPr>
              <w:t>账目</w:t>
            </w:r>
            <w:r>
              <w:rPr>
                <w:rFonts w:hint="eastAsia"/>
                <w:szCs w:val="22"/>
                <w:lang w:val="fr-FR" w:eastAsia="zh-CN"/>
              </w:rPr>
              <w:t>的</w:t>
            </w:r>
            <w:r>
              <w:rPr>
                <w:szCs w:val="22"/>
                <w:lang w:val="fr-FR" w:eastAsia="zh-CN"/>
              </w:rPr>
              <w:t>外部审计员</w:t>
            </w:r>
            <w:r>
              <w:rPr>
                <w:rFonts w:hint="eastAsia"/>
                <w:szCs w:val="22"/>
                <w:lang w:val="fr-FR" w:eastAsia="zh-CN"/>
              </w:rPr>
              <w:t>报告</w:t>
            </w:r>
            <w:r>
              <w:rPr>
                <w:szCs w:val="22"/>
                <w:lang w:val="fr-FR" w:eastAsia="zh-CN"/>
              </w:rPr>
              <w:t>建议</w:t>
            </w:r>
            <w:r w:rsidRPr="00456733">
              <w:rPr>
                <w:rFonts w:hint="eastAsia"/>
                <w:szCs w:val="22"/>
                <w:lang w:eastAsia="zh-CN"/>
              </w:rPr>
              <w:t>6</w:t>
            </w:r>
            <w:r>
              <w:rPr>
                <w:rFonts w:hint="eastAsia"/>
                <w:szCs w:val="22"/>
                <w:lang w:val="fr-FR" w:eastAsia="zh-CN"/>
              </w:rPr>
              <w:t>提出了部分为此负债供资的</w:t>
            </w:r>
            <w:r>
              <w:rPr>
                <w:szCs w:val="22"/>
                <w:lang w:val="fr-FR" w:eastAsia="zh-CN"/>
              </w:rPr>
              <w:t>建议</w:t>
            </w:r>
            <w:r w:rsidRPr="00456733">
              <w:rPr>
                <w:szCs w:val="22"/>
                <w:lang w:eastAsia="zh-CN"/>
              </w:rPr>
              <w:t>，</w:t>
            </w:r>
            <w:r>
              <w:rPr>
                <w:rFonts w:hint="eastAsia"/>
                <w:szCs w:val="22"/>
                <w:lang w:val="fr-FR" w:eastAsia="zh-CN"/>
              </w:rPr>
              <w:t>为</w:t>
            </w:r>
            <w:r>
              <w:rPr>
                <w:szCs w:val="22"/>
                <w:lang w:val="fr-FR" w:eastAsia="zh-CN"/>
              </w:rPr>
              <w:t>此</w:t>
            </w:r>
            <w:r w:rsidRPr="00456733">
              <w:rPr>
                <w:szCs w:val="22"/>
                <w:lang w:eastAsia="zh-CN"/>
              </w:rPr>
              <w:t>，</w:t>
            </w:r>
            <w:r>
              <w:rPr>
                <w:szCs w:val="22"/>
                <w:lang w:val="fr-FR" w:eastAsia="zh-CN"/>
              </w:rPr>
              <w:t>本</w:t>
            </w:r>
            <w:r>
              <w:rPr>
                <w:rFonts w:hint="eastAsia"/>
                <w:szCs w:val="22"/>
                <w:lang w:val="fr-FR" w:eastAsia="zh-CN"/>
              </w:rPr>
              <w:t>报告</w:t>
            </w:r>
            <w:r>
              <w:rPr>
                <w:szCs w:val="22"/>
                <w:lang w:val="fr-FR" w:eastAsia="zh-CN"/>
              </w:rPr>
              <w:t>介绍截至</w:t>
            </w:r>
            <w:r w:rsidRPr="00456733">
              <w:rPr>
                <w:rFonts w:hint="eastAsia"/>
                <w:szCs w:val="22"/>
                <w:lang w:eastAsia="zh-CN"/>
              </w:rPr>
              <w:t>201</w:t>
            </w:r>
            <w:r w:rsidR="003B0231" w:rsidRPr="00456733">
              <w:rPr>
                <w:rFonts w:hint="eastAsia"/>
                <w:szCs w:val="22"/>
                <w:lang w:eastAsia="zh-CN"/>
              </w:rPr>
              <w:t>9</w:t>
            </w:r>
            <w:r>
              <w:rPr>
                <w:rFonts w:hint="eastAsia"/>
                <w:szCs w:val="22"/>
                <w:lang w:val="fr-FR" w:eastAsia="zh-CN"/>
              </w:rPr>
              <w:t>年</w:t>
            </w:r>
            <w:r w:rsidRPr="00456733">
              <w:rPr>
                <w:rFonts w:hint="eastAsia"/>
                <w:szCs w:val="22"/>
                <w:lang w:eastAsia="zh-CN"/>
              </w:rPr>
              <w:t>12</w:t>
            </w:r>
            <w:r>
              <w:rPr>
                <w:rFonts w:hint="eastAsia"/>
                <w:szCs w:val="22"/>
                <w:lang w:val="fr-FR" w:eastAsia="zh-CN"/>
              </w:rPr>
              <w:t>月</w:t>
            </w:r>
            <w:r w:rsidRPr="00456733">
              <w:rPr>
                <w:rFonts w:hint="eastAsia"/>
                <w:szCs w:val="22"/>
                <w:lang w:eastAsia="zh-CN"/>
              </w:rPr>
              <w:t>31</w:t>
            </w:r>
            <w:r>
              <w:rPr>
                <w:rFonts w:hint="eastAsia"/>
                <w:szCs w:val="22"/>
                <w:lang w:val="fr-FR" w:eastAsia="zh-CN"/>
              </w:rPr>
              <w:t>日</w:t>
            </w:r>
            <w:r>
              <w:rPr>
                <w:szCs w:val="22"/>
                <w:lang w:val="fr-FR" w:eastAsia="zh-CN"/>
              </w:rPr>
              <w:t>的离职后健康保险基金</w:t>
            </w:r>
            <w:r w:rsidRPr="00456733">
              <w:rPr>
                <w:szCs w:val="22"/>
                <w:lang w:eastAsia="zh-CN"/>
              </w:rPr>
              <w:t>（</w:t>
            </w:r>
            <w:r w:rsidRPr="00456733">
              <w:rPr>
                <w:szCs w:val="22"/>
                <w:lang w:eastAsia="zh-CN"/>
              </w:rPr>
              <w:t>ASHI</w:t>
            </w:r>
            <w:r w:rsidRPr="00456733">
              <w:rPr>
                <w:szCs w:val="22"/>
                <w:lang w:eastAsia="zh-CN"/>
              </w:rPr>
              <w:t>）</w:t>
            </w:r>
            <w:r>
              <w:rPr>
                <w:szCs w:val="22"/>
                <w:lang w:val="fr-FR" w:eastAsia="zh-CN"/>
              </w:rPr>
              <w:t>状况。</w:t>
            </w:r>
          </w:p>
          <w:p w14:paraId="14E796EE" w14:textId="77777777" w:rsidR="00B40A53" w:rsidRPr="003C2E37" w:rsidRDefault="00B40A53" w:rsidP="003C2E37">
            <w:pPr>
              <w:pStyle w:val="Headingb"/>
              <w:rPr>
                <w:lang w:eastAsia="zh-CN"/>
              </w:rPr>
            </w:pPr>
            <w:r>
              <w:rPr>
                <w:rFonts w:hint="eastAsia"/>
                <w:lang w:eastAsia="zh-CN"/>
              </w:rPr>
              <w:t>需采取的行动</w:t>
            </w:r>
          </w:p>
          <w:p w14:paraId="1395E229" w14:textId="77777777" w:rsidR="00B40A53" w:rsidRPr="00574DB1" w:rsidRDefault="00574DB1" w:rsidP="00574DB1">
            <w:pPr>
              <w:pStyle w:val="BodyTextIndent3"/>
              <w:spacing w:before="120"/>
              <w:ind w:firstLineChars="200" w:firstLine="480"/>
              <w:textAlignment w:val="baseline"/>
              <w:rPr>
                <w:sz w:val="24"/>
                <w:szCs w:val="22"/>
                <w:lang w:val="en-US"/>
              </w:rPr>
            </w:pPr>
            <w:r w:rsidRPr="003732F2">
              <w:rPr>
                <w:rFonts w:hint="eastAsia"/>
                <w:sz w:val="24"/>
                <w:szCs w:val="24"/>
              </w:rPr>
              <w:t>请理事会将本文件</w:t>
            </w:r>
            <w:r w:rsidRPr="003732F2">
              <w:rPr>
                <w:rFonts w:hint="eastAsia"/>
                <w:b/>
                <w:bCs/>
                <w:sz w:val="24"/>
                <w:szCs w:val="24"/>
              </w:rPr>
              <w:t>记录在案</w:t>
            </w:r>
            <w:r w:rsidRPr="003732F2">
              <w:rPr>
                <w:rFonts w:hint="eastAsia"/>
                <w:sz w:val="24"/>
                <w:szCs w:val="24"/>
              </w:rPr>
              <w:t>。</w:t>
            </w:r>
          </w:p>
          <w:p w14:paraId="7811ED1F" w14:textId="77777777" w:rsidR="00B40A53" w:rsidRDefault="00B40A53">
            <w:pPr>
              <w:jc w:val="center"/>
              <w:rPr>
                <w:sz w:val="28"/>
                <w:szCs w:val="22"/>
                <w:lang w:eastAsia="zh-CN"/>
              </w:rPr>
            </w:pPr>
            <w:r>
              <w:rPr>
                <w:sz w:val="28"/>
                <w:szCs w:val="22"/>
                <w:lang w:eastAsia="zh-CN"/>
              </w:rPr>
              <w:t>______________</w:t>
            </w:r>
          </w:p>
          <w:p w14:paraId="62C2C13C" w14:textId="77777777" w:rsidR="009164A9" w:rsidRPr="00456733"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en-US" w:eastAsia="zh-CN"/>
              </w:rPr>
            </w:pPr>
          </w:p>
          <w:p w14:paraId="647C081E" w14:textId="77777777" w:rsidR="009164A9" w:rsidRPr="00456733" w:rsidRDefault="009164A9" w:rsidP="003C2E37">
            <w:pPr>
              <w:pStyle w:val="Headingb"/>
              <w:rPr>
                <w:lang w:val="en-US" w:eastAsia="zh-CN"/>
              </w:rPr>
            </w:pPr>
            <w:r w:rsidRPr="00FC5386">
              <w:rPr>
                <w:rFonts w:hint="eastAsia"/>
                <w:lang w:eastAsia="zh-CN"/>
              </w:rPr>
              <w:t>参考文件</w:t>
            </w:r>
          </w:p>
          <w:p w14:paraId="05504144" w14:textId="56813DAA" w:rsidR="00B40A53" w:rsidRPr="00456733" w:rsidRDefault="00456733" w:rsidP="0051074F">
            <w:pPr>
              <w:spacing w:after="120"/>
              <w:rPr>
                <w:caps/>
                <w:szCs w:val="22"/>
                <w:lang w:val="en-US" w:eastAsia="zh-CN"/>
              </w:rPr>
            </w:pPr>
            <w:r>
              <w:fldChar w:fldCharType="begin"/>
            </w:r>
            <w:r>
              <w:instrText xml:space="preserve"> HYPERLINK "http://www.itu.int/md/S19-CL-C-0046/en" </w:instrText>
            </w:r>
            <w:r>
              <w:fldChar w:fldCharType="separate"/>
            </w:r>
            <w:r w:rsidR="003B0231" w:rsidRPr="007A3ACE">
              <w:rPr>
                <w:rStyle w:val="Hyperlink"/>
                <w:szCs w:val="24"/>
                <w:lang w:eastAsia="zh-CN"/>
              </w:rPr>
              <w:t>C19/46</w:t>
            </w:r>
            <w:r>
              <w:rPr>
                <w:rStyle w:val="Hyperlink"/>
                <w:szCs w:val="24"/>
                <w:lang w:eastAsia="zh-CN"/>
              </w:rPr>
              <w:fldChar w:fldCharType="end"/>
            </w:r>
            <w:r w:rsidR="00574DB1">
              <w:rPr>
                <w:rFonts w:hint="eastAsia"/>
                <w:color w:val="000000" w:themeColor="text1"/>
                <w:szCs w:val="24"/>
                <w:lang w:eastAsia="zh-CN"/>
              </w:rPr>
              <w:t>号</w:t>
            </w:r>
            <w:r w:rsidR="00574DB1">
              <w:rPr>
                <w:color w:val="000000" w:themeColor="text1"/>
                <w:szCs w:val="24"/>
                <w:lang w:eastAsia="zh-CN"/>
              </w:rPr>
              <w:t>文件及</w:t>
            </w:r>
            <w:hyperlink r:id="rId12" w:history="1">
              <w:r w:rsidR="00574DB1" w:rsidRPr="007E3353">
                <w:rPr>
                  <w:rStyle w:val="Hyperlink"/>
                  <w:rFonts w:hint="eastAsia"/>
                  <w:szCs w:val="24"/>
                  <w:lang w:eastAsia="zh-CN"/>
                </w:rPr>
                <w:t>第</w:t>
              </w:r>
              <w:r w:rsidR="00574DB1" w:rsidRPr="007E3353">
                <w:rPr>
                  <w:rStyle w:val="Hyperlink"/>
                  <w:szCs w:val="24"/>
                  <w:lang w:eastAsia="zh-CN"/>
                </w:rPr>
                <w:t>5</w:t>
              </w:r>
              <w:r w:rsidR="00574DB1" w:rsidRPr="007E3353">
                <w:rPr>
                  <w:rStyle w:val="Hyperlink"/>
                  <w:rFonts w:hint="eastAsia"/>
                  <w:szCs w:val="24"/>
                  <w:lang w:eastAsia="zh-CN"/>
                </w:rPr>
                <w:t>号</w:t>
              </w:r>
              <w:r w:rsidR="00574DB1" w:rsidRPr="007E3353">
                <w:rPr>
                  <w:rStyle w:val="Hyperlink"/>
                  <w:szCs w:val="24"/>
                  <w:lang w:eastAsia="zh-CN"/>
                </w:rPr>
                <w:t>决定</w:t>
              </w:r>
            </w:hyperlink>
            <w:r w:rsidR="00574DB1" w:rsidRPr="00B24743">
              <w:rPr>
                <w:rFonts w:asciiTheme="minorHAnsi" w:eastAsiaTheme="minorEastAsia" w:hAnsiTheme="minorHAnsi" w:cs="Calibri"/>
                <w:szCs w:val="24"/>
                <w:lang w:eastAsia="zh-CN"/>
              </w:rPr>
              <w:t>（</w:t>
            </w:r>
            <w:r w:rsidR="00574DB1" w:rsidRPr="00B24743">
              <w:rPr>
                <w:rFonts w:asciiTheme="minorHAnsi" w:eastAsiaTheme="minorEastAsia" w:hAnsiTheme="minorHAnsi" w:cs="Calibri"/>
                <w:szCs w:val="24"/>
                <w:lang w:eastAsia="zh-CN"/>
              </w:rPr>
              <w:t>201</w:t>
            </w:r>
            <w:r w:rsidR="00574DB1">
              <w:rPr>
                <w:rFonts w:asciiTheme="minorHAnsi" w:eastAsiaTheme="minorEastAsia" w:hAnsiTheme="minorHAnsi" w:cs="Calibri"/>
                <w:szCs w:val="24"/>
                <w:lang w:eastAsia="zh-CN"/>
              </w:rPr>
              <w:t>8</w:t>
            </w:r>
            <w:r w:rsidR="00574DB1" w:rsidRPr="00B24743">
              <w:rPr>
                <w:rFonts w:asciiTheme="minorHAnsi" w:eastAsiaTheme="minorEastAsia" w:hAnsiTheme="minorHAnsi" w:cs="Calibri"/>
                <w:szCs w:val="24"/>
                <w:lang w:eastAsia="zh-CN"/>
              </w:rPr>
              <w:t>年，</w:t>
            </w:r>
            <w:r w:rsidR="00574DB1">
              <w:rPr>
                <w:rFonts w:asciiTheme="minorHAnsi" w:eastAsiaTheme="minorEastAsia" w:hAnsiTheme="minorHAnsi" w:cs="Calibri" w:hint="eastAsia"/>
                <w:szCs w:val="24"/>
                <w:lang w:eastAsia="zh-CN"/>
              </w:rPr>
              <w:t>迪拜</w:t>
            </w:r>
            <w:r w:rsidR="00574DB1" w:rsidRPr="00B24743">
              <w:rPr>
                <w:rFonts w:asciiTheme="minorHAnsi" w:eastAsiaTheme="minorEastAsia" w:hAnsiTheme="minorHAnsi" w:cs="Calibri"/>
                <w:szCs w:val="24"/>
                <w:lang w:eastAsia="zh-CN"/>
              </w:rPr>
              <w:t>，修订版）</w:t>
            </w:r>
          </w:p>
        </w:tc>
      </w:tr>
    </w:tbl>
    <w:p w14:paraId="4392CF81" w14:textId="77777777" w:rsidR="00574DB1" w:rsidRPr="006E7601" w:rsidRDefault="00574DB1" w:rsidP="00574DB1">
      <w:pPr>
        <w:pStyle w:val="Heading1"/>
        <w:rPr>
          <w:lang w:eastAsia="zh-CN"/>
        </w:rPr>
      </w:pPr>
      <w:r w:rsidRPr="006E7601">
        <w:rPr>
          <w:lang w:eastAsia="zh-CN"/>
        </w:rPr>
        <w:t>1</w:t>
      </w:r>
      <w:r>
        <w:rPr>
          <w:lang w:eastAsia="zh-CN"/>
        </w:rPr>
        <w:tab/>
      </w:r>
      <w:r>
        <w:rPr>
          <w:lang w:eastAsia="zh-CN"/>
        </w:rPr>
        <w:t>引言</w:t>
      </w:r>
    </w:p>
    <w:p w14:paraId="722F58B5" w14:textId="77777777" w:rsidR="00574DB1" w:rsidRDefault="00574DB1" w:rsidP="00574DB1">
      <w:pPr>
        <w:rPr>
          <w:lang w:eastAsia="zh-CN"/>
        </w:rPr>
      </w:pPr>
      <w:r w:rsidRPr="006E7601">
        <w:rPr>
          <w:lang w:eastAsia="zh-CN"/>
        </w:rPr>
        <w:t>1.1</w:t>
      </w:r>
      <w:r>
        <w:rPr>
          <w:lang w:eastAsia="zh-CN"/>
        </w:rPr>
        <w:tab/>
      </w:r>
      <w:r>
        <w:rPr>
          <w:lang w:eastAsia="zh-CN"/>
        </w:rPr>
        <w:t>由于按照</w:t>
      </w:r>
      <w:r>
        <w:rPr>
          <w:rFonts w:hint="eastAsia"/>
          <w:lang w:eastAsia="zh-CN"/>
        </w:rPr>
        <w:t>《国</w:t>
      </w:r>
      <w:r>
        <w:rPr>
          <w:lang w:eastAsia="zh-CN"/>
        </w:rPr>
        <w:t>际公共部</w:t>
      </w:r>
      <w:r>
        <w:rPr>
          <w:rFonts w:hint="eastAsia"/>
          <w:lang w:eastAsia="zh-CN"/>
        </w:rPr>
        <w:t>门</w:t>
      </w:r>
      <w:r>
        <w:rPr>
          <w:lang w:eastAsia="zh-CN"/>
        </w:rPr>
        <w:t>会计准则</w:t>
      </w:r>
      <w:r>
        <w:rPr>
          <w:rFonts w:hint="eastAsia"/>
          <w:lang w:eastAsia="zh-CN"/>
        </w:rPr>
        <w:t>》</w:t>
      </w:r>
      <w:r>
        <w:rPr>
          <w:lang w:eastAsia="zh-CN"/>
        </w:rPr>
        <w:t>（</w:t>
      </w:r>
      <w:r w:rsidRPr="006E7601">
        <w:rPr>
          <w:lang w:eastAsia="zh-CN"/>
        </w:rPr>
        <w:t>IPSAS</w:t>
      </w:r>
      <w:r>
        <w:rPr>
          <w:rFonts w:hint="eastAsia"/>
          <w:lang w:eastAsia="zh-CN"/>
        </w:rPr>
        <w:t>）需顾及离职</w:t>
      </w:r>
      <w:r>
        <w:rPr>
          <w:lang w:eastAsia="zh-CN"/>
        </w:rPr>
        <w:t>后健康保险</w:t>
      </w:r>
      <w:r>
        <w:rPr>
          <w:rFonts w:hint="eastAsia"/>
          <w:lang w:eastAsia="zh-CN"/>
        </w:rPr>
        <w:t>基金</w:t>
      </w:r>
      <w:r>
        <w:rPr>
          <w:lang w:eastAsia="zh-CN"/>
        </w:rPr>
        <w:t>（</w:t>
      </w:r>
      <w:r w:rsidRPr="006E7601">
        <w:rPr>
          <w:lang w:eastAsia="zh-CN"/>
        </w:rPr>
        <w:t>ASHI</w:t>
      </w:r>
      <w:r>
        <w:rPr>
          <w:lang w:eastAsia="zh-CN"/>
        </w:rPr>
        <w:t>）承付款，国际电联</w:t>
      </w:r>
      <w:r>
        <w:rPr>
          <w:rFonts w:hint="eastAsia"/>
          <w:lang w:eastAsia="zh-CN"/>
        </w:rPr>
        <w:t>的</w:t>
      </w:r>
      <w:r>
        <w:rPr>
          <w:lang w:eastAsia="zh-CN"/>
        </w:rPr>
        <w:t>净资产由</w:t>
      </w:r>
      <w:r>
        <w:rPr>
          <w:rFonts w:hint="eastAsia"/>
          <w:lang w:eastAsia="zh-CN"/>
        </w:rPr>
        <w:t>正数</w:t>
      </w:r>
      <w:r>
        <w:rPr>
          <w:lang w:eastAsia="zh-CN"/>
        </w:rPr>
        <w:t>变为</w:t>
      </w:r>
      <w:r>
        <w:rPr>
          <w:rFonts w:hint="eastAsia"/>
          <w:lang w:eastAsia="zh-CN"/>
        </w:rPr>
        <w:t>负数</w:t>
      </w:r>
      <w:r>
        <w:rPr>
          <w:lang w:eastAsia="zh-CN"/>
        </w:rPr>
        <w:t>，</w:t>
      </w:r>
      <w:r>
        <w:rPr>
          <w:rFonts w:hint="eastAsia"/>
          <w:lang w:eastAsia="zh-CN"/>
        </w:rPr>
        <w:t>导致</w:t>
      </w:r>
      <w:r>
        <w:rPr>
          <w:lang w:eastAsia="zh-CN"/>
        </w:rPr>
        <w:t>不得不强制性确认与</w:t>
      </w:r>
      <w:r w:rsidRPr="006E7601">
        <w:rPr>
          <w:lang w:eastAsia="zh-CN"/>
        </w:rPr>
        <w:t>ASHI</w:t>
      </w:r>
      <w:r>
        <w:rPr>
          <w:lang w:eastAsia="zh-CN"/>
        </w:rPr>
        <w:t>未来</w:t>
      </w:r>
      <w:r>
        <w:rPr>
          <w:rFonts w:hint="eastAsia"/>
          <w:lang w:eastAsia="zh-CN"/>
        </w:rPr>
        <w:t>承付款</w:t>
      </w:r>
      <w:r>
        <w:rPr>
          <w:lang w:eastAsia="zh-CN"/>
        </w:rPr>
        <w:t>相关</w:t>
      </w:r>
      <w:r>
        <w:rPr>
          <w:rFonts w:hint="eastAsia"/>
          <w:lang w:eastAsia="zh-CN"/>
        </w:rPr>
        <w:t>的</w:t>
      </w:r>
      <w:r>
        <w:rPr>
          <w:lang w:eastAsia="zh-CN"/>
        </w:rPr>
        <w:t>现值。</w:t>
      </w:r>
    </w:p>
    <w:p w14:paraId="1D6B1796" w14:textId="77777777" w:rsidR="00574DB1" w:rsidRDefault="00574DB1" w:rsidP="00574DB1">
      <w:pPr>
        <w:rPr>
          <w:rFonts w:asciiTheme="minorHAnsi" w:hAnsiTheme="minorHAnsi"/>
          <w:color w:val="000000"/>
          <w:szCs w:val="24"/>
          <w:lang w:eastAsia="zh-CN"/>
        </w:rPr>
      </w:pPr>
      <w:r w:rsidRPr="006E7601">
        <w:rPr>
          <w:lang w:eastAsia="zh-CN"/>
        </w:rPr>
        <w:t>1.2</w:t>
      </w:r>
      <w:bookmarkStart w:id="2" w:name="lt_pId022"/>
      <w:r>
        <w:rPr>
          <w:lang w:eastAsia="zh-CN"/>
        </w:rPr>
        <w:tab/>
      </w:r>
      <w:r w:rsidRPr="006E7601">
        <w:rPr>
          <w:lang w:eastAsia="zh-CN"/>
        </w:rPr>
        <w:t>ASHI</w:t>
      </w:r>
      <w:r>
        <w:rPr>
          <w:lang w:eastAsia="zh-CN"/>
        </w:rPr>
        <w:t>计划设立于</w:t>
      </w:r>
      <w:r w:rsidRPr="006E7601">
        <w:rPr>
          <w:lang w:eastAsia="zh-CN"/>
        </w:rPr>
        <w:t>1967</w:t>
      </w:r>
      <w:r>
        <w:rPr>
          <w:lang w:eastAsia="zh-CN"/>
        </w:rPr>
        <w:t>年，是一种自筹资金计划，为符合资格的职员</w:t>
      </w:r>
      <w:r>
        <w:rPr>
          <w:rFonts w:hint="eastAsia"/>
          <w:lang w:eastAsia="zh-CN"/>
        </w:rPr>
        <w:t>退休后继续</w:t>
      </w:r>
      <w:r>
        <w:rPr>
          <w:lang w:eastAsia="zh-CN"/>
        </w:rPr>
        <w:t>提供健康保险。自那时起，由</w:t>
      </w:r>
      <w:r>
        <w:rPr>
          <w:rFonts w:hint="eastAsia"/>
          <w:lang w:eastAsia="zh-CN"/>
        </w:rPr>
        <w:t>于</w:t>
      </w:r>
      <w:r>
        <w:rPr>
          <w:lang w:eastAsia="zh-CN"/>
        </w:rPr>
        <w:t>计划</w:t>
      </w:r>
      <w:r>
        <w:rPr>
          <w:rFonts w:hint="eastAsia"/>
          <w:lang w:eastAsia="zh-CN"/>
        </w:rPr>
        <w:t>所涵</w:t>
      </w:r>
      <w:r>
        <w:rPr>
          <w:lang w:eastAsia="zh-CN"/>
        </w:rPr>
        <w:t>盖</w:t>
      </w:r>
      <w:r>
        <w:rPr>
          <w:rFonts w:hint="eastAsia"/>
          <w:lang w:eastAsia="zh-CN"/>
        </w:rPr>
        <w:t>的退休人员人数增加和</w:t>
      </w:r>
      <w:r>
        <w:rPr>
          <w:lang w:eastAsia="zh-CN"/>
        </w:rPr>
        <w:t>医疗费用</w:t>
      </w:r>
      <w:r>
        <w:rPr>
          <w:rFonts w:hint="eastAsia"/>
          <w:lang w:eastAsia="zh-CN"/>
        </w:rPr>
        <w:t>的增长，</w:t>
      </w:r>
      <w:r>
        <w:rPr>
          <w:lang w:eastAsia="zh-CN"/>
        </w:rPr>
        <w:t>国际电联和</w:t>
      </w:r>
      <w:r>
        <w:rPr>
          <w:rFonts w:hint="eastAsia"/>
          <w:lang w:eastAsia="zh-CN"/>
        </w:rPr>
        <w:t>职员</w:t>
      </w:r>
      <w:r>
        <w:rPr>
          <w:lang w:eastAsia="zh-CN"/>
        </w:rPr>
        <w:t>共同负担的</w:t>
      </w:r>
      <w:r>
        <w:rPr>
          <w:rFonts w:hint="eastAsia"/>
          <w:lang w:eastAsia="zh-CN"/>
        </w:rPr>
        <w:t>相关</w:t>
      </w:r>
      <w:r>
        <w:rPr>
          <w:lang w:eastAsia="zh-CN"/>
        </w:rPr>
        <w:t>费用</w:t>
      </w:r>
      <w:r>
        <w:rPr>
          <w:rFonts w:hint="eastAsia"/>
          <w:lang w:eastAsia="zh-CN"/>
        </w:rPr>
        <w:t>呈显著</w:t>
      </w:r>
      <w:r>
        <w:rPr>
          <w:lang w:eastAsia="zh-CN"/>
        </w:rPr>
        <w:t>增</w:t>
      </w:r>
      <w:r>
        <w:rPr>
          <w:rFonts w:hint="eastAsia"/>
          <w:lang w:eastAsia="zh-CN"/>
        </w:rPr>
        <w:t>长趋势</w:t>
      </w:r>
      <w:r>
        <w:rPr>
          <w:lang w:eastAsia="zh-CN"/>
        </w:rPr>
        <w:t>。</w:t>
      </w:r>
      <w:bookmarkEnd w:id="2"/>
    </w:p>
    <w:p w14:paraId="30748479" w14:textId="4149EA27" w:rsidR="00574DB1" w:rsidRPr="007E3353" w:rsidRDefault="00574DB1" w:rsidP="00574DB1">
      <w:pPr>
        <w:rPr>
          <w:b/>
          <w:sz w:val="22"/>
          <w:szCs w:val="24"/>
          <w:highlight w:val="yellow"/>
          <w:lang w:eastAsia="zh-CN"/>
        </w:rPr>
      </w:pPr>
      <w:r>
        <w:rPr>
          <w:szCs w:val="24"/>
          <w:lang w:eastAsia="zh-CN"/>
        </w:rPr>
        <w:t>1.3</w:t>
      </w:r>
      <w:r>
        <w:rPr>
          <w:szCs w:val="24"/>
          <w:lang w:eastAsia="zh-CN"/>
        </w:rPr>
        <w:tab/>
      </w:r>
      <w:r w:rsidRPr="00EB1CEE">
        <w:rPr>
          <w:rFonts w:hint="eastAsia"/>
          <w:lang w:eastAsia="zh-CN"/>
        </w:rPr>
        <w:t>离职后健康保险基金（</w:t>
      </w:r>
      <w:r w:rsidRPr="00EB1CEE">
        <w:rPr>
          <w:rFonts w:hint="eastAsia"/>
          <w:lang w:eastAsia="zh-CN"/>
        </w:rPr>
        <w:t>ASHI</w:t>
      </w:r>
      <w:r w:rsidRPr="00EB1CEE">
        <w:rPr>
          <w:rFonts w:hint="eastAsia"/>
          <w:lang w:eastAsia="zh-CN"/>
        </w:rPr>
        <w:t>）的负债</w:t>
      </w:r>
      <w:r>
        <w:rPr>
          <w:rFonts w:hint="eastAsia"/>
          <w:lang w:eastAsia="zh-CN"/>
        </w:rPr>
        <w:t>反映出，一旦国际电联的活动终止，</w:t>
      </w:r>
      <w:r>
        <w:rPr>
          <w:lang w:eastAsia="zh-CN"/>
        </w:rPr>
        <w:t>国际电联应在</w:t>
      </w:r>
      <w:r>
        <w:rPr>
          <w:rFonts w:hint="eastAsia"/>
          <w:lang w:eastAsia="zh-CN"/>
        </w:rPr>
        <w:t>账目</w:t>
      </w:r>
      <w:r>
        <w:rPr>
          <w:lang w:eastAsia="zh-CN"/>
        </w:rPr>
        <w:t>终止</w:t>
      </w:r>
      <w:r>
        <w:rPr>
          <w:rFonts w:hint="eastAsia"/>
          <w:lang w:eastAsia="zh-CN"/>
        </w:rPr>
        <w:t>当</w:t>
      </w:r>
      <w:r>
        <w:rPr>
          <w:lang w:eastAsia="zh-CN"/>
        </w:rPr>
        <w:t>日支付的现值</w:t>
      </w:r>
      <w:r>
        <w:rPr>
          <w:lang w:val="en-US" w:eastAsia="zh-CN"/>
        </w:rPr>
        <w:t>。</w:t>
      </w:r>
      <w:r>
        <w:rPr>
          <w:lang w:eastAsia="zh-CN"/>
        </w:rPr>
        <w:t>虽然这</w:t>
      </w:r>
      <w:r>
        <w:rPr>
          <w:rFonts w:hint="eastAsia"/>
          <w:lang w:eastAsia="zh-CN"/>
        </w:rPr>
        <w:t>种</w:t>
      </w:r>
      <w:r>
        <w:rPr>
          <w:lang w:eastAsia="zh-CN"/>
        </w:rPr>
        <w:t>情况出现的概率极低，但国际电联</w:t>
      </w:r>
      <w:r>
        <w:rPr>
          <w:rFonts w:hint="eastAsia"/>
          <w:lang w:eastAsia="zh-CN"/>
        </w:rPr>
        <w:t>的</w:t>
      </w:r>
      <w:r>
        <w:rPr>
          <w:lang w:eastAsia="zh-CN"/>
        </w:rPr>
        <w:t>目标是</w:t>
      </w:r>
      <w:r w:rsidR="00494640">
        <w:rPr>
          <w:rFonts w:hint="eastAsia"/>
          <w:lang w:eastAsia="zh-CN"/>
        </w:rPr>
        <w:t>加大</w:t>
      </w:r>
      <w:r>
        <w:rPr>
          <w:lang w:eastAsia="zh-CN"/>
        </w:rPr>
        <w:t>基金覆盖，从而减少相关</w:t>
      </w:r>
      <w:r>
        <w:rPr>
          <w:rFonts w:hint="eastAsia"/>
          <w:lang w:eastAsia="zh-CN"/>
        </w:rPr>
        <w:t>承付款</w:t>
      </w:r>
      <w:r>
        <w:rPr>
          <w:lang w:eastAsia="zh-CN"/>
        </w:rPr>
        <w:t>。</w:t>
      </w:r>
      <w:r>
        <w:rPr>
          <w:rFonts w:hint="eastAsia"/>
          <w:lang w:eastAsia="zh-CN"/>
        </w:rPr>
        <w:t>已经</w:t>
      </w:r>
      <w:r>
        <w:rPr>
          <w:lang w:eastAsia="zh-CN"/>
        </w:rPr>
        <w:t>采取行动，</w:t>
      </w:r>
      <w:r>
        <w:rPr>
          <w:rFonts w:hint="eastAsia"/>
          <w:lang w:eastAsia="zh-CN"/>
        </w:rPr>
        <w:t>以</w:t>
      </w:r>
      <w:r>
        <w:rPr>
          <w:lang w:eastAsia="zh-CN"/>
        </w:rPr>
        <w:t>恢复到</w:t>
      </w:r>
      <w:r>
        <w:rPr>
          <w:rFonts w:hint="eastAsia"/>
          <w:lang w:eastAsia="zh-CN"/>
        </w:rPr>
        <w:t>之前</w:t>
      </w:r>
      <w:r>
        <w:rPr>
          <w:lang w:eastAsia="zh-CN"/>
        </w:rPr>
        <w:t>健康保险计划</w:t>
      </w:r>
      <w:r>
        <w:rPr>
          <w:rFonts w:hint="eastAsia"/>
          <w:lang w:eastAsia="zh-CN"/>
        </w:rPr>
        <w:t>拥</w:t>
      </w:r>
      <w:r>
        <w:rPr>
          <w:lang w:eastAsia="zh-CN"/>
        </w:rPr>
        <w:t>有盈余的</w:t>
      </w:r>
      <w:r>
        <w:rPr>
          <w:rFonts w:hint="eastAsia"/>
          <w:lang w:eastAsia="zh-CN"/>
        </w:rPr>
        <w:t>状</w:t>
      </w:r>
      <w:r>
        <w:rPr>
          <w:lang w:eastAsia="zh-CN"/>
        </w:rPr>
        <w:t>况，从而确保</w:t>
      </w:r>
      <w:r>
        <w:rPr>
          <w:rFonts w:hint="eastAsia"/>
          <w:lang w:eastAsia="zh-CN"/>
        </w:rPr>
        <w:t>现收现付制</w:t>
      </w:r>
      <w:r>
        <w:rPr>
          <w:lang w:eastAsia="zh-CN"/>
        </w:rPr>
        <w:t>的覆盖，并</w:t>
      </w:r>
      <w:r>
        <w:rPr>
          <w:rFonts w:hint="eastAsia"/>
          <w:lang w:eastAsia="zh-CN"/>
        </w:rPr>
        <w:t>开创</w:t>
      </w:r>
      <w:r>
        <w:rPr>
          <w:lang w:eastAsia="zh-CN"/>
        </w:rPr>
        <w:t>可用资源，</w:t>
      </w:r>
      <w:r>
        <w:rPr>
          <w:rFonts w:hint="eastAsia"/>
          <w:lang w:eastAsia="zh-CN"/>
        </w:rPr>
        <w:t>为精算</w:t>
      </w:r>
      <w:r>
        <w:rPr>
          <w:lang w:eastAsia="zh-CN"/>
        </w:rPr>
        <w:t>负</w:t>
      </w:r>
      <w:r>
        <w:rPr>
          <w:rFonts w:hint="eastAsia"/>
          <w:lang w:eastAsia="zh-CN"/>
        </w:rPr>
        <w:t>债</w:t>
      </w:r>
      <w:r>
        <w:rPr>
          <w:lang w:eastAsia="zh-CN"/>
        </w:rPr>
        <w:t>提供资金。</w:t>
      </w:r>
    </w:p>
    <w:p w14:paraId="010AEB88" w14:textId="00BD971E" w:rsidR="00574DB1" w:rsidRPr="001E2D69" w:rsidRDefault="00574DB1" w:rsidP="00BD20C0">
      <w:pPr>
        <w:rPr>
          <w:b/>
          <w:color w:val="800000"/>
          <w:sz w:val="22"/>
          <w:szCs w:val="24"/>
          <w:lang w:eastAsia="zh-CN"/>
        </w:rPr>
      </w:pPr>
      <w:r>
        <w:rPr>
          <w:szCs w:val="24"/>
          <w:lang w:eastAsia="zh-CN"/>
        </w:rPr>
        <w:lastRenderedPageBreak/>
        <w:t>1.4</w:t>
      </w:r>
      <w:r>
        <w:rPr>
          <w:szCs w:val="24"/>
          <w:lang w:eastAsia="zh-CN"/>
        </w:rPr>
        <w:tab/>
      </w:r>
      <w:r>
        <w:rPr>
          <w:lang w:eastAsia="zh-CN"/>
        </w:rPr>
        <w:t>截至</w:t>
      </w:r>
      <w:r w:rsidR="003B0231">
        <w:rPr>
          <w:rFonts w:hint="eastAsia"/>
          <w:szCs w:val="24"/>
          <w:lang w:eastAsia="zh-CN"/>
        </w:rPr>
        <w:t>2019</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w:t>
      </w:r>
      <w:r>
        <w:rPr>
          <w:lang w:eastAsia="zh-CN"/>
        </w:rPr>
        <w:t>，</w:t>
      </w:r>
      <w:r>
        <w:rPr>
          <w:lang w:eastAsia="zh-CN"/>
        </w:rPr>
        <w:t>ASHI</w:t>
      </w:r>
      <w:r>
        <w:rPr>
          <w:lang w:eastAsia="zh-CN"/>
        </w:rPr>
        <w:t>相关承付款达到</w:t>
      </w:r>
      <w:proofErr w:type="gramStart"/>
      <w:r w:rsidR="003B0231">
        <w:rPr>
          <w:rFonts w:hint="eastAsia"/>
          <w:szCs w:val="24"/>
          <w:lang w:eastAsia="zh-CN"/>
        </w:rPr>
        <w:t>6</w:t>
      </w:r>
      <w:r w:rsidRPr="00B43C83">
        <w:rPr>
          <w:szCs w:val="24"/>
          <w:lang w:eastAsia="zh-CN"/>
        </w:rPr>
        <w:t>.</w:t>
      </w:r>
      <w:r w:rsidR="003B0231">
        <w:rPr>
          <w:szCs w:val="24"/>
          <w:lang w:eastAsia="zh-CN"/>
        </w:rPr>
        <w:t>1189</w:t>
      </w:r>
      <w:r w:rsidRPr="00B43C83">
        <w:rPr>
          <w:lang w:val="en-US" w:eastAsia="zh-CN"/>
        </w:rPr>
        <w:t>亿</w:t>
      </w:r>
      <w:r>
        <w:rPr>
          <w:lang w:val="en-US" w:eastAsia="zh-CN"/>
        </w:rPr>
        <w:t>瑞郎。</w:t>
      </w:r>
      <w:r>
        <w:rPr>
          <w:rFonts w:hint="eastAsia"/>
          <w:lang w:val="en-US" w:eastAsia="zh-CN"/>
        </w:rPr>
        <w:t>自</w:t>
      </w:r>
      <w:proofErr w:type="gramEnd"/>
      <w:r>
        <w:rPr>
          <w:lang w:eastAsia="zh-CN"/>
        </w:rPr>
        <w:t>201</w:t>
      </w:r>
      <w:r w:rsidR="009A5613">
        <w:rPr>
          <w:lang w:eastAsia="zh-CN"/>
        </w:rPr>
        <w:t>8</w:t>
      </w:r>
      <w:r>
        <w:rPr>
          <w:rFonts w:hint="eastAsia"/>
          <w:lang w:eastAsia="zh-CN"/>
        </w:rPr>
        <w:t>年年底的</w:t>
      </w:r>
      <w:r w:rsidR="003B0231">
        <w:rPr>
          <w:lang w:eastAsia="zh-CN"/>
        </w:rPr>
        <w:t>5</w:t>
      </w:r>
      <w:r w:rsidR="00E22BEF">
        <w:rPr>
          <w:lang w:eastAsia="zh-CN"/>
        </w:rPr>
        <w:t>.</w:t>
      </w:r>
      <w:r w:rsidR="003B0231">
        <w:rPr>
          <w:lang w:val="en-US" w:eastAsia="zh-CN"/>
        </w:rPr>
        <w:t>5224</w:t>
      </w:r>
      <w:r>
        <w:rPr>
          <w:lang w:val="en-US" w:eastAsia="zh-CN"/>
        </w:rPr>
        <w:t>亿瑞郎急剧</w:t>
      </w:r>
      <w:r w:rsidR="009A5613">
        <w:rPr>
          <w:rFonts w:hint="eastAsia"/>
          <w:lang w:val="en-US" w:eastAsia="zh-CN"/>
        </w:rPr>
        <w:t>增</w:t>
      </w:r>
      <w:r>
        <w:rPr>
          <w:rFonts w:hint="eastAsia"/>
          <w:lang w:val="en-US" w:eastAsia="zh-CN"/>
        </w:rPr>
        <w:t>至</w:t>
      </w:r>
      <w:r w:rsidR="00D500AB">
        <w:rPr>
          <w:rFonts w:hint="eastAsia"/>
          <w:lang w:val="en-US" w:eastAsia="zh-CN"/>
        </w:rPr>
        <w:t>2</w:t>
      </w:r>
      <w:r w:rsidR="00D500AB">
        <w:rPr>
          <w:lang w:val="en-US" w:eastAsia="zh-CN"/>
        </w:rPr>
        <w:t>01</w:t>
      </w:r>
      <w:r w:rsidR="003B0231">
        <w:rPr>
          <w:rFonts w:hint="eastAsia"/>
          <w:lang w:val="en-US" w:eastAsia="zh-CN"/>
        </w:rPr>
        <w:t>9</w:t>
      </w:r>
      <w:r w:rsidR="00D500AB">
        <w:rPr>
          <w:rFonts w:hint="eastAsia"/>
          <w:lang w:val="en-US" w:eastAsia="zh-CN"/>
        </w:rPr>
        <w:t>年底</w:t>
      </w:r>
      <w:r>
        <w:rPr>
          <w:rFonts w:hint="eastAsia"/>
          <w:lang w:val="en-US" w:eastAsia="zh-CN"/>
        </w:rPr>
        <w:t>的</w:t>
      </w:r>
      <w:r w:rsidR="003B0231">
        <w:rPr>
          <w:szCs w:val="24"/>
          <w:lang w:eastAsia="zh-CN"/>
        </w:rPr>
        <w:t>6</w:t>
      </w:r>
      <w:r w:rsidR="00D500AB" w:rsidRPr="00B43C83">
        <w:rPr>
          <w:szCs w:val="24"/>
          <w:lang w:eastAsia="zh-CN"/>
        </w:rPr>
        <w:t>.</w:t>
      </w:r>
      <w:r w:rsidR="003B0231">
        <w:rPr>
          <w:szCs w:val="24"/>
          <w:lang w:eastAsia="zh-CN"/>
        </w:rPr>
        <w:t>1189</w:t>
      </w:r>
      <w:r w:rsidR="00D500AB" w:rsidRPr="00B43C83">
        <w:rPr>
          <w:lang w:val="en-US" w:eastAsia="zh-CN"/>
        </w:rPr>
        <w:t>亿</w:t>
      </w:r>
      <w:r w:rsidR="00D500AB">
        <w:rPr>
          <w:lang w:val="en-US" w:eastAsia="zh-CN"/>
        </w:rPr>
        <w:t>瑞郎</w:t>
      </w:r>
      <w:r w:rsidR="00D500AB">
        <w:rPr>
          <w:rFonts w:hint="eastAsia"/>
          <w:lang w:val="en-US" w:eastAsia="zh-CN"/>
        </w:rPr>
        <w:t>的</w:t>
      </w:r>
      <w:r>
        <w:rPr>
          <w:rFonts w:hint="eastAsia"/>
          <w:lang w:val="en-US" w:eastAsia="zh-CN"/>
        </w:rPr>
        <w:t>原因可归结于若干不同因素。</w:t>
      </w:r>
      <w:r w:rsidR="009A5613">
        <w:rPr>
          <w:rFonts w:hint="eastAsia"/>
          <w:lang w:val="en-US" w:eastAsia="zh-CN"/>
        </w:rPr>
        <w:t>影响</w:t>
      </w:r>
      <w:r w:rsidR="009A5613">
        <w:rPr>
          <w:rFonts w:hint="eastAsia"/>
          <w:lang w:val="en-US" w:eastAsia="zh-CN"/>
        </w:rPr>
        <w:t>A</w:t>
      </w:r>
      <w:r w:rsidR="009A5613">
        <w:rPr>
          <w:lang w:val="en-US" w:eastAsia="zh-CN"/>
        </w:rPr>
        <w:t>SHI</w:t>
      </w:r>
      <w:r w:rsidR="00046FA5">
        <w:rPr>
          <w:rFonts w:hint="eastAsia"/>
          <w:lang w:val="en-US" w:eastAsia="zh-CN"/>
        </w:rPr>
        <w:t>估值</w:t>
      </w:r>
      <w:r w:rsidR="009A5613">
        <w:rPr>
          <w:rFonts w:hint="eastAsia"/>
          <w:lang w:val="en-US" w:eastAsia="zh-CN"/>
        </w:rPr>
        <w:t>的主要</w:t>
      </w:r>
      <w:r w:rsidRPr="005C1196">
        <w:rPr>
          <w:rFonts w:hint="eastAsia"/>
          <w:lang w:val="en-US" w:eastAsia="zh-CN"/>
        </w:rPr>
        <w:t>因素是</w:t>
      </w:r>
      <w:r w:rsidRPr="005C1196">
        <w:rPr>
          <w:lang w:val="en-US" w:eastAsia="zh-CN"/>
        </w:rPr>
        <w:t>用于</w:t>
      </w:r>
      <w:r w:rsidRPr="005C1196">
        <w:rPr>
          <w:rFonts w:hint="eastAsia"/>
          <w:lang w:val="en-US" w:eastAsia="zh-CN"/>
        </w:rPr>
        <w:t>计算</w:t>
      </w:r>
      <w:r w:rsidRPr="005C1196">
        <w:rPr>
          <w:lang w:val="en-US" w:eastAsia="zh-CN"/>
        </w:rPr>
        <w:t>未来累计</w:t>
      </w:r>
      <w:r>
        <w:rPr>
          <w:rFonts w:hint="eastAsia"/>
          <w:lang w:val="en-US" w:eastAsia="zh-CN"/>
        </w:rPr>
        <w:t>索赔</w:t>
      </w:r>
      <w:r w:rsidRPr="005C1196">
        <w:rPr>
          <w:rFonts w:hint="eastAsia"/>
          <w:lang w:val="en-US" w:eastAsia="zh-CN"/>
        </w:rPr>
        <w:t>现</w:t>
      </w:r>
      <w:r w:rsidRPr="005C1196">
        <w:rPr>
          <w:lang w:val="en-US" w:eastAsia="zh-CN"/>
        </w:rPr>
        <w:t>值</w:t>
      </w:r>
      <w:r w:rsidRPr="005C1196">
        <w:rPr>
          <w:rFonts w:hint="eastAsia"/>
          <w:lang w:val="en-US" w:eastAsia="zh-CN"/>
        </w:rPr>
        <w:t>的</w:t>
      </w:r>
      <w:r w:rsidRPr="005C1196">
        <w:rPr>
          <w:lang w:val="en-US" w:eastAsia="zh-CN"/>
        </w:rPr>
        <w:t>贴现率</w:t>
      </w:r>
      <w:r w:rsidRPr="00096117">
        <w:rPr>
          <w:lang w:val="en-US" w:eastAsia="zh-CN"/>
        </w:rPr>
        <w:t>。</w:t>
      </w:r>
      <w:r w:rsidR="003B0231" w:rsidRPr="003B0231">
        <w:rPr>
          <w:lang w:eastAsia="zh-CN"/>
        </w:rPr>
        <w:t>2019</w:t>
      </w:r>
      <w:r w:rsidR="009A5613">
        <w:rPr>
          <w:rFonts w:hint="eastAsia"/>
          <w:lang w:eastAsia="zh-CN"/>
        </w:rPr>
        <w:t>年，贴现率从</w:t>
      </w:r>
      <w:r w:rsidR="009A5613">
        <w:rPr>
          <w:rFonts w:hint="eastAsia"/>
          <w:lang w:eastAsia="zh-CN"/>
        </w:rPr>
        <w:t>1</w:t>
      </w:r>
      <w:r w:rsidR="009A5613">
        <w:rPr>
          <w:lang w:eastAsia="zh-CN"/>
        </w:rPr>
        <w:t>.2</w:t>
      </w:r>
      <w:r w:rsidR="009A5613">
        <w:rPr>
          <w:rFonts w:hint="eastAsia"/>
          <w:lang w:eastAsia="zh-CN"/>
        </w:rPr>
        <w:t>%</w:t>
      </w:r>
      <w:r w:rsidR="009A5613">
        <w:rPr>
          <w:rFonts w:hint="eastAsia"/>
          <w:lang w:eastAsia="zh-CN"/>
        </w:rPr>
        <w:t>降至</w:t>
      </w:r>
      <w:r w:rsidR="009A5613">
        <w:rPr>
          <w:rFonts w:hint="eastAsia"/>
          <w:lang w:eastAsia="zh-CN"/>
        </w:rPr>
        <w:t>0</w:t>
      </w:r>
      <w:r w:rsidR="009A5613">
        <w:rPr>
          <w:lang w:eastAsia="zh-CN"/>
        </w:rPr>
        <w:t>.60</w:t>
      </w:r>
      <w:r w:rsidR="009A5613">
        <w:rPr>
          <w:rFonts w:hint="eastAsia"/>
          <w:lang w:eastAsia="zh-CN"/>
        </w:rPr>
        <w:t>%</w:t>
      </w:r>
      <w:r w:rsidR="009A5613">
        <w:rPr>
          <w:rFonts w:hint="eastAsia"/>
          <w:lang w:eastAsia="zh-CN"/>
        </w:rPr>
        <w:t>。</w:t>
      </w:r>
    </w:p>
    <w:p w14:paraId="1AFA5E28" w14:textId="202C1FA8" w:rsidR="00574DB1" w:rsidRPr="006A6E24" w:rsidRDefault="00574DB1" w:rsidP="00574DB1">
      <w:pPr>
        <w:rPr>
          <w:rFonts w:cs="Calibri"/>
          <w:lang w:eastAsia="zh-CN"/>
        </w:rPr>
      </w:pPr>
      <w:r w:rsidRPr="006A6E24">
        <w:rPr>
          <w:rFonts w:cs="Calibri"/>
          <w:lang w:eastAsia="zh-CN"/>
        </w:rPr>
        <w:t>1.5</w:t>
      </w:r>
      <w:r w:rsidRPr="006A6E24">
        <w:rPr>
          <w:rFonts w:cs="Calibri"/>
          <w:lang w:eastAsia="zh-CN"/>
        </w:rPr>
        <w:tab/>
      </w:r>
      <w:r w:rsidR="009A5613" w:rsidRPr="006A6E24">
        <w:rPr>
          <w:rFonts w:cs="Calibri"/>
          <w:lang w:eastAsia="zh-CN"/>
        </w:rPr>
        <w:t>尽管国际电联于</w:t>
      </w:r>
      <w:r w:rsidR="009A5613" w:rsidRPr="006A6E24">
        <w:rPr>
          <w:rFonts w:cs="Calibri"/>
          <w:lang w:eastAsia="zh-CN"/>
        </w:rPr>
        <w:t>2020</w:t>
      </w:r>
      <w:r w:rsidR="009A5613" w:rsidRPr="006A6E24">
        <w:rPr>
          <w:rFonts w:cs="Calibri"/>
          <w:lang w:eastAsia="zh-CN"/>
        </w:rPr>
        <w:t>年</w:t>
      </w:r>
      <w:r w:rsidR="009A5613" w:rsidRPr="006A6E24">
        <w:rPr>
          <w:rFonts w:cs="Calibri"/>
          <w:lang w:eastAsia="zh-CN"/>
        </w:rPr>
        <w:t>1</w:t>
      </w:r>
      <w:r w:rsidR="009A5613" w:rsidRPr="006A6E24">
        <w:rPr>
          <w:rFonts w:cs="Calibri"/>
          <w:lang w:eastAsia="zh-CN"/>
        </w:rPr>
        <w:t>月</w:t>
      </w:r>
      <w:r w:rsidR="009A5613" w:rsidRPr="006A6E24">
        <w:rPr>
          <w:rFonts w:cs="Calibri"/>
          <w:lang w:eastAsia="zh-CN"/>
        </w:rPr>
        <w:t>1</w:t>
      </w:r>
      <w:r w:rsidR="009A5613" w:rsidRPr="006A6E24">
        <w:rPr>
          <w:rFonts w:cs="Calibri"/>
          <w:lang w:eastAsia="zh-CN"/>
        </w:rPr>
        <w:t>日加入了</w:t>
      </w:r>
      <w:r w:rsidR="009A5613" w:rsidRPr="006A6E24">
        <w:rPr>
          <w:rFonts w:cs="Calibri"/>
          <w:color w:val="000000"/>
          <w:shd w:val="clear" w:color="auto" w:fill="FFFFFF"/>
          <w:lang w:eastAsia="zh-CN"/>
        </w:rPr>
        <w:t>联合国日内瓦办事处健康保险</w:t>
      </w:r>
      <w:r w:rsidR="009A5613" w:rsidRPr="006A6E24">
        <w:rPr>
          <w:rFonts w:cs="Calibri"/>
          <w:lang w:eastAsia="zh-CN"/>
        </w:rPr>
        <w:t>计划</w:t>
      </w:r>
      <w:r w:rsidR="009A5613" w:rsidRPr="006A6E24">
        <w:rPr>
          <w:rFonts w:cs="Calibri"/>
          <w:color w:val="000000"/>
          <w:shd w:val="clear" w:color="auto" w:fill="FFFFFF"/>
          <w:lang w:eastAsia="zh-CN"/>
        </w:rPr>
        <w:t>（</w:t>
      </w:r>
      <w:r w:rsidR="009A5613" w:rsidRPr="006A6E24">
        <w:rPr>
          <w:rFonts w:cs="Calibri"/>
          <w:color w:val="000000"/>
          <w:shd w:val="clear" w:color="auto" w:fill="FFFFFF"/>
          <w:lang w:eastAsia="zh-CN"/>
        </w:rPr>
        <w:t>UNSMIS</w:t>
      </w:r>
      <w:r w:rsidR="009A5613" w:rsidRPr="006A6E24">
        <w:rPr>
          <w:rFonts w:cs="Calibri"/>
          <w:color w:val="000000"/>
          <w:shd w:val="clear" w:color="auto" w:fill="FFFFFF"/>
          <w:lang w:eastAsia="zh-CN"/>
        </w:rPr>
        <w:t>）</w:t>
      </w:r>
      <w:r w:rsidR="009A5613" w:rsidRPr="006A6E24">
        <w:rPr>
          <w:rFonts w:cs="Calibri"/>
          <w:lang w:eastAsia="zh-CN"/>
        </w:rPr>
        <w:t>，但在</w:t>
      </w:r>
      <w:r w:rsidR="009A5613" w:rsidRPr="006A6E24">
        <w:rPr>
          <w:rFonts w:cs="Calibri"/>
          <w:lang w:eastAsia="zh-CN"/>
        </w:rPr>
        <w:t>2019</w:t>
      </w:r>
      <w:r w:rsidR="009A5613" w:rsidRPr="006A6E24">
        <w:rPr>
          <w:rFonts w:cs="Calibri"/>
          <w:lang w:eastAsia="zh-CN"/>
        </w:rPr>
        <w:t>年估值中考虑了这一参数。服务费用的重新估价导致准备金的增加。</w:t>
      </w:r>
    </w:p>
    <w:p w14:paraId="11FADC48" w14:textId="3B319687" w:rsidR="00574DB1" w:rsidRDefault="00574DB1" w:rsidP="00E22BEF">
      <w:pPr>
        <w:rPr>
          <w:lang w:val="en-US" w:eastAsia="zh-CN"/>
        </w:rPr>
      </w:pPr>
      <w:r>
        <w:rPr>
          <w:lang w:eastAsia="zh-CN"/>
        </w:rPr>
        <w:t>1.6</w:t>
      </w:r>
      <w:r>
        <w:rPr>
          <w:lang w:eastAsia="zh-CN"/>
        </w:rPr>
        <w:tab/>
      </w:r>
      <w:r w:rsidR="007C5C94" w:rsidRPr="007C5C94">
        <w:rPr>
          <w:lang w:eastAsia="zh-CN"/>
        </w:rPr>
        <w:t>2019</w:t>
      </w:r>
      <w:r w:rsidR="007C5C94" w:rsidRPr="007C5C94">
        <w:rPr>
          <w:lang w:eastAsia="zh-CN"/>
        </w:rPr>
        <w:t>年期间，国际电联仍是</w:t>
      </w:r>
      <w:r w:rsidR="007C5C94" w:rsidRPr="007C5C94">
        <w:rPr>
          <w:lang w:eastAsia="zh-CN"/>
        </w:rPr>
        <w:t>2014</w:t>
      </w:r>
      <w:proofErr w:type="gramStart"/>
      <w:r w:rsidR="007C5C94" w:rsidRPr="007C5C94">
        <w:rPr>
          <w:lang w:eastAsia="zh-CN"/>
        </w:rPr>
        <w:t>年实施的</w:t>
      </w:r>
      <w:r w:rsidR="007C5C94" w:rsidRPr="00F227A9">
        <w:rPr>
          <w:rFonts w:ascii="SimSun" w:hAnsi="SimSun" w:hint="eastAsia"/>
          <w:lang w:eastAsia="zh-CN"/>
        </w:rPr>
        <w:t>“</w:t>
      </w:r>
      <w:proofErr w:type="gramEnd"/>
      <w:r w:rsidR="007C5C94">
        <w:rPr>
          <w:lang w:eastAsia="zh-CN"/>
        </w:rPr>
        <w:t>国际电联集体医疗保险计划（</w:t>
      </w:r>
      <w:r w:rsidR="007C5C94">
        <w:rPr>
          <w:lang w:eastAsia="zh-CN"/>
        </w:rPr>
        <w:t>CMIP</w:t>
      </w:r>
      <w:r w:rsidR="007C5C94">
        <w:rPr>
          <w:lang w:eastAsia="zh-CN"/>
        </w:rPr>
        <w:t>）</w:t>
      </w:r>
      <w:r w:rsidR="007C5C94" w:rsidRPr="00F227A9">
        <w:rPr>
          <w:rFonts w:ascii="SimSun" w:hAnsi="SimSun"/>
          <w:lang w:eastAsia="zh-CN"/>
        </w:rPr>
        <w:t>”</w:t>
      </w:r>
      <w:r w:rsidR="007C5C94">
        <w:rPr>
          <w:rFonts w:hint="eastAsia"/>
          <w:lang w:eastAsia="zh-CN"/>
        </w:rPr>
        <w:t>职员健康保险</w:t>
      </w:r>
      <w:r w:rsidR="007C5C94">
        <w:rPr>
          <w:lang w:eastAsia="zh-CN"/>
        </w:rPr>
        <w:t>计划</w:t>
      </w:r>
      <w:r w:rsidR="007C5C94" w:rsidRPr="007C5C94">
        <w:rPr>
          <w:lang w:eastAsia="zh-CN"/>
        </w:rPr>
        <w:t>的一部分。该计划由国际电联管理，</w:t>
      </w:r>
      <w:r w:rsidR="007C5C94">
        <w:rPr>
          <w:rFonts w:hint="eastAsia"/>
          <w:lang w:eastAsia="zh-CN"/>
        </w:rPr>
        <w:t>基于</w:t>
      </w:r>
      <w:r w:rsidR="007C5C94" w:rsidRPr="007C5C94">
        <w:rPr>
          <w:lang w:eastAsia="zh-CN"/>
        </w:rPr>
        <w:t>与</w:t>
      </w:r>
      <w:r w:rsidR="007C5C94" w:rsidRPr="007C5C94">
        <w:rPr>
          <w:lang w:eastAsia="zh-CN"/>
        </w:rPr>
        <w:t>Cigna/Vanbreda</w:t>
      </w:r>
      <w:r w:rsidR="007C5C94" w:rsidRPr="007C5C94">
        <w:rPr>
          <w:lang w:eastAsia="zh-CN"/>
        </w:rPr>
        <w:t>国际公司</w:t>
      </w:r>
      <w:r w:rsidR="007C5C94">
        <w:rPr>
          <w:rFonts w:hint="eastAsia"/>
          <w:lang w:eastAsia="zh-CN"/>
        </w:rPr>
        <w:t>签订</w:t>
      </w:r>
      <w:r w:rsidR="007C5C94" w:rsidRPr="007C5C94">
        <w:rPr>
          <w:lang w:eastAsia="zh-CN"/>
        </w:rPr>
        <w:t>的合同，</w:t>
      </w:r>
      <w:r w:rsidR="007C5C94">
        <w:rPr>
          <w:rFonts w:hint="eastAsia"/>
          <w:lang w:eastAsia="zh-CN"/>
        </w:rPr>
        <w:t>Cigna</w:t>
      </w:r>
      <w:r w:rsidR="007C5C94">
        <w:rPr>
          <w:lang w:eastAsia="zh-CN"/>
        </w:rPr>
        <w:t>是</w:t>
      </w:r>
      <w:r w:rsidR="007C5C94">
        <w:rPr>
          <w:rFonts w:hint="eastAsia"/>
          <w:lang w:eastAsia="zh-CN"/>
        </w:rPr>
        <w:t>承保</w:t>
      </w:r>
      <w:r w:rsidR="007C5C94">
        <w:rPr>
          <w:lang w:eastAsia="zh-CN"/>
        </w:rPr>
        <w:t>方</w:t>
      </w:r>
      <w:r w:rsidR="007C5C94">
        <w:rPr>
          <w:rFonts w:hint="eastAsia"/>
          <w:lang w:eastAsia="zh-CN"/>
        </w:rPr>
        <w:t>，</w:t>
      </w:r>
      <w:r w:rsidR="007C5C94" w:rsidRPr="006E7601">
        <w:rPr>
          <w:lang w:eastAsia="zh-CN"/>
        </w:rPr>
        <w:t>Cigna/Vanbreda</w:t>
      </w:r>
      <w:r w:rsidR="007C5C94">
        <w:rPr>
          <w:rFonts w:hint="eastAsia"/>
          <w:lang w:eastAsia="zh-CN"/>
        </w:rPr>
        <w:t>负责理赔</w:t>
      </w:r>
      <w:r w:rsidR="007C5C94">
        <w:rPr>
          <w:lang w:eastAsia="zh-CN"/>
        </w:rPr>
        <w:t>工作</w:t>
      </w:r>
      <w:r w:rsidR="007C5C94" w:rsidRPr="007C5C94">
        <w:rPr>
          <w:lang w:eastAsia="zh-CN"/>
        </w:rPr>
        <w:t>。按照</w:t>
      </w:r>
      <w:r w:rsidR="007C5C94" w:rsidRPr="007C5C94">
        <w:rPr>
          <w:lang w:eastAsia="zh-CN"/>
        </w:rPr>
        <w:t>CMIP</w:t>
      </w:r>
      <w:r w:rsidR="007C5C94" w:rsidRPr="007C5C94">
        <w:rPr>
          <w:lang w:eastAsia="zh-CN"/>
        </w:rPr>
        <w:t>，这些缴费由国际电联收取，每年向</w:t>
      </w:r>
      <w:r w:rsidR="007C5C94" w:rsidRPr="007C5C94">
        <w:rPr>
          <w:lang w:eastAsia="zh-CN"/>
        </w:rPr>
        <w:t>Cigna/Vanbreda</w:t>
      </w:r>
      <w:r w:rsidR="007C5C94" w:rsidRPr="007C5C94">
        <w:rPr>
          <w:lang w:eastAsia="zh-CN"/>
        </w:rPr>
        <w:t>支付固定保险费。</w:t>
      </w:r>
    </w:p>
    <w:p w14:paraId="5FE17A87" w14:textId="77777777" w:rsidR="00574DB1" w:rsidRPr="00F66C7E" w:rsidRDefault="00574DB1" w:rsidP="00574DB1">
      <w:pPr>
        <w:rPr>
          <w:b/>
          <w:sz w:val="22"/>
          <w:highlight w:val="yellow"/>
          <w:lang w:eastAsia="zh-CN"/>
        </w:rPr>
      </w:pPr>
      <w:r>
        <w:rPr>
          <w:lang w:eastAsia="zh-CN"/>
        </w:rPr>
        <w:t>1.7</w:t>
      </w:r>
      <w:r>
        <w:rPr>
          <w:lang w:eastAsia="zh-CN"/>
        </w:rPr>
        <w:tab/>
      </w:r>
      <w:r>
        <w:rPr>
          <w:lang w:eastAsia="zh-CN"/>
        </w:rPr>
        <w:t>国际电联</w:t>
      </w:r>
      <w:r>
        <w:rPr>
          <w:rFonts w:hint="eastAsia"/>
          <w:lang w:eastAsia="zh-CN"/>
        </w:rPr>
        <w:t>承诺</w:t>
      </w:r>
      <w:r>
        <w:rPr>
          <w:lang w:eastAsia="zh-CN"/>
        </w:rPr>
        <w:t>继续长期为</w:t>
      </w:r>
      <w:r w:rsidRPr="006E7601">
        <w:rPr>
          <w:lang w:eastAsia="zh-CN"/>
        </w:rPr>
        <w:t>ASHI</w:t>
      </w:r>
      <w:r>
        <w:rPr>
          <w:rFonts w:hint="eastAsia"/>
          <w:lang w:eastAsia="zh-CN"/>
        </w:rPr>
        <w:t>承付款供</w:t>
      </w:r>
      <w:r>
        <w:rPr>
          <w:lang w:eastAsia="zh-CN"/>
        </w:rPr>
        <w:t>资，</w:t>
      </w:r>
      <w:r>
        <w:rPr>
          <w:rFonts w:hint="eastAsia"/>
          <w:lang w:eastAsia="zh-CN"/>
        </w:rPr>
        <w:t>与此</w:t>
      </w:r>
      <w:r>
        <w:rPr>
          <w:lang w:eastAsia="zh-CN"/>
        </w:rPr>
        <w:t>同时</w:t>
      </w:r>
      <w:r>
        <w:rPr>
          <w:rFonts w:hint="eastAsia"/>
          <w:lang w:eastAsia="zh-CN"/>
        </w:rPr>
        <w:t>在</w:t>
      </w:r>
      <w:r>
        <w:rPr>
          <w:lang w:eastAsia="zh-CN"/>
        </w:rPr>
        <w:t>健康保险计划</w:t>
      </w:r>
      <w:r>
        <w:rPr>
          <w:rFonts w:hint="eastAsia"/>
          <w:lang w:eastAsia="zh-CN"/>
        </w:rPr>
        <w:t>的</w:t>
      </w:r>
      <w:r>
        <w:rPr>
          <w:lang w:eastAsia="zh-CN"/>
        </w:rPr>
        <w:t>供资</w:t>
      </w:r>
      <w:r>
        <w:rPr>
          <w:rFonts w:hint="eastAsia"/>
          <w:lang w:eastAsia="zh-CN"/>
        </w:rPr>
        <w:t>方面努力实行现收现付制</w:t>
      </w:r>
      <w:r>
        <w:rPr>
          <w:lang w:eastAsia="zh-CN"/>
        </w:rPr>
        <w:t>。</w:t>
      </w:r>
      <w:r>
        <w:rPr>
          <w:rFonts w:hint="eastAsia"/>
          <w:lang w:eastAsia="zh-CN"/>
        </w:rPr>
        <w:t>值得注意的是</w:t>
      </w:r>
      <w:r>
        <w:rPr>
          <w:lang w:eastAsia="zh-CN"/>
        </w:rPr>
        <w:t>，在向理事会提交</w:t>
      </w:r>
      <w:r>
        <w:rPr>
          <w:rFonts w:hint="eastAsia"/>
          <w:lang w:eastAsia="zh-CN"/>
        </w:rPr>
        <w:t>的</w:t>
      </w:r>
      <w:r>
        <w:rPr>
          <w:lang w:eastAsia="zh-CN"/>
        </w:rPr>
        <w:t>双年度预算中</w:t>
      </w:r>
      <w:r>
        <w:rPr>
          <w:rFonts w:hint="eastAsia"/>
          <w:lang w:eastAsia="zh-CN"/>
        </w:rPr>
        <w:t>，</w:t>
      </w:r>
      <w:r>
        <w:rPr>
          <w:lang w:eastAsia="zh-CN"/>
        </w:rPr>
        <w:t>已</w:t>
      </w:r>
      <w:r>
        <w:rPr>
          <w:rFonts w:hint="eastAsia"/>
          <w:lang w:eastAsia="zh-CN"/>
        </w:rPr>
        <w:t>包括了</w:t>
      </w:r>
      <w:r>
        <w:rPr>
          <w:lang w:eastAsia="zh-CN"/>
        </w:rPr>
        <w:t>国际电联</w:t>
      </w:r>
      <w:r>
        <w:rPr>
          <w:rFonts w:hint="eastAsia"/>
          <w:lang w:eastAsia="zh-CN"/>
        </w:rPr>
        <w:t>为</w:t>
      </w:r>
      <w:r>
        <w:rPr>
          <w:lang w:eastAsia="zh-CN"/>
        </w:rPr>
        <w:t>在</w:t>
      </w:r>
      <w:r>
        <w:rPr>
          <w:rFonts w:hint="eastAsia"/>
          <w:lang w:eastAsia="zh-CN"/>
        </w:rPr>
        <w:t>职</w:t>
      </w:r>
      <w:r>
        <w:rPr>
          <w:lang w:eastAsia="zh-CN"/>
        </w:rPr>
        <w:t>员</w:t>
      </w:r>
      <w:r>
        <w:rPr>
          <w:rFonts w:hint="eastAsia"/>
          <w:lang w:eastAsia="zh-CN"/>
        </w:rPr>
        <w:t>工</w:t>
      </w:r>
      <w:r>
        <w:rPr>
          <w:lang w:eastAsia="zh-CN"/>
        </w:rPr>
        <w:t>和退休员</w:t>
      </w:r>
      <w:r>
        <w:rPr>
          <w:rFonts w:hint="eastAsia"/>
          <w:lang w:eastAsia="zh-CN"/>
        </w:rPr>
        <w:t>工向</w:t>
      </w:r>
      <w:r>
        <w:rPr>
          <w:lang w:eastAsia="zh-CN"/>
        </w:rPr>
        <w:t>健康保险</w:t>
      </w:r>
      <w:r>
        <w:rPr>
          <w:rFonts w:hint="eastAsia"/>
          <w:lang w:eastAsia="zh-CN"/>
        </w:rPr>
        <w:t>的</w:t>
      </w:r>
      <w:r>
        <w:rPr>
          <w:lang w:eastAsia="zh-CN"/>
        </w:rPr>
        <w:t>估算</w:t>
      </w:r>
      <w:r>
        <w:rPr>
          <w:rFonts w:hint="eastAsia"/>
          <w:lang w:eastAsia="zh-CN"/>
        </w:rPr>
        <w:t>缴费</w:t>
      </w:r>
      <w:r>
        <w:rPr>
          <w:lang w:eastAsia="zh-CN"/>
        </w:rPr>
        <w:t>。</w:t>
      </w:r>
    </w:p>
    <w:p w14:paraId="6826705C" w14:textId="045B18C4" w:rsidR="00574DB1" w:rsidRPr="00F83BD1" w:rsidRDefault="00574DB1" w:rsidP="00574DB1">
      <w:pPr>
        <w:pStyle w:val="Heading1"/>
        <w:rPr>
          <w:bCs/>
          <w:szCs w:val="24"/>
          <w:highlight w:val="green"/>
          <w:lang w:eastAsia="zh-CN"/>
        </w:rPr>
      </w:pPr>
      <w:r>
        <w:rPr>
          <w:bCs/>
          <w:szCs w:val="24"/>
          <w:lang w:eastAsia="zh-CN"/>
        </w:rPr>
        <w:t>2</w:t>
      </w:r>
      <w:r>
        <w:rPr>
          <w:bCs/>
          <w:szCs w:val="24"/>
          <w:lang w:eastAsia="zh-CN"/>
        </w:rPr>
        <w:tab/>
      </w:r>
      <w:r w:rsidRPr="000F6000">
        <w:rPr>
          <w:lang w:eastAsia="zh-CN"/>
        </w:rPr>
        <w:t>201</w:t>
      </w:r>
      <w:r w:rsidR="003B0231">
        <w:rPr>
          <w:rFonts w:hint="eastAsia"/>
          <w:lang w:eastAsia="zh-CN"/>
        </w:rPr>
        <w:t>9</w:t>
      </w:r>
      <w:r w:rsidRPr="000F6000">
        <w:rPr>
          <w:lang w:eastAsia="zh-CN"/>
        </w:rPr>
        <w:t>年</w:t>
      </w:r>
      <w:r w:rsidRPr="000F6000">
        <w:rPr>
          <w:lang w:eastAsia="zh-CN"/>
        </w:rPr>
        <w:t>ASHI</w:t>
      </w:r>
      <w:r>
        <w:rPr>
          <w:lang w:eastAsia="zh-CN"/>
        </w:rPr>
        <w:t>负债</w:t>
      </w:r>
      <w:r>
        <w:rPr>
          <w:rFonts w:hint="eastAsia"/>
          <w:lang w:eastAsia="zh-CN"/>
        </w:rPr>
        <w:t>情况</w:t>
      </w:r>
      <w:r>
        <w:rPr>
          <w:lang w:eastAsia="zh-CN"/>
        </w:rPr>
        <w:t>的</w:t>
      </w:r>
      <w:r>
        <w:rPr>
          <w:rFonts w:hint="eastAsia"/>
          <w:lang w:eastAsia="zh-CN"/>
        </w:rPr>
        <w:t>演进</w:t>
      </w:r>
      <w:r w:rsidRPr="000F6000">
        <w:rPr>
          <w:lang w:eastAsia="zh-CN"/>
        </w:rPr>
        <w:t>变化</w:t>
      </w:r>
    </w:p>
    <w:p w14:paraId="25B15D61" w14:textId="06FBEA00" w:rsidR="00574DB1" w:rsidRPr="00BF5C76" w:rsidRDefault="00574DB1" w:rsidP="007E3353">
      <w:pPr>
        <w:spacing w:after="240"/>
        <w:rPr>
          <w:b/>
          <w:sz w:val="22"/>
          <w:szCs w:val="24"/>
          <w:lang w:eastAsia="zh-CN"/>
        </w:rPr>
      </w:pPr>
      <w:r>
        <w:rPr>
          <w:szCs w:val="24"/>
          <w:lang w:eastAsia="zh-CN"/>
        </w:rPr>
        <w:t>2.1</w:t>
      </w:r>
      <w:r>
        <w:rPr>
          <w:szCs w:val="24"/>
          <w:lang w:eastAsia="zh-CN"/>
        </w:rPr>
        <w:tab/>
      </w:r>
      <w:r>
        <w:rPr>
          <w:lang w:eastAsia="zh-CN"/>
        </w:rPr>
        <w:t>由于在净资产中完整记录</w:t>
      </w:r>
      <w:r>
        <w:rPr>
          <w:rFonts w:hint="eastAsia"/>
          <w:lang w:eastAsia="zh-CN"/>
        </w:rPr>
        <w:t>精</w:t>
      </w:r>
      <w:r>
        <w:rPr>
          <w:lang w:eastAsia="zh-CN"/>
        </w:rPr>
        <w:t>算亏损，因此，自</w:t>
      </w:r>
      <w:r w:rsidRPr="006E7601">
        <w:rPr>
          <w:lang w:eastAsia="zh-CN"/>
        </w:rPr>
        <w:t>2010</w:t>
      </w:r>
      <w:r>
        <w:rPr>
          <w:lang w:eastAsia="zh-CN"/>
        </w:rPr>
        <w:t>年以来，</w:t>
      </w:r>
      <w:r w:rsidRPr="006E7601">
        <w:rPr>
          <w:lang w:eastAsia="zh-CN"/>
        </w:rPr>
        <w:t>ASHI</w:t>
      </w:r>
      <w:r>
        <w:rPr>
          <w:rFonts w:hint="eastAsia"/>
          <w:lang w:eastAsia="zh-CN"/>
        </w:rPr>
        <w:t>的净负资产不断增加</w:t>
      </w:r>
      <w:r>
        <w:rPr>
          <w:lang w:eastAsia="zh-CN"/>
        </w:rPr>
        <w:t>。</w:t>
      </w:r>
      <w:r>
        <w:rPr>
          <w:rFonts w:hint="eastAsia"/>
          <w:lang w:eastAsia="zh-CN"/>
        </w:rPr>
        <w:t>到</w:t>
      </w:r>
      <w:r>
        <w:rPr>
          <w:lang w:eastAsia="zh-CN"/>
        </w:rPr>
        <w:t>201</w:t>
      </w:r>
      <w:r w:rsidR="003B0231">
        <w:rPr>
          <w:rFonts w:hint="eastAsia"/>
          <w:lang w:eastAsia="zh-CN"/>
        </w:rPr>
        <w:t>9</w:t>
      </w:r>
      <w:r>
        <w:rPr>
          <w:lang w:eastAsia="zh-CN"/>
        </w:rPr>
        <w:t>年</w:t>
      </w:r>
      <w:r>
        <w:rPr>
          <w:rFonts w:hint="eastAsia"/>
          <w:lang w:eastAsia="zh-CN"/>
        </w:rPr>
        <w:t>底</w:t>
      </w:r>
      <w:r>
        <w:rPr>
          <w:lang w:eastAsia="zh-CN"/>
        </w:rPr>
        <w:t>，由于</w:t>
      </w:r>
      <w:r>
        <w:rPr>
          <w:rFonts w:hint="eastAsia"/>
          <w:lang w:eastAsia="zh-CN"/>
        </w:rPr>
        <w:t>假</w:t>
      </w:r>
      <w:r>
        <w:rPr>
          <w:lang w:eastAsia="zh-CN"/>
        </w:rPr>
        <w:t>设</w:t>
      </w:r>
      <w:r>
        <w:rPr>
          <w:rFonts w:hint="eastAsia"/>
          <w:lang w:eastAsia="zh-CN"/>
        </w:rPr>
        <w:t>出现</w:t>
      </w:r>
      <w:r>
        <w:rPr>
          <w:lang w:eastAsia="zh-CN"/>
        </w:rPr>
        <w:t>变化，</w:t>
      </w:r>
      <w:r>
        <w:rPr>
          <w:rFonts w:hint="eastAsia"/>
          <w:lang w:eastAsia="zh-CN"/>
        </w:rPr>
        <w:t>导致</w:t>
      </w:r>
      <w:r w:rsidRPr="006E7601">
        <w:rPr>
          <w:lang w:eastAsia="zh-CN"/>
        </w:rPr>
        <w:t>ASHI</w:t>
      </w:r>
      <w:r>
        <w:rPr>
          <w:lang w:eastAsia="zh-CN"/>
        </w:rPr>
        <w:t>负债</w:t>
      </w:r>
      <w:r w:rsidR="007C5C94">
        <w:rPr>
          <w:rFonts w:hint="eastAsia"/>
          <w:lang w:eastAsia="zh-CN"/>
        </w:rPr>
        <w:t>增加了</w:t>
      </w:r>
      <w:r w:rsidR="003B0231">
        <w:rPr>
          <w:rFonts w:hint="eastAsia"/>
          <w:lang w:eastAsia="zh-CN"/>
        </w:rPr>
        <w:t>5</w:t>
      </w:r>
      <w:r w:rsidR="003B0231">
        <w:rPr>
          <w:lang w:val="en-US" w:eastAsia="zh-CN"/>
        </w:rPr>
        <w:t> 965</w:t>
      </w:r>
      <w:r>
        <w:rPr>
          <w:rFonts w:hint="eastAsia"/>
          <w:lang w:eastAsia="zh-CN"/>
        </w:rPr>
        <w:t>万</w:t>
      </w:r>
      <w:r>
        <w:rPr>
          <w:lang w:val="en-US" w:eastAsia="zh-CN"/>
        </w:rPr>
        <w:t>瑞郎</w:t>
      </w:r>
      <w:r w:rsidRPr="00BD4B6C">
        <w:rPr>
          <w:rFonts w:hint="eastAsia"/>
          <w:lang w:val="en-US" w:eastAsia="zh-CN"/>
        </w:rPr>
        <w:t>。</w:t>
      </w:r>
    </w:p>
    <w:tbl>
      <w:tblPr>
        <w:tblW w:w="9541" w:type="dxa"/>
        <w:jc w:val="center"/>
        <w:tblLook w:val="04A0" w:firstRow="1" w:lastRow="0" w:firstColumn="1" w:lastColumn="0" w:noHBand="0" w:noVBand="1"/>
      </w:tblPr>
      <w:tblGrid>
        <w:gridCol w:w="5573"/>
        <w:gridCol w:w="1984"/>
        <w:gridCol w:w="1984"/>
      </w:tblGrid>
      <w:tr w:rsidR="00574DB1" w:rsidRPr="00BD4B6C" w14:paraId="0F4AD04A" w14:textId="77777777" w:rsidTr="00501FAD">
        <w:trPr>
          <w:trHeight w:val="528"/>
          <w:jc w:val="center"/>
        </w:trPr>
        <w:tc>
          <w:tcPr>
            <w:tcW w:w="5573" w:type="dxa"/>
            <w:tcBorders>
              <w:top w:val="single" w:sz="4" w:space="0" w:color="auto"/>
              <w:left w:val="single" w:sz="4" w:space="0" w:color="auto"/>
              <w:bottom w:val="single" w:sz="4" w:space="0" w:color="auto"/>
              <w:right w:val="nil"/>
            </w:tcBorders>
            <w:shd w:val="clear" w:color="auto" w:fill="auto"/>
            <w:vAlign w:val="center"/>
          </w:tcPr>
          <w:p w14:paraId="2058118E" w14:textId="5CF1589F" w:rsidR="00574DB1" w:rsidRPr="00BD4B6C" w:rsidRDefault="00574DB1" w:rsidP="007E3353">
            <w:pPr>
              <w:pStyle w:val="Tablehead"/>
              <w:spacing w:before="60" w:after="60"/>
              <w:jc w:val="left"/>
              <w:rPr>
                <w:szCs w:val="22"/>
                <w:lang w:eastAsia="zh-CN"/>
              </w:rPr>
            </w:pPr>
            <w:r w:rsidRPr="00BD4B6C">
              <w:rPr>
                <w:rFonts w:hint="eastAsia"/>
                <w:szCs w:val="22"/>
                <w:lang w:val="en-US" w:eastAsia="zh-CN"/>
              </w:rPr>
              <w:t>账务状况</w:t>
            </w:r>
            <w:r w:rsidRPr="00BD4B6C">
              <w:rPr>
                <w:szCs w:val="22"/>
                <w:lang w:val="en-US" w:eastAsia="zh-CN"/>
              </w:rPr>
              <w:t>报表中截至</w:t>
            </w:r>
            <w:r w:rsidR="00D3110D" w:rsidRPr="00BD4B6C">
              <w:rPr>
                <w:rFonts w:hint="eastAsia"/>
                <w:szCs w:val="22"/>
                <w:lang w:val="en-US" w:eastAsia="zh-CN"/>
              </w:rPr>
              <w:t>201</w:t>
            </w:r>
            <w:r w:rsidR="00D3110D">
              <w:rPr>
                <w:szCs w:val="22"/>
                <w:lang w:val="en-US" w:eastAsia="zh-CN"/>
              </w:rPr>
              <w:t>8</w:t>
            </w:r>
            <w:r w:rsidRPr="00BD4B6C">
              <w:rPr>
                <w:rFonts w:hint="eastAsia"/>
                <w:szCs w:val="22"/>
                <w:lang w:val="en-US" w:eastAsia="zh-CN"/>
              </w:rPr>
              <w:t>年</w:t>
            </w:r>
            <w:r w:rsidRPr="00BD4B6C">
              <w:rPr>
                <w:szCs w:val="22"/>
                <w:lang w:val="en-US" w:eastAsia="zh-CN"/>
              </w:rPr>
              <w:t>和</w:t>
            </w:r>
            <w:r w:rsidR="00D3110D" w:rsidRPr="00BD4B6C">
              <w:rPr>
                <w:rFonts w:hint="eastAsia"/>
                <w:szCs w:val="22"/>
                <w:lang w:val="en-US" w:eastAsia="zh-CN"/>
              </w:rPr>
              <w:t>201</w:t>
            </w:r>
            <w:r w:rsidR="00D3110D">
              <w:rPr>
                <w:szCs w:val="22"/>
                <w:lang w:val="en-US" w:eastAsia="zh-CN"/>
              </w:rPr>
              <w:t>9</w:t>
            </w:r>
            <w:r w:rsidRPr="00BD4B6C">
              <w:rPr>
                <w:rFonts w:hint="eastAsia"/>
                <w:szCs w:val="22"/>
                <w:lang w:val="en-US" w:eastAsia="zh-CN"/>
              </w:rPr>
              <w:t>年</w:t>
            </w:r>
            <w:r w:rsidRPr="00BD4B6C">
              <w:rPr>
                <w:rFonts w:hint="eastAsia"/>
                <w:szCs w:val="22"/>
                <w:lang w:val="en-US" w:eastAsia="zh-CN"/>
              </w:rPr>
              <w:t>12</w:t>
            </w:r>
            <w:r w:rsidRPr="00BD4B6C">
              <w:rPr>
                <w:rFonts w:hint="eastAsia"/>
                <w:szCs w:val="22"/>
                <w:lang w:val="en-US" w:eastAsia="zh-CN"/>
              </w:rPr>
              <w:t>月</w:t>
            </w:r>
            <w:r w:rsidRPr="00BD4B6C">
              <w:rPr>
                <w:rFonts w:hint="eastAsia"/>
                <w:szCs w:val="22"/>
                <w:lang w:val="en-US" w:eastAsia="zh-CN"/>
              </w:rPr>
              <w:t>31</w:t>
            </w:r>
            <w:r w:rsidRPr="00BD4B6C">
              <w:rPr>
                <w:rFonts w:hint="eastAsia"/>
                <w:szCs w:val="22"/>
                <w:lang w:val="en-US" w:eastAsia="zh-CN"/>
              </w:rPr>
              <w:t>日</w:t>
            </w:r>
            <w:r w:rsidRPr="00BD4B6C">
              <w:rPr>
                <w:szCs w:val="22"/>
                <w:lang w:val="en-US" w:eastAsia="zh-CN"/>
              </w:rPr>
              <w:t>的离职后健康保险计划的</w:t>
            </w:r>
            <w:proofErr w:type="gramStart"/>
            <w:r w:rsidRPr="00BD4B6C">
              <w:rPr>
                <w:rFonts w:hint="eastAsia"/>
                <w:szCs w:val="22"/>
                <w:lang w:val="en-US" w:eastAsia="zh-CN"/>
              </w:rPr>
              <w:t>承</w:t>
            </w:r>
            <w:r w:rsidRPr="00BD4B6C">
              <w:rPr>
                <w:szCs w:val="22"/>
                <w:lang w:val="en-US" w:eastAsia="zh-CN"/>
              </w:rPr>
              <w:t>付款</w:t>
            </w:r>
            <w:proofErr w:type="gramEnd"/>
            <w:r w:rsidRPr="00BD4B6C">
              <w:rPr>
                <w:szCs w:val="22"/>
                <w:lang w:val="en-US" w:eastAsia="zh-CN"/>
              </w:rPr>
              <w:t>金额</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63AB7" w14:textId="3C524BD0" w:rsidR="00574DB1" w:rsidRPr="00BD4B6C" w:rsidRDefault="00574DB1" w:rsidP="007E3353">
            <w:pPr>
              <w:pStyle w:val="Tablehead"/>
              <w:spacing w:before="60" w:after="60"/>
              <w:rPr>
                <w:szCs w:val="22"/>
                <w:lang w:eastAsia="zh-CN"/>
              </w:rPr>
            </w:pPr>
            <w:r w:rsidRPr="00BD4B6C">
              <w:rPr>
                <w:rFonts w:asciiTheme="minorHAnsi" w:eastAsia="STKaiti" w:hAnsiTheme="minorHAnsi"/>
                <w:szCs w:val="22"/>
                <w:lang w:eastAsia="zh-CN"/>
              </w:rPr>
              <w:t>单位：</w:t>
            </w:r>
            <w:proofErr w:type="gramStart"/>
            <w:r w:rsidRPr="00BD4B6C">
              <w:rPr>
                <w:rFonts w:asciiTheme="minorHAnsi" w:eastAsia="STKaiti" w:hAnsiTheme="minorHAnsi"/>
                <w:szCs w:val="22"/>
                <w:lang w:eastAsia="zh-CN"/>
              </w:rPr>
              <w:t>千瑞郎</w:t>
            </w:r>
            <w:proofErr w:type="gramEnd"/>
            <w:r w:rsidRPr="00BD4B6C">
              <w:rPr>
                <w:rFonts w:asciiTheme="minorHAnsi" w:eastAsia="STKaiti" w:hAnsiTheme="minorHAnsi"/>
                <w:szCs w:val="22"/>
                <w:lang w:eastAsia="zh-CN"/>
              </w:rPr>
              <w:br/>
            </w:r>
            <w:r w:rsidR="00D3110D" w:rsidRPr="00BD4B6C">
              <w:rPr>
                <w:szCs w:val="22"/>
                <w:lang w:eastAsia="zh-CN"/>
              </w:rPr>
              <w:t>201</w:t>
            </w:r>
            <w:r w:rsidR="00D3110D">
              <w:rPr>
                <w:szCs w:val="22"/>
                <w:lang w:eastAsia="zh-CN"/>
              </w:rPr>
              <w:t>9</w:t>
            </w:r>
            <w:r w:rsidRPr="00BD4B6C">
              <w:rPr>
                <w:rFonts w:hint="eastAsia"/>
                <w:szCs w:val="22"/>
                <w:lang w:eastAsia="zh-CN"/>
              </w:rPr>
              <w:t>年</w:t>
            </w:r>
            <w:r w:rsidRPr="00BD4B6C">
              <w:rPr>
                <w:rFonts w:hint="eastAsia"/>
                <w:szCs w:val="22"/>
                <w:lang w:eastAsia="zh-CN"/>
              </w:rPr>
              <w:t>12</w:t>
            </w:r>
            <w:r w:rsidRPr="00BD4B6C">
              <w:rPr>
                <w:rFonts w:hint="eastAsia"/>
                <w:szCs w:val="22"/>
                <w:lang w:eastAsia="zh-CN"/>
              </w:rPr>
              <w:t>月</w:t>
            </w:r>
            <w:r w:rsidRPr="00BD4B6C">
              <w:rPr>
                <w:rFonts w:hint="eastAsia"/>
                <w:szCs w:val="22"/>
                <w:lang w:eastAsia="zh-CN"/>
              </w:rPr>
              <w:t>31</w:t>
            </w:r>
            <w:r w:rsidRPr="00BD4B6C">
              <w:rPr>
                <w:rFonts w:hint="eastAsia"/>
                <w:szCs w:val="22"/>
                <w:lang w:eastAsia="zh-CN"/>
              </w:rPr>
              <w:t>日</w:t>
            </w:r>
          </w:p>
        </w:tc>
        <w:tc>
          <w:tcPr>
            <w:tcW w:w="1984" w:type="dxa"/>
            <w:tcBorders>
              <w:top w:val="single" w:sz="4" w:space="0" w:color="auto"/>
              <w:left w:val="single" w:sz="4" w:space="0" w:color="auto"/>
              <w:bottom w:val="single" w:sz="4" w:space="0" w:color="auto"/>
              <w:right w:val="single" w:sz="4" w:space="0" w:color="auto"/>
            </w:tcBorders>
            <w:vAlign w:val="center"/>
          </w:tcPr>
          <w:p w14:paraId="1D277F49" w14:textId="128F7ABA" w:rsidR="00574DB1" w:rsidRPr="00BD4B6C" w:rsidRDefault="00574DB1" w:rsidP="007E3353">
            <w:pPr>
              <w:pStyle w:val="Tablehead"/>
              <w:spacing w:before="60" w:after="60"/>
              <w:rPr>
                <w:szCs w:val="22"/>
                <w:lang w:eastAsia="zh-CN"/>
              </w:rPr>
            </w:pPr>
            <w:r w:rsidRPr="00BD4B6C">
              <w:rPr>
                <w:rFonts w:asciiTheme="minorHAnsi" w:eastAsia="STKaiti" w:hAnsiTheme="minorHAnsi"/>
                <w:szCs w:val="22"/>
                <w:lang w:eastAsia="zh-CN"/>
              </w:rPr>
              <w:t>单位：</w:t>
            </w:r>
            <w:proofErr w:type="gramStart"/>
            <w:r w:rsidRPr="00BD4B6C">
              <w:rPr>
                <w:rFonts w:asciiTheme="minorHAnsi" w:eastAsia="STKaiti" w:hAnsiTheme="minorHAnsi"/>
                <w:szCs w:val="22"/>
                <w:lang w:eastAsia="zh-CN"/>
              </w:rPr>
              <w:t>千瑞郎</w:t>
            </w:r>
            <w:proofErr w:type="gramEnd"/>
            <w:r w:rsidRPr="00BD4B6C">
              <w:rPr>
                <w:rFonts w:asciiTheme="minorHAnsi" w:eastAsia="STKaiti" w:hAnsiTheme="minorHAnsi"/>
                <w:szCs w:val="22"/>
                <w:lang w:eastAsia="zh-CN"/>
              </w:rPr>
              <w:br/>
            </w:r>
            <w:r w:rsidR="00D3110D" w:rsidRPr="00BD4B6C">
              <w:rPr>
                <w:szCs w:val="22"/>
                <w:lang w:eastAsia="zh-CN"/>
              </w:rPr>
              <w:t>201</w:t>
            </w:r>
            <w:r w:rsidR="00D3110D">
              <w:rPr>
                <w:szCs w:val="22"/>
                <w:lang w:eastAsia="zh-CN"/>
              </w:rPr>
              <w:t>8</w:t>
            </w:r>
            <w:r w:rsidRPr="00BD4B6C">
              <w:rPr>
                <w:rFonts w:hint="eastAsia"/>
                <w:szCs w:val="22"/>
                <w:lang w:eastAsia="zh-CN"/>
              </w:rPr>
              <w:t>年</w:t>
            </w:r>
            <w:r w:rsidRPr="00BD4B6C">
              <w:rPr>
                <w:rFonts w:hint="eastAsia"/>
                <w:szCs w:val="22"/>
                <w:lang w:eastAsia="zh-CN"/>
              </w:rPr>
              <w:t>12</w:t>
            </w:r>
            <w:r w:rsidRPr="00BD4B6C">
              <w:rPr>
                <w:rFonts w:hint="eastAsia"/>
                <w:szCs w:val="22"/>
                <w:lang w:eastAsia="zh-CN"/>
              </w:rPr>
              <w:t>月</w:t>
            </w:r>
            <w:r w:rsidRPr="00BD4B6C">
              <w:rPr>
                <w:rFonts w:hint="eastAsia"/>
                <w:szCs w:val="22"/>
                <w:lang w:eastAsia="zh-CN"/>
              </w:rPr>
              <w:t>31</w:t>
            </w:r>
            <w:r w:rsidRPr="00BD4B6C">
              <w:rPr>
                <w:rFonts w:hint="eastAsia"/>
                <w:szCs w:val="22"/>
                <w:lang w:eastAsia="zh-CN"/>
              </w:rPr>
              <w:t>日</w:t>
            </w:r>
          </w:p>
        </w:tc>
      </w:tr>
      <w:tr w:rsidR="00D3110D" w:rsidRPr="00D305A9" w14:paraId="2FB9AFA3" w14:textId="77777777" w:rsidTr="00501FAD">
        <w:trPr>
          <w:trHeight w:val="264"/>
          <w:jc w:val="center"/>
        </w:trPr>
        <w:tc>
          <w:tcPr>
            <w:tcW w:w="5573" w:type="dxa"/>
            <w:tcBorders>
              <w:top w:val="single" w:sz="4" w:space="0" w:color="auto"/>
              <w:left w:val="single" w:sz="4" w:space="0" w:color="auto"/>
              <w:bottom w:val="nil"/>
              <w:right w:val="single" w:sz="4" w:space="0" w:color="auto"/>
            </w:tcBorders>
            <w:shd w:val="clear" w:color="auto" w:fill="auto"/>
            <w:hideMark/>
          </w:tcPr>
          <w:p w14:paraId="44256646" w14:textId="2563EE90" w:rsidR="00D3110D" w:rsidRPr="00D305A9" w:rsidRDefault="00D3110D" w:rsidP="00D3110D">
            <w:pPr>
              <w:widowControl w:val="0"/>
              <w:kinsoku w:val="0"/>
              <w:spacing w:before="60" w:after="60"/>
              <w:rPr>
                <w:sz w:val="22"/>
                <w:szCs w:val="22"/>
              </w:rPr>
            </w:pPr>
            <w:r w:rsidRPr="00D305A9">
              <w:rPr>
                <w:rFonts w:hint="eastAsia"/>
                <w:sz w:val="22"/>
                <w:szCs w:val="22"/>
                <w:lang w:eastAsia="zh-CN"/>
              </w:rPr>
              <w:t>截至</w:t>
            </w:r>
            <w:r w:rsidRPr="00D3110D">
              <w:rPr>
                <w:sz w:val="22"/>
                <w:szCs w:val="22"/>
              </w:rPr>
              <w:t>2019-2018</w:t>
            </w:r>
            <w:r w:rsidRPr="00D305A9">
              <w:rPr>
                <w:rFonts w:hint="eastAsia"/>
                <w:sz w:val="22"/>
                <w:szCs w:val="22"/>
                <w:lang w:eastAsia="zh-CN"/>
              </w:rPr>
              <w:t>年</w:t>
            </w:r>
            <w:r w:rsidRPr="00D305A9">
              <w:rPr>
                <w:rFonts w:hint="eastAsia"/>
                <w:sz w:val="22"/>
                <w:szCs w:val="22"/>
                <w:lang w:eastAsia="zh-CN"/>
              </w:rPr>
              <w:t>12</w:t>
            </w:r>
            <w:r w:rsidRPr="00D305A9">
              <w:rPr>
                <w:rFonts w:hint="eastAsia"/>
                <w:sz w:val="22"/>
                <w:szCs w:val="22"/>
                <w:lang w:eastAsia="zh-CN"/>
              </w:rPr>
              <w:t>月</w:t>
            </w:r>
            <w:r w:rsidRPr="00D305A9">
              <w:rPr>
                <w:rFonts w:hint="eastAsia"/>
                <w:sz w:val="22"/>
                <w:szCs w:val="22"/>
                <w:lang w:eastAsia="zh-CN"/>
              </w:rPr>
              <w:t>31</w:t>
            </w:r>
            <w:r w:rsidRPr="00D305A9">
              <w:rPr>
                <w:rFonts w:hint="eastAsia"/>
                <w:sz w:val="22"/>
                <w:szCs w:val="22"/>
                <w:lang w:eastAsia="zh-CN"/>
              </w:rPr>
              <w:t>日</w:t>
            </w:r>
            <w:r w:rsidRPr="00D305A9">
              <w:rPr>
                <w:sz w:val="22"/>
                <w:szCs w:val="22"/>
                <w:lang w:eastAsia="zh-CN"/>
              </w:rPr>
              <w:t>的</w:t>
            </w:r>
            <w:r w:rsidRPr="00D305A9">
              <w:rPr>
                <w:rFonts w:hint="eastAsia"/>
                <w:sz w:val="22"/>
                <w:szCs w:val="22"/>
                <w:lang w:eastAsia="zh-CN"/>
              </w:rPr>
              <w:t>余额</w:t>
            </w:r>
          </w:p>
        </w:tc>
        <w:tc>
          <w:tcPr>
            <w:tcW w:w="1984" w:type="dxa"/>
            <w:tcBorders>
              <w:top w:val="single" w:sz="4" w:space="0" w:color="auto"/>
              <w:left w:val="single" w:sz="4" w:space="0" w:color="auto"/>
              <w:bottom w:val="nil"/>
              <w:right w:val="single" w:sz="4" w:space="0" w:color="auto"/>
            </w:tcBorders>
            <w:shd w:val="clear" w:color="auto" w:fill="auto"/>
          </w:tcPr>
          <w:p w14:paraId="69D15887" w14:textId="7BEF023B" w:rsidR="00D3110D" w:rsidRPr="00C7530D" w:rsidRDefault="00D3110D" w:rsidP="00D3110D">
            <w:pPr>
              <w:pStyle w:val="Tabletext"/>
              <w:spacing w:before="60" w:after="60"/>
              <w:jc w:val="right"/>
            </w:pPr>
            <w:r w:rsidRPr="00EB3703">
              <w:rPr>
                <w:szCs w:val="22"/>
              </w:rPr>
              <w:t>552,240</w:t>
            </w:r>
          </w:p>
        </w:tc>
        <w:tc>
          <w:tcPr>
            <w:tcW w:w="1984" w:type="dxa"/>
            <w:tcBorders>
              <w:top w:val="single" w:sz="4" w:space="0" w:color="auto"/>
              <w:left w:val="single" w:sz="4" w:space="0" w:color="auto"/>
              <w:bottom w:val="nil"/>
              <w:right w:val="single" w:sz="4" w:space="0" w:color="auto"/>
            </w:tcBorders>
          </w:tcPr>
          <w:p w14:paraId="1F3E2FBA" w14:textId="7C21E0E9" w:rsidR="00D3110D" w:rsidRPr="00143256" w:rsidRDefault="00D3110D" w:rsidP="00D3110D">
            <w:pPr>
              <w:pStyle w:val="Tabletext"/>
              <w:spacing w:before="60" w:after="60"/>
              <w:jc w:val="right"/>
            </w:pPr>
            <w:r w:rsidRPr="00EB3703">
              <w:t>617,250</w:t>
            </w:r>
          </w:p>
        </w:tc>
      </w:tr>
      <w:tr w:rsidR="00D3110D" w:rsidRPr="00D305A9" w14:paraId="009F6D3B" w14:textId="77777777" w:rsidTr="00501FAD">
        <w:trPr>
          <w:trHeight w:val="336"/>
          <w:jc w:val="center"/>
        </w:trPr>
        <w:tc>
          <w:tcPr>
            <w:tcW w:w="5573" w:type="dxa"/>
            <w:tcBorders>
              <w:top w:val="nil"/>
              <w:left w:val="single" w:sz="4" w:space="0" w:color="auto"/>
              <w:bottom w:val="nil"/>
              <w:right w:val="single" w:sz="4" w:space="0" w:color="auto"/>
            </w:tcBorders>
            <w:shd w:val="clear" w:color="auto" w:fill="auto"/>
            <w:hideMark/>
          </w:tcPr>
          <w:p w14:paraId="0193DB7B" w14:textId="77777777" w:rsidR="00D3110D" w:rsidRPr="00D305A9" w:rsidRDefault="00D3110D" w:rsidP="00D3110D">
            <w:pPr>
              <w:pStyle w:val="Tabletext"/>
              <w:spacing w:before="60" w:after="60"/>
              <w:rPr>
                <w:b/>
                <w:szCs w:val="22"/>
                <w:lang w:eastAsia="zh-CN"/>
              </w:rPr>
            </w:pPr>
            <w:r w:rsidRPr="00D305A9">
              <w:rPr>
                <w:rFonts w:hint="eastAsia"/>
                <w:szCs w:val="22"/>
                <w:lang w:eastAsia="zh-CN"/>
              </w:rPr>
              <w:t>账务</w:t>
            </w:r>
            <w:r w:rsidRPr="00D305A9">
              <w:rPr>
                <w:szCs w:val="22"/>
                <w:lang w:eastAsia="zh-CN"/>
              </w:rPr>
              <w:t>业绩报表中确认的</w:t>
            </w:r>
            <w:r w:rsidRPr="00D305A9">
              <w:rPr>
                <w:rFonts w:hint="eastAsia"/>
                <w:szCs w:val="22"/>
                <w:lang w:eastAsia="zh-CN"/>
              </w:rPr>
              <w:t>支出</w:t>
            </w:r>
            <w:r w:rsidRPr="00D305A9">
              <w:rPr>
                <w:szCs w:val="22"/>
                <w:lang w:eastAsia="zh-CN"/>
              </w:rPr>
              <w:t>合计</w:t>
            </w:r>
          </w:p>
        </w:tc>
        <w:tc>
          <w:tcPr>
            <w:tcW w:w="1984" w:type="dxa"/>
            <w:tcBorders>
              <w:top w:val="nil"/>
              <w:left w:val="single" w:sz="4" w:space="0" w:color="auto"/>
              <w:bottom w:val="nil"/>
              <w:right w:val="single" w:sz="4" w:space="0" w:color="auto"/>
            </w:tcBorders>
            <w:shd w:val="clear" w:color="auto" w:fill="auto"/>
          </w:tcPr>
          <w:p w14:paraId="2057BA4E" w14:textId="33A815C5" w:rsidR="00D3110D" w:rsidRPr="00C7530D" w:rsidRDefault="00D3110D" w:rsidP="00D3110D">
            <w:pPr>
              <w:pStyle w:val="Tabletext"/>
              <w:spacing w:before="60" w:after="60"/>
              <w:jc w:val="right"/>
            </w:pPr>
            <w:r w:rsidRPr="00EB3703">
              <w:rPr>
                <w:szCs w:val="22"/>
              </w:rPr>
              <w:t>78,357</w:t>
            </w:r>
          </w:p>
        </w:tc>
        <w:tc>
          <w:tcPr>
            <w:tcW w:w="1984" w:type="dxa"/>
            <w:tcBorders>
              <w:top w:val="nil"/>
              <w:left w:val="single" w:sz="4" w:space="0" w:color="auto"/>
              <w:bottom w:val="nil"/>
              <w:right w:val="single" w:sz="4" w:space="0" w:color="auto"/>
            </w:tcBorders>
          </w:tcPr>
          <w:p w14:paraId="6092F3CA" w14:textId="4230769A" w:rsidR="00D3110D" w:rsidRPr="00143256" w:rsidRDefault="00D3110D" w:rsidP="00D3110D">
            <w:pPr>
              <w:pStyle w:val="Tabletext"/>
              <w:spacing w:before="60" w:after="60"/>
              <w:jc w:val="right"/>
            </w:pPr>
            <w:r w:rsidRPr="00EB3703">
              <w:t>28,548</w:t>
            </w:r>
          </w:p>
        </w:tc>
      </w:tr>
      <w:tr w:rsidR="00D3110D" w:rsidRPr="00D305A9" w14:paraId="2F5A0F4B" w14:textId="77777777" w:rsidTr="00501FAD">
        <w:trPr>
          <w:trHeight w:val="264"/>
          <w:jc w:val="center"/>
        </w:trPr>
        <w:tc>
          <w:tcPr>
            <w:tcW w:w="5573" w:type="dxa"/>
            <w:tcBorders>
              <w:top w:val="nil"/>
              <w:left w:val="single" w:sz="4" w:space="0" w:color="auto"/>
              <w:bottom w:val="nil"/>
              <w:right w:val="single" w:sz="4" w:space="0" w:color="auto"/>
            </w:tcBorders>
            <w:shd w:val="clear" w:color="auto" w:fill="auto"/>
            <w:hideMark/>
          </w:tcPr>
          <w:p w14:paraId="7F2E2E52" w14:textId="77777777" w:rsidR="00D3110D" w:rsidRPr="00D305A9" w:rsidRDefault="00D3110D" w:rsidP="00D3110D">
            <w:pPr>
              <w:pStyle w:val="Tabletext"/>
              <w:spacing w:before="60" w:after="60"/>
              <w:rPr>
                <w:b/>
                <w:szCs w:val="22"/>
                <w:lang w:eastAsia="zh-CN"/>
              </w:rPr>
            </w:pPr>
            <w:r w:rsidRPr="00D305A9">
              <w:rPr>
                <w:szCs w:val="22"/>
                <w:lang w:eastAsia="zh-CN"/>
              </w:rPr>
              <w:t>净资产</w:t>
            </w:r>
            <w:r w:rsidRPr="00D305A9">
              <w:rPr>
                <w:rFonts w:hint="eastAsia"/>
                <w:szCs w:val="22"/>
                <w:lang w:eastAsia="zh-CN"/>
              </w:rPr>
              <w:t>中确认</w:t>
            </w:r>
            <w:r w:rsidRPr="00D305A9">
              <w:rPr>
                <w:szCs w:val="22"/>
                <w:lang w:eastAsia="zh-CN"/>
              </w:rPr>
              <w:t>的精算损失</w:t>
            </w:r>
          </w:p>
        </w:tc>
        <w:tc>
          <w:tcPr>
            <w:tcW w:w="1984" w:type="dxa"/>
            <w:tcBorders>
              <w:top w:val="nil"/>
              <w:left w:val="single" w:sz="4" w:space="0" w:color="auto"/>
              <w:bottom w:val="nil"/>
              <w:right w:val="single" w:sz="4" w:space="0" w:color="auto"/>
            </w:tcBorders>
            <w:shd w:val="clear" w:color="auto" w:fill="auto"/>
          </w:tcPr>
          <w:p w14:paraId="29B40158" w14:textId="5842B7DA" w:rsidR="00D3110D" w:rsidRPr="00C7530D" w:rsidRDefault="00D3110D" w:rsidP="00D3110D">
            <w:pPr>
              <w:pStyle w:val="Tabletext"/>
              <w:spacing w:before="60" w:after="60"/>
              <w:jc w:val="right"/>
            </w:pPr>
            <w:r w:rsidRPr="00EB3703">
              <w:t>-</w:t>
            </w:r>
            <w:r w:rsidRPr="00EB3703">
              <w:rPr>
                <w:szCs w:val="22"/>
              </w:rPr>
              <w:t>12,038</w:t>
            </w:r>
          </w:p>
        </w:tc>
        <w:tc>
          <w:tcPr>
            <w:tcW w:w="1984" w:type="dxa"/>
            <w:tcBorders>
              <w:top w:val="nil"/>
              <w:left w:val="single" w:sz="4" w:space="0" w:color="auto"/>
              <w:bottom w:val="nil"/>
              <w:right w:val="single" w:sz="4" w:space="0" w:color="auto"/>
            </w:tcBorders>
          </w:tcPr>
          <w:p w14:paraId="79A44E3A" w14:textId="340FE897" w:rsidR="00D3110D" w:rsidRPr="00143256" w:rsidRDefault="00D3110D" w:rsidP="00D3110D">
            <w:pPr>
              <w:pStyle w:val="Tabletext"/>
              <w:spacing w:before="60" w:after="60"/>
              <w:jc w:val="right"/>
            </w:pPr>
            <w:r w:rsidRPr="00EB3703">
              <w:rPr>
                <w:szCs w:val="22"/>
              </w:rPr>
              <w:t>-87,277</w:t>
            </w:r>
          </w:p>
        </w:tc>
      </w:tr>
      <w:tr w:rsidR="00D3110D" w:rsidRPr="00D305A9" w14:paraId="69540DBB" w14:textId="77777777" w:rsidTr="00501FAD">
        <w:trPr>
          <w:trHeight w:val="264"/>
          <w:jc w:val="center"/>
        </w:trPr>
        <w:tc>
          <w:tcPr>
            <w:tcW w:w="5573" w:type="dxa"/>
            <w:tcBorders>
              <w:top w:val="nil"/>
              <w:left w:val="single" w:sz="4" w:space="0" w:color="auto"/>
              <w:bottom w:val="nil"/>
              <w:right w:val="single" w:sz="4" w:space="0" w:color="auto"/>
            </w:tcBorders>
            <w:shd w:val="clear" w:color="auto" w:fill="auto"/>
            <w:vAlign w:val="bottom"/>
            <w:hideMark/>
          </w:tcPr>
          <w:p w14:paraId="2D096C6A" w14:textId="77777777" w:rsidR="00D3110D" w:rsidRPr="00D305A9" w:rsidRDefault="00D3110D" w:rsidP="00D3110D">
            <w:pPr>
              <w:pStyle w:val="Tabletext"/>
              <w:spacing w:before="60" w:after="60"/>
              <w:rPr>
                <w:b/>
                <w:szCs w:val="22"/>
                <w:lang w:eastAsia="zh-CN"/>
              </w:rPr>
            </w:pPr>
            <w:r w:rsidRPr="00D305A9">
              <w:rPr>
                <w:rFonts w:hint="eastAsia"/>
                <w:szCs w:val="22"/>
                <w:lang w:eastAsia="zh-CN"/>
              </w:rPr>
              <w:t>该</w:t>
            </w:r>
            <w:r w:rsidRPr="00D305A9">
              <w:rPr>
                <w:szCs w:val="22"/>
                <w:lang w:eastAsia="zh-CN"/>
              </w:rPr>
              <w:t>期的缴款</w:t>
            </w:r>
          </w:p>
        </w:tc>
        <w:tc>
          <w:tcPr>
            <w:tcW w:w="1984" w:type="dxa"/>
            <w:tcBorders>
              <w:top w:val="nil"/>
              <w:left w:val="single" w:sz="4" w:space="0" w:color="auto"/>
              <w:bottom w:val="nil"/>
              <w:right w:val="single" w:sz="4" w:space="0" w:color="auto"/>
            </w:tcBorders>
            <w:shd w:val="clear" w:color="auto" w:fill="auto"/>
          </w:tcPr>
          <w:p w14:paraId="5D90F2E0" w14:textId="615AC4A4" w:rsidR="00D3110D" w:rsidRPr="00C7530D" w:rsidRDefault="00D3110D" w:rsidP="00D3110D">
            <w:pPr>
              <w:pStyle w:val="Tabletext"/>
              <w:spacing w:before="60" w:after="60"/>
              <w:jc w:val="right"/>
            </w:pPr>
            <w:r w:rsidRPr="00EB3703">
              <w:t>-6,</w:t>
            </w:r>
            <w:r w:rsidRPr="00EB3703">
              <w:rPr>
                <w:szCs w:val="22"/>
              </w:rPr>
              <w:t>663</w:t>
            </w:r>
          </w:p>
        </w:tc>
        <w:tc>
          <w:tcPr>
            <w:tcW w:w="1984" w:type="dxa"/>
            <w:tcBorders>
              <w:top w:val="nil"/>
              <w:left w:val="single" w:sz="4" w:space="0" w:color="auto"/>
              <w:bottom w:val="nil"/>
              <w:right w:val="single" w:sz="4" w:space="0" w:color="auto"/>
            </w:tcBorders>
          </w:tcPr>
          <w:p w14:paraId="1CC26972" w14:textId="4B843E6C" w:rsidR="00D3110D" w:rsidRPr="00143256" w:rsidRDefault="00D3110D" w:rsidP="00D3110D">
            <w:pPr>
              <w:pStyle w:val="Tabletext"/>
              <w:spacing w:before="60" w:after="60"/>
              <w:jc w:val="right"/>
            </w:pPr>
            <w:r w:rsidRPr="00EB3703">
              <w:t>-</w:t>
            </w:r>
            <w:r w:rsidRPr="00EB3703">
              <w:rPr>
                <w:szCs w:val="22"/>
              </w:rPr>
              <w:t>6,281</w:t>
            </w:r>
          </w:p>
        </w:tc>
      </w:tr>
      <w:tr w:rsidR="00D3110D" w:rsidRPr="00D305A9" w14:paraId="7215CDA9" w14:textId="77777777" w:rsidTr="00501FAD">
        <w:trPr>
          <w:trHeight w:val="264"/>
          <w:jc w:val="center"/>
        </w:trPr>
        <w:tc>
          <w:tcPr>
            <w:tcW w:w="5573" w:type="dxa"/>
            <w:tcBorders>
              <w:top w:val="nil"/>
              <w:left w:val="single" w:sz="4" w:space="0" w:color="auto"/>
              <w:right w:val="single" w:sz="4" w:space="0" w:color="auto"/>
            </w:tcBorders>
            <w:shd w:val="clear" w:color="auto" w:fill="auto"/>
            <w:hideMark/>
          </w:tcPr>
          <w:p w14:paraId="589FBE89" w14:textId="77777777" w:rsidR="00D3110D" w:rsidRPr="00D305A9" w:rsidRDefault="00D3110D" w:rsidP="00D3110D">
            <w:pPr>
              <w:pStyle w:val="Tabletext"/>
              <w:spacing w:before="60" w:after="60"/>
              <w:rPr>
                <w:b/>
                <w:szCs w:val="22"/>
                <w:lang w:eastAsia="zh-CN"/>
              </w:rPr>
            </w:pPr>
            <w:r w:rsidRPr="00D305A9">
              <w:rPr>
                <w:rFonts w:hint="eastAsia"/>
                <w:szCs w:val="22"/>
                <w:lang w:eastAsia="zh-CN"/>
              </w:rPr>
              <w:t>未</w:t>
            </w:r>
            <w:r w:rsidRPr="00D305A9">
              <w:rPr>
                <w:szCs w:val="22"/>
                <w:lang w:eastAsia="zh-CN"/>
              </w:rPr>
              <w:t>实现的汇率损失</w:t>
            </w:r>
            <w:r w:rsidRPr="00D305A9">
              <w:rPr>
                <w:szCs w:val="22"/>
                <w:lang w:eastAsia="zh-CN"/>
              </w:rPr>
              <w:t>/</w:t>
            </w:r>
            <w:r w:rsidRPr="00D305A9">
              <w:rPr>
                <w:szCs w:val="22"/>
                <w:lang w:eastAsia="zh-CN"/>
              </w:rPr>
              <w:t>（收益）</w:t>
            </w:r>
          </w:p>
        </w:tc>
        <w:tc>
          <w:tcPr>
            <w:tcW w:w="1984" w:type="dxa"/>
            <w:tcBorders>
              <w:top w:val="nil"/>
              <w:left w:val="single" w:sz="4" w:space="0" w:color="auto"/>
              <w:right w:val="single" w:sz="4" w:space="0" w:color="auto"/>
            </w:tcBorders>
            <w:shd w:val="clear" w:color="auto" w:fill="auto"/>
          </w:tcPr>
          <w:p w14:paraId="035D746D" w14:textId="353FF6F9" w:rsidR="00D3110D" w:rsidRPr="00C7530D" w:rsidRDefault="00D3110D" w:rsidP="00D3110D">
            <w:pPr>
              <w:pStyle w:val="Tabletext"/>
              <w:spacing w:before="60" w:after="60"/>
              <w:jc w:val="right"/>
            </w:pPr>
            <w:r w:rsidRPr="00EB3703">
              <w:t>0</w:t>
            </w:r>
          </w:p>
        </w:tc>
        <w:tc>
          <w:tcPr>
            <w:tcW w:w="1984" w:type="dxa"/>
            <w:tcBorders>
              <w:top w:val="nil"/>
              <w:left w:val="single" w:sz="4" w:space="0" w:color="auto"/>
              <w:right w:val="single" w:sz="4" w:space="0" w:color="auto"/>
            </w:tcBorders>
          </w:tcPr>
          <w:p w14:paraId="3348273B" w14:textId="0143D333" w:rsidR="00D3110D" w:rsidRPr="00143256" w:rsidRDefault="00D3110D" w:rsidP="00D3110D">
            <w:pPr>
              <w:pStyle w:val="Tabletext"/>
              <w:spacing w:before="60" w:after="60"/>
              <w:jc w:val="right"/>
            </w:pPr>
            <w:r w:rsidRPr="00EB3703">
              <w:t>0</w:t>
            </w:r>
          </w:p>
        </w:tc>
      </w:tr>
      <w:tr w:rsidR="00D3110D" w:rsidRPr="00D305A9" w14:paraId="2D4FAAC9" w14:textId="77777777" w:rsidTr="00501FAD">
        <w:trPr>
          <w:trHeight w:val="336"/>
          <w:jc w:val="center"/>
        </w:trPr>
        <w:tc>
          <w:tcPr>
            <w:tcW w:w="5573" w:type="dxa"/>
            <w:tcBorders>
              <w:top w:val="nil"/>
              <w:left w:val="single" w:sz="4" w:space="0" w:color="auto"/>
              <w:bottom w:val="single" w:sz="4" w:space="0" w:color="auto"/>
              <w:right w:val="single" w:sz="4" w:space="0" w:color="auto"/>
            </w:tcBorders>
            <w:shd w:val="clear" w:color="auto" w:fill="auto"/>
            <w:hideMark/>
          </w:tcPr>
          <w:p w14:paraId="497FB452" w14:textId="75022140" w:rsidR="00D3110D" w:rsidRPr="00D305A9" w:rsidRDefault="00D3110D" w:rsidP="00D3110D">
            <w:pPr>
              <w:widowControl w:val="0"/>
              <w:kinsoku w:val="0"/>
              <w:spacing w:after="60"/>
              <w:rPr>
                <w:sz w:val="22"/>
                <w:szCs w:val="22"/>
                <w:highlight w:val="green"/>
                <w:lang w:eastAsia="zh-CN"/>
              </w:rPr>
            </w:pPr>
            <w:r w:rsidRPr="00D305A9">
              <w:rPr>
                <w:sz w:val="22"/>
                <w:szCs w:val="22"/>
                <w:lang w:eastAsia="zh-CN"/>
              </w:rPr>
              <w:t>截至</w:t>
            </w:r>
            <w:r w:rsidRPr="00D3110D">
              <w:rPr>
                <w:sz w:val="22"/>
                <w:szCs w:val="22"/>
                <w:lang w:eastAsia="zh-CN"/>
              </w:rPr>
              <w:t>2019-</w:t>
            </w:r>
            <w:r w:rsidRPr="00D305A9">
              <w:rPr>
                <w:sz w:val="22"/>
                <w:szCs w:val="22"/>
                <w:lang w:eastAsia="zh-CN"/>
              </w:rPr>
              <w:t>201</w:t>
            </w:r>
            <w:r>
              <w:rPr>
                <w:sz w:val="22"/>
                <w:szCs w:val="22"/>
                <w:lang w:eastAsia="zh-CN"/>
              </w:rPr>
              <w:t>8</w:t>
            </w:r>
            <w:r w:rsidRPr="00D305A9">
              <w:rPr>
                <w:rFonts w:hint="eastAsia"/>
                <w:sz w:val="22"/>
                <w:szCs w:val="22"/>
                <w:lang w:eastAsia="zh-CN"/>
              </w:rPr>
              <w:t>年</w:t>
            </w:r>
            <w:r w:rsidRPr="00D305A9">
              <w:rPr>
                <w:rFonts w:hint="eastAsia"/>
                <w:sz w:val="22"/>
                <w:szCs w:val="22"/>
                <w:lang w:eastAsia="zh-CN"/>
              </w:rPr>
              <w:t>12</w:t>
            </w:r>
            <w:r w:rsidRPr="00D305A9">
              <w:rPr>
                <w:rFonts w:hint="eastAsia"/>
                <w:sz w:val="22"/>
                <w:szCs w:val="22"/>
                <w:lang w:eastAsia="zh-CN"/>
              </w:rPr>
              <w:t>月</w:t>
            </w:r>
            <w:r w:rsidRPr="00D305A9">
              <w:rPr>
                <w:rFonts w:hint="eastAsia"/>
                <w:sz w:val="22"/>
                <w:szCs w:val="22"/>
                <w:lang w:eastAsia="zh-CN"/>
              </w:rPr>
              <w:t>31</w:t>
            </w:r>
            <w:r w:rsidRPr="00D305A9">
              <w:rPr>
                <w:rFonts w:hint="eastAsia"/>
                <w:sz w:val="22"/>
                <w:szCs w:val="22"/>
                <w:lang w:eastAsia="zh-CN"/>
              </w:rPr>
              <w:t>日</w:t>
            </w:r>
            <w:r w:rsidRPr="00D305A9">
              <w:rPr>
                <w:sz w:val="22"/>
                <w:szCs w:val="22"/>
                <w:lang w:eastAsia="zh-CN"/>
              </w:rPr>
              <w:t>的</w:t>
            </w:r>
            <w:r w:rsidRPr="00D305A9">
              <w:rPr>
                <w:sz w:val="22"/>
                <w:szCs w:val="22"/>
                <w:lang w:eastAsia="zh-CN"/>
              </w:rPr>
              <w:t>ASHI</w:t>
            </w:r>
            <w:r w:rsidRPr="00D305A9">
              <w:rPr>
                <w:sz w:val="22"/>
                <w:szCs w:val="22"/>
                <w:lang w:eastAsia="zh-CN"/>
              </w:rPr>
              <w:t>计划的</w:t>
            </w:r>
            <w:proofErr w:type="gramStart"/>
            <w:r w:rsidRPr="00D305A9">
              <w:rPr>
                <w:sz w:val="22"/>
                <w:szCs w:val="22"/>
                <w:lang w:eastAsia="zh-CN"/>
              </w:rPr>
              <w:t>承付款</w:t>
            </w:r>
            <w:proofErr w:type="gramEnd"/>
            <w:r w:rsidRPr="00D305A9">
              <w:rPr>
                <w:rFonts w:hint="eastAsia"/>
                <w:sz w:val="22"/>
                <w:szCs w:val="22"/>
                <w:lang w:eastAsia="zh-CN"/>
              </w:rPr>
              <w:t>金</w:t>
            </w:r>
            <w:r w:rsidRPr="00D305A9">
              <w:rPr>
                <w:sz w:val="22"/>
                <w:szCs w:val="22"/>
                <w:lang w:eastAsia="zh-CN"/>
              </w:rPr>
              <w:t>额</w:t>
            </w:r>
          </w:p>
        </w:tc>
        <w:tc>
          <w:tcPr>
            <w:tcW w:w="1984" w:type="dxa"/>
            <w:tcBorders>
              <w:top w:val="nil"/>
              <w:left w:val="single" w:sz="4" w:space="0" w:color="auto"/>
              <w:bottom w:val="single" w:sz="4" w:space="0" w:color="auto"/>
              <w:right w:val="single" w:sz="4" w:space="0" w:color="auto"/>
            </w:tcBorders>
            <w:shd w:val="clear" w:color="auto" w:fill="auto"/>
          </w:tcPr>
          <w:p w14:paraId="4335853B" w14:textId="7DE93CD0" w:rsidR="00D3110D" w:rsidRPr="00C7530D" w:rsidRDefault="00D3110D" w:rsidP="00D3110D">
            <w:pPr>
              <w:pStyle w:val="Tabletext"/>
              <w:spacing w:before="120" w:after="60"/>
              <w:jc w:val="right"/>
            </w:pPr>
            <w:r w:rsidRPr="00EB3703">
              <w:rPr>
                <w:szCs w:val="22"/>
              </w:rPr>
              <w:t>611,896</w:t>
            </w:r>
          </w:p>
        </w:tc>
        <w:tc>
          <w:tcPr>
            <w:tcW w:w="1984" w:type="dxa"/>
            <w:tcBorders>
              <w:top w:val="nil"/>
              <w:left w:val="single" w:sz="4" w:space="0" w:color="auto"/>
              <w:bottom w:val="single" w:sz="4" w:space="0" w:color="auto"/>
              <w:right w:val="single" w:sz="4" w:space="0" w:color="auto"/>
            </w:tcBorders>
          </w:tcPr>
          <w:p w14:paraId="7745014C" w14:textId="7D792DB5" w:rsidR="00D3110D" w:rsidRPr="00143256" w:rsidRDefault="00D3110D" w:rsidP="00D3110D">
            <w:pPr>
              <w:pStyle w:val="Tabletext"/>
              <w:spacing w:before="120" w:after="60"/>
              <w:jc w:val="right"/>
            </w:pPr>
            <w:r w:rsidRPr="00EB3703">
              <w:t>552,240</w:t>
            </w:r>
          </w:p>
        </w:tc>
      </w:tr>
    </w:tbl>
    <w:p w14:paraId="38D1B3BA" w14:textId="5A0F1F37" w:rsidR="00D3110D" w:rsidRPr="00AA5DA1" w:rsidRDefault="00D3110D" w:rsidP="00D3110D">
      <w:pPr>
        <w:snapToGrid w:val="0"/>
        <w:spacing w:after="120"/>
        <w:jc w:val="both"/>
        <w:rPr>
          <w:b/>
          <w:bCs/>
          <w:szCs w:val="24"/>
          <w:lang w:eastAsia="zh-CN"/>
        </w:rPr>
      </w:pPr>
      <w:r>
        <w:rPr>
          <w:lang w:val="en-US" w:eastAsia="zh-CN"/>
        </w:rPr>
        <w:t>2.2</w:t>
      </w:r>
      <w:r>
        <w:rPr>
          <w:lang w:val="en-US" w:eastAsia="zh-CN"/>
        </w:rPr>
        <w:tab/>
      </w:r>
      <w:r w:rsidR="007C5C94" w:rsidRPr="007C5C94">
        <w:rPr>
          <w:lang w:eastAsia="zh-CN"/>
        </w:rPr>
        <w:t>下表显示了对财务期末损益费用或</w:t>
      </w:r>
      <w:r w:rsidR="000F3636">
        <w:rPr>
          <w:rFonts w:hint="eastAsia"/>
          <w:lang w:eastAsia="zh-CN"/>
        </w:rPr>
        <w:t>结余</w:t>
      </w:r>
      <w:r w:rsidR="007C5C94" w:rsidRPr="007C5C94">
        <w:rPr>
          <w:lang w:eastAsia="zh-CN"/>
        </w:rPr>
        <w:t>的分析</w:t>
      </w:r>
      <w:r w:rsidR="007C5C94">
        <w:rPr>
          <w:rFonts w:hint="eastAsia"/>
          <w:lang w:eastAsia="zh-CN"/>
        </w:rPr>
        <w:t>。</w:t>
      </w:r>
    </w:p>
    <w:tbl>
      <w:tblPr>
        <w:tblW w:w="5000" w:type="pct"/>
        <w:jc w:val="center"/>
        <w:tblLook w:val="04A0" w:firstRow="1" w:lastRow="0" w:firstColumn="1" w:lastColumn="0" w:noHBand="0" w:noVBand="1"/>
      </w:tblPr>
      <w:tblGrid>
        <w:gridCol w:w="6087"/>
        <w:gridCol w:w="1771"/>
        <w:gridCol w:w="1771"/>
      </w:tblGrid>
      <w:tr w:rsidR="00D3110D" w:rsidRPr="00CF674C" w14:paraId="173C5FB4" w14:textId="77777777" w:rsidTr="00D3110D">
        <w:trPr>
          <w:trHeight w:val="567"/>
          <w:jc w:val="center"/>
        </w:trPr>
        <w:tc>
          <w:tcPr>
            <w:tcW w:w="3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8B47E" w14:textId="2498FAE4" w:rsidR="00D3110D" w:rsidRPr="00D3110D" w:rsidRDefault="00D3110D" w:rsidP="00D37D2D">
            <w:pPr>
              <w:widowControl w:val="0"/>
              <w:kinsoku w:val="0"/>
              <w:spacing w:before="20"/>
              <w:rPr>
                <w:b/>
                <w:bCs/>
                <w:sz w:val="22"/>
                <w:szCs w:val="22"/>
                <w:lang w:val="en-US" w:eastAsia="zh-CN"/>
              </w:rPr>
            </w:pPr>
            <w:r w:rsidRPr="00D3110D">
              <w:rPr>
                <w:rFonts w:cs="Arial"/>
                <w:b/>
                <w:bCs/>
                <w:sz w:val="22"/>
                <w:szCs w:val="22"/>
                <w:lang w:val="en-US" w:eastAsia="zh-CN"/>
              </w:rPr>
              <w:br w:type="page"/>
            </w:r>
            <w:r w:rsidR="00B16A68" w:rsidRPr="00B16A68">
              <w:rPr>
                <w:b/>
                <w:bCs/>
                <w:sz w:val="22"/>
                <w:szCs w:val="22"/>
                <w:lang w:eastAsia="zh-CN"/>
              </w:rPr>
              <w:t>在财务业绩报表中确认的金额</w:t>
            </w:r>
          </w:p>
        </w:tc>
        <w:tc>
          <w:tcPr>
            <w:tcW w:w="1837" w:type="pct"/>
            <w:gridSpan w:val="2"/>
            <w:tcBorders>
              <w:top w:val="single" w:sz="4" w:space="0" w:color="auto"/>
              <w:left w:val="nil"/>
              <w:bottom w:val="single" w:sz="4" w:space="0" w:color="auto"/>
              <w:right w:val="single" w:sz="4" w:space="0" w:color="auto"/>
            </w:tcBorders>
            <w:shd w:val="clear" w:color="auto" w:fill="auto"/>
            <w:noWrap/>
            <w:vAlign w:val="center"/>
            <w:hideMark/>
          </w:tcPr>
          <w:p w14:paraId="7D614260" w14:textId="7E410300" w:rsidR="00D3110D" w:rsidRPr="00D3110D" w:rsidRDefault="00D3110D" w:rsidP="00D37D2D">
            <w:pPr>
              <w:widowControl w:val="0"/>
              <w:kinsoku w:val="0"/>
              <w:spacing w:before="20"/>
              <w:jc w:val="center"/>
              <w:rPr>
                <w:b/>
                <w:bCs/>
                <w:i/>
                <w:iCs/>
                <w:sz w:val="22"/>
                <w:szCs w:val="22"/>
                <w:lang w:val="en-US"/>
              </w:rPr>
            </w:pPr>
            <w:r w:rsidRPr="00D3110D">
              <w:rPr>
                <w:rFonts w:asciiTheme="minorHAnsi" w:eastAsia="STKaiti" w:hAnsiTheme="minorHAnsi"/>
                <w:b/>
                <w:bCs/>
                <w:sz w:val="22"/>
                <w:szCs w:val="22"/>
                <w:lang w:eastAsia="zh-CN"/>
              </w:rPr>
              <w:t>单位：</w:t>
            </w:r>
            <w:proofErr w:type="gramStart"/>
            <w:r w:rsidRPr="00D3110D">
              <w:rPr>
                <w:rFonts w:asciiTheme="minorHAnsi" w:eastAsia="STKaiti" w:hAnsiTheme="minorHAnsi"/>
                <w:b/>
                <w:bCs/>
                <w:sz w:val="22"/>
                <w:szCs w:val="22"/>
                <w:lang w:eastAsia="zh-CN"/>
              </w:rPr>
              <w:t>千瑞郎</w:t>
            </w:r>
            <w:proofErr w:type="gramEnd"/>
          </w:p>
        </w:tc>
      </w:tr>
      <w:tr w:rsidR="00D3110D" w:rsidRPr="00CF674C" w14:paraId="5D258159" w14:textId="77777777" w:rsidTr="00D3110D">
        <w:trPr>
          <w:trHeight w:val="264"/>
          <w:jc w:val="center"/>
        </w:trPr>
        <w:tc>
          <w:tcPr>
            <w:tcW w:w="3163" w:type="pct"/>
            <w:tcBorders>
              <w:top w:val="single" w:sz="4" w:space="0" w:color="auto"/>
              <w:left w:val="single" w:sz="4" w:space="0" w:color="auto"/>
              <w:bottom w:val="nil"/>
              <w:right w:val="single" w:sz="4" w:space="0" w:color="auto"/>
            </w:tcBorders>
            <w:shd w:val="clear" w:color="auto" w:fill="auto"/>
            <w:hideMark/>
          </w:tcPr>
          <w:p w14:paraId="02303591" w14:textId="77777777" w:rsidR="00D3110D" w:rsidRPr="00CF674C" w:rsidRDefault="00D3110D" w:rsidP="00D37D2D">
            <w:pPr>
              <w:widowControl w:val="0"/>
              <w:kinsoku w:val="0"/>
              <w:spacing w:before="20"/>
              <w:jc w:val="center"/>
              <w:rPr>
                <w:b/>
                <w:i/>
                <w:iCs/>
                <w:sz w:val="22"/>
                <w:szCs w:val="22"/>
                <w:lang w:val="en-US"/>
              </w:rPr>
            </w:pPr>
          </w:p>
        </w:tc>
        <w:tc>
          <w:tcPr>
            <w:tcW w:w="916" w:type="pct"/>
            <w:tcBorders>
              <w:top w:val="single" w:sz="4" w:space="0" w:color="auto"/>
              <w:left w:val="nil"/>
              <w:bottom w:val="nil"/>
              <w:right w:val="single" w:sz="4" w:space="0" w:color="auto"/>
            </w:tcBorders>
            <w:shd w:val="clear" w:color="auto" w:fill="auto"/>
            <w:noWrap/>
            <w:vAlign w:val="bottom"/>
            <w:hideMark/>
          </w:tcPr>
          <w:p w14:paraId="0E839F7F" w14:textId="5301246B" w:rsidR="00D3110D" w:rsidRPr="00D3110D" w:rsidRDefault="00D3110D" w:rsidP="00D37D2D">
            <w:pPr>
              <w:widowControl w:val="0"/>
              <w:kinsoku w:val="0"/>
              <w:spacing w:before="20"/>
              <w:jc w:val="center"/>
              <w:rPr>
                <w:b/>
                <w:bCs/>
                <w:sz w:val="22"/>
                <w:szCs w:val="22"/>
                <w:lang w:val="en-US"/>
              </w:rPr>
            </w:pPr>
            <w:r w:rsidRPr="00D3110D">
              <w:rPr>
                <w:b/>
                <w:bCs/>
                <w:sz w:val="22"/>
                <w:szCs w:val="22"/>
                <w:lang w:eastAsia="zh-CN"/>
              </w:rPr>
              <w:t>2019</w:t>
            </w:r>
            <w:r w:rsidRPr="00D3110D">
              <w:rPr>
                <w:rFonts w:hint="eastAsia"/>
                <w:b/>
                <w:bCs/>
                <w:sz w:val="22"/>
                <w:szCs w:val="22"/>
                <w:lang w:eastAsia="zh-CN"/>
              </w:rPr>
              <w:t>年</w:t>
            </w:r>
            <w:r w:rsidRPr="00D3110D">
              <w:rPr>
                <w:rFonts w:hint="eastAsia"/>
                <w:b/>
                <w:bCs/>
                <w:sz w:val="22"/>
                <w:szCs w:val="22"/>
                <w:lang w:eastAsia="zh-CN"/>
              </w:rPr>
              <w:t>12</w:t>
            </w:r>
            <w:r w:rsidRPr="00D3110D">
              <w:rPr>
                <w:rFonts w:hint="eastAsia"/>
                <w:b/>
                <w:bCs/>
                <w:sz w:val="22"/>
                <w:szCs w:val="22"/>
                <w:lang w:eastAsia="zh-CN"/>
              </w:rPr>
              <w:t>月</w:t>
            </w:r>
            <w:r w:rsidRPr="00D3110D">
              <w:rPr>
                <w:rFonts w:hint="eastAsia"/>
                <w:b/>
                <w:bCs/>
                <w:sz w:val="22"/>
                <w:szCs w:val="22"/>
                <w:lang w:eastAsia="zh-CN"/>
              </w:rPr>
              <w:t>31</w:t>
            </w:r>
            <w:r w:rsidRPr="00D3110D">
              <w:rPr>
                <w:rFonts w:hint="eastAsia"/>
                <w:b/>
                <w:bCs/>
                <w:sz w:val="22"/>
                <w:szCs w:val="22"/>
                <w:lang w:eastAsia="zh-CN"/>
              </w:rPr>
              <w:t>日</w:t>
            </w:r>
          </w:p>
        </w:tc>
        <w:tc>
          <w:tcPr>
            <w:tcW w:w="921" w:type="pct"/>
            <w:tcBorders>
              <w:top w:val="single" w:sz="4" w:space="0" w:color="auto"/>
              <w:left w:val="nil"/>
              <w:bottom w:val="nil"/>
              <w:right w:val="single" w:sz="4" w:space="0" w:color="auto"/>
            </w:tcBorders>
            <w:vAlign w:val="bottom"/>
          </w:tcPr>
          <w:p w14:paraId="6A8A77DE" w14:textId="4C3580B2" w:rsidR="00D3110D" w:rsidRPr="00D3110D" w:rsidRDefault="00D3110D" w:rsidP="00D37D2D">
            <w:pPr>
              <w:widowControl w:val="0"/>
              <w:kinsoku w:val="0"/>
              <w:spacing w:before="20"/>
              <w:jc w:val="center"/>
              <w:rPr>
                <w:b/>
                <w:bCs/>
                <w:sz w:val="22"/>
                <w:szCs w:val="22"/>
                <w:lang w:val="en-US"/>
              </w:rPr>
            </w:pPr>
            <w:r w:rsidRPr="00D3110D">
              <w:rPr>
                <w:b/>
                <w:bCs/>
                <w:sz w:val="22"/>
                <w:szCs w:val="22"/>
                <w:lang w:eastAsia="zh-CN"/>
              </w:rPr>
              <w:t>2018</w:t>
            </w:r>
            <w:r w:rsidRPr="00D3110D">
              <w:rPr>
                <w:rFonts w:hint="eastAsia"/>
                <w:b/>
                <w:bCs/>
                <w:sz w:val="22"/>
                <w:szCs w:val="22"/>
                <w:lang w:eastAsia="zh-CN"/>
              </w:rPr>
              <w:t>年</w:t>
            </w:r>
            <w:r w:rsidRPr="00D3110D">
              <w:rPr>
                <w:rFonts w:hint="eastAsia"/>
                <w:b/>
                <w:bCs/>
                <w:sz w:val="22"/>
                <w:szCs w:val="22"/>
                <w:lang w:eastAsia="zh-CN"/>
              </w:rPr>
              <w:t>12</w:t>
            </w:r>
            <w:r w:rsidRPr="00D3110D">
              <w:rPr>
                <w:rFonts w:hint="eastAsia"/>
                <w:b/>
                <w:bCs/>
                <w:sz w:val="22"/>
                <w:szCs w:val="22"/>
                <w:lang w:eastAsia="zh-CN"/>
              </w:rPr>
              <w:t>月</w:t>
            </w:r>
            <w:r w:rsidRPr="00D3110D">
              <w:rPr>
                <w:rFonts w:hint="eastAsia"/>
                <w:b/>
                <w:bCs/>
                <w:sz w:val="22"/>
                <w:szCs w:val="22"/>
                <w:lang w:eastAsia="zh-CN"/>
              </w:rPr>
              <w:t>31</w:t>
            </w:r>
            <w:r w:rsidRPr="00D3110D">
              <w:rPr>
                <w:rFonts w:hint="eastAsia"/>
                <w:b/>
                <w:bCs/>
                <w:sz w:val="22"/>
                <w:szCs w:val="22"/>
                <w:lang w:eastAsia="zh-CN"/>
              </w:rPr>
              <w:t>日</w:t>
            </w:r>
          </w:p>
        </w:tc>
      </w:tr>
      <w:tr w:rsidR="00D3110D" w:rsidRPr="00CF674C" w14:paraId="1F335022" w14:textId="77777777" w:rsidTr="00D3110D">
        <w:trPr>
          <w:trHeight w:val="336"/>
          <w:jc w:val="center"/>
        </w:trPr>
        <w:tc>
          <w:tcPr>
            <w:tcW w:w="3163" w:type="pct"/>
            <w:tcBorders>
              <w:top w:val="nil"/>
              <w:left w:val="single" w:sz="4" w:space="0" w:color="auto"/>
              <w:bottom w:val="nil"/>
              <w:right w:val="single" w:sz="4" w:space="0" w:color="auto"/>
            </w:tcBorders>
            <w:shd w:val="clear" w:color="auto" w:fill="auto"/>
            <w:hideMark/>
          </w:tcPr>
          <w:p w14:paraId="02E01D49" w14:textId="60096EB7" w:rsidR="00D3110D" w:rsidRPr="00CF674C" w:rsidRDefault="00B16A68" w:rsidP="00D37D2D">
            <w:pPr>
              <w:widowControl w:val="0"/>
              <w:kinsoku w:val="0"/>
              <w:spacing w:before="20" w:after="60"/>
              <w:rPr>
                <w:bCs/>
                <w:sz w:val="22"/>
                <w:szCs w:val="22"/>
                <w:lang w:val="en-US" w:eastAsia="zh-CN"/>
              </w:rPr>
            </w:pPr>
            <w:r w:rsidRPr="00B16A68">
              <w:rPr>
                <w:bCs/>
                <w:sz w:val="22"/>
                <w:szCs w:val="22"/>
                <w:lang w:eastAsia="zh-CN"/>
              </w:rPr>
              <w:t>该期承付款项和缴款更新</w:t>
            </w:r>
          </w:p>
        </w:tc>
        <w:tc>
          <w:tcPr>
            <w:tcW w:w="916" w:type="pct"/>
            <w:tcBorders>
              <w:top w:val="nil"/>
              <w:left w:val="nil"/>
              <w:bottom w:val="nil"/>
              <w:right w:val="single" w:sz="4" w:space="0" w:color="auto"/>
            </w:tcBorders>
            <w:shd w:val="clear" w:color="auto" w:fill="auto"/>
            <w:noWrap/>
            <w:vAlign w:val="bottom"/>
          </w:tcPr>
          <w:p w14:paraId="6AD026D9" w14:textId="77777777" w:rsidR="00D3110D" w:rsidRPr="00CF674C" w:rsidRDefault="00D3110D" w:rsidP="00D37D2D">
            <w:pPr>
              <w:widowControl w:val="0"/>
              <w:kinsoku w:val="0"/>
              <w:spacing w:before="20"/>
              <w:ind w:right="60"/>
              <w:jc w:val="right"/>
              <w:rPr>
                <w:bCs/>
                <w:i/>
                <w:iCs/>
                <w:sz w:val="22"/>
                <w:szCs w:val="22"/>
                <w:lang w:val="en-US" w:eastAsia="zh-CN"/>
              </w:rPr>
            </w:pPr>
          </w:p>
        </w:tc>
        <w:tc>
          <w:tcPr>
            <w:tcW w:w="921" w:type="pct"/>
            <w:tcBorders>
              <w:top w:val="nil"/>
              <w:left w:val="nil"/>
              <w:bottom w:val="nil"/>
              <w:right w:val="single" w:sz="4" w:space="0" w:color="auto"/>
            </w:tcBorders>
            <w:vAlign w:val="bottom"/>
          </w:tcPr>
          <w:p w14:paraId="4E6F4EEA" w14:textId="77777777" w:rsidR="00D3110D" w:rsidRPr="00CF674C" w:rsidRDefault="00D3110D" w:rsidP="00D37D2D">
            <w:pPr>
              <w:widowControl w:val="0"/>
              <w:kinsoku w:val="0"/>
              <w:spacing w:before="20"/>
              <w:ind w:right="60"/>
              <w:jc w:val="right"/>
              <w:rPr>
                <w:bCs/>
                <w:i/>
                <w:iCs/>
                <w:sz w:val="22"/>
                <w:szCs w:val="22"/>
                <w:lang w:val="en-US" w:eastAsia="zh-CN"/>
              </w:rPr>
            </w:pPr>
          </w:p>
        </w:tc>
      </w:tr>
      <w:tr w:rsidR="00D3110D" w:rsidRPr="00CF674C" w14:paraId="600F2E22" w14:textId="77777777" w:rsidTr="00D3110D">
        <w:trPr>
          <w:trHeight w:val="264"/>
          <w:jc w:val="center"/>
        </w:trPr>
        <w:tc>
          <w:tcPr>
            <w:tcW w:w="3163" w:type="pct"/>
            <w:tcBorders>
              <w:top w:val="nil"/>
              <w:left w:val="single" w:sz="4" w:space="0" w:color="auto"/>
              <w:bottom w:val="nil"/>
              <w:right w:val="single" w:sz="4" w:space="0" w:color="auto"/>
            </w:tcBorders>
            <w:shd w:val="clear" w:color="auto" w:fill="auto"/>
            <w:vAlign w:val="bottom"/>
            <w:hideMark/>
          </w:tcPr>
          <w:p w14:paraId="0E95FC20" w14:textId="4ABD3E0F" w:rsidR="00D3110D" w:rsidRPr="00CF674C" w:rsidRDefault="000D1567" w:rsidP="00D37D2D">
            <w:pPr>
              <w:widowControl w:val="0"/>
              <w:kinsoku w:val="0"/>
              <w:spacing w:before="20" w:after="60"/>
              <w:rPr>
                <w:b/>
                <w:sz w:val="22"/>
                <w:szCs w:val="22"/>
                <w:lang w:val="en-US"/>
              </w:rPr>
            </w:pPr>
            <w:proofErr w:type="spellStart"/>
            <w:r w:rsidRPr="000D1567">
              <w:rPr>
                <w:rFonts w:hint="eastAsia"/>
                <w:bCs/>
                <w:sz w:val="22"/>
                <w:szCs w:val="22"/>
                <w:lang w:val="en-US"/>
              </w:rPr>
              <w:t>服务费用</w:t>
            </w:r>
            <w:proofErr w:type="spellEnd"/>
          </w:p>
        </w:tc>
        <w:tc>
          <w:tcPr>
            <w:tcW w:w="916" w:type="pct"/>
            <w:tcBorders>
              <w:top w:val="nil"/>
              <w:left w:val="nil"/>
              <w:bottom w:val="nil"/>
              <w:right w:val="single" w:sz="4" w:space="0" w:color="auto"/>
            </w:tcBorders>
            <w:shd w:val="clear" w:color="auto" w:fill="auto"/>
            <w:vAlign w:val="bottom"/>
          </w:tcPr>
          <w:p w14:paraId="2AF60DF3" w14:textId="77777777" w:rsidR="00D3110D" w:rsidRPr="00CF674C" w:rsidRDefault="00D3110D" w:rsidP="00D37D2D">
            <w:pPr>
              <w:overflowPunct/>
              <w:autoSpaceDE/>
              <w:autoSpaceDN/>
              <w:adjustRightInd/>
              <w:spacing w:before="0"/>
              <w:jc w:val="right"/>
              <w:textAlignment w:val="auto"/>
              <w:rPr>
                <w:bCs/>
                <w:sz w:val="22"/>
                <w:szCs w:val="22"/>
                <w:lang w:val="en-US"/>
              </w:rPr>
            </w:pPr>
            <w:r w:rsidRPr="00CF674C">
              <w:rPr>
                <w:bCs/>
                <w:sz w:val="22"/>
                <w:szCs w:val="22"/>
                <w:lang w:val="en-US"/>
              </w:rPr>
              <w:t>21,759</w:t>
            </w:r>
          </w:p>
        </w:tc>
        <w:tc>
          <w:tcPr>
            <w:tcW w:w="921" w:type="pct"/>
            <w:tcBorders>
              <w:top w:val="nil"/>
              <w:left w:val="nil"/>
              <w:bottom w:val="nil"/>
              <w:right w:val="single" w:sz="4" w:space="0" w:color="auto"/>
            </w:tcBorders>
            <w:vAlign w:val="bottom"/>
          </w:tcPr>
          <w:p w14:paraId="3C81F134" w14:textId="77777777" w:rsidR="00D3110D" w:rsidRPr="00CF674C" w:rsidRDefault="00D3110D" w:rsidP="00D37D2D">
            <w:pPr>
              <w:overflowPunct/>
              <w:autoSpaceDE/>
              <w:autoSpaceDN/>
              <w:adjustRightInd/>
              <w:spacing w:before="0"/>
              <w:jc w:val="right"/>
              <w:textAlignment w:val="auto"/>
              <w:rPr>
                <w:bCs/>
                <w:sz w:val="22"/>
                <w:szCs w:val="22"/>
                <w:lang w:val="en-US"/>
              </w:rPr>
            </w:pPr>
            <w:r w:rsidRPr="00CF674C">
              <w:rPr>
                <w:bCs/>
                <w:sz w:val="22"/>
                <w:szCs w:val="22"/>
                <w:lang w:val="en-US"/>
              </w:rPr>
              <w:t>23,025</w:t>
            </w:r>
          </w:p>
        </w:tc>
      </w:tr>
      <w:tr w:rsidR="00D3110D" w:rsidRPr="00CF674C" w14:paraId="0875C3A8" w14:textId="77777777" w:rsidTr="00D3110D">
        <w:trPr>
          <w:trHeight w:val="264"/>
          <w:jc w:val="center"/>
        </w:trPr>
        <w:tc>
          <w:tcPr>
            <w:tcW w:w="3163" w:type="pct"/>
            <w:tcBorders>
              <w:top w:val="nil"/>
              <w:left w:val="single" w:sz="4" w:space="0" w:color="auto"/>
              <w:bottom w:val="nil"/>
              <w:right w:val="single" w:sz="4" w:space="0" w:color="auto"/>
            </w:tcBorders>
            <w:shd w:val="clear" w:color="auto" w:fill="auto"/>
            <w:vAlign w:val="bottom"/>
          </w:tcPr>
          <w:p w14:paraId="4169AAD0" w14:textId="14108C57" w:rsidR="00D3110D" w:rsidRPr="00CF674C" w:rsidRDefault="000F3636" w:rsidP="00D37D2D">
            <w:pPr>
              <w:widowControl w:val="0"/>
              <w:kinsoku w:val="0"/>
              <w:spacing w:before="20" w:after="60"/>
              <w:rPr>
                <w:sz w:val="22"/>
                <w:szCs w:val="22"/>
                <w:lang w:val="en-US" w:eastAsia="zh-CN"/>
              </w:rPr>
            </w:pPr>
            <w:r>
              <w:rPr>
                <w:rFonts w:hint="eastAsia"/>
                <w:sz w:val="22"/>
                <w:szCs w:val="22"/>
                <w:lang w:val="en-US" w:eastAsia="zh-CN"/>
              </w:rPr>
              <w:t>以往</w:t>
            </w:r>
            <w:r w:rsidRPr="000D1567">
              <w:rPr>
                <w:rFonts w:hint="eastAsia"/>
                <w:bCs/>
                <w:sz w:val="22"/>
                <w:szCs w:val="22"/>
                <w:lang w:val="en-US" w:eastAsia="zh-CN"/>
              </w:rPr>
              <w:t>服务费用</w:t>
            </w:r>
            <w:r>
              <w:rPr>
                <w:rFonts w:hint="eastAsia"/>
                <w:bCs/>
                <w:sz w:val="22"/>
                <w:szCs w:val="22"/>
                <w:lang w:val="en-US" w:eastAsia="zh-CN"/>
              </w:rPr>
              <w:t>（由于新方案）</w:t>
            </w:r>
          </w:p>
        </w:tc>
        <w:tc>
          <w:tcPr>
            <w:tcW w:w="916" w:type="pct"/>
            <w:tcBorders>
              <w:top w:val="nil"/>
              <w:left w:val="nil"/>
              <w:bottom w:val="nil"/>
              <w:right w:val="single" w:sz="4" w:space="0" w:color="auto"/>
            </w:tcBorders>
            <w:shd w:val="clear" w:color="auto" w:fill="auto"/>
            <w:vAlign w:val="bottom"/>
          </w:tcPr>
          <w:p w14:paraId="0DCACCF3" w14:textId="77777777" w:rsidR="00D3110D" w:rsidRPr="00CF674C" w:rsidRDefault="00D3110D" w:rsidP="00D37D2D">
            <w:pPr>
              <w:overflowPunct/>
              <w:autoSpaceDE/>
              <w:autoSpaceDN/>
              <w:adjustRightInd/>
              <w:spacing w:before="0"/>
              <w:jc w:val="right"/>
              <w:textAlignment w:val="auto"/>
              <w:rPr>
                <w:bCs/>
                <w:sz w:val="22"/>
                <w:szCs w:val="22"/>
                <w:lang w:val="en-US"/>
              </w:rPr>
            </w:pPr>
            <w:r w:rsidRPr="00CF674C">
              <w:rPr>
                <w:bCs/>
                <w:sz w:val="22"/>
                <w:szCs w:val="22"/>
                <w:lang w:val="en-US"/>
              </w:rPr>
              <w:t>50,029</w:t>
            </w:r>
          </w:p>
        </w:tc>
        <w:tc>
          <w:tcPr>
            <w:tcW w:w="921" w:type="pct"/>
            <w:tcBorders>
              <w:top w:val="nil"/>
              <w:left w:val="nil"/>
              <w:bottom w:val="nil"/>
              <w:right w:val="single" w:sz="4" w:space="0" w:color="auto"/>
            </w:tcBorders>
            <w:vAlign w:val="bottom"/>
          </w:tcPr>
          <w:p w14:paraId="38254285" w14:textId="77777777" w:rsidR="00D3110D" w:rsidRPr="00CF674C" w:rsidRDefault="00D3110D" w:rsidP="00D37D2D">
            <w:pPr>
              <w:overflowPunct/>
              <w:autoSpaceDE/>
              <w:autoSpaceDN/>
              <w:adjustRightInd/>
              <w:spacing w:before="0"/>
              <w:jc w:val="right"/>
              <w:textAlignment w:val="auto"/>
              <w:rPr>
                <w:bCs/>
                <w:sz w:val="22"/>
                <w:szCs w:val="22"/>
                <w:lang w:val="en-US"/>
              </w:rPr>
            </w:pPr>
          </w:p>
        </w:tc>
      </w:tr>
      <w:tr w:rsidR="00D3110D" w:rsidRPr="00CF674C" w14:paraId="0726BCBD" w14:textId="77777777" w:rsidTr="00D3110D">
        <w:trPr>
          <w:trHeight w:val="264"/>
          <w:jc w:val="center"/>
        </w:trPr>
        <w:tc>
          <w:tcPr>
            <w:tcW w:w="3163" w:type="pct"/>
            <w:tcBorders>
              <w:top w:val="nil"/>
              <w:left w:val="single" w:sz="4" w:space="0" w:color="auto"/>
              <w:bottom w:val="nil"/>
              <w:right w:val="single" w:sz="4" w:space="0" w:color="auto"/>
            </w:tcBorders>
            <w:shd w:val="clear" w:color="auto" w:fill="auto"/>
            <w:vAlign w:val="bottom"/>
            <w:hideMark/>
          </w:tcPr>
          <w:p w14:paraId="28DFC79E" w14:textId="4EBF91FE" w:rsidR="00D3110D" w:rsidRPr="00CF674C" w:rsidRDefault="000D1567" w:rsidP="00D37D2D">
            <w:pPr>
              <w:widowControl w:val="0"/>
              <w:kinsoku w:val="0"/>
              <w:spacing w:before="20" w:after="60"/>
              <w:rPr>
                <w:b/>
                <w:sz w:val="22"/>
                <w:szCs w:val="22"/>
                <w:lang w:val="en-US"/>
              </w:rPr>
            </w:pPr>
            <w:proofErr w:type="spellStart"/>
            <w:r w:rsidRPr="000D1567">
              <w:rPr>
                <w:rFonts w:hint="eastAsia"/>
                <w:bCs/>
                <w:sz w:val="22"/>
                <w:szCs w:val="22"/>
                <w:lang w:val="en-US"/>
              </w:rPr>
              <w:t>财务收费</w:t>
            </w:r>
            <w:proofErr w:type="spellEnd"/>
          </w:p>
        </w:tc>
        <w:tc>
          <w:tcPr>
            <w:tcW w:w="916" w:type="pct"/>
            <w:tcBorders>
              <w:top w:val="nil"/>
              <w:left w:val="nil"/>
              <w:bottom w:val="nil"/>
              <w:right w:val="single" w:sz="4" w:space="0" w:color="auto"/>
            </w:tcBorders>
            <w:shd w:val="clear" w:color="auto" w:fill="auto"/>
            <w:vAlign w:val="bottom"/>
          </w:tcPr>
          <w:p w14:paraId="2BF9CC18" w14:textId="77777777" w:rsidR="00D3110D" w:rsidRPr="00CF674C" w:rsidRDefault="00D3110D" w:rsidP="00D37D2D">
            <w:pPr>
              <w:overflowPunct/>
              <w:autoSpaceDE/>
              <w:autoSpaceDN/>
              <w:adjustRightInd/>
              <w:spacing w:before="0"/>
              <w:jc w:val="right"/>
              <w:textAlignment w:val="auto"/>
              <w:rPr>
                <w:bCs/>
                <w:sz w:val="22"/>
                <w:szCs w:val="22"/>
                <w:lang w:val="en-US"/>
              </w:rPr>
            </w:pPr>
            <w:r w:rsidRPr="00CF674C">
              <w:rPr>
                <w:bCs/>
                <w:sz w:val="22"/>
                <w:szCs w:val="22"/>
                <w:lang w:val="en-US"/>
              </w:rPr>
              <w:t>6,569</w:t>
            </w:r>
          </w:p>
        </w:tc>
        <w:tc>
          <w:tcPr>
            <w:tcW w:w="921" w:type="pct"/>
            <w:tcBorders>
              <w:top w:val="nil"/>
              <w:left w:val="nil"/>
              <w:bottom w:val="nil"/>
              <w:right w:val="single" w:sz="4" w:space="0" w:color="auto"/>
            </w:tcBorders>
            <w:vAlign w:val="bottom"/>
          </w:tcPr>
          <w:p w14:paraId="29178A70" w14:textId="77777777" w:rsidR="00D3110D" w:rsidRPr="00CF674C" w:rsidRDefault="00D3110D" w:rsidP="00D37D2D">
            <w:pPr>
              <w:overflowPunct/>
              <w:autoSpaceDE/>
              <w:autoSpaceDN/>
              <w:adjustRightInd/>
              <w:spacing w:before="0"/>
              <w:jc w:val="right"/>
              <w:textAlignment w:val="auto"/>
              <w:rPr>
                <w:bCs/>
                <w:sz w:val="22"/>
                <w:szCs w:val="22"/>
                <w:lang w:val="en-US"/>
              </w:rPr>
            </w:pPr>
            <w:r w:rsidRPr="00CF674C">
              <w:rPr>
                <w:bCs/>
                <w:sz w:val="22"/>
                <w:szCs w:val="22"/>
                <w:lang w:val="en-US"/>
              </w:rPr>
              <w:t>5,523</w:t>
            </w:r>
          </w:p>
        </w:tc>
      </w:tr>
      <w:tr w:rsidR="00D3110D" w:rsidRPr="00CF674C" w14:paraId="5B187368" w14:textId="77777777" w:rsidTr="00D3110D">
        <w:trPr>
          <w:trHeight w:val="264"/>
          <w:jc w:val="center"/>
        </w:trPr>
        <w:tc>
          <w:tcPr>
            <w:tcW w:w="3163" w:type="pct"/>
            <w:tcBorders>
              <w:top w:val="nil"/>
              <w:left w:val="single" w:sz="4" w:space="0" w:color="auto"/>
              <w:right w:val="single" w:sz="4" w:space="0" w:color="auto"/>
            </w:tcBorders>
            <w:shd w:val="clear" w:color="auto" w:fill="auto"/>
            <w:vAlign w:val="bottom"/>
            <w:hideMark/>
          </w:tcPr>
          <w:p w14:paraId="74234E29" w14:textId="754C0E68" w:rsidR="00D3110D" w:rsidRPr="00CF674C" w:rsidRDefault="000D1567" w:rsidP="00D37D2D">
            <w:pPr>
              <w:widowControl w:val="0"/>
              <w:kinsoku w:val="0"/>
              <w:spacing w:before="20" w:after="60"/>
              <w:rPr>
                <w:b/>
                <w:sz w:val="22"/>
                <w:szCs w:val="22"/>
                <w:lang w:val="en-US" w:eastAsia="zh-CN"/>
              </w:rPr>
            </w:pPr>
            <w:r>
              <w:rPr>
                <w:color w:val="000000"/>
                <w:sz w:val="22"/>
                <w:szCs w:val="18"/>
                <w:lang w:val="en-US" w:eastAsia="zh-CN"/>
              </w:rPr>
              <w:t>ASHI</w:t>
            </w:r>
            <w:r>
              <w:rPr>
                <w:rFonts w:hint="eastAsia"/>
                <w:color w:val="000000"/>
                <w:sz w:val="22"/>
                <w:szCs w:val="18"/>
                <w:lang w:val="en-US" w:eastAsia="zh-CN"/>
              </w:rPr>
              <w:t>计划资产的预期回报</w:t>
            </w:r>
          </w:p>
        </w:tc>
        <w:tc>
          <w:tcPr>
            <w:tcW w:w="916" w:type="pct"/>
            <w:tcBorders>
              <w:top w:val="nil"/>
              <w:left w:val="nil"/>
              <w:bottom w:val="single" w:sz="4" w:space="0" w:color="auto"/>
              <w:right w:val="single" w:sz="4" w:space="0" w:color="auto"/>
            </w:tcBorders>
            <w:shd w:val="clear" w:color="auto" w:fill="auto"/>
            <w:vAlign w:val="bottom"/>
          </w:tcPr>
          <w:p w14:paraId="097A813F" w14:textId="77777777" w:rsidR="00D3110D" w:rsidRPr="00CF674C" w:rsidRDefault="00D3110D" w:rsidP="00D37D2D">
            <w:pPr>
              <w:widowControl w:val="0"/>
              <w:kinsoku w:val="0"/>
              <w:spacing w:before="20"/>
              <w:ind w:right="60"/>
              <w:jc w:val="right"/>
              <w:rPr>
                <w:bCs/>
                <w:sz w:val="22"/>
                <w:szCs w:val="22"/>
                <w:lang w:val="en-US"/>
              </w:rPr>
            </w:pPr>
            <w:r w:rsidRPr="00CF674C">
              <w:rPr>
                <w:bCs/>
                <w:sz w:val="22"/>
                <w:szCs w:val="22"/>
                <w:lang w:val="en-US"/>
              </w:rPr>
              <w:t>0</w:t>
            </w:r>
          </w:p>
        </w:tc>
        <w:tc>
          <w:tcPr>
            <w:tcW w:w="921" w:type="pct"/>
            <w:tcBorders>
              <w:top w:val="nil"/>
              <w:left w:val="nil"/>
              <w:bottom w:val="single" w:sz="4" w:space="0" w:color="auto"/>
              <w:right w:val="single" w:sz="4" w:space="0" w:color="auto"/>
            </w:tcBorders>
            <w:vAlign w:val="bottom"/>
          </w:tcPr>
          <w:p w14:paraId="3BBCF53A" w14:textId="77777777" w:rsidR="00D3110D" w:rsidRPr="00CF674C" w:rsidRDefault="00D3110D" w:rsidP="00D37D2D">
            <w:pPr>
              <w:widowControl w:val="0"/>
              <w:kinsoku w:val="0"/>
              <w:spacing w:before="20"/>
              <w:ind w:right="60"/>
              <w:jc w:val="right"/>
              <w:rPr>
                <w:bCs/>
                <w:sz w:val="22"/>
                <w:szCs w:val="22"/>
                <w:lang w:val="en-US"/>
              </w:rPr>
            </w:pPr>
            <w:r w:rsidRPr="00CF674C">
              <w:rPr>
                <w:bCs/>
                <w:sz w:val="22"/>
                <w:szCs w:val="22"/>
                <w:lang w:val="en-US"/>
              </w:rPr>
              <w:t>0</w:t>
            </w:r>
          </w:p>
        </w:tc>
      </w:tr>
      <w:tr w:rsidR="00D3110D" w:rsidRPr="00CF674C" w14:paraId="31D62D43" w14:textId="77777777" w:rsidTr="00D3110D">
        <w:trPr>
          <w:trHeight w:val="300"/>
          <w:jc w:val="center"/>
        </w:trPr>
        <w:tc>
          <w:tcPr>
            <w:tcW w:w="3163" w:type="pct"/>
            <w:tcBorders>
              <w:top w:val="nil"/>
              <w:left w:val="single" w:sz="4" w:space="0" w:color="auto"/>
              <w:bottom w:val="single" w:sz="4" w:space="0" w:color="auto"/>
              <w:right w:val="single" w:sz="4" w:space="0" w:color="auto"/>
            </w:tcBorders>
            <w:shd w:val="clear" w:color="auto" w:fill="auto"/>
            <w:vAlign w:val="center"/>
            <w:hideMark/>
          </w:tcPr>
          <w:p w14:paraId="5410459B" w14:textId="3302DDD1" w:rsidR="00D3110D" w:rsidRPr="00CF674C" w:rsidRDefault="000D1567" w:rsidP="00D37D2D">
            <w:pPr>
              <w:widowControl w:val="0"/>
              <w:kinsoku w:val="0"/>
              <w:spacing w:before="20" w:after="20"/>
              <w:rPr>
                <w:b/>
                <w:sz w:val="22"/>
                <w:szCs w:val="22"/>
                <w:lang w:val="en-US"/>
              </w:rPr>
            </w:pPr>
            <w:r>
              <w:rPr>
                <w:rFonts w:hint="eastAsia"/>
                <w:bCs/>
                <w:color w:val="000000"/>
                <w:sz w:val="22"/>
                <w:szCs w:val="18"/>
                <w:lang w:val="en-US" w:eastAsia="zh-CN"/>
              </w:rPr>
              <w:t>合计</w:t>
            </w:r>
          </w:p>
        </w:tc>
        <w:tc>
          <w:tcPr>
            <w:tcW w:w="916" w:type="pct"/>
            <w:tcBorders>
              <w:top w:val="single" w:sz="4" w:space="0" w:color="auto"/>
              <w:left w:val="nil"/>
              <w:bottom w:val="single" w:sz="4" w:space="0" w:color="auto"/>
              <w:right w:val="single" w:sz="4" w:space="0" w:color="auto"/>
            </w:tcBorders>
            <w:shd w:val="clear" w:color="auto" w:fill="auto"/>
            <w:vAlign w:val="center"/>
          </w:tcPr>
          <w:p w14:paraId="0F4B2992" w14:textId="77777777" w:rsidR="00D3110D" w:rsidRPr="00CF674C" w:rsidRDefault="00D3110D" w:rsidP="00D37D2D">
            <w:pPr>
              <w:overflowPunct/>
              <w:autoSpaceDE/>
              <w:autoSpaceDN/>
              <w:adjustRightInd/>
              <w:spacing w:before="0"/>
              <w:jc w:val="right"/>
              <w:textAlignment w:val="auto"/>
              <w:rPr>
                <w:rFonts w:cs="Arial"/>
                <w:sz w:val="22"/>
                <w:szCs w:val="22"/>
                <w:lang w:val="en-US" w:eastAsia="zh-CN"/>
              </w:rPr>
            </w:pPr>
            <w:r w:rsidRPr="00CF674C">
              <w:rPr>
                <w:rFonts w:cs="Arial"/>
                <w:sz w:val="22"/>
                <w:szCs w:val="22"/>
              </w:rPr>
              <w:t>78,357</w:t>
            </w:r>
          </w:p>
        </w:tc>
        <w:tc>
          <w:tcPr>
            <w:tcW w:w="921" w:type="pct"/>
            <w:tcBorders>
              <w:top w:val="single" w:sz="4" w:space="0" w:color="auto"/>
              <w:left w:val="nil"/>
              <w:bottom w:val="single" w:sz="4" w:space="0" w:color="auto"/>
              <w:right w:val="single" w:sz="4" w:space="0" w:color="auto"/>
            </w:tcBorders>
            <w:vAlign w:val="center"/>
          </w:tcPr>
          <w:p w14:paraId="51868CD8" w14:textId="77777777" w:rsidR="00D3110D" w:rsidRPr="00CF674C" w:rsidRDefault="00D3110D" w:rsidP="00D37D2D">
            <w:pPr>
              <w:overflowPunct/>
              <w:autoSpaceDE/>
              <w:autoSpaceDN/>
              <w:adjustRightInd/>
              <w:spacing w:before="0"/>
              <w:jc w:val="right"/>
              <w:textAlignment w:val="auto"/>
              <w:rPr>
                <w:rFonts w:cs="Arial"/>
                <w:sz w:val="22"/>
                <w:szCs w:val="22"/>
                <w:lang w:val="en-US" w:eastAsia="zh-CN"/>
              </w:rPr>
            </w:pPr>
            <w:r w:rsidRPr="00CF674C">
              <w:rPr>
                <w:rFonts w:cs="Arial"/>
                <w:sz w:val="22"/>
                <w:szCs w:val="22"/>
              </w:rPr>
              <w:t>28,548</w:t>
            </w:r>
          </w:p>
        </w:tc>
      </w:tr>
    </w:tbl>
    <w:p w14:paraId="1121C435" w14:textId="41181885" w:rsidR="00574DB1" w:rsidRDefault="00574DB1" w:rsidP="006A6E24">
      <w:pPr>
        <w:keepNext/>
        <w:keepLines/>
        <w:spacing w:after="240"/>
        <w:rPr>
          <w:szCs w:val="22"/>
          <w:lang w:val="en-US" w:eastAsia="zh-CN"/>
        </w:rPr>
      </w:pPr>
      <w:r>
        <w:rPr>
          <w:szCs w:val="24"/>
          <w:lang w:eastAsia="zh-CN"/>
        </w:rPr>
        <w:lastRenderedPageBreak/>
        <w:t>2.3</w:t>
      </w:r>
      <w:r>
        <w:rPr>
          <w:szCs w:val="24"/>
          <w:lang w:eastAsia="zh-CN"/>
        </w:rPr>
        <w:tab/>
      </w:r>
      <w:r w:rsidR="00046FA5">
        <w:rPr>
          <w:rFonts w:hint="eastAsia"/>
          <w:szCs w:val="24"/>
          <w:lang w:eastAsia="zh-CN"/>
        </w:rPr>
        <w:t>在过去的三年，根据</w:t>
      </w:r>
      <w:r w:rsidR="00046FA5">
        <w:rPr>
          <w:rFonts w:hint="eastAsia"/>
          <w:lang w:eastAsia="zh-CN"/>
        </w:rPr>
        <w:t>联合国</w:t>
      </w:r>
      <w:r w:rsidR="00046FA5" w:rsidRPr="00CC7823">
        <w:rPr>
          <w:rFonts w:hint="eastAsia"/>
          <w:lang w:eastAsia="zh-CN"/>
        </w:rPr>
        <w:t>国际公共部门会计准则</w:t>
      </w:r>
      <w:r w:rsidR="00046FA5">
        <w:rPr>
          <w:rFonts w:hint="eastAsia"/>
          <w:lang w:eastAsia="zh-CN"/>
        </w:rPr>
        <w:t>（</w:t>
      </w:r>
      <w:r w:rsidR="00046FA5">
        <w:rPr>
          <w:szCs w:val="24"/>
          <w:lang w:eastAsia="zh-CN"/>
        </w:rPr>
        <w:t>UN IPSAS</w:t>
      </w:r>
      <w:r w:rsidR="00046FA5">
        <w:rPr>
          <w:rFonts w:hint="eastAsia"/>
          <w:lang w:eastAsia="zh-CN"/>
        </w:rPr>
        <w:t>）任务组做出的一项决定，联合国机构均对与</w:t>
      </w:r>
      <w:r w:rsidR="00046FA5" w:rsidRPr="00BD4B6C">
        <w:rPr>
          <w:szCs w:val="22"/>
          <w:lang w:val="en-US" w:eastAsia="zh-CN"/>
        </w:rPr>
        <w:t>离职后健康保险计划</w:t>
      </w:r>
      <w:r w:rsidR="00046FA5">
        <w:rPr>
          <w:rFonts w:hint="eastAsia"/>
          <w:szCs w:val="22"/>
          <w:lang w:val="en-US" w:eastAsia="zh-CN"/>
        </w:rPr>
        <w:t>估值相关</w:t>
      </w:r>
      <w:r w:rsidR="00046FA5" w:rsidRPr="00BD4B6C">
        <w:rPr>
          <w:szCs w:val="22"/>
          <w:lang w:val="en-US" w:eastAsia="zh-CN"/>
        </w:rPr>
        <w:t>的</w:t>
      </w:r>
      <w:r w:rsidR="00046FA5">
        <w:rPr>
          <w:rFonts w:hint="eastAsia"/>
          <w:lang w:eastAsia="zh-CN"/>
        </w:rPr>
        <w:t>所有</w:t>
      </w:r>
      <w:r w:rsidR="00046FA5">
        <w:rPr>
          <w:rFonts w:hint="eastAsia"/>
          <w:szCs w:val="22"/>
          <w:lang w:val="en-US" w:eastAsia="zh-CN"/>
        </w:rPr>
        <w:t>假设进行了协调统一。</w:t>
      </w:r>
    </w:p>
    <w:p w14:paraId="241AC8B7" w14:textId="77777777" w:rsidR="00574DB1" w:rsidRPr="007636F8" w:rsidRDefault="00574DB1" w:rsidP="007E3353">
      <w:pPr>
        <w:snapToGrid w:val="0"/>
        <w:spacing w:before="240" w:after="120"/>
        <w:jc w:val="both"/>
        <w:rPr>
          <w:b/>
          <w:color w:val="800000"/>
          <w:sz w:val="22"/>
          <w:highlight w:val="yellow"/>
          <w:lang w:val="en-US" w:eastAsia="zh-CN"/>
        </w:rPr>
      </w:pPr>
      <w:r>
        <w:rPr>
          <w:szCs w:val="24"/>
          <w:lang w:eastAsia="zh-CN"/>
        </w:rPr>
        <w:t>2.4</w:t>
      </w:r>
      <w:r>
        <w:rPr>
          <w:szCs w:val="24"/>
          <w:lang w:eastAsia="zh-CN"/>
        </w:rPr>
        <w:tab/>
      </w:r>
      <w:r>
        <w:rPr>
          <w:rFonts w:hint="eastAsia"/>
          <w:szCs w:val="24"/>
          <w:lang w:eastAsia="zh-CN"/>
        </w:rPr>
        <w:t>在</w:t>
      </w:r>
      <w:r>
        <w:rPr>
          <w:rFonts w:hint="eastAsia"/>
          <w:lang w:eastAsia="zh-CN"/>
        </w:rPr>
        <w:t>用于精算</w:t>
      </w:r>
      <w:r>
        <w:rPr>
          <w:lang w:eastAsia="zh-CN"/>
        </w:rPr>
        <w:t>估值的</w:t>
      </w:r>
      <w:r>
        <w:rPr>
          <w:rFonts w:hint="eastAsia"/>
          <w:lang w:eastAsia="zh-CN"/>
        </w:rPr>
        <w:t>精</w:t>
      </w:r>
      <w:r>
        <w:rPr>
          <w:lang w:eastAsia="zh-CN"/>
        </w:rPr>
        <w:t>算假设中，（</w:t>
      </w:r>
      <w:r>
        <w:rPr>
          <w:rFonts w:hint="eastAsia"/>
          <w:lang w:eastAsia="zh-CN"/>
        </w:rPr>
        <w:t>基于</w:t>
      </w:r>
      <w:r w:rsidRPr="006E7601">
        <w:rPr>
          <w:lang w:eastAsia="zh-CN"/>
        </w:rPr>
        <w:t>AA</w:t>
      </w:r>
      <w:r>
        <w:rPr>
          <w:rFonts w:hint="eastAsia"/>
          <w:lang w:eastAsia="zh-CN"/>
        </w:rPr>
        <w:t>主体信用评级企业的承付款收益率</w:t>
      </w:r>
      <w:r>
        <w:rPr>
          <w:lang w:eastAsia="zh-CN"/>
        </w:rPr>
        <w:t>）贴现率、医疗费用的上涨和</w:t>
      </w:r>
      <w:r>
        <w:rPr>
          <w:rFonts w:hint="eastAsia"/>
          <w:lang w:eastAsia="zh-CN"/>
        </w:rPr>
        <w:t>增加工资的</w:t>
      </w:r>
      <w:r>
        <w:rPr>
          <w:lang w:eastAsia="zh-CN"/>
        </w:rPr>
        <w:t>影响最大。贴现率的降低和医疗费用的上涨使得</w:t>
      </w:r>
      <w:r>
        <w:rPr>
          <w:lang w:eastAsia="zh-CN"/>
        </w:rPr>
        <w:t>ASHI</w:t>
      </w:r>
      <w:r>
        <w:rPr>
          <w:lang w:eastAsia="zh-CN"/>
        </w:rPr>
        <w:t>负债加大，而</w:t>
      </w:r>
      <w:r>
        <w:rPr>
          <w:rFonts w:hint="eastAsia"/>
          <w:lang w:eastAsia="zh-CN"/>
        </w:rPr>
        <w:t>涨</w:t>
      </w:r>
      <w:r>
        <w:rPr>
          <w:lang w:eastAsia="zh-CN"/>
        </w:rPr>
        <w:t>工资则</w:t>
      </w:r>
      <w:r>
        <w:rPr>
          <w:rFonts w:hint="eastAsia"/>
          <w:lang w:eastAsia="zh-CN"/>
        </w:rPr>
        <w:t>增加</w:t>
      </w:r>
      <w:r>
        <w:rPr>
          <w:lang w:eastAsia="zh-CN"/>
        </w:rPr>
        <w:t>了参保人员和国际电联</w:t>
      </w:r>
      <w:r>
        <w:rPr>
          <w:rFonts w:hint="eastAsia"/>
          <w:lang w:eastAsia="zh-CN"/>
        </w:rPr>
        <w:t>的缴费以及对</w:t>
      </w:r>
      <w:r>
        <w:rPr>
          <w:lang w:eastAsia="zh-CN"/>
        </w:rPr>
        <w:t>ASHI</w:t>
      </w:r>
      <w:r>
        <w:rPr>
          <w:lang w:eastAsia="zh-CN"/>
        </w:rPr>
        <w:t>负债</w:t>
      </w:r>
      <w:r>
        <w:rPr>
          <w:rFonts w:hint="eastAsia"/>
          <w:lang w:eastAsia="zh-CN"/>
        </w:rPr>
        <w:t>供</w:t>
      </w:r>
      <w:r>
        <w:rPr>
          <w:lang w:eastAsia="zh-CN"/>
        </w:rPr>
        <w:t>资的</w:t>
      </w:r>
      <w:r>
        <w:rPr>
          <w:rFonts w:hint="eastAsia"/>
          <w:lang w:eastAsia="zh-CN"/>
        </w:rPr>
        <w:t>支持</w:t>
      </w:r>
      <w:r>
        <w:rPr>
          <w:lang w:eastAsia="zh-CN"/>
        </w:rPr>
        <w:t>。</w:t>
      </w:r>
    </w:p>
    <w:p w14:paraId="21F7596C" w14:textId="4DF70A35" w:rsidR="00D3110D" w:rsidRDefault="00574DB1" w:rsidP="00D3110D">
      <w:pPr>
        <w:rPr>
          <w:lang w:eastAsia="zh-CN"/>
        </w:rPr>
      </w:pPr>
      <w:r>
        <w:rPr>
          <w:szCs w:val="24"/>
          <w:lang w:eastAsia="zh-CN"/>
        </w:rPr>
        <w:t>2.5</w:t>
      </w:r>
      <w:r>
        <w:rPr>
          <w:szCs w:val="24"/>
          <w:lang w:eastAsia="zh-CN"/>
        </w:rPr>
        <w:tab/>
      </w:r>
      <w:r>
        <w:rPr>
          <w:lang w:eastAsia="zh-CN"/>
        </w:rPr>
        <w:t>下表具体说明这些假设的演进变化。</w:t>
      </w:r>
    </w:p>
    <w:p w14:paraId="194F61A2" w14:textId="77777777" w:rsidR="00166DCE" w:rsidRDefault="00166DCE" w:rsidP="00D3110D">
      <w:pPr>
        <w:rPr>
          <w:b/>
          <w:bCs/>
          <w:lang w:eastAsia="zh-CN"/>
        </w:rPr>
      </w:pPr>
    </w:p>
    <w:tbl>
      <w:tblPr>
        <w:tblpPr w:leftFromText="180" w:rightFromText="180" w:vertAnchor="text" w:horzAnchor="margin" w:tblpY="-50"/>
        <w:tblW w:w="5000" w:type="pct"/>
        <w:tblLook w:val="04A0" w:firstRow="1" w:lastRow="0" w:firstColumn="1" w:lastColumn="0" w:noHBand="0" w:noVBand="1"/>
      </w:tblPr>
      <w:tblGrid>
        <w:gridCol w:w="2825"/>
        <w:gridCol w:w="1327"/>
        <w:gridCol w:w="1327"/>
        <w:gridCol w:w="1156"/>
        <w:gridCol w:w="991"/>
        <w:gridCol w:w="998"/>
        <w:gridCol w:w="995"/>
      </w:tblGrid>
      <w:tr w:rsidR="00166DCE" w:rsidRPr="00314801" w14:paraId="529A99FB" w14:textId="77777777" w:rsidTr="0024049D">
        <w:trPr>
          <w:trHeight w:val="435"/>
        </w:trPr>
        <w:tc>
          <w:tcPr>
            <w:tcW w:w="1468" w:type="pct"/>
            <w:tcBorders>
              <w:top w:val="single" w:sz="8" w:space="0" w:color="auto"/>
              <w:left w:val="single" w:sz="8" w:space="0" w:color="auto"/>
              <w:bottom w:val="nil"/>
              <w:right w:val="single" w:sz="4" w:space="0" w:color="auto"/>
            </w:tcBorders>
            <w:shd w:val="clear" w:color="auto" w:fill="auto"/>
            <w:vAlign w:val="center"/>
            <w:hideMark/>
          </w:tcPr>
          <w:p w14:paraId="52010357" w14:textId="77777777" w:rsidR="00166DCE" w:rsidRPr="00D3110D" w:rsidRDefault="00166DCE" w:rsidP="0024049D">
            <w:pPr>
              <w:rPr>
                <w:rFonts w:asciiTheme="minorHAnsi" w:hAnsiTheme="minorHAnsi" w:cstheme="minorHAnsi"/>
                <w:color w:val="000000"/>
                <w:sz w:val="22"/>
                <w:szCs w:val="22"/>
                <w:lang w:eastAsia="zh-CN"/>
              </w:rPr>
            </w:pPr>
            <w:r w:rsidRPr="00D3110D">
              <w:rPr>
                <w:rFonts w:asciiTheme="minorHAnsi" w:hAnsiTheme="minorHAnsi" w:cstheme="minorHAnsi"/>
                <w:color w:val="000000"/>
                <w:sz w:val="22"/>
                <w:szCs w:val="22"/>
                <w:lang w:eastAsia="zh-CN"/>
              </w:rPr>
              <w:t> </w:t>
            </w:r>
          </w:p>
        </w:tc>
        <w:tc>
          <w:tcPr>
            <w:tcW w:w="690" w:type="pct"/>
            <w:tcBorders>
              <w:top w:val="single" w:sz="8" w:space="0" w:color="auto"/>
              <w:left w:val="nil"/>
              <w:bottom w:val="single" w:sz="8" w:space="0" w:color="auto"/>
              <w:right w:val="single" w:sz="8" w:space="0" w:color="auto"/>
            </w:tcBorders>
            <w:shd w:val="clear" w:color="auto" w:fill="auto"/>
            <w:noWrap/>
            <w:vAlign w:val="center"/>
            <w:hideMark/>
          </w:tcPr>
          <w:p w14:paraId="0BE9F8CD" w14:textId="77777777" w:rsidR="00166DCE" w:rsidRPr="00D3110D" w:rsidRDefault="00166DCE" w:rsidP="0024049D">
            <w:pPr>
              <w:jc w:val="center"/>
              <w:rPr>
                <w:rFonts w:asciiTheme="minorHAnsi" w:hAnsiTheme="minorHAnsi" w:cstheme="minorHAnsi"/>
                <w:color w:val="000000"/>
                <w:sz w:val="22"/>
                <w:szCs w:val="22"/>
              </w:rPr>
            </w:pPr>
            <w:r w:rsidRPr="00D3110D">
              <w:rPr>
                <w:rFonts w:asciiTheme="minorHAnsi" w:hAnsiTheme="minorHAnsi" w:cstheme="minorHAnsi"/>
                <w:color w:val="000000"/>
                <w:sz w:val="22"/>
                <w:szCs w:val="22"/>
              </w:rPr>
              <w:t>2014</w:t>
            </w:r>
            <w:r w:rsidRPr="00D3110D">
              <w:rPr>
                <w:rFonts w:asciiTheme="minorHAnsi" w:hAnsiTheme="minorHAnsi" w:cstheme="minorHAnsi"/>
                <w:color w:val="000000"/>
                <w:sz w:val="22"/>
                <w:szCs w:val="22"/>
              </w:rPr>
              <w:t>年</w:t>
            </w:r>
          </w:p>
        </w:tc>
        <w:tc>
          <w:tcPr>
            <w:tcW w:w="690" w:type="pct"/>
            <w:tcBorders>
              <w:top w:val="single" w:sz="8" w:space="0" w:color="auto"/>
              <w:left w:val="nil"/>
              <w:bottom w:val="single" w:sz="8" w:space="0" w:color="auto"/>
              <w:right w:val="single" w:sz="8" w:space="0" w:color="auto"/>
            </w:tcBorders>
            <w:shd w:val="clear" w:color="auto" w:fill="auto"/>
            <w:vAlign w:val="center"/>
            <w:hideMark/>
          </w:tcPr>
          <w:p w14:paraId="29FA7BEF" w14:textId="77777777" w:rsidR="00166DCE" w:rsidRPr="00D3110D" w:rsidRDefault="00166DCE" w:rsidP="0024049D">
            <w:pPr>
              <w:jc w:val="center"/>
              <w:rPr>
                <w:rFonts w:asciiTheme="minorHAnsi" w:hAnsiTheme="minorHAnsi" w:cstheme="minorHAnsi"/>
                <w:color w:val="000000"/>
                <w:sz w:val="22"/>
                <w:szCs w:val="22"/>
              </w:rPr>
            </w:pPr>
            <w:r w:rsidRPr="00D3110D">
              <w:rPr>
                <w:rFonts w:asciiTheme="minorHAnsi" w:hAnsiTheme="minorHAnsi" w:cstheme="minorHAnsi"/>
                <w:color w:val="000000"/>
                <w:sz w:val="22"/>
                <w:szCs w:val="22"/>
              </w:rPr>
              <w:t>2015</w:t>
            </w:r>
            <w:r w:rsidRPr="00D3110D">
              <w:rPr>
                <w:rFonts w:asciiTheme="minorHAnsi" w:hAnsiTheme="minorHAnsi" w:cstheme="minorHAnsi"/>
                <w:color w:val="000000"/>
                <w:sz w:val="22"/>
                <w:szCs w:val="22"/>
              </w:rPr>
              <w:t>年</w:t>
            </w:r>
          </w:p>
        </w:tc>
        <w:tc>
          <w:tcPr>
            <w:tcW w:w="601" w:type="pct"/>
            <w:tcBorders>
              <w:top w:val="single" w:sz="8" w:space="0" w:color="auto"/>
              <w:left w:val="nil"/>
              <w:bottom w:val="single" w:sz="8" w:space="0" w:color="auto"/>
              <w:right w:val="single" w:sz="8" w:space="0" w:color="auto"/>
            </w:tcBorders>
            <w:shd w:val="clear" w:color="auto" w:fill="auto"/>
            <w:noWrap/>
            <w:vAlign w:val="center"/>
            <w:hideMark/>
          </w:tcPr>
          <w:p w14:paraId="097140CA" w14:textId="77777777" w:rsidR="00166DCE" w:rsidRPr="00D3110D" w:rsidRDefault="00166DCE" w:rsidP="0024049D">
            <w:pPr>
              <w:jc w:val="center"/>
              <w:rPr>
                <w:rFonts w:asciiTheme="minorHAnsi" w:hAnsiTheme="minorHAnsi" w:cstheme="minorHAnsi"/>
                <w:color w:val="000000"/>
                <w:sz w:val="22"/>
                <w:szCs w:val="22"/>
              </w:rPr>
            </w:pPr>
            <w:r w:rsidRPr="00D3110D">
              <w:rPr>
                <w:rFonts w:asciiTheme="minorHAnsi" w:hAnsiTheme="minorHAnsi" w:cstheme="minorHAnsi"/>
                <w:color w:val="000000"/>
                <w:sz w:val="22"/>
                <w:szCs w:val="22"/>
              </w:rPr>
              <w:t>2016</w:t>
            </w:r>
            <w:r w:rsidRPr="00D3110D">
              <w:rPr>
                <w:rFonts w:asciiTheme="minorHAnsi" w:hAnsiTheme="minorHAnsi" w:cstheme="minorHAnsi"/>
                <w:color w:val="000000"/>
                <w:sz w:val="22"/>
                <w:szCs w:val="22"/>
              </w:rPr>
              <w:t>年</w:t>
            </w:r>
          </w:p>
        </w:tc>
        <w:tc>
          <w:tcPr>
            <w:tcW w:w="515" w:type="pct"/>
            <w:tcBorders>
              <w:top w:val="single" w:sz="8" w:space="0" w:color="auto"/>
              <w:left w:val="nil"/>
              <w:bottom w:val="single" w:sz="8" w:space="0" w:color="auto"/>
              <w:right w:val="single" w:sz="8" w:space="0" w:color="auto"/>
            </w:tcBorders>
            <w:shd w:val="clear" w:color="auto" w:fill="auto"/>
            <w:vAlign w:val="center"/>
            <w:hideMark/>
          </w:tcPr>
          <w:p w14:paraId="58CF4B5D" w14:textId="77777777" w:rsidR="00166DCE" w:rsidRPr="00D3110D" w:rsidRDefault="00166DCE" w:rsidP="0024049D">
            <w:pPr>
              <w:jc w:val="center"/>
              <w:rPr>
                <w:rFonts w:asciiTheme="minorHAnsi" w:hAnsiTheme="minorHAnsi" w:cstheme="minorHAnsi"/>
                <w:color w:val="000000"/>
                <w:sz w:val="22"/>
                <w:szCs w:val="22"/>
              </w:rPr>
            </w:pPr>
            <w:r w:rsidRPr="00D3110D">
              <w:rPr>
                <w:rFonts w:asciiTheme="minorHAnsi" w:hAnsiTheme="minorHAnsi" w:cstheme="minorHAnsi"/>
                <w:color w:val="000000"/>
                <w:sz w:val="22"/>
                <w:szCs w:val="22"/>
              </w:rPr>
              <w:t>2017</w:t>
            </w:r>
            <w:r w:rsidRPr="00D3110D">
              <w:rPr>
                <w:rFonts w:asciiTheme="minorHAnsi" w:hAnsiTheme="minorHAnsi" w:cstheme="minorHAnsi"/>
                <w:color w:val="000000"/>
                <w:sz w:val="22"/>
                <w:szCs w:val="22"/>
              </w:rPr>
              <w:t>年</w:t>
            </w:r>
          </w:p>
        </w:tc>
        <w:tc>
          <w:tcPr>
            <w:tcW w:w="519" w:type="pct"/>
            <w:tcBorders>
              <w:top w:val="single" w:sz="8" w:space="0" w:color="auto"/>
              <w:left w:val="nil"/>
              <w:bottom w:val="single" w:sz="8" w:space="0" w:color="auto"/>
              <w:right w:val="single" w:sz="8" w:space="0" w:color="auto"/>
            </w:tcBorders>
            <w:vAlign w:val="center"/>
          </w:tcPr>
          <w:p w14:paraId="238B21A7" w14:textId="77777777" w:rsidR="00166DCE" w:rsidRPr="00D3110D" w:rsidRDefault="00166DCE" w:rsidP="0024049D">
            <w:pPr>
              <w:jc w:val="center"/>
              <w:rPr>
                <w:rFonts w:asciiTheme="minorHAnsi" w:hAnsiTheme="minorHAnsi" w:cstheme="minorHAnsi"/>
                <w:color w:val="000000"/>
                <w:sz w:val="22"/>
                <w:szCs w:val="22"/>
              </w:rPr>
            </w:pPr>
            <w:r w:rsidRPr="00D3110D">
              <w:rPr>
                <w:rFonts w:asciiTheme="minorHAnsi" w:hAnsiTheme="minorHAnsi" w:cstheme="minorHAnsi"/>
                <w:color w:val="000000"/>
                <w:sz w:val="22"/>
                <w:szCs w:val="22"/>
              </w:rPr>
              <w:t>2018</w:t>
            </w:r>
            <w:r w:rsidRPr="00D3110D">
              <w:rPr>
                <w:rFonts w:asciiTheme="minorHAnsi" w:hAnsiTheme="minorHAnsi" w:cstheme="minorHAnsi"/>
                <w:color w:val="000000"/>
                <w:sz w:val="22"/>
                <w:szCs w:val="22"/>
              </w:rPr>
              <w:t>年</w:t>
            </w:r>
          </w:p>
        </w:tc>
        <w:tc>
          <w:tcPr>
            <w:tcW w:w="517" w:type="pct"/>
            <w:tcBorders>
              <w:top w:val="single" w:sz="8" w:space="0" w:color="auto"/>
              <w:left w:val="nil"/>
              <w:bottom w:val="single" w:sz="8" w:space="0" w:color="auto"/>
              <w:right w:val="single" w:sz="8" w:space="0" w:color="auto"/>
            </w:tcBorders>
            <w:vAlign w:val="center"/>
          </w:tcPr>
          <w:p w14:paraId="2B96C89B" w14:textId="77777777" w:rsidR="00166DCE" w:rsidRPr="00D3110D" w:rsidRDefault="00166DCE" w:rsidP="0024049D">
            <w:pPr>
              <w:jc w:val="center"/>
              <w:rPr>
                <w:rFonts w:asciiTheme="minorHAnsi" w:hAnsiTheme="minorHAnsi" w:cstheme="minorHAnsi"/>
                <w:color w:val="000000"/>
                <w:sz w:val="22"/>
                <w:szCs w:val="22"/>
              </w:rPr>
            </w:pPr>
            <w:r w:rsidRPr="00D3110D">
              <w:rPr>
                <w:rFonts w:asciiTheme="minorHAnsi" w:hAnsiTheme="minorHAnsi" w:cstheme="minorHAnsi"/>
                <w:color w:val="000000"/>
                <w:sz w:val="22"/>
                <w:szCs w:val="22"/>
              </w:rPr>
              <w:t>2019</w:t>
            </w:r>
            <w:r w:rsidRPr="00D3110D">
              <w:rPr>
                <w:rFonts w:asciiTheme="minorHAnsi" w:hAnsiTheme="minorHAnsi" w:cstheme="minorHAnsi"/>
                <w:color w:val="000000"/>
                <w:sz w:val="22"/>
                <w:szCs w:val="22"/>
              </w:rPr>
              <w:t>年</w:t>
            </w:r>
          </w:p>
        </w:tc>
      </w:tr>
      <w:tr w:rsidR="00166DCE" w:rsidRPr="00314801" w14:paraId="0DD7D484" w14:textId="77777777" w:rsidTr="0024049D">
        <w:trPr>
          <w:trHeight w:val="480"/>
        </w:trPr>
        <w:tc>
          <w:tcPr>
            <w:tcW w:w="1468" w:type="pct"/>
            <w:tcBorders>
              <w:top w:val="nil"/>
              <w:left w:val="single" w:sz="8" w:space="0" w:color="auto"/>
              <w:bottom w:val="nil"/>
              <w:right w:val="single" w:sz="4" w:space="0" w:color="auto"/>
            </w:tcBorders>
            <w:shd w:val="clear" w:color="auto" w:fill="auto"/>
            <w:vAlign w:val="bottom"/>
            <w:hideMark/>
          </w:tcPr>
          <w:p w14:paraId="10120A74" w14:textId="77777777" w:rsidR="00166DCE" w:rsidRPr="00D3110D" w:rsidRDefault="00166DCE" w:rsidP="0024049D">
            <w:pPr>
              <w:rPr>
                <w:rFonts w:asciiTheme="minorHAnsi" w:hAnsiTheme="minorHAnsi" w:cstheme="minorHAnsi"/>
                <w:color w:val="000000"/>
                <w:sz w:val="22"/>
                <w:szCs w:val="22"/>
              </w:rPr>
            </w:pPr>
            <w:r w:rsidRPr="00D3110D">
              <w:rPr>
                <w:rFonts w:asciiTheme="minorHAnsi" w:hAnsiTheme="minorHAnsi" w:cstheme="minorHAnsi"/>
                <w:sz w:val="22"/>
                <w:szCs w:val="22"/>
                <w:lang w:val="en-US" w:eastAsia="zh-CN"/>
              </w:rPr>
              <w:t>贴现率</w:t>
            </w:r>
          </w:p>
        </w:tc>
        <w:tc>
          <w:tcPr>
            <w:tcW w:w="690" w:type="pct"/>
            <w:tcBorders>
              <w:top w:val="nil"/>
              <w:left w:val="nil"/>
              <w:bottom w:val="nil"/>
              <w:right w:val="single" w:sz="8" w:space="0" w:color="auto"/>
            </w:tcBorders>
            <w:shd w:val="clear" w:color="auto" w:fill="auto"/>
            <w:noWrap/>
            <w:vAlign w:val="bottom"/>
            <w:hideMark/>
          </w:tcPr>
          <w:p w14:paraId="1F27B692" w14:textId="77777777" w:rsidR="00166DCE" w:rsidRPr="00D3110D" w:rsidRDefault="00166DCE" w:rsidP="0024049D">
            <w:pPr>
              <w:jc w:val="center"/>
              <w:rPr>
                <w:rFonts w:asciiTheme="minorHAnsi" w:hAnsiTheme="minorHAnsi" w:cstheme="minorHAnsi"/>
                <w:color w:val="000000"/>
                <w:sz w:val="22"/>
                <w:szCs w:val="22"/>
              </w:rPr>
            </w:pPr>
            <w:r w:rsidRPr="00D3110D">
              <w:rPr>
                <w:rFonts w:asciiTheme="minorHAnsi" w:hAnsiTheme="minorHAnsi" w:cstheme="minorHAnsi"/>
                <w:color w:val="000000"/>
                <w:sz w:val="22"/>
                <w:szCs w:val="22"/>
              </w:rPr>
              <w:t>1.51%</w:t>
            </w:r>
          </w:p>
        </w:tc>
        <w:tc>
          <w:tcPr>
            <w:tcW w:w="690" w:type="pct"/>
            <w:tcBorders>
              <w:top w:val="nil"/>
              <w:left w:val="nil"/>
              <w:bottom w:val="nil"/>
              <w:right w:val="single" w:sz="8" w:space="0" w:color="auto"/>
            </w:tcBorders>
            <w:shd w:val="clear" w:color="auto" w:fill="auto"/>
            <w:noWrap/>
            <w:vAlign w:val="bottom"/>
            <w:hideMark/>
          </w:tcPr>
          <w:p w14:paraId="5193BBE1" w14:textId="77777777" w:rsidR="00166DCE" w:rsidRPr="00D3110D" w:rsidRDefault="00166DCE" w:rsidP="0024049D">
            <w:pPr>
              <w:jc w:val="center"/>
              <w:rPr>
                <w:rFonts w:asciiTheme="minorHAnsi" w:hAnsiTheme="minorHAnsi" w:cstheme="minorHAnsi"/>
                <w:color w:val="000000"/>
                <w:sz w:val="22"/>
                <w:szCs w:val="22"/>
              </w:rPr>
            </w:pPr>
            <w:r w:rsidRPr="00D3110D">
              <w:rPr>
                <w:rFonts w:asciiTheme="minorHAnsi" w:hAnsiTheme="minorHAnsi" w:cstheme="minorHAnsi"/>
                <w:color w:val="000000"/>
                <w:sz w:val="22"/>
                <w:szCs w:val="22"/>
              </w:rPr>
              <w:t>1.32%</w:t>
            </w:r>
          </w:p>
        </w:tc>
        <w:tc>
          <w:tcPr>
            <w:tcW w:w="601" w:type="pct"/>
            <w:tcBorders>
              <w:top w:val="nil"/>
              <w:left w:val="nil"/>
              <w:bottom w:val="nil"/>
              <w:right w:val="single" w:sz="8" w:space="0" w:color="auto"/>
            </w:tcBorders>
            <w:shd w:val="clear" w:color="auto" w:fill="auto"/>
            <w:noWrap/>
            <w:vAlign w:val="bottom"/>
            <w:hideMark/>
          </w:tcPr>
          <w:p w14:paraId="2B9B9376" w14:textId="77777777" w:rsidR="00166DCE" w:rsidRPr="00D3110D" w:rsidRDefault="00166DCE" w:rsidP="0024049D">
            <w:pPr>
              <w:jc w:val="center"/>
              <w:rPr>
                <w:rFonts w:asciiTheme="minorHAnsi" w:hAnsiTheme="minorHAnsi" w:cstheme="minorHAnsi"/>
                <w:color w:val="000000"/>
                <w:sz w:val="22"/>
                <w:szCs w:val="22"/>
              </w:rPr>
            </w:pPr>
            <w:r w:rsidRPr="00D3110D">
              <w:rPr>
                <w:rFonts w:asciiTheme="minorHAnsi" w:hAnsiTheme="minorHAnsi" w:cstheme="minorHAnsi"/>
                <w:color w:val="000000"/>
                <w:sz w:val="22"/>
                <w:szCs w:val="22"/>
              </w:rPr>
              <w:t>0.92%</w:t>
            </w:r>
          </w:p>
        </w:tc>
        <w:tc>
          <w:tcPr>
            <w:tcW w:w="515" w:type="pct"/>
            <w:tcBorders>
              <w:top w:val="nil"/>
              <w:left w:val="nil"/>
              <w:bottom w:val="nil"/>
              <w:right w:val="single" w:sz="8" w:space="0" w:color="auto"/>
            </w:tcBorders>
            <w:shd w:val="clear" w:color="auto" w:fill="auto"/>
            <w:noWrap/>
            <w:vAlign w:val="bottom"/>
            <w:hideMark/>
          </w:tcPr>
          <w:p w14:paraId="0A74DEDA" w14:textId="77777777" w:rsidR="00166DCE" w:rsidRPr="00D3110D" w:rsidRDefault="00166DCE" w:rsidP="0024049D">
            <w:pPr>
              <w:jc w:val="center"/>
              <w:rPr>
                <w:rFonts w:asciiTheme="minorHAnsi" w:hAnsiTheme="minorHAnsi" w:cstheme="minorHAnsi"/>
                <w:color w:val="000000"/>
                <w:sz w:val="22"/>
                <w:szCs w:val="22"/>
              </w:rPr>
            </w:pPr>
            <w:r w:rsidRPr="00D3110D">
              <w:rPr>
                <w:rFonts w:asciiTheme="minorHAnsi" w:hAnsiTheme="minorHAnsi" w:cstheme="minorHAnsi"/>
                <w:color w:val="000000"/>
                <w:sz w:val="22"/>
                <w:szCs w:val="22"/>
              </w:rPr>
              <w:t>0.90%</w:t>
            </w:r>
          </w:p>
        </w:tc>
        <w:tc>
          <w:tcPr>
            <w:tcW w:w="519" w:type="pct"/>
            <w:tcBorders>
              <w:top w:val="nil"/>
              <w:left w:val="nil"/>
              <w:bottom w:val="nil"/>
              <w:right w:val="single" w:sz="8" w:space="0" w:color="auto"/>
            </w:tcBorders>
            <w:vAlign w:val="bottom"/>
          </w:tcPr>
          <w:p w14:paraId="40960186" w14:textId="77777777" w:rsidR="00166DCE" w:rsidRPr="00D3110D" w:rsidRDefault="00166DCE" w:rsidP="0024049D">
            <w:pPr>
              <w:jc w:val="center"/>
              <w:rPr>
                <w:rFonts w:asciiTheme="minorHAnsi" w:hAnsiTheme="minorHAnsi" w:cstheme="minorHAnsi"/>
                <w:color w:val="000000"/>
                <w:sz w:val="22"/>
                <w:szCs w:val="22"/>
              </w:rPr>
            </w:pPr>
            <w:r w:rsidRPr="00D3110D">
              <w:rPr>
                <w:rFonts w:asciiTheme="minorHAnsi" w:hAnsiTheme="minorHAnsi" w:cstheme="minorHAnsi"/>
                <w:color w:val="000000"/>
                <w:sz w:val="22"/>
                <w:szCs w:val="22"/>
              </w:rPr>
              <w:t>1.20%</w:t>
            </w:r>
          </w:p>
        </w:tc>
        <w:tc>
          <w:tcPr>
            <w:tcW w:w="517" w:type="pct"/>
            <w:tcBorders>
              <w:top w:val="nil"/>
              <w:left w:val="nil"/>
              <w:bottom w:val="nil"/>
              <w:right w:val="single" w:sz="8" w:space="0" w:color="auto"/>
            </w:tcBorders>
            <w:vAlign w:val="bottom"/>
          </w:tcPr>
          <w:p w14:paraId="55C55196" w14:textId="77777777" w:rsidR="00166DCE" w:rsidRPr="00D3110D" w:rsidRDefault="00166DCE" w:rsidP="0024049D">
            <w:pPr>
              <w:jc w:val="center"/>
              <w:rPr>
                <w:rFonts w:asciiTheme="minorHAnsi" w:hAnsiTheme="minorHAnsi" w:cstheme="minorHAnsi"/>
                <w:color w:val="000000"/>
                <w:sz w:val="22"/>
                <w:szCs w:val="22"/>
              </w:rPr>
            </w:pPr>
            <w:r w:rsidRPr="00D3110D">
              <w:rPr>
                <w:rFonts w:asciiTheme="minorHAnsi" w:hAnsiTheme="minorHAnsi" w:cstheme="minorHAnsi"/>
                <w:color w:val="000000"/>
                <w:sz w:val="22"/>
                <w:szCs w:val="22"/>
              </w:rPr>
              <w:t>0.60%</w:t>
            </w:r>
          </w:p>
        </w:tc>
      </w:tr>
      <w:tr w:rsidR="00166DCE" w:rsidRPr="00314801" w14:paraId="0C4DF622" w14:textId="77777777" w:rsidTr="0024049D">
        <w:trPr>
          <w:trHeight w:val="420"/>
        </w:trPr>
        <w:tc>
          <w:tcPr>
            <w:tcW w:w="1468" w:type="pct"/>
            <w:tcBorders>
              <w:top w:val="nil"/>
              <w:left w:val="single" w:sz="8" w:space="0" w:color="auto"/>
              <w:bottom w:val="nil"/>
              <w:right w:val="single" w:sz="4" w:space="0" w:color="auto"/>
            </w:tcBorders>
            <w:shd w:val="clear" w:color="auto" w:fill="auto"/>
            <w:vAlign w:val="bottom"/>
            <w:hideMark/>
          </w:tcPr>
          <w:p w14:paraId="2C008A72" w14:textId="77777777" w:rsidR="00166DCE" w:rsidRPr="00D3110D" w:rsidRDefault="00166DCE" w:rsidP="0024049D">
            <w:pPr>
              <w:rPr>
                <w:rFonts w:asciiTheme="minorHAnsi" w:hAnsiTheme="minorHAnsi" w:cstheme="minorHAnsi"/>
                <w:color w:val="000000"/>
                <w:sz w:val="22"/>
                <w:szCs w:val="22"/>
              </w:rPr>
            </w:pPr>
            <w:r w:rsidRPr="00D3110D">
              <w:rPr>
                <w:rFonts w:asciiTheme="minorHAnsi" w:hAnsiTheme="minorHAnsi" w:cstheme="minorHAnsi"/>
                <w:sz w:val="22"/>
                <w:szCs w:val="22"/>
                <w:lang w:val="en-US" w:eastAsia="zh-CN"/>
              </w:rPr>
              <w:t>医疗费用上涨</w:t>
            </w:r>
          </w:p>
        </w:tc>
        <w:tc>
          <w:tcPr>
            <w:tcW w:w="690" w:type="pct"/>
            <w:tcBorders>
              <w:top w:val="nil"/>
              <w:left w:val="nil"/>
              <w:bottom w:val="nil"/>
              <w:right w:val="single" w:sz="8" w:space="0" w:color="auto"/>
            </w:tcBorders>
            <w:shd w:val="clear" w:color="auto" w:fill="auto"/>
            <w:vAlign w:val="bottom"/>
            <w:hideMark/>
          </w:tcPr>
          <w:p w14:paraId="2BCBFDA0" w14:textId="77777777" w:rsidR="00166DCE" w:rsidRPr="00D3110D" w:rsidRDefault="00166DCE" w:rsidP="0024049D">
            <w:pPr>
              <w:jc w:val="center"/>
              <w:rPr>
                <w:rFonts w:asciiTheme="minorHAnsi" w:hAnsiTheme="minorHAnsi" w:cstheme="minorHAnsi"/>
                <w:i/>
                <w:iCs/>
                <w:color w:val="000000"/>
                <w:sz w:val="22"/>
                <w:szCs w:val="22"/>
              </w:rPr>
            </w:pPr>
            <w:r w:rsidRPr="00D3110D">
              <w:rPr>
                <w:rFonts w:asciiTheme="minorHAnsi" w:hAnsiTheme="minorHAnsi" w:cstheme="minorHAnsi"/>
                <w:i/>
                <w:iCs/>
                <w:color w:val="000000"/>
                <w:sz w:val="22"/>
                <w:szCs w:val="22"/>
              </w:rPr>
              <w:t>5.10%</w:t>
            </w:r>
          </w:p>
        </w:tc>
        <w:tc>
          <w:tcPr>
            <w:tcW w:w="690" w:type="pct"/>
            <w:tcBorders>
              <w:top w:val="nil"/>
              <w:left w:val="nil"/>
              <w:bottom w:val="nil"/>
              <w:right w:val="single" w:sz="8" w:space="0" w:color="auto"/>
            </w:tcBorders>
            <w:shd w:val="clear" w:color="auto" w:fill="auto"/>
            <w:vAlign w:val="bottom"/>
            <w:hideMark/>
          </w:tcPr>
          <w:p w14:paraId="4BCD9E2B" w14:textId="77777777" w:rsidR="00166DCE" w:rsidRPr="00D3110D" w:rsidRDefault="00166DCE" w:rsidP="0024049D">
            <w:pPr>
              <w:jc w:val="center"/>
              <w:rPr>
                <w:rFonts w:asciiTheme="minorHAnsi" w:hAnsiTheme="minorHAnsi" w:cstheme="minorHAnsi"/>
                <w:i/>
                <w:iCs/>
                <w:color w:val="000000"/>
                <w:sz w:val="22"/>
                <w:szCs w:val="22"/>
              </w:rPr>
            </w:pPr>
            <w:r w:rsidRPr="00D3110D">
              <w:rPr>
                <w:rFonts w:asciiTheme="minorHAnsi" w:hAnsiTheme="minorHAnsi" w:cstheme="minorHAnsi"/>
                <w:i/>
                <w:iCs/>
                <w:color w:val="000000"/>
                <w:sz w:val="22"/>
                <w:szCs w:val="22"/>
              </w:rPr>
              <w:t>4.80%</w:t>
            </w:r>
          </w:p>
        </w:tc>
        <w:tc>
          <w:tcPr>
            <w:tcW w:w="601" w:type="pct"/>
            <w:tcBorders>
              <w:top w:val="nil"/>
              <w:left w:val="nil"/>
              <w:bottom w:val="nil"/>
              <w:right w:val="single" w:sz="8" w:space="0" w:color="auto"/>
            </w:tcBorders>
            <w:shd w:val="clear" w:color="auto" w:fill="auto"/>
            <w:vAlign w:val="bottom"/>
            <w:hideMark/>
          </w:tcPr>
          <w:p w14:paraId="2A39B68F" w14:textId="77777777" w:rsidR="00166DCE" w:rsidRPr="00D3110D" w:rsidRDefault="00166DCE" w:rsidP="0024049D">
            <w:pPr>
              <w:jc w:val="center"/>
              <w:rPr>
                <w:rFonts w:asciiTheme="minorHAnsi" w:hAnsiTheme="minorHAnsi" w:cstheme="minorHAnsi"/>
                <w:i/>
                <w:iCs/>
                <w:color w:val="000000"/>
                <w:sz w:val="22"/>
                <w:szCs w:val="22"/>
              </w:rPr>
            </w:pPr>
            <w:r w:rsidRPr="00D3110D">
              <w:rPr>
                <w:rFonts w:asciiTheme="minorHAnsi" w:hAnsiTheme="minorHAnsi" w:cstheme="minorHAnsi"/>
                <w:i/>
                <w:iCs/>
                <w:color w:val="000000"/>
                <w:sz w:val="22"/>
                <w:szCs w:val="22"/>
              </w:rPr>
              <w:t>4.50%</w:t>
            </w:r>
          </w:p>
        </w:tc>
        <w:tc>
          <w:tcPr>
            <w:tcW w:w="515" w:type="pct"/>
            <w:tcBorders>
              <w:top w:val="nil"/>
              <w:left w:val="nil"/>
              <w:bottom w:val="nil"/>
              <w:right w:val="single" w:sz="8" w:space="0" w:color="auto"/>
            </w:tcBorders>
            <w:shd w:val="clear" w:color="auto" w:fill="auto"/>
            <w:vAlign w:val="bottom"/>
            <w:hideMark/>
          </w:tcPr>
          <w:p w14:paraId="031D44C0" w14:textId="77777777" w:rsidR="00166DCE" w:rsidRPr="00D3110D" w:rsidRDefault="00166DCE" w:rsidP="0024049D">
            <w:pPr>
              <w:jc w:val="center"/>
              <w:rPr>
                <w:rFonts w:asciiTheme="minorHAnsi" w:hAnsiTheme="minorHAnsi" w:cstheme="minorHAnsi"/>
                <w:i/>
                <w:iCs/>
                <w:color w:val="000000"/>
                <w:sz w:val="22"/>
                <w:szCs w:val="22"/>
              </w:rPr>
            </w:pPr>
            <w:r w:rsidRPr="00D3110D">
              <w:rPr>
                <w:rFonts w:asciiTheme="minorHAnsi" w:hAnsiTheme="minorHAnsi" w:cstheme="minorHAnsi"/>
                <w:i/>
                <w:iCs/>
                <w:color w:val="000000"/>
                <w:sz w:val="22"/>
                <w:szCs w:val="22"/>
              </w:rPr>
              <w:t>4.10%</w:t>
            </w:r>
          </w:p>
        </w:tc>
        <w:tc>
          <w:tcPr>
            <w:tcW w:w="519" w:type="pct"/>
            <w:tcBorders>
              <w:top w:val="nil"/>
              <w:left w:val="nil"/>
              <w:bottom w:val="nil"/>
              <w:right w:val="single" w:sz="8" w:space="0" w:color="auto"/>
            </w:tcBorders>
            <w:vAlign w:val="bottom"/>
          </w:tcPr>
          <w:p w14:paraId="14E32117" w14:textId="77777777" w:rsidR="00166DCE" w:rsidRPr="00D3110D" w:rsidRDefault="00166DCE" w:rsidP="0024049D">
            <w:pPr>
              <w:jc w:val="center"/>
              <w:rPr>
                <w:rFonts w:asciiTheme="minorHAnsi" w:hAnsiTheme="minorHAnsi" w:cstheme="minorHAnsi"/>
                <w:i/>
                <w:iCs/>
                <w:color w:val="000000"/>
                <w:sz w:val="22"/>
                <w:szCs w:val="22"/>
              </w:rPr>
            </w:pPr>
            <w:r w:rsidRPr="00D3110D">
              <w:rPr>
                <w:rFonts w:asciiTheme="minorHAnsi" w:hAnsiTheme="minorHAnsi" w:cstheme="minorHAnsi"/>
                <w:i/>
                <w:iCs/>
                <w:color w:val="000000"/>
                <w:sz w:val="22"/>
                <w:szCs w:val="22"/>
              </w:rPr>
              <w:t>3.90%</w:t>
            </w:r>
          </w:p>
        </w:tc>
        <w:tc>
          <w:tcPr>
            <w:tcW w:w="517" w:type="pct"/>
            <w:tcBorders>
              <w:top w:val="nil"/>
              <w:left w:val="nil"/>
              <w:bottom w:val="nil"/>
              <w:right w:val="single" w:sz="8" w:space="0" w:color="auto"/>
            </w:tcBorders>
            <w:vAlign w:val="bottom"/>
          </w:tcPr>
          <w:p w14:paraId="687930B1" w14:textId="77777777" w:rsidR="00166DCE" w:rsidRPr="00D3110D" w:rsidRDefault="00166DCE" w:rsidP="0024049D">
            <w:pPr>
              <w:jc w:val="center"/>
              <w:rPr>
                <w:rFonts w:asciiTheme="minorHAnsi" w:hAnsiTheme="minorHAnsi" w:cstheme="minorHAnsi"/>
                <w:i/>
                <w:iCs/>
                <w:color w:val="000000"/>
                <w:sz w:val="22"/>
                <w:szCs w:val="22"/>
              </w:rPr>
            </w:pPr>
            <w:r w:rsidRPr="00D3110D">
              <w:rPr>
                <w:rFonts w:asciiTheme="minorHAnsi" w:hAnsiTheme="minorHAnsi" w:cstheme="minorHAnsi"/>
                <w:i/>
                <w:iCs/>
                <w:color w:val="000000"/>
                <w:sz w:val="22"/>
                <w:szCs w:val="22"/>
              </w:rPr>
              <w:t>3.00%</w:t>
            </w:r>
          </w:p>
        </w:tc>
      </w:tr>
      <w:tr w:rsidR="00166DCE" w:rsidRPr="00314801" w14:paraId="4B182690" w14:textId="77777777" w:rsidTr="0024049D">
        <w:trPr>
          <w:trHeight w:val="420"/>
        </w:trPr>
        <w:tc>
          <w:tcPr>
            <w:tcW w:w="1468" w:type="pct"/>
            <w:vMerge w:val="restart"/>
            <w:tcBorders>
              <w:top w:val="nil"/>
              <w:left w:val="single" w:sz="8" w:space="0" w:color="auto"/>
              <w:bottom w:val="single" w:sz="8" w:space="0" w:color="000000"/>
              <w:right w:val="single" w:sz="4" w:space="0" w:color="auto"/>
            </w:tcBorders>
            <w:shd w:val="clear" w:color="auto" w:fill="auto"/>
            <w:vAlign w:val="center"/>
            <w:hideMark/>
          </w:tcPr>
          <w:p w14:paraId="25E8252F" w14:textId="77777777" w:rsidR="00166DCE" w:rsidRPr="00D3110D" w:rsidRDefault="00166DCE" w:rsidP="0024049D">
            <w:pPr>
              <w:rPr>
                <w:rFonts w:asciiTheme="minorHAnsi" w:hAnsiTheme="minorHAnsi" w:cstheme="minorHAnsi"/>
                <w:color w:val="000000"/>
                <w:sz w:val="22"/>
                <w:szCs w:val="22"/>
              </w:rPr>
            </w:pPr>
            <w:r w:rsidRPr="00D3110D">
              <w:rPr>
                <w:rFonts w:asciiTheme="minorHAnsi" w:hAnsiTheme="minorHAnsi" w:cstheme="minorHAnsi"/>
                <w:sz w:val="22"/>
                <w:szCs w:val="22"/>
                <w:lang w:val="en-US" w:eastAsia="zh-CN"/>
              </w:rPr>
              <w:t>工资增加</w:t>
            </w:r>
          </w:p>
        </w:tc>
        <w:tc>
          <w:tcPr>
            <w:tcW w:w="690" w:type="pct"/>
            <w:tcBorders>
              <w:top w:val="nil"/>
              <w:left w:val="nil"/>
              <w:bottom w:val="nil"/>
              <w:right w:val="single" w:sz="8" w:space="0" w:color="auto"/>
            </w:tcBorders>
            <w:shd w:val="clear" w:color="auto" w:fill="auto"/>
            <w:vAlign w:val="bottom"/>
            <w:hideMark/>
          </w:tcPr>
          <w:p w14:paraId="55E743B4" w14:textId="77777777" w:rsidR="00166DCE" w:rsidRPr="00D3110D" w:rsidRDefault="00166DCE" w:rsidP="0024049D">
            <w:pPr>
              <w:jc w:val="center"/>
              <w:rPr>
                <w:rFonts w:asciiTheme="minorHAnsi" w:hAnsiTheme="minorHAnsi" w:cstheme="minorHAnsi"/>
                <w:i/>
                <w:iCs/>
                <w:color w:val="000000"/>
                <w:sz w:val="22"/>
                <w:szCs w:val="22"/>
              </w:rPr>
            </w:pPr>
            <w:r w:rsidRPr="00D3110D">
              <w:rPr>
                <w:rFonts w:asciiTheme="minorHAnsi" w:hAnsiTheme="minorHAnsi" w:cstheme="minorHAnsi"/>
                <w:i/>
                <w:iCs/>
                <w:color w:val="000000"/>
                <w:sz w:val="22"/>
                <w:szCs w:val="22"/>
              </w:rPr>
              <w:t>3.86% P</w:t>
            </w:r>
          </w:p>
        </w:tc>
        <w:tc>
          <w:tcPr>
            <w:tcW w:w="690" w:type="pct"/>
            <w:tcBorders>
              <w:top w:val="nil"/>
              <w:left w:val="nil"/>
              <w:bottom w:val="nil"/>
              <w:right w:val="single" w:sz="8" w:space="0" w:color="auto"/>
            </w:tcBorders>
            <w:shd w:val="clear" w:color="auto" w:fill="auto"/>
            <w:vAlign w:val="bottom"/>
            <w:hideMark/>
          </w:tcPr>
          <w:p w14:paraId="241D431C" w14:textId="77777777" w:rsidR="00166DCE" w:rsidRPr="00D3110D" w:rsidRDefault="00166DCE" w:rsidP="0024049D">
            <w:pPr>
              <w:jc w:val="center"/>
              <w:rPr>
                <w:rFonts w:asciiTheme="minorHAnsi" w:hAnsiTheme="minorHAnsi" w:cstheme="minorHAnsi"/>
                <w:i/>
                <w:iCs/>
                <w:color w:val="000000"/>
                <w:sz w:val="22"/>
                <w:szCs w:val="22"/>
              </w:rPr>
            </w:pPr>
            <w:r w:rsidRPr="00D3110D">
              <w:rPr>
                <w:rFonts w:asciiTheme="minorHAnsi" w:hAnsiTheme="minorHAnsi" w:cstheme="minorHAnsi"/>
                <w:i/>
                <w:iCs/>
                <w:color w:val="000000"/>
                <w:sz w:val="22"/>
                <w:szCs w:val="22"/>
              </w:rPr>
              <w:t>3.50%</w:t>
            </w:r>
          </w:p>
        </w:tc>
        <w:tc>
          <w:tcPr>
            <w:tcW w:w="601" w:type="pct"/>
            <w:tcBorders>
              <w:top w:val="nil"/>
              <w:left w:val="nil"/>
              <w:bottom w:val="nil"/>
              <w:right w:val="single" w:sz="8" w:space="0" w:color="auto"/>
            </w:tcBorders>
            <w:shd w:val="clear" w:color="auto" w:fill="auto"/>
            <w:vAlign w:val="bottom"/>
            <w:hideMark/>
          </w:tcPr>
          <w:p w14:paraId="11A4402C" w14:textId="77777777" w:rsidR="00166DCE" w:rsidRPr="00D3110D" w:rsidRDefault="00166DCE" w:rsidP="0024049D">
            <w:pPr>
              <w:jc w:val="center"/>
              <w:rPr>
                <w:rFonts w:asciiTheme="minorHAnsi" w:hAnsiTheme="minorHAnsi" w:cstheme="minorHAnsi"/>
                <w:i/>
                <w:iCs/>
                <w:color w:val="000000"/>
                <w:sz w:val="22"/>
                <w:szCs w:val="22"/>
              </w:rPr>
            </w:pPr>
            <w:r w:rsidRPr="00D3110D">
              <w:rPr>
                <w:rFonts w:asciiTheme="minorHAnsi" w:hAnsiTheme="minorHAnsi" w:cstheme="minorHAnsi"/>
                <w:i/>
                <w:iCs/>
                <w:color w:val="000000"/>
                <w:sz w:val="22"/>
                <w:szCs w:val="22"/>
              </w:rPr>
              <w:t>3.50%</w:t>
            </w:r>
          </w:p>
        </w:tc>
        <w:tc>
          <w:tcPr>
            <w:tcW w:w="515" w:type="pct"/>
            <w:tcBorders>
              <w:top w:val="nil"/>
              <w:left w:val="nil"/>
              <w:bottom w:val="nil"/>
              <w:right w:val="single" w:sz="8" w:space="0" w:color="auto"/>
            </w:tcBorders>
            <w:shd w:val="clear" w:color="auto" w:fill="auto"/>
            <w:vAlign w:val="bottom"/>
            <w:hideMark/>
          </w:tcPr>
          <w:p w14:paraId="653E97E5" w14:textId="77777777" w:rsidR="00166DCE" w:rsidRPr="00D3110D" w:rsidRDefault="00166DCE" w:rsidP="0024049D">
            <w:pPr>
              <w:jc w:val="center"/>
              <w:rPr>
                <w:rFonts w:asciiTheme="minorHAnsi" w:hAnsiTheme="minorHAnsi" w:cstheme="minorHAnsi"/>
                <w:i/>
                <w:iCs/>
                <w:color w:val="000000"/>
                <w:sz w:val="22"/>
                <w:szCs w:val="22"/>
              </w:rPr>
            </w:pPr>
            <w:r w:rsidRPr="00D3110D">
              <w:rPr>
                <w:rFonts w:asciiTheme="minorHAnsi" w:hAnsiTheme="minorHAnsi" w:cstheme="minorHAnsi"/>
                <w:i/>
                <w:iCs/>
                <w:color w:val="000000"/>
                <w:sz w:val="22"/>
                <w:szCs w:val="22"/>
              </w:rPr>
              <w:t>3.50%</w:t>
            </w:r>
          </w:p>
        </w:tc>
        <w:tc>
          <w:tcPr>
            <w:tcW w:w="519" w:type="pct"/>
            <w:tcBorders>
              <w:top w:val="nil"/>
              <w:left w:val="nil"/>
              <w:bottom w:val="nil"/>
              <w:right w:val="single" w:sz="8" w:space="0" w:color="auto"/>
            </w:tcBorders>
            <w:vAlign w:val="bottom"/>
          </w:tcPr>
          <w:p w14:paraId="2D562A13" w14:textId="77777777" w:rsidR="00166DCE" w:rsidRPr="00D3110D" w:rsidRDefault="00166DCE" w:rsidP="0024049D">
            <w:pPr>
              <w:jc w:val="center"/>
              <w:rPr>
                <w:rFonts w:asciiTheme="minorHAnsi" w:hAnsiTheme="minorHAnsi" w:cstheme="minorHAnsi"/>
                <w:i/>
                <w:iCs/>
                <w:color w:val="000000"/>
                <w:sz w:val="22"/>
                <w:szCs w:val="22"/>
              </w:rPr>
            </w:pPr>
            <w:r w:rsidRPr="00D3110D">
              <w:rPr>
                <w:rFonts w:asciiTheme="minorHAnsi" w:hAnsiTheme="minorHAnsi" w:cstheme="minorHAnsi"/>
                <w:i/>
                <w:iCs/>
                <w:color w:val="000000"/>
                <w:sz w:val="22"/>
                <w:szCs w:val="22"/>
              </w:rPr>
              <w:t>3.50%</w:t>
            </w:r>
          </w:p>
        </w:tc>
        <w:tc>
          <w:tcPr>
            <w:tcW w:w="517" w:type="pct"/>
            <w:tcBorders>
              <w:top w:val="nil"/>
              <w:left w:val="nil"/>
              <w:bottom w:val="nil"/>
              <w:right w:val="single" w:sz="8" w:space="0" w:color="auto"/>
            </w:tcBorders>
            <w:vAlign w:val="bottom"/>
          </w:tcPr>
          <w:p w14:paraId="5D98D45F" w14:textId="77777777" w:rsidR="00166DCE" w:rsidRPr="00D3110D" w:rsidRDefault="00166DCE" w:rsidP="0024049D">
            <w:pPr>
              <w:jc w:val="center"/>
              <w:rPr>
                <w:rFonts w:asciiTheme="minorHAnsi" w:hAnsiTheme="minorHAnsi" w:cstheme="minorHAnsi"/>
                <w:i/>
                <w:iCs/>
                <w:color w:val="000000"/>
                <w:sz w:val="22"/>
                <w:szCs w:val="22"/>
              </w:rPr>
            </w:pPr>
            <w:r w:rsidRPr="00D3110D">
              <w:rPr>
                <w:rFonts w:asciiTheme="minorHAnsi" w:hAnsiTheme="minorHAnsi" w:cstheme="minorHAnsi"/>
                <w:i/>
                <w:iCs/>
                <w:color w:val="000000"/>
                <w:sz w:val="22"/>
                <w:szCs w:val="22"/>
              </w:rPr>
              <w:t>3.00%</w:t>
            </w:r>
          </w:p>
        </w:tc>
      </w:tr>
      <w:tr w:rsidR="00166DCE" w:rsidRPr="00314801" w14:paraId="10DF9813" w14:textId="77777777" w:rsidTr="0024049D">
        <w:trPr>
          <w:trHeight w:val="345"/>
        </w:trPr>
        <w:tc>
          <w:tcPr>
            <w:tcW w:w="1468" w:type="pct"/>
            <w:vMerge/>
            <w:tcBorders>
              <w:top w:val="nil"/>
              <w:left w:val="single" w:sz="8" w:space="0" w:color="auto"/>
              <w:bottom w:val="single" w:sz="8" w:space="0" w:color="000000"/>
              <w:right w:val="single" w:sz="4" w:space="0" w:color="auto"/>
            </w:tcBorders>
            <w:vAlign w:val="center"/>
            <w:hideMark/>
          </w:tcPr>
          <w:p w14:paraId="788C4B49" w14:textId="77777777" w:rsidR="00166DCE" w:rsidRPr="00D3110D" w:rsidRDefault="00166DCE" w:rsidP="0024049D">
            <w:pPr>
              <w:rPr>
                <w:rFonts w:asciiTheme="minorHAnsi" w:hAnsiTheme="minorHAnsi" w:cstheme="minorHAnsi"/>
                <w:color w:val="000000"/>
                <w:sz w:val="22"/>
                <w:szCs w:val="22"/>
              </w:rPr>
            </w:pPr>
          </w:p>
        </w:tc>
        <w:tc>
          <w:tcPr>
            <w:tcW w:w="690" w:type="pct"/>
            <w:tcBorders>
              <w:top w:val="nil"/>
              <w:left w:val="nil"/>
              <w:bottom w:val="single" w:sz="8" w:space="0" w:color="auto"/>
              <w:right w:val="single" w:sz="8" w:space="0" w:color="auto"/>
            </w:tcBorders>
            <w:shd w:val="clear" w:color="auto" w:fill="auto"/>
            <w:vAlign w:val="bottom"/>
            <w:hideMark/>
          </w:tcPr>
          <w:p w14:paraId="39311BB7" w14:textId="77777777" w:rsidR="00166DCE" w:rsidRPr="00D3110D" w:rsidRDefault="00166DCE" w:rsidP="0024049D">
            <w:pPr>
              <w:jc w:val="center"/>
              <w:rPr>
                <w:rFonts w:asciiTheme="minorHAnsi" w:hAnsiTheme="minorHAnsi" w:cstheme="minorHAnsi"/>
                <w:i/>
                <w:iCs/>
                <w:color w:val="000000"/>
                <w:sz w:val="22"/>
                <w:szCs w:val="22"/>
              </w:rPr>
            </w:pPr>
            <w:r w:rsidRPr="00D3110D">
              <w:rPr>
                <w:rFonts w:asciiTheme="minorHAnsi" w:hAnsiTheme="minorHAnsi" w:cstheme="minorHAnsi"/>
                <w:i/>
                <w:iCs/>
                <w:color w:val="000000"/>
                <w:sz w:val="22"/>
                <w:szCs w:val="22"/>
              </w:rPr>
              <w:t>3.32% G</w:t>
            </w:r>
          </w:p>
        </w:tc>
        <w:tc>
          <w:tcPr>
            <w:tcW w:w="690" w:type="pct"/>
            <w:tcBorders>
              <w:top w:val="nil"/>
              <w:left w:val="nil"/>
              <w:bottom w:val="single" w:sz="8" w:space="0" w:color="auto"/>
              <w:right w:val="single" w:sz="8" w:space="0" w:color="auto"/>
            </w:tcBorders>
            <w:shd w:val="clear" w:color="auto" w:fill="auto"/>
            <w:vAlign w:val="bottom"/>
            <w:hideMark/>
          </w:tcPr>
          <w:p w14:paraId="2C012069" w14:textId="77777777" w:rsidR="00166DCE" w:rsidRPr="00D3110D" w:rsidRDefault="00166DCE" w:rsidP="0024049D">
            <w:pPr>
              <w:jc w:val="center"/>
              <w:rPr>
                <w:rFonts w:asciiTheme="minorHAnsi" w:hAnsiTheme="minorHAnsi" w:cstheme="minorHAnsi"/>
                <w:i/>
                <w:iCs/>
                <w:color w:val="000000"/>
                <w:sz w:val="22"/>
                <w:szCs w:val="22"/>
              </w:rPr>
            </w:pPr>
            <w:r w:rsidRPr="00D3110D">
              <w:rPr>
                <w:rFonts w:asciiTheme="minorHAnsi" w:hAnsiTheme="minorHAnsi" w:cstheme="minorHAnsi"/>
                <w:i/>
                <w:iCs/>
                <w:color w:val="000000"/>
                <w:sz w:val="22"/>
                <w:szCs w:val="22"/>
              </w:rPr>
              <w:t> </w:t>
            </w:r>
          </w:p>
        </w:tc>
        <w:tc>
          <w:tcPr>
            <w:tcW w:w="601" w:type="pct"/>
            <w:tcBorders>
              <w:top w:val="nil"/>
              <w:left w:val="nil"/>
              <w:bottom w:val="single" w:sz="8" w:space="0" w:color="auto"/>
              <w:right w:val="single" w:sz="8" w:space="0" w:color="auto"/>
            </w:tcBorders>
            <w:shd w:val="clear" w:color="auto" w:fill="auto"/>
            <w:vAlign w:val="bottom"/>
            <w:hideMark/>
          </w:tcPr>
          <w:p w14:paraId="42452952" w14:textId="77777777" w:rsidR="00166DCE" w:rsidRPr="00D3110D" w:rsidRDefault="00166DCE" w:rsidP="0024049D">
            <w:pPr>
              <w:jc w:val="center"/>
              <w:rPr>
                <w:rFonts w:asciiTheme="minorHAnsi" w:hAnsiTheme="minorHAnsi" w:cstheme="minorHAnsi"/>
                <w:i/>
                <w:iCs/>
                <w:color w:val="000000"/>
                <w:sz w:val="22"/>
                <w:szCs w:val="22"/>
              </w:rPr>
            </w:pPr>
            <w:r w:rsidRPr="00D3110D">
              <w:rPr>
                <w:rFonts w:asciiTheme="minorHAnsi" w:hAnsiTheme="minorHAnsi" w:cstheme="minorHAnsi"/>
                <w:color w:val="000000"/>
                <w:sz w:val="22"/>
                <w:szCs w:val="22"/>
              </w:rPr>
              <w:t> </w:t>
            </w:r>
          </w:p>
        </w:tc>
        <w:tc>
          <w:tcPr>
            <w:tcW w:w="515" w:type="pct"/>
            <w:tcBorders>
              <w:top w:val="nil"/>
              <w:left w:val="nil"/>
              <w:bottom w:val="single" w:sz="8" w:space="0" w:color="auto"/>
              <w:right w:val="single" w:sz="8" w:space="0" w:color="auto"/>
            </w:tcBorders>
            <w:shd w:val="clear" w:color="auto" w:fill="auto"/>
            <w:noWrap/>
            <w:hideMark/>
          </w:tcPr>
          <w:p w14:paraId="724F0C12" w14:textId="77777777" w:rsidR="00166DCE" w:rsidRPr="00D3110D" w:rsidRDefault="00166DCE" w:rsidP="0024049D">
            <w:pPr>
              <w:jc w:val="center"/>
              <w:rPr>
                <w:rFonts w:asciiTheme="minorHAnsi" w:hAnsiTheme="minorHAnsi" w:cstheme="minorHAnsi"/>
                <w:color w:val="000000"/>
                <w:sz w:val="22"/>
                <w:szCs w:val="22"/>
              </w:rPr>
            </w:pPr>
          </w:p>
        </w:tc>
        <w:tc>
          <w:tcPr>
            <w:tcW w:w="519" w:type="pct"/>
            <w:tcBorders>
              <w:top w:val="nil"/>
              <w:left w:val="nil"/>
              <w:bottom w:val="single" w:sz="8" w:space="0" w:color="auto"/>
              <w:right w:val="single" w:sz="8" w:space="0" w:color="auto"/>
            </w:tcBorders>
          </w:tcPr>
          <w:p w14:paraId="5D8F1436" w14:textId="77777777" w:rsidR="00166DCE" w:rsidRPr="00D3110D" w:rsidRDefault="00166DCE" w:rsidP="0024049D">
            <w:pPr>
              <w:jc w:val="center"/>
              <w:rPr>
                <w:rFonts w:asciiTheme="minorHAnsi" w:hAnsiTheme="minorHAnsi" w:cstheme="minorHAnsi"/>
                <w:color w:val="000000"/>
                <w:sz w:val="22"/>
                <w:szCs w:val="22"/>
              </w:rPr>
            </w:pPr>
          </w:p>
        </w:tc>
        <w:tc>
          <w:tcPr>
            <w:tcW w:w="517" w:type="pct"/>
            <w:tcBorders>
              <w:top w:val="nil"/>
              <w:left w:val="nil"/>
              <w:bottom w:val="single" w:sz="8" w:space="0" w:color="auto"/>
              <w:right w:val="single" w:sz="8" w:space="0" w:color="auto"/>
            </w:tcBorders>
          </w:tcPr>
          <w:p w14:paraId="55073741" w14:textId="77777777" w:rsidR="00166DCE" w:rsidRPr="00D3110D" w:rsidRDefault="00166DCE" w:rsidP="0024049D">
            <w:pPr>
              <w:jc w:val="center"/>
              <w:rPr>
                <w:rFonts w:asciiTheme="minorHAnsi" w:hAnsiTheme="minorHAnsi" w:cstheme="minorHAnsi"/>
                <w:color w:val="000000"/>
                <w:sz w:val="22"/>
                <w:szCs w:val="22"/>
              </w:rPr>
            </w:pPr>
          </w:p>
        </w:tc>
      </w:tr>
    </w:tbl>
    <w:p w14:paraId="1CC32CCC" w14:textId="77777777" w:rsidR="00574DB1" w:rsidRPr="00192AE2" w:rsidRDefault="00574DB1" w:rsidP="00D3110D">
      <w:pPr>
        <w:pStyle w:val="Heading1"/>
        <w:rPr>
          <w:lang w:eastAsia="zh-CN"/>
        </w:rPr>
      </w:pPr>
      <w:r w:rsidRPr="00192AE2">
        <w:rPr>
          <w:lang w:eastAsia="zh-CN"/>
        </w:rPr>
        <w:t>3</w:t>
      </w:r>
      <w:bookmarkStart w:id="3" w:name="lt_pId107"/>
      <w:r w:rsidRPr="00192AE2">
        <w:rPr>
          <w:lang w:eastAsia="zh-CN"/>
        </w:rPr>
        <w:tab/>
      </w:r>
      <w:r w:rsidRPr="00192AE2">
        <w:rPr>
          <w:rFonts w:hint="eastAsia"/>
          <w:lang w:eastAsia="zh-CN"/>
        </w:rPr>
        <w:t>已</w:t>
      </w:r>
      <w:r w:rsidRPr="00192AE2">
        <w:rPr>
          <w:lang w:eastAsia="zh-CN"/>
        </w:rPr>
        <w:t>采取的行动</w:t>
      </w:r>
      <w:bookmarkEnd w:id="3"/>
    </w:p>
    <w:p w14:paraId="069A610F" w14:textId="77777777" w:rsidR="00574DB1" w:rsidRPr="00EE1B77" w:rsidRDefault="00574DB1" w:rsidP="00574DB1">
      <w:pPr>
        <w:rPr>
          <w:rFonts w:cs="Calibri"/>
          <w:b/>
          <w:lang w:eastAsia="zh-CN"/>
        </w:rPr>
      </w:pPr>
      <w:r w:rsidRPr="00EE1B77">
        <w:rPr>
          <w:lang w:eastAsia="zh-CN"/>
        </w:rPr>
        <w:t>3.1</w:t>
      </w:r>
      <w:bookmarkStart w:id="4" w:name="lt_pId109"/>
      <w:r>
        <w:rPr>
          <w:lang w:eastAsia="zh-CN"/>
        </w:rPr>
        <w:tab/>
      </w:r>
      <w:r>
        <w:rPr>
          <w:rFonts w:hint="eastAsia"/>
          <w:lang w:eastAsia="zh-CN"/>
        </w:rPr>
        <w:t>自</w:t>
      </w:r>
      <w:r>
        <w:rPr>
          <w:lang w:eastAsia="zh-CN"/>
        </w:rPr>
        <w:t>2010</w:t>
      </w:r>
      <w:r>
        <w:rPr>
          <w:lang w:eastAsia="zh-CN"/>
        </w:rPr>
        <w:t>年起，为</w:t>
      </w:r>
      <w:r w:rsidRPr="00EE1B77">
        <w:rPr>
          <w:lang w:eastAsia="zh-CN"/>
        </w:rPr>
        <w:t>ASHI</w:t>
      </w:r>
      <w:r>
        <w:rPr>
          <w:rFonts w:hint="eastAsia"/>
          <w:lang w:eastAsia="zh-CN"/>
        </w:rPr>
        <w:t>精</w:t>
      </w:r>
      <w:r>
        <w:rPr>
          <w:lang w:eastAsia="zh-CN"/>
        </w:rPr>
        <w:t>算负债</w:t>
      </w:r>
      <w:r>
        <w:rPr>
          <w:rFonts w:hint="eastAsia"/>
          <w:lang w:eastAsia="zh-CN"/>
        </w:rPr>
        <w:t>供</w:t>
      </w:r>
      <w:r>
        <w:rPr>
          <w:lang w:eastAsia="zh-CN"/>
        </w:rPr>
        <w:t>资已成为国际电联</w:t>
      </w:r>
      <w:r>
        <w:rPr>
          <w:rFonts w:hint="eastAsia"/>
          <w:lang w:eastAsia="zh-CN"/>
        </w:rPr>
        <w:t>的</w:t>
      </w:r>
      <w:r>
        <w:rPr>
          <w:lang w:eastAsia="zh-CN"/>
        </w:rPr>
        <w:t>关切，因此国际电联</w:t>
      </w:r>
      <w:r>
        <w:rPr>
          <w:rFonts w:hint="eastAsia"/>
          <w:lang w:eastAsia="zh-CN"/>
        </w:rPr>
        <w:t>已</w:t>
      </w:r>
      <w:r>
        <w:rPr>
          <w:lang w:eastAsia="zh-CN"/>
        </w:rPr>
        <w:t>采取</w:t>
      </w:r>
      <w:r>
        <w:rPr>
          <w:rFonts w:hint="eastAsia"/>
          <w:lang w:eastAsia="zh-CN"/>
        </w:rPr>
        <w:t>措施，</w:t>
      </w:r>
      <w:r>
        <w:rPr>
          <w:lang w:eastAsia="zh-CN"/>
        </w:rPr>
        <w:t>确保</w:t>
      </w:r>
      <w:r>
        <w:rPr>
          <w:rFonts w:hint="eastAsia"/>
          <w:lang w:eastAsia="zh-CN"/>
        </w:rPr>
        <w:t>在为</w:t>
      </w:r>
      <w:r>
        <w:rPr>
          <w:lang w:eastAsia="zh-CN"/>
        </w:rPr>
        <w:t>健康保险</w:t>
      </w:r>
      <w:r>
        <w:rPr>
          <w:rFonts w:hint="eastAsia"/>
          <w:lang w:eastAsia="zh-CN"/>
        </w:rPr>
        <w:t>供</w:t>
      </w:r>
      <w:r>
        <w:rPr>
          <w:lang w:eastAsia="zh-CN"/>
        </w:rPr>
        <w:t>资和长期为</w:t>
      </w:r>
      <w:r w:rsidRPr="00EE1B77">
        <w:rPr>
          <w:lang w:eastAsia="zh-CN"/>
        </w:rPr>
        <w:t>ASHI</w:t>
      </w:r>
      <w:r>
        <w:rPr>
          <w:rFonts w:hint="eastAsia"/>
          <w:lang w:eastAsia="zh-CN"/>
        </w:rPr>
        <w:t>精算</w:t>
      </w:r>
      <w:r>
        <w:rPr>
          <w:lang w:eastAsia="zh-CN"/>
        </w:rPr>
        <w:t>负债</w:t>
      </w:r>
      <w:r>
        <w:rPr>
          <w:rFonts w:hint="eastAsia"/>
          <w:lang w:eastAsia="zh-CN"/>
        </w:rPr>
        <w:t>供</w:t>
      </w:r>
      <w:r>
        <w:rPr>
          <w:lang w:eastAsia="zh-CN"/>
        </w:rPr>
        <w:t>资</w:t>
      </w:r>
      <w:r>
        <w:rPr>
          <w:rFonts w:hint="eastAsia"/>
          <w:lang w:eastAsia="zh-CN"/>
        </w:rPr>
        <w:t>时实行现收现付制。</w:t>
      </w:r>
      <w:bookmarkEnd w:id="4"/>
    </w:p>
    <w:p w14:paraId="220E8267" w14:textId="64279443" w:rsidR="00494640" w:rsidRDefault="00494640" w:rsidP="00494640">
      <w:pPr>
        <w:pStyle w:val="Headingb"/>
        <w:spacing w:before="240"/>
        <w:rPr>
          <w:szCs w:val="24"/>
          <w:lang w:eastAsia="zh-CN"/>
        </w:rPr>
      </w:pPr>
      <w:r w:rsidRPr="00494640">
        <w:rPr>
          <w:rFonts w:asciiTheme="minorHAnsi" w:eastAsia="STKaiti" w:hAnsiTheme="minorHAnsi"/>
          <w:lang w:eastAsia="zh-CN"/>
        </w:rPr>
        <w:t>创建</w:t>
      </w:r>
      <w:r w:rsidRPr="00494640">
        <w:rPr>
          <w:rFonts w:asciiTheme="minorHAnsi" w:eastAsia="STKaiti" w:hAnsiTheme="minorHAnsi"/>
          <w:lang w:eastAsia="zh-CN"/>
        </w:rPr>
        <w:t>CMIP</w:t>
      </w:r>
      <w:r w:rsidRPr="00494640">
        <w:rPr>
          <w:rFonts w:asciiTheme="minorHAnsi" w:eastAsia="STKaiti" w:hAnsiTheme="minorHAnsi"/>
          <w:lang w:eastAsia="zh-CN"/>
        </w:rPr>
        <w:t>保障基</w:t>
      </w:r>
      <w:r w:rsidRPr="00494640">
        <w:rPr>
          <w:rFonts w:asciiTheme="minorHAnsi" w:eastAsia="STKaiti" w:hAnsiTheme="minorHAnsi" w:hint="eastAsia"/>
          <w:lang w:eastAsia="zh-CN"/>
        </w:rPr>
        <w:t>金</w:t>
      </w:r>
    </w:p>
    <w:p w14:paraId="6BC50CAB" w14:textId="77777777" w:rsidR="00494640" w:rsidRDefault="00574DB1" w:rsidP="00574DB1">
      <w:pPr>
        <w:snapToGrid w:val="0"/>
        <w:spacing w:after="120"/>
        <w:jc w:val="both"/>
        <w:rPr>
          <w:lang w:eastAsia="zh-CN"/>
        </w:rPr>
      </w:pPr>
      <w:r>
        <w:rPr>
          <w:szCs w:val="24"/>
          <w:lang w:eastAsia="zh-CN"/>
        </w:rPr>
        <w:t>3.</w:t>
      </w:r>
      <w:r w:rsidR="00D3110D">
        <w:rPr>
          <w:szCs w:val="24"/>
          <w:lang w:eastAsia="zh-CN"/>
        </w:rPr>
        <w:t>2</w:t>
      </w:r>
      <w:r>
        <w:rPr>
          <w:szCs w:val="24"/>
          <w:lang w:eastAsia="zh-CN"/>
        </w:rPr>
        <w:tab/>
      </w:r>
      <w:r w:rsidR="00D3110D" w:rsidRPr="004D53E0">
        <w:rPr>
          <w:lang w:eastAsia="zh-CN"/>
        </w:rPr>
        <w:t>201</w:t>
      </w:r>
      <w:r w:rsidR="00D3110D">
        <w:rPr>
          <w:lang w:eastAsia="zh-CN"/>
        </w:rPr>
        <w:t>9</w:t>
      </w:r>
      <w:r w:rsidR="004D53E0">
        <w:rPr>
          <w:rFonts w:hint="eastAsia"/>
          <w:lang w:eastAsia="zh-CN"/>
        </w:rPr>
        <w:t>年，由于保费的增长，收讫的</w:t>
      </w:r>
      <w:r w:rsidR="004D53E0">
        <w:rPr>
          <w:lang w:eastAsia="zh-CN"/>
        </w:rPr>
        <w:t>参保人员</w:t>
      </w:r>
      <w:r w:rsidR="004D53E0">
        <w:rPr>
          <w:rFonts w:hint="eastAsia"/>
          <w:lang w:eastAsia="zh-CN"/>
        </w:rPr>
        <w:t>缴费无法覆盖向</w:t>
      </w:r>
      <w:r w:rsidR="004D53E0" w:rsidRPr="004D53E0">
        <w:rPr>
          <w:lang w:eastAsia="zh-CN"/>
        </w:rPr>
        <w:t>Cigna</w:t>
      </w:r>
      <w:r w:rsidR="004D53E0">
        <w:rPr>
          <w:rFonts w:hint="eastAsia"/>
          <w:lang w:eastAsia="zh-CN"/>
        </w:rPr>
        <w:t>支付的保费。</w:t>
      </w:r>
      <w:r w:rsidR="00D3110D" w:rsidRPr="004D53E0">
        <w:rPr>
          <w:lang w:eastAsia="zh-CN"/>
        </w:rPr>
        <w:t>201</w:t>
      </w:r>
      <w:r w:rsidR="00D3110D">
        <w:rPr>
          <w:lang w:eastAsia="zh-CN"/>
        </w:rPr>
        <w:t>9</w:t>
      </w:r>
      <w:r w:rsidR="004D53E0">
        <w:rPr>
          <w:rFonts w:hint="eastAsia"/>
          <w:lang w:eastAsia="zh-CN"/>
        </w:rPr>
        <w:t>年</w:t>
      </w:r>
      <w:r w:rsidR="00FE1145">
        <w:rPr>
          <w:lang w:eastAsia="zh-CN"/>
        </w:rPr>
        <w:t>20</w:t>
      </w:r>
      <w:r w:rsidR="00FE1145">
        <w:rPr>
          <w:szCs w:val="24"/>
          <w:lang w:eastAsia="zh-CN"/>
        </w:rPr>
        <w:t>0</w:t>
      </w:r>
      <w:r w:rsidR="00FE1145">
        <w:rPr>
          <w:rFonts w:hint="eastAsia"/>
          <w:szCs w:val="24"/>
          <w:lang w:eastAsia="zh-CN"/>
        </w:rPr>
        <w:t>万瑞郎</w:t>
      </w:r>
      <w:r w:rsidR="004D53E0">
        <w:rPr>
          <w:rFonts w:hint="eastAsia"/>
          <w:lang w:eastAsia="zh-CN"/>
        </w:rPr>
        <w:t>的</w:t>
      </w:r>
      <w:r w:rsidR="004D53E0" w:rsidRPr="004D53E0">
        <w:rPr>
          <w:lang w:eastAsia="zh-CN"/>
        </w:rPr>
        <w:t>CMIP</w:t>
      </w:r>
      <w:r w:rsidR="004D53E0">
        <w:rPr>
          <w:rFonts w:hint="eastAsia"/>
          <w:lang w:eastAsia="zh-CN"/>
        </w:rPr>
        <w:t>赤字，已从</w:t>
      </w:r>
      <w:r w:rsidR="004D53E0" w:rsidRPr="004D53E0">
        <w:rPr>
          <w:rFonts w:hint="eastAsia"/>
          <w:lang w:eastAsia="zh-CN"/>
        </w:rPr>
        <w:t>CMIP</w:t>
      </w:r>
      <w:r w:rsidR="004D53E0" w:rsidRPr="004D53E0">
        <w:rPr>
          <w:rFonts w:hint="eastAsia"/>
          <w:lang w:eastAsia="zh-CN"/>
        </w:rPr>
        <w:t>保障基金</w:t>
      </w:r>
      <w:r w:rsidR="004D53E0">
        <w:rPr>
          <w:rFonts w:hint="eastAsia"/>
          <w:lang w:eastAsia="zh-CN"/>
        </w:rPr>
        <w:t>中提取。</w:t>
      </w:r>
      <w:r w:rsidRPr="004D53E0">
        <w:rPr>
          <w:rFonts w:hint="eastAsia"/>
          <w:lang w:eastAsia="zh-CN"/>
        </w:rPr>
        <w:t>此</w:t>
      </w:r>
      <w:r>
        <w:rPr>
          <w:lang w:eastAsia="zh-CN"/>
        </w:rPr>
        <w:t>基金专门用于</w:t>
      </w:r>
      <w:r>
        <w:rPr>
          <w:rFonts w:hint="eastAsia"/>
          <w:lang w:eastAsia="zh-CN"/>
        </w:rPr>
        <w:t>现收现付制的</w:t>
      </w:r>
      <w:r>
        <w:rPr>
          <w:lang w:eastAsia="zh-CN"/>
        </w:rPr>
        <w:t>健康保险计划供资。</w:t>
      </w:r>
    </w:p>
    <w:p w14:paraId="7C2D7AC8" w14:textId="49981E09" w:rsidR="00574DB1" w:rsidRDefault="00574DB1" w:rsidP="00574DB1">
      <w:pPr>
        <w:snapToGrid w:val="0"/>
        <w:spacing w:after="120"/>
        <w:jc w:val="both"/>
        <w:rPr>
          <w:lang w:eastAsia="zh-CN"/>
        </w:rPr>
      </w:pPr>
      <w:r>
        <w:rPr>
          <w:szCs w:val="24"/>
          <w:lang w:eastAsia="zh-CN"/>
        </w:rPr>
        <w:t>3.</w:t>
      </w:r>
      <w:r w:rsidR="00FE1145">
        <w:rPr>
          <w:rFonts w:hint="eastAsia"/>
          <w:szCs w:val="24"/>
          <w:lang w:eastAsia="zh-CN"/>
        </w:rPr>
        <w:t>3</w:t>
      </w:r>
      <w:r>
        <w:rPr>
          <w:szCs w:val="24"/>
          <w:lang w:eastAsia="zh-CN"/>
        </w:rPr>
        <w:tab/>
      </w:r>
      <w:r>
        <w:rPr>
          <w:rFonts w:hint="eastAsia"/>
          <w:szCs w:val="24"/>
          <w:lang w:eastAsia="zh-CN"/>
        </w:rPr>
        <w:t>截至</w:t>
      </w:r>
      <w:r>
        <w:rPr>
          <w:rFonts w:hint="eastAsia"/>
          <w:lang w:eastAsia="zh-CN"/>
        </w:rPr>
        <w:t>201</w:t>
      </w:r>
      <w:r w:rsidR="004D53E0">
        <w:rPr>
          <w:lang w:eastAsia="zh-CN"/>
        </w:rPr>
        <w:t>8</w:t>
      </w:r>
      <w:r>
        <w:rPr>
          <w:rFonts w:hint="eastAsia"/>
          <w:lang w:eastAsia="zh-CN"/>
        </w:rPr>
        <w:t>年底，</w:t>
      </w:r>
      <w:r w:rsidRPr="00C65748">
        <w:rPr>
          <w:lang w:eastAsia="zh-CN"/>
        </w:rPr>
        <w:t>CMIP</w:t>
      </w:r>
      <w:r>
        <w:rPr>
          <w:lang w:eastAsia="zh-CN"/>
        </w:rPr>
        <w:t>保障基金</w:t>
      </w:r>
      <w:r>
        <w:rPr>
          <w:rFonts w:hint="eastAsia"/>
          <w:lang w:eastAsia="zh-CN"/>
        </w:rPr>
        <w:t>的余额为</w:t>
      </w:r>
      <w:r w:rsidR="00D3110D">
        <w:rPr>
          <w:rFonts w:hint="eastAsia"/>
          <w:lang w:eastAsia="zh-CN"/>
        </w:rPr>
        <w:t>2</w:t>
      </w:r>
      <w:r w:rsidR="00D3110D">
        <w:rPr>
          <w:lang w:val="en-US" w:eastAsia="zh-CN"/>
        </w:rPr>
        <w:t> </w:t>
      </w:r>
      <w:r w:rsidR="00FE1145">
        <w:rPr>
          <w:lang w:val="en-US" w:eastAsia="zh-CN"/>
        </w:rPr>
        <w:t>030</w:t>
      </w:r>
      <w:r>
        <w:rPr>
          <w:rFonts w:hint="eastAsia"/>
          <w:lang w:eastAsia="zh-CN"/>
        </w:rPr>
        <w:t>万瑞郎。</w:t>
      </w:r>
    </w:p>
    <w:p w14:paraId="53FF09A2" w14:textId="2FA87318" w:rsidR="00FE1145" w:rsidRPr="00EA14D7" w:rsidRDefault="00FE1145" w:rsidP="00574DB1">
      <w:pPr>
        <w:snapToGrid w:val="0"/>
        <w:spacing w:after="120"/>
        <w:jc w:val="both"/>
        <w:rPr>
          <w:szCs w:val="24"/>
          <w:highlight w:val="green"/>
          <w:lang w:eastAsia="zh-CN"/>
        </w:rPr>
      </w:pPr>
      <w:r w:rsidRPr="00FE1145">
        <w:rPr>
          <w:szCs w:val="24"/>
          <w:lang w:eastAsia="zh-CN"/>
        </w:rPr>
        <w:t>3.4</w:t>
      </w:r>
      <w:r w:rsidRPr="00FE1145">
        <w:rPr>
          <w:szCs w:val="24"/>
          <w:lang w:eastAsia="zh-CN"/>
        </w:rPr>
        <w:tab/>
      </w:r>
      <w:r w:rsidR="00166DCE">
        <w:rPr>
          <w:szCs w:val="24"/>
          <w:lang w:eastAsia="zh-CN"/>
        </w:rPr>
        <w:t>2020</w:t>
      </w:r>
      <w:r w:rsidR="00166DCE">
        <w:rPr>
          <w:rFonts w:hint="eastAsia"/>
          <w:szCs w:val="24"/>
          <w:lang w:eastAsia="zh-CN"/>
        </w:rPr>
        <w:t>年初使用了</w:t>
      </w:r>
      <w:r w:rsidRPr="00FE1145">
        <w:rPr>
          <w:szCs w:val="24"/>
          <w:lang w:eastAsia="zh-CN"/>
        </w:rPr>
        <w:t>CMIP</w:t>
      </w:r>
      <w:r w:rsidR="00166DCE">
        <w:rPr>
          <w:rFonts w:hint="eastAsia"/>
          <w:szCs w:val="24"/>
          <w:lang w:eastAsia="zh-CN"/>
        </w:rPr>
        <w:t>保障基金，以支付</w:t>
      </w:r>
      <w:r w:rsidR="00166DCE">
        <w:rPr>
          <w:rFonts w:hint="eastAsia"/>
          <w:szCs w:val="24"/>
          <w:lang w:eastAsia="zh-CN"/>
        </w:rPr>
        <w:t>2</w:t>
      </w:r>
      <w:r w:rsidR="00166DCE">
        <w:rPr>
          <w:szCs w:val="24"/>
          <w:lang w:eastAsia="zh-CN"/>
        </w:rPr>
        <w:t>020</w:t>
      </w:r>
      <w:r w:rsidR="00166DCE">
        <w:rPr>
          <w:rFonts w:hint="eastAsia"/>
          <w:szCs w:val="24"/>
          <w:lang w:eastAsia="zh-CN"/>
        </w:rPr>
        <w:t>年</w:t>
      </w:r>
      <w:r w:rsidR="00166DCE">
        <w:rPr>
          <w:rFonts w:hint="eastAsia"/>
          <w:szCs w:val="24"/>
          <w:lang w:eastAsia="zh-CN"/>
        </w:rPr>
        <w:t>1</w:t>
      </w:r>
      <w:r w:rsidR="00166DCE">
        <w:rPr>
          <w:rFonts w:hint="eastAsia"/>
          <w:szCs w:val="24"/>
          <w:lang w:eastAsia="zh-CN"/>
        </w:rPr>
        <w:t>月</w:t>
      </w:r>
      <w:r w:rsidR="00166DCE">
        <w:rPr>
          <w:rFonts w:hint="eastAsia"/>
          <w:szCs w:val="24"/>
          <w:lang w:eastAsia="zh-CN"/>
        </w:rPr>
        <w:t>1</w:t>
      </w:r>
      <w:r w:rsidR="00166DCE">
        <w:rPr>
          <w:rFonts w:hint="eastAsia"/>
          <w:szCs w:val="24"/>
          <w:lang w:eastAsia="zh-CN"/>
        </w:rPr>
        <w:t>日起加入</w:t>
      </w:r>
      <w:r w:rsidR="00166DCE" w:rsidRPr="00FE1145">
        <w:rPr>
          <w:szCs w:val="24"/>
          <w:lang w:eastAsia="zh-CN"/>
        </w:rPr>
        <w:t>UNSMIS</w:t>
      </w:r>
      <w:r w:rsidR="00166DCE">
        <w:rPr>
          <w:rFonts w:hint="eastAsia"/>
          <w:szCs w:val="24"/>
          <w:lang w:eastAsia="zh-CN"/>
        </w:rPr>
        <w:t>计划的加入费用。</w:t>
      </w:r>
    </w:p>
    <w:p w14:paraId="77CC520C" w14:textId="77777777" w:rsidR="00574DB1" w:rsidRPr="00445B27" w:rsidRDefault="00574DB1" w:rsidP="007E3353">
      <w:pPr>
        <w:pStyle w:val="Headingb"/>
        <w:spacing w:before="240"/>
        <w:rPr>
          <w:rFonts w:asciiTheme="minorHAnsi" w:eastAsia="STKaiti" w:hAnsiTheme="minorHAnsi"/>
          <w:lang w:eastAsia="zh-CN"/>
        </w:rPr>
      </w:pPr>
      <w:r w:rsidRPr="00445B27">
        <w:rPr>
          <w:rFonts w:asciiTheme="minorHAnsi" w:eastAsia="STKaiti" w:hAnsiTheme="minorHAnsi"/>
          <w:lang w:eastAsia="zh-CN"/>
        </w:rPr>
        <w:t>创建基金</w:t>
      </w:r>
      <w:r>
        <w:rPr>
          <w:rFonts w:asciiTheme="minorHAnsi" w:eastAsia="STKaiti" w:hAnsiTheme="minorHAnsi"/>
          <w:lang w:eastAsia="zh-CN"/>
        </w:rPr>
        <w:t>，</w:t>
      </w:r>
      <w:r>
        <w:rPr>
          <w:rFonts w:asciiTheme="minorHAnsi" w:eastAsia="STKaiti" w:hAnsiTheme="minorHAnsi" w:hint="eastAsia"/>
          <w:lang w:eastAsia="zh-CN"/>
        </w:rPr>
        <w:t>以便向</w:t>
      </w:r>
      <w:r w:rsidRPr="00445B27">
        <w:rPr>
          <w:rFonts w:asciiTheme="minorHAnsi" w:eastAsia="STKaiti" w:hAnsiTheme="minorHAnsi"/>
          <w:lang w:eastAsia="zh-CN"/>
        </w:rPr>
        <w:t>ASHI</w:t>
      </w:r>
      <w:r w:rsidRPr="00445B27">
        <w:rPr>
          <w:rFonts w:asciiTheme="minorHAnsi" w:eastAsia="STKaiti" w:hAnsiTheme="minorHAnsi"/>
          <w:lang w:eastAsia="zh-CN"/>
        </w:rPr>
        <w:t>精算负债</w:t>
      </w:r>
      <w:r>
        <w:rPr>
          <w:rFonts w:asciiTheme="minorHAnsi" w:eastAsia="STKaiti" w:hAnsiTheme="minorHAnsi"/>
          <w:lang w:eastAsia="zh-CN"/>
        </w:rPr>
        <w:t>长期</w:t>
      </w:r>
      <w:r>
        <w:rPr>
          <w:rFonts w:asciiTheme="minorHAnsi" w:eastAsia="STKaiti" w:hAnsiTheme="minorHAnsi" w:hint="eastAsia"/>
          <w:lang w:eastAsia="zh-CN"/>
        </w:rPr>
        <w:t>注</w:t>
      </w:r>
      <w:r w:rsidRPr="00445B27">
        <w:rPr>
          <w:rFonts w:asciiTheme="minorHAnsi" w:eastAsia="STKaiti" w:hAnsiTheme="minorHAnsi"/>
          <w:lang w:eastAsia="zh-CN"/>
        </w:rPr>
        <w:t>资</w:t>
      </w:r>
    </w:p>
    <w:p w14:paraId="74749F40" w14:textId="09EABD0E" w:rsidR="00574DB1" w:rsidRPr="00684964" w:rsidRDefault="00574DB1" w:rsidP="00574DB1">
      <w:pPr>
        <w:snapToGrid w:val="0"/>
        <w:spacing w:after="120"/>
        <w:jc w:val="both"/>
        <w:rPr>
          <w:b/>
          <w:sz w:val="22"/>
          <w:szCs w:val="24"/>
          <w:lang w:eastAsia="zh-CN"/>
        </w:rPr>
      </w:pPr>
      <w:r>
        <w:rPr>
          <w:szCs w:val="24"/>
          <w:lang w:eastAsia="zh-CN"/>
        </w:rPr>
        <w:t>3.</w:t>
      </w:r>
      <w:r w:rsidR="00FE1145">
        <w:rPr>
          <w:szCs w:val="24"/>
          <w:lang w:eastAsia="zh-CN"/>
        </w:rPr>
        <w:t>5</w:t>
      </w:r>
      <w:r>
        <w:rPr>
          <w:szCs w:val="24"/>
          <w:lang w:eastAsia="zh-CN"/>
        </w:rPr>
        <w:tab/>
      </w:r>
      <w:r w:rsidR="00B42384">
        <w:rPr>
          <w:rFonts w:hint="eastAsia"/>
          <w:szCs w:val="24"/>
          <w:lang w:eastAsia="zh-CN"/>
        </w:rPr>
        <w:t>自设立</w:t>
      </w:r>
      <w:r>
        <w:rPr>
          <w:lang w:eastAsia="zh-CN"/>
        </w:rPr>
        <w:t>ASHI</w:t>
      </w:r>
      <w:r>
        <w:rPr>
          <w:lang w:eastAsia="zh-CN"/>
        </w:rPr>
        <w:t>基金</w:t>
      </w:r>
      <w:r w:rsidR="00B42384">
        <w:rPr>
          <w:rFonts w:hint="eastAsia"/>
          <w:lang w:eastAsia="zh-CN"/>
        </w:rPr>
        <w:t>并</w:t>
      </w:r>
      <w:r>
        <w:rPr>
          <w:lang w:eastAsia="zh-CN"/>
        </w:rPr>
        <w:t>开始</w:t>
      </w:r>
      <w:r>
        <w:rPr>
          <w:rFonts w:hint="eastAsia"/>
          <w:lang w:eastAsia="zh-CN"/>
        </w:rPr>
        <w:t>向</w:t>
      </w:r>
      <w:r>
        <w:rPr>
          <w:lang w:eastAsia="zh-CN"/>
        </w:rPr>
        <w:t>ASHI</w:t>
      </w:r>
      <w:r>
        <w:rPr>
          <w:rFonts w:hint="eastAsia"/>
          <w:lang w:eastAsia="zh-CN"/>
        </w:rPr>
        <w:t>承</w:t>
      </w:r>
      <w:r>
        <w:rPr>
          <w:lang w:eastAsia="zh-CN"/>
        </w:rPr>
        <w:t>付款</w:t>
      </w:r>
      <w:r>
        <w:rPr>
          <w:rFonts w:hint="eastAsia"/>
          <w:lang w:eastAsia="zh-CN"/>
        </w:rPr>
        <w:t>注</w:t>
      </w:r>
      <w:r>
        <w:rPr>
          <w:lang w:eastAsia="zh-CN"/>
        </w:rPr>
        <w:t>资</w:t>
      </w:r>
      <w:r w:rsidR="00B42384">
        <w:rPr>
          <w:rFonts w:hint="eastAsia"/>
          <w:lang w:eastAsia="zh-CN"/>
        </w:rPr>
        <w:t>起，共</w:t>
      </w:r>
      <w:r>
        <w:rPr>
          <w:rFonts w:hint="eastAsia"/>
          <w:lang w:eastAsia="zh-CN"/>
        </w:rPr>
        <w:t>向</w:t>
      </w:r>
      <w:r>
        <w:rPr>
          <w:lang w:eastAsia="zh-CN"/>
        </w:rPr>
        <w:t>ASHI</w:t>
      </w:r>
      <w:r>
        <w:rPr>
          <w:lang w:eastAsia="zh-CN"/>
        </w:rPr>
        <w:t>基金</w:t>
      </w:r>
      <w:r>
        <w:rPr>
          <w:rFonts w:hint="eastAsia"/>
          <w:lang w:eastAsia="zh-CN"/>
        </w:rPr>
        <w:t>注资</w:t>
      </w:r>
      <w:r w:rsidR="00FE1145">
        <w:rPr>
          <w:lang w:eastAsia="zh-CN"/>
        </w:rPr>
        <w:t>80</w:t>
      </w:r>
      <w:r>
        <w:rPr>
          <w:szCs w:val="24"/>
          <w:lang w:eastAsia="zh-CN"/>
        </w:rPr>
        <w:t>0</w:t>
      </w:r>
      <w:r>
        <w:rPr>
          <w:rFonts w:hint="eastAsia"/>
          <w:szCs w:val="24"/>
          <w:lang w:eastAsia="zh-CN"/>
        </w:rPr>
        <w:t>万瑞郎。</w:t>
      </w:r>
      <w:r>
        <w:rPr>
          <w:rFonts w:hint="eastAsia"/>
          <w:lang w:eastAsia="zh-CN"/>
        </w:rPr>
        <w:t>截至</w:t>
      </w:r>
      <w:r>
        <w:rPr>
          <w:rFonts w:hint="eastAsia"/>
          <w:lang w:eastAsia="zh-CN"/>
        </w:rPr>
        <w:t>201</w:t>
      </w:r>
      <w:r w:rsidR="00FE1145">
        <w:rPr>
          <w:rFonts w:hint="eastAsia"/>
          <w:lang w:eastAsia="zh-CN"/>
        </w:rPr>
        <w:t>9</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日，在进一步划拨</w:t>
      </w:r>
      <w:r w:rsidR="00FE1145">
        <w:rPr>
          <w:lang w:eastAsia="zh-CN"/>
        </w:rPr>
        <w:t>500</w:t>
      </w:r>
      <w:r w:rsidR="00FE1145">
        <w:rPr>
          <w:lang w:val="en-US" w:eastAsia="zh-CN"/>
        </w:rPr>
        <w:t> </w:t>
      </w:r>
      <w:r w:rsidR="00FE1145">
        <w:rPr>
          <w:rFonts w:hint="eastAsia"/>
          <w:lang w:val="en-US" w:eastAsia="zh-CN"/>
        </w:rPr>
        <w:t>000</w:t>
      </w:r>
      <w:r>
        <w:rPr>
          <w:lang w:eastAsia="zh-CN"/>
        </w:rPr>
        <w:t>瑞郎</w:t>
      </w:r>
      <w:r>
        <w:rPr>
          <w:rFonts w:hint="eastAsia"/>
          <w:lang w:eastAsia="zh-CN"/>
        </w:rPr>
        <w:t>之后，</w:t>
      </w:r>
      <w:r>
        <w:rPr>
          <w:rFonts w:hint="eastAsia"/>
          <w:lang w:eastAsia="zh-CN"/>
        </w:rPr>
        <w:t>ASHI</w:t>
      </w:r>
      <w:r>
        <w:rPr>
          <w:rFonts w:hint="eastAsia"/>
          <w:lang w:eastAsia="zh-CN"/>
        </w:rPr>
        <w:t>基金的金额达到</w:t>
      </w:r>
      <w:r w:rsidR="00FE1145">
        <w:rPr>
          <w:rFonts w:hint="eastAsia"/>
          <w:lang w:eastAsia="zh-CN"/>
        </w:rPr>
        <w:t>1</w:t>
      </w:r>
      <w:r w:rsidR="00FE1145">
        <w:rPr>
          <w:lang w:val="en-US" w:eastAsia="zh-CN"/>
        </w:rPr>
        <w:t> </w:t>
      </w:r>
      <w:r w:rsidR="00FE1145">
        <w:rPr>
          <w:rFonts w:hint="eastAsia"/>
          <w:lang w:val="en-US" w:eastAsia="zh-CN"/>
        </w:rPr>
        <w:t>200</w:t>
      </w:r>
      <w:r>
        <w:rPr>
          <w:rFonts w:hint="eastAsia"/>
          <w:lang w:eastAsia="zh-CN"/>
        </w:rPr>
        <w:t>万瑞郎。</w:t>
      </w:r>
    </w:p>
    <w:p w14:paraId="390E550F" w14:textId="627CFA2D" w:rsidR="00574DB1" w:rsidRPr="00527598" w:rsidRDefault="00574DB1" w:rsidP="00574DB1">
      <w:pPr>
        <w:snapToGrid w:val="0"/>
        <w:spacing w:after="120"/>
        <w:jc w:val="both"/>
        <w:rPr>
          <w:b/>
          <w:color w:val="800000"/>
          <w:sz w:val="22"/>
          <w:szCs w:val="24"/>
          <w:highlight w:val="yellow"/>
          <w:lang w:eastAsia="zh-CN"/>
        </w:rPr>
      </w:pPr>
      <w:r>
        <w:rPr>
          <w:szCs w:val="24"/>
          <w:lang w:eastAsia="zh-CN"/>
        </w:rPr>
        <w:t>3.</w:t>
      </w:r>
      <w:r w:rsidR="00FE1145">
        <w:rPr>
          <w:rFonts w:hint="eastAsia"/>
          <w:szCs w:val="24"/>
          <w:lang w:eastAsia="zh-CN"/>
        </w:rPr>
        <w:t>6</w:t>
      </w:r>
      <w:r>
        <w:rPr>
          <w:szCs w:val="24"/>
          <w:lang w:eastAsia="zh-CN"/>
        </w:rPr>
        <w:tab/>
      </w:r>
      <w:r>
        <w:rPr>
          <w:lang w:eastAsia="zh-CN"/>
        </w:rPr>
        <w:t>由于</w:t>
      </w:r>
      <w:r>
        <w:rPr>
          <w:lang w:eastAsia="zh-CN"/>
        </w:rPr>
        <w:t>ASHI</w:t>
      </w:r>
      <w:r>
        <w:rPr>
          <w:rFonts w:hint="eastAsia"/>
          <w:lang w:eastAsia="zh-CN"/>
        </w:rPr>
        <w:t>承</w:t>
      </w:r>
      <w:r>
        <w:rPr>
          <w:lang w:eastAsia="zh-CN"/>
        </w:rPr>
        <w:t>付款</w:t>
      </w:r>
      <w:r>
        <w:rPr>
          <w:rFonts w:hint="eastAsia"/>
          <w:lang w:eastAsia="zh-CN"/>
        </w:rPr>
        <w:t>数额</w:t>
      </w:r>
      <w:r>
        <w:rPr>
          <w:lang w:eastAsia="zh-CN"/>
        </w:rPr>
        <w:t>巨大且目前</w:t>
      </w:r>
      <w:r>
        <w:rPr>
          <w:rFonts w:hint="eastAsia"/>
          <w:lang w:eastAsia="zh-CN"/>
        </w:rPr>
        <w:t>存</w:t>
      </w:r>
      <w:r>
        <w:rPr>
          <w:lang w:eastAsia="zh-CN"/>
        </w:rPr>
        <w:t>在预算限制，因此无法快速为</w:t>
      </w:r>
      <w:r>
        <w:rPr>
          <w:lang w:eastAsia="zh-CN"/>
        </w:rPr>
        <w:t>ASHI</w:t>
      </w:r>
      <w:r>
        <w:rPr>
          <w:rFonts w:hint="eastAsia"/>
          <w:lang w:eastAsia="zh-CN"/>
        </w:rPr>
        <w:t>承</w:t>
      </w:r>
      <w:r>
        <w:rPr>
          <w:lang w:eastAsia="zh-CN"/>
        </w:rPr>
        <w:t>付款提供资金。将继续密切监督</w:t>
      </w:r>
      <w:r w:rsidRPr="0036118C">
        <w:rPr>
          <w:lang w:eastAsia="zh-CN"/>
        </w:rPr>
        <w:t>ASHI</w:t>
      </w:r>
      <w:r>
        <w:rPr>
          <w:lang w:eastAsia="zh-CN"/>
        </w:rPr>
        <w:t>负债情况的发展演变。</w:t>
      </w:r>
    </w:p>
    <w:p w14:paraId="0D812494" w14:textId="2BDAE436" w:rsidR="00FE1145" w:rsidRDefault="00FE1145" w:rsidP="00B42384">
      <w:pPr>
        <w:pStyle w:val="Headingb"/>
        <w:spacing w:before="240"/>
        <w:rPr>
          <w:szCs w:val="24"/>
          <w:lang w:val="en-US" w:eastAsia="zh-CN"/>
        </w:rPr>
      </w:pPr>
      <w:r w:rsidRPr="00B42384">
        <w:rPr>
          <w:rFonts w:asciiTheme="minorHAnsi" w:eastAsia="STKaiti" w:hAnsiTheme="minorHAnsi"/>
          <w:lang w:eastAsia="zh-CN"/>
        </w:rPr>
        <w:t>CMIP</w:t>
      </w:r>
      <w:r w:rsidR="00B42384" w:rsidRPr="00B42384">
        <w:rPr>
          <w:rFonts w:asciiTheme="minorHAnsi" w:eastAsia="STKaiti" w:hAnsiTheme="minorHAnsi" w:hint="eastAsia"/>
          <w:lang w:eastAsia="zh-CN"/>
        </w:rPr>
        <w:t>委员会的活动</w:t>
      </w:r>
    </w:p>
    <w:p w14:paraId="2E64EFD9" w14:textId="14030D17" w:rsidR="00FE1145" w:rsidRDefault="00FE1145" w:rsidP="00FE1145">
      <w:pPr>
        <w:snapToGrid w:val="0"/>
        <w:spacing w:after="120"/>
        <w:jc w:val="both"/>
        <w:rPr>
          <w:szCs w:val="24"/>
          <w:lang w:val="en-US" w:eastAsia="zh-CN"/>
        </w:rPr>
      </w:pPr>
      <w:bookmarkStart w:id="5" w:name="_Hlk38447225"/>
      <w:r>
        <w:rPr>
          <w:szCs w:val="24"/>
          <w:lang w:val="en-US" w:eastAsia="zh-CN"/>
        </w:rPr>
        <w:t>3.7</w:t>
      </w:r>
      <w:r>
        <w:rPr>
          <w:szCs w:val="24"/>
          <w:lang w:val="en-US" w:eastAsia="zh-CN"/>
        </w:rPr>
        <w:tab/>
      </w:r>
      <w:r w:rsidR="00C852E8" w:rsidRPr="00C852E8">
        <w:rPr>
          <w:szCs w:val="24"/>
          <w:lang w:eastAsia="zh-CN"/>
        </w:rPr>
        <w:t>考虑到两年来该计划的赤字不断增加，而且</w:t>
      </w:r>
      <w:r w:rsidR="00C852E8" w:rsidRPr="00C852E8">
        <w:rPr>
          <w:szCs w:val="24"/>
          <w:lang w:eastAsia="zh-CN"/>
        </w:rPr>
        <w:t>CIGNA</w:t>
      </w:r>
      <w:r w:rsidR="00C852E8" w:rsidRPr="00C852E8">
        <w:rPr>
          <w:szCs w:val="24"/>
          <w:lang w:eastAsia="zh-CN"/>
        </w:rPr>
        <w:t>不断</w:t>
      </w:r>
      <w:r w:rsidR="00F13CCD" w:rsidRPr="00C852E8">
        <w:rPr>
          <w:szCs w:val="24"/>
          <w:lang w:eastAsia="zh-CN"/>
        </w:rPr>
        <w:t>要求</w:t>
      </w:r>
      <w:r w:rsidR="00C852E8" w:rsidRPr="00C852E8">
        <w:rPr>
          <w:szCs w:val="24"/>
          <w:lang w:eastAsia="zh-CN"/>
        </w:rPr>
        <w:t>增加</w:t>
      </w:r>
      <w:r w:rsidR="00F13CCD" w:rsidRPr="00C852E8">
        <w:rPr>
          <w:szCs w:val="24"/>
          <w:lang w:eastAsia="zh-CN"/>
        </w:rPr>
        <w:t>保费</w:t>
      </w:r>
      <w:r w:rsidR="00C852E8" w:rsidRPr="00C852E8">
        <w:rPr>
          <w:szCs w:val="24"/>
          <w:lang w:eastAsia="zh-CN"/>
        </w:rPr>
        <w:t>，</w:t>
      </w:r>
      <w:r w:rsidR="00C852E8" w:rsidRPr="00C852E8">
        <w:rPr>
          <w:szCs w:val="24"/>
          <w:lang w:eastAsia="zh-CN"/>
        </w:rPr>
        <w:t>CMIP</w:t>
      </w:r>
      <w:r w:rsidR="00C852E8" w:rsidRPr="00C852E8">
        <w:rPr>
          <w:szCs w:val="24"/>
          <w:lang w:eastAsia="zh-CN"/>
        </w:rPr>
        <w:t>委员会研究了提高该计划长期可持续性的替代方案。经过讨论和谈判，向秘书长提出了一项建议，即从</w:t>
      </w:r>
      <w:r w:rsidR="00C852E8" w:rsidRPr="00C852E8">
        <w:rPr>
          <w:szCs w:val="24"/>
          <w:lang w:eastAsia="zh-CN"/>
        </w:rPr>
        <w:t>2020</w:t>
      </w:r>
      <w:r w:rsidR="00C852E8" w:rsidRPr="00C852E8">
        <w:rPr>
          <w:szCs w:val="24"/>
          <w:lang w:eastAsia="zh-CN"/>
        </w:rPr>
        <w:t>年</w:t>
      </w:r>
      <w:r w:rsidR="00C852E8" w:rsidRPr="00C852E8">
        <w:rPr>
          <w:szCs w:val="24"/>
          <w:lang w:eastAsia="zh-CN"/>
        </w:rPr>
        <w:t>1</w:t>
      </w:r>
      <w:r w:rsidR="00C852E8" w:rsidRPr="00C852E8">
        <w:rPr>
          <w:szCs w:val="24"/>
          <w:lang w:eastAsia="zh-CN"/>
        </w:rPr>
        <w:t>月</w:t>
      </w:r>
      <w:r w:rsidR="00C852E8" w:rsidRPr="00C852E8">
        <w:rPr>
          <w:szCs w:val="24"/>
          <w:lang w:eastAsia="zh-CN"/>
        </w:rPr>
        <w:t>1</w:t>
      </w:r>
      <w:r w:rsidR="00C852E8" w:rsidRPr="00C852E8">
        <w:rPr>
          <w:szCs w:val="24"/>
          <w:lang w:eastAsia="zh-CN"/>
        </w:rPr>
        <w:t>日起，</w:t>
      </w:r>
      <w:r w:rsidR="00494640">
        <w:rPr>
          <w:rFonts w:hint="eastAsia"/>
          <w:szCs w:val="24"/>
          <w:lang w:eastAsia="zh-CN"/>
        </w:rPr>
        <w:t>脱离</w:t>
      </w:r>
      <w:r w:rsidR="00F13CCD">
        <w:rPr>
          <w:rFonts w:hint="eastAsia"/>
          <w:szCs w:val="24"/>
          <w:lang w:eastAsia="zh-CN"/>
        </w:rPr>
        <w:t>与</w:t>
      </w:r>
      <w:r w:rsidR="00F13CCD">
        <w:rPr>
          <w:szCs w:val="24"/>
          <w:lang w:val="en-US" w:eastAsia="zh-CN"/>
        </w:rPr>
        <w:t>Cigna</w:t>
      </w:r>
      <w:r w:rsidR="00494640">
        <w:rPr>
          <w:rFonts w:hint="eastAsia"/>
          <w:szCs w:val="24"/>
          <w:lang w:val="en-US" w:eastAsia="zh-CN"/>
        </w:rPr>
        <w:t>组建</w:t>
      </w:r>
      <w:r w:rsidR="00F13CCD">
        <w:rPr>
          <w:rFonts w:hint="eastAsia"/>
          <w:szCs w:val="24"/>
          <w:lang w:eastAsia="zh-CN"/>
        </w:rPr>
        <w:t>的</w:t>
      </w:r>
      <w:r w:rsidR="00C852E8" w:rsidRPr="00C852E8">
        <w:rPr>
          <w:szCs w:val="24"/>
          <w:lang w:eastAsia="zh-CN"/>
        </w:rPr>
        <w:t>CMIP</w:t>
      </w:r>
      <w:r w:rsidR="00C852E8" w:rsidRPr="00C852E8">
        <w:rPr>
          <w:szCs w:val="24"/>
          <w:lang w:eastAsia="zh-CN"/>
        </w:rPr>
        <w:t>，加入</w:t>
      </w:r>
      <w:r w:rsidR="00F13CCD">
        <w:rPr>
          <w:szCs w:val="24"/>
          <w:lang w:val="en-US" w:eastAsia="zh-CN"/>
        </w:rPr>
        <w:t>UNSMIS</w:t>
      </w:r>
      <w:r w:rsidR="00C852E8" w:rsidRPr="00C852E8">
        <w:rPr>
          <w:szCs w:val="24"/>
          <w:lang w:eastAsia="zh-CN"/>
        </w:rPr>
        <w:t>。</w:t>
      </w:r>
    </w:p>
    <w:p w14:paraId="71522681" w14:textId="5419D89C" w:rsidR="00FE1145" w:rsidRPr="00897315" w:rsidRDefault="00FE1145" w:rsidP="00FE1145">
      <w:pPr>
        <w:snapToGrid w:val="0"/>
        <w:spacing w:after="120"/>
        <w:jc w:val="both"/>
        <w:rPr>
          <w:szCs w:val="24"/>
          <w:lang w:val="en-US" w:eastAsia="zh-CN"/>
        </w:rPr>
      </w:pPr>
      <w:r w:rsidRPr="002F26B6">
        <w:rPr>
          <w:szCs w:val="24"/>
          <w:lang w:val="en-US" w:eastAsia="zh-CN"/>
        </w:rPr>
        <w:lastRenderedPageBreak/>
        <w:t>3.8</w:t>
      </w:r>
      <w:r>
        <w:rPr>
          <w:szCs w:val="24"/>
          <w:lang w:val="en-US" w:eastAsia="zh-CN"/>
        </w:rPr>
        <w:tab/>
      </w:r>
      <w:bookmarkEnd w:id="5"/>
      <w:r w:rsidR="00C852E8" w:rsidRPr="00C852E8">
        <w:rPr>
          <w:szCs w:val="24"/>
          <w:lang w:eastAsia="zh-CN"/>
        </w:rPr>
        <w:t>由于</w:t>
      </w:r>
      <w:r w:rsidR="00F13CCD">
        <w:rPr>
          <w:rFonts w:hint="eastAsia"/>
          <w:szCs w:val="24"/>
          <w:lang w:eastAsia="zh-CN"/>
        </w:rPr>
        <w:t>该</w:t>
      </w:r>
      <w:r w:rsidR="00C852E8" w:rsidRPr="00C852E8">
        <w:rPr>
          <w:szCs w:val="24"/>
          <w:lang w:eastAsia="zh-CN"/>
        </w:rPr>
        <w:t>计划的规模，加入</w:t>
      </w:r>
      <w:r w:rsidR="00F13CCD">
        <w:rPr>
          <w:rFonts w:hint="eastAsia"/>
          <w:szCs w:val="24"/>
          <w:lang w:eastAsia="zh-CN"/>
        </w:rPr>
        <w:t>这个</w:t>
      </w:r>
      <w:r w:rsidR="00C852E8" w:rsidRPr="00C852E8">
        <w:rPr>
          <w:szCs w:val="24"/>
          <w:lang w:eastAsia="zh-CN"/>
        </w:rPr>
        <w:t>联合国医疗</w:t>
      </w:r>
      <w:r w:rsidR="00F13CCD">
        <w:rPr>
          <w:rFonts w:hint="eastAsia"/>
          <w:szCs w:val="24"/>
          <w:lang w:eastAsia="zh-CN"/>
        </w:rPr>
        <w:t>保险</w:t>
      </w:r>
      <w:r w:rsidR="00C852E8" w:rsidRPr="00C852E8">
        <w:rPr>
          <w:szCs w:val="24"/>
          <w:lang w:eastAsia="zh-CN"/>
        </w:rPr>
        <w:t>计划不仅对</w:t>
      </w:r>
      <w:r w:rsidR="00F13CCD">
        <w:rPr>
          <w:rFonts w:hint="eastAsia"/>
          <w:szCs w:val="24"/>
          <w:lang w:eastAsia="zh-CN"/>
        </w:rPr>
        <w:t>职员</w:t>
      </w:r>
      <w:r w:rsidR="00C852E8" w:rsidRPr="00C852E8">
        <w:rPr>
          <w:szCs w:val="24"/>
          <w:lang w:eastAsia="zh-CN"/>
        </w:rPr>
        <w:t>有利，而且</w:t>
      </w:r>
      <w:r w:rsidR="00F13CCD" w:rsidRPr="00C852E8">
        <w:rPr>
          <w:szCs w:val="24"/>
          <w:lang w:eastAsia="zh-CN"/>
        </w:rPr>
        <w:t>长期</w:t>
      </w:r>
      <w:r w:rsidR="00F13CCD">
        <w:rPr>
          <w:rFonts w:hint="eastAsia"/>
          <w:szCs w:val="24"/>
          <w:lang w:eastAsia="zh-CN"/>
        </w:rPr>
        <w:t>来看也有利于</w:t>
      </w:r>
      <w:r w:rsidR="00C852E8" w:rsidRPr="00C852E8">
        <w:rPr>
          <w:szCs w:val="24"/>
          <w:lang w:eastAsia="zh-CN"/>
        </w:rPr>
        <w:t>国际电联。</w:t>
      </w:r>
    </w:p>
    <w:p w14:paraId="0A0650DB" w14:textId="77777777" w:rsidR="00574DB1" w:rsidRPr="000F6000" w:rsidRDefault="00574DB1" w:rsidP="00622B71">
      <w:pPr>
        <w:pStyle w:val="Heading1"/>
        <w:rPr>
          <w:lang w:eastAsia="zh-CN"/>
        </w:rPr>
      </w:pPr>
      <w:r w:rsidRPr="000F6000">
        <w:rPr>
          <w:lang w:eastAsia="zh-CN"/>
        </w:rPr>
        <w:t>4</w:t>
      </w:r>
      <w:r w:rsidRPr="000F6000">
        <w:rPr>
          <w:lang w:eastAsia="zh-CN"/>
        </w:rPr>
        <w:tab/>
      </w:r>
      <w:bookmarkStart w:id="6" w:name="lt_pId168"/>
      <w:r w:rsidRPr="000F6000">
        <w:rPr>
          <w:lang w:eastAsia="zh-CN"/>
        </w:rPr>
        <w:t>结论</w:t>
      </w:r>
      <w:bookmarkEnd w:id="6"/>
    </w:p>
    <w:p w14:paraId="4A6AF2AD" w14:textId="69EF1C1C" w:rsidR="00FE1145" w:rsidRPr="00A94DAB" w:rsidRDefault="00FE1145" w:rsidP="00FE1145">
      <w:pPr>
        <w:rPr>
          <w:lang w:eastAsia="zh-CN"/>
        </w:rPr>
      </w:pPr>
      <w:r w:rsidRPr="00A94DAB">
        <w:rPr>
          <w:lang w:eastAsia="zh-CN"/>
        </w:rPr>
        <w:t>4.1</w:t>
      </w:r>
      <w:r w:rsidRPr="00A94DAB">
        <w:rPr>
          <w:lang w:eastAsia="zh-CN"/>
        </w:rPr>
        <w:tab/>
      </w:r>
      <w:r w:rsidR="00C852E8" w:rsidRPr="00C852E8">
        <w:rPr>
          <w:lang w:eastAsia="zh-CN"/>
        </w:rPr>
        <w:t>不管</w:t>
      </w:r>
      <w:r w:rsidR="00F13CCD">
        <w:rPr>
          <w:rFonts w:hint="eastAsia"/>
          <w:lang w:eastAsia="zh-CN"/>
        </w:rPr>
        <w:t>加入哪一个</w:t>
      </w:r>
      <w:r w:rsidR="00C852E8" w:rsidRPr="00C852E8">
        <w:rPr>
          <w:lang w:eastAsia="zh-CN"/>
        </w:rPr>
        <w:t>医疗</w:t>
      </w:r>
      <w:r w:rsidR="00F13CCD">
        <w:rPr>
          <w:rFonts w:hint="eastAsia"/>
          <w:lang w:eastAsia="zh-CN"/>
        </w:rPr>
        <w:t>保险</w:t>
      </w:r>
      <w:r w:rsidR="00C852E8" w:rsidRPr="00C852E8">
        <w:rPr>
          <w:lang w:eastAsia="zh-CN"/>
        </w:rPr>
        <w:t>计划，为</w:t>
      </w:r>
      <w:r w:rsidR="00C852E8" w:rsidRPr="00C852E8">
        <w:rPr>
          <w:lang w:eastAsia="zh-CN"/>
        </w:rPr>
        <w:t>ASHI</w:t>
      </w:r>
      <w:r w:rsidR="00F13CCD">
        <w:rPr>
          <w:rFonts w:hint="eastAsia"/>
          <w:lang w:eastAsia="zh-CN"/>
        </w:rPr>
        <w:t>承</w:t>
      </w:r>
      <w:r w:rsidR="00F13CCD">
        <w:rPr>
          <w:lang w:eastAsia="zh-CN"/>
        </w:rPr>
        <w:t>付款</w:t>
      </w:r>
      <w:r w:rsidR="00C852E8" w:rsidRPr="00C852E8">
        <w:rPr>
          <w:lang w:eastAsia="zh-CN"/>
        </w:rPr>
        <w:t>提供资金的问题仍然存在，</w:t>
      </w:r>
      <w:r w:rsidR="00F13CCD">
        <w:rPr>
          <w:rFonts w:hint="eastAsia"/>
          <w:lang w:eastAsia="zh-CN"/>
        </w:rPr>
        <w:t>该问题依然</w:t>
      </w:r>
      <w:r w:rsidR="00C852E8" w:rsidRPr="00C852E8">
        <w:rPr>
          <w:lang w:eastAsia="zh-CN"/>
        </w:rPr>
        <w:t>是联合国系统</w:t>
      </w:r>
      <w:r w:rsidR="00F13CCD" w:rsidRPr="00C852E8">
        <w:rPr>
          <w:lang w:eastAsia="zh-CN"/>
        </w:rPr>
        <w:t>许多</w:t>
      </w:r>
      <w:r w:rsidR="00C852E8" w:rsidRPr="00C852E8">
        <w:rPr>
          <w:lang w:eastAsia="zh-CN"/>
        </w:rPr>
        <w:t>组织的共同问题。联合国</w:t>
      </w:r>
      <w:r w:rsidR="00C852E8" w:rsidRPr="00C852E8">
        <w:rPr>
          <w:lang w:eastAsia="zh-CN"/>
        </w:rPr>
        <w:t>ASHI</w:t>
      </w:r>
      <w:r w:rsidR="00C852E8" w:rsidRPr="00C852E8">
        <w:rPr>
          <w:lang w:eastAsia="zh-CN"/>
        </w:rPr>
        <w:t>工作组发布的报告已经</w:t>
      </w:r>
      <w:r w:rsidR="00F13CCD">
        <w:rPr>
          <w:rFonts w:hint="eastAsia"/>
          <w:lang w:eastAsia="zh-CN"/>
        </w:rPr>
        <w:t>提交联合国大会</w:t>
      </w:r>
      <w:r w:rsidR="00C852E8" w:rsidRPr="00C852E8">
        <w:rPr>
          <w:lang w:eastAsia="zh-CN"/>
        </w:rPr>
        <w:t>，但</w:t>
      </w:r>
      <w:r w:rsidR="00F13CCD">
        <w:rPr>
          <w:rFonts w:hint="eastAsia"/>
          <w:lang w:eastAsia="zh-CN"/>
        </w:rPr>
        <w:t>联大</w:t>
      </w:r>
      <w:r w:rsidR="00C852E8" w:rsidRPr="00C852E8">
        <w:rPr>
          <w:lang w:eastAsia="zh-CN"/>
        </w:rPr>
        <w:t>尚未审议。国际电联将继续密切关注对</w:t>
      </w:r>
      <w:r w:rsidR="00F13CCD">
        <w:rPr>
          <w:rFonts w:hint="eastAsia"/>
          <w:lang w:eastAsia="zh-CN"/>
        </w:rPr>
        <w:t>该</w:t>
      </w:r>
      <w:r w:rsidR="00C852E8" w:rsidRPr="00C852E8">
        <w:rPr>
          <w:lang w:eastAsia="zh-CN"/>
        </w:rPr>
        <w:t>报告的研究以及从中得出的</w:t>
      </w:r>
      <w:r w:rsidR="00F13CCD">
        <w:rPr>
          <w:rFonts w:hint="eastAsia"/>
          <w:lang w:eastAsia="zh-CN"/>
        </w:rPr>
        <w:t>相关</w:t>
      </w:r>
      <w:r w:rsidR="00C852E8" w:rsidRPr="00C852E8">
        <w:rPr>
          <w:lang w:eastAsia="zh-CN"/>
        </w:rPr>
        <w:t>建议。</w:t>
      </w:r>
    </w:p>
    <w:p w14:paraId="03ECA91F" w14:textId="2DF23598" w:rsidR="00FE1145" w:rsidRPr="00A441A6" w:rsidRDefault="00FE1145" w:rsidP="00FE1145">
      <w:pPr>
        <w:snapToGrid w:val="0"/>
        <w:spacing w:after="120"/>
        <w:jc w:val="both"/>
        <w:rPr>
          <w:rFonts w:cs="Calibri"/>
          <w:szCs w:val="24"/>
          <w:lang w:eastAsia="zh-CN"/>
        </w:rPr>
      </w:pPr>
      <w:r>
        <w:rPr>
          <w:rFonts w:cs="Calibri"/>
          <w:szCs w:val="24"/>
          <w:lang w:eastAsia="zh-CN"/>
        </w:rPr>
        <w:t>4.2</w:t>
      </w:r>
      <w:r>
        <w:rPr>
          <w:rFonts w:cs="Calibri"/>
          <w:szCs w:val="24"/>
          <w:lang w:eastAsia="zh-CN"/>
        </w:rPr>
        <w:tab/>
      </w:r>
      <w:r w:rsidR="008D3587" w:rsidRPr="002F26B6">
        <w:rPr>
          <w:rFonts w:cs="Calibri"/>
          <w:szCs w:val="24"/>
          <w:lang w:eastAsia="zh-CN"/>
        </w:rPr>
        <w:t>UNSMIS</w:t>
      </w:r>
      <w:r w:rsidR="008D3587">
        <w:rPr>
          <w:rFonts w:cs="Calibri" w:hint="eastAsia"/>
          <w:szCs w:val="24"/>
          <w:lang w:eastAsia="zh-CN"/>
        </w:rPr>
        <w:t>保险</w:t>
      </w:r>
      <w:r w:rsidR="00C852E8" w:rsidRPr="00C852E8">
        <w:rPr>
          <w:lang w:eastAsia="zh-CN"/>
        </w:rPr>
        <w:t>计划基于</w:t>
      </w:r>
      <w:r w:rsidR="00C852E8" w:rsidRPr="00C852E8">
        <w:rPr>
          <w:lang w:eastAsia="zh-CN"/>
        </w:rPr>
        <w:t>2020</w:t>
      </w:r>
      <w:r w:rsidR="00C852E8" w:rsidRPr="00C852E8">
        <w:rPr>
          <w:lang w:eastAsia="zh-CN"/>
        </w:rPr>
        <w:t>年</w:t>
      </w:r>
      <w:r w:rsidR="00C852E8" w:rsidRPr="00C852E8">
        <w:rPr>
          <w:lang w:eastAsia="zh-CN"/>
        </w:rPr>
        <w:t>1</w:t>
      </w:r>
      <w:r w:rsidR="00C852E8" w:rsidRPr="00C852E8">
        <w:rPr>
          <w:lang w:eastAsia="zh-CN"/>
        </w:rPr>
        <w:t>月</w:t>
      </w:r>
      <w:r w:rsidR="00C852E8" w:rsidRPr="00C852E8">
        <w:rPr>
          <w:lang w:eastAsia="zh-CN"/>
        </w:rPr>
        <w:t>1</w:t>
      </w:r>
      <w:r w:rsidR="00C852E8" w:rsidRPr="00C852E8">
        <w:rPr>
          <w:lang w:eastAsia="zh-CN"/>
        </w:rPr>
        <w:t>日开始实施的</w:t>
      </w:r>
      <w:r w:rsidR="00C852E8" w:rsidRPr="00C852E8">
        <w:rPr>
          <w:lang w:eastAsia="zh-CN"/>
        </w:rPr>
        <w:t>3.4%</w:t>
      </w:r>
      <w:r w:rsidR="00C852E8" w:rsidRPr="00C852E8">
        <w:rPr>
          <w:lang w:eastAsia="zh-CN"/>
        </w:rPr>
        <w:t>的</w:t>
      </w:r>
      <w:r w:rsidR="00C32A67">
        <w:rPr>
          <w:rFonts w:hint="eastAsia"/>
          <w:lang w:eastAsia="zh-CN"/>
        </w:rPr>
        <w:t>工资缴费</w:t>
      </w:r>
      <w:r w:rsidR="00C852E8" w:rsidRPr="00C852E8">
        <w:rPr>
          <w:lang w:eastAsia="zh-CN"/>
        </w:rPr>
        <w:t>。成本控制的后续行动现</w:t>
      </w:r>
      <w:r w:rsidR="00C32A67">
        <w:rPr>
          <w:rFonts w:hint="eastAsia"/>
          <w:lang w:eastAsia="zh-CN"/>
        </w:rPr>
        <w:t>已成为</w:t>
      </w:r>
      <w:r w:rsidR="00C32A67" w:rsidRPr="002F26B6">
        <w:rPr>
          <w:rFonts w:cs="Calibri"/>
          <w:szCs w:val="24"/>
          <w:lang w:eastAsia="zh-CN"/>
        </w:rPr>
        <w:t>UNSMIS</w:t>
      </w:r>
      <w:r w:rsidR="00C32A67">
        <w:rPr>
          <w:rFonts w:cs="Calibri" w:hint="eastAsia"/>
          <w:szCs w:val="24"/>
          <w:lang w:eastAsia="zh-CN"/>
        </w:rPr>
        <w:t>委员会工作</w:t>
      </w:r>
      <w:r w:rsidR="00C852E8" w:rsidRPr="00C852E8">
        <w:rPr>
          <w:lang w:eastAsia="zh-CN"/>
        </w:rPr>
        <w:t>的一部分，国际电联将作为新成员在该委员会中占有一席之地。</w:t>
      </w:r>
      <w:r w:rsidR="00C852E8" w:rsidRPr="00C852E8">
        <w:rPr>
          <w:lang w:eastAsia="zh-CN"/>
        </w:rPr>
        <w:t xml:space="preserve"> </w:t>
      </w:r>
    </w:p>
    <w:p w14:paraId="2920CEAC" w14:textId="1E7C87BB" w:rsidR="00FE1145" w:rsidRPr="00A94DAB" w:rsidRDefault="00FE1145" w:rsidP="00FE1145">
      <w:pPr>
        <w:snapToGrid w:val="0"/>
        <w:spacing w:after="120"/>
        <w:jc w:val="both"/>
        <w:rPr>
          <w:rFonts w:cs="Calibri"/>
          <w:szCs w:val="24"/>
          <w:lang w:eastAsia="zh-CN"/>
        </w:rPr>
      </w:pPr>
      <w:bookmarkStart w:id="7" w:name="_Hlk38447710"/>
      <w:r>
        <w:rPr>
          <w:rFonts w:cs="Calibri"/>
          <w:szCs w:val="24"/>
          <w:lang w:eastAsia="zh-CN"/>
        </w:rPr>
        <w:t>4.3</w:t>
      </w:r>
      <w:r>
        <w:rPr>
          <w:rFonts w:cs="Calibri"/>
          <w:szCs w:val="24"/>
          <w:lang w:eastAsia="zh-CN"/>
        </w:rPr>
        <w:tab/>
      </w:r>
      <w:r w:rsidR="00C852E8" w:rsidRPr="00C852E8">
        <w:rPr>
          <w:lang w:eastAsia="zh-CN"/>
        </w:rPr>
        <w:t>应当指出，国际电联将尽可能继续根据预算盈余</w:t>
      </w:r>
      <w:r w:rsidR="00C32A67">
        <w:rPr>
          <w:rFonts w:hint="eastAsia"/>
          <w:lang w:eastAsia="zh-CN"/>
        </w:rPr>
        <w:t>情况</w:t>
      </w:r>
      <w:r w:rsidR="00C852E8" w:rsidRPr="00C852E8">
        <w:rPr>
          <w:lang w:eastAsia="zh-CN"/>
        </w:rPr>
        <w:t>为</w:t>
      </w:r>
      <w:r w:rsidR="00C852E8" w:rsidRPr="00C852E8">
        <w:rPr>
          <w:lang w:eastAsia="zh-CN"/>
        </w:rPr>
        <w:t>ASHI</w:t>
      </w:r>
      <w:r w:rsidR="00C852E8" w:rsidRPr="00C852E8">
        <w:rPr>
          <w:lang w:eastAsia="zh-CN"/>
        </w:rPr>
        <w:t>储备金提供资金，并审查可能提交给国际电联管理层的任何其他</w:t>
      </w:r>
      <w:r w:rsidR="00C32A67">
        <w:rPr>
          <w:rFonts w:hint="eastAsia"/>
          <w:lang w:eastAsia="zh-CN"/>
        </w:rPr>
        <w:t>选项</w:t>
      </w:r>
      <w:r w:rsidR="00C852E8" w:rsidRPr="00C852E8">
        <w:rPr>
          <w:lang w:eastAsia="zh-CN"/>
        </w:rPr>
        <w:t>。</w:t>
      </w:r>
    </w:p>
    <w:bookmarkEnd w:id="7"/>
    <w:p w14:paraId="3341818E" w14:textId="77777777" w:rsidR="00195FED" w:rsidRDefault="00B40A53" w:rsidP="007E3353">
      <w:pPr>
        <w:pStyle w:val="ListParagraph"/>
        <w:spacing w:before="840"/>
        <w:jc w:val="center"/>
        <w:rPr>
          <w:lang w:eastAsia="zh-CN"/>
        </w:rPr>
      </w:pPr>
      <w:r w:rsidRPr="00280EB8">
        <w:rPr>
          <w:lang w:val="en-US" w:eastAsia="zh-CN"/>
        </w:rPr>
        <w:t>________________</w:t>
      </w:r>
    </w:p>
    <w:sectPr w:rsidR="00195FED" w:rsidSect="006C36CD">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D6801" w14:textId="77777777" w:rsidR="00823113" w:rsidRDefault="00823113">
      <w:r>
        <w:separator/>
      </w:r>
    </w:p>
  </w:endnote>
  <w:endnote w:type="continuationSeparator" w:id="0">
    <w:p w14:paraId="7F74D39E" w14:textId="77777777" w:rsidR="00823113" w:rsidRDefault="00823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A259E" w14:textId="397334C0" w:rsidR="00B40A53" w:rsidRPr="00456733" w:rsidRDefault="00DB5BBA" w:rsidP="00931963">
    <w:pPr>
      <w:pStyle w:val="Footer"/>
      <w:rPr>
        <w:color w:val="D9D9D9" w:themeColor="background1" w:themeShade="D9"/>
      </w:rPr>
    </w:pPr>
    <w:r w:rsidRPr="00456733">
      <w:rPr>
        <w:color w:val="D9D9D9" w:themeColor="background1" w:themeShade="D9"/>
      </w:rPr>
      <w:fldChar w:fldCharType="begin"/>
    </w:r>
    <w:r w:rsidRPr="00456733">
      <w:rPr>
        <w:color w:val="D9D9D9" w:themeColor="background1" w:themeShade="D9"/>
      </w:rPr>
      <w:instrText xml:space="preserve"> FILENAME \p  \* MERGEFORMAT </w:instrText>
    </w:r>
    <w:r w:rsidRPr="00456733">
      <w:rPr>
        <w:color w:val="D9D9D9" w:themeColor="background1" w:themeShade="D9"/>
      </w:rPr>
      <w:fldChar w:fldCharType="separate"/>
    </w:r>
    <w:r w:rsidRPr="00456733">
      <w:rPr>
        <w:color w:val="D9D9D9" w:themeColor="background1" w:themeShade="D9"/>
      </w:rPr>
      <w:t>P:\CHI\SG\CONSEIL\C20\000\046C.docx</w:t>
    </w:r>
    <w:r w:rsidRPr="00456733">
      <w:rPr>
        <w:color w:val="D9D9D9" w:themeColor="background1" w:themeShade="D9"/>
      </w:rPr>
      <w:fldChar w:fldCharType="end"/>
    </w:r>
    <w:r w:rsidR="004E4BFF" w:rsidRPr="00456733">
      <w:rPr>
        <w:color w:val="D9D9D9" w:themeColor="background1" w:themeShade="D9"/>
      </w:rPr>
      <w:t xml:space="preserve"> (</w:t>
    </w:r>
    <w:r w:rsidR="00143E22" w:rsidRPr="00456733">
      <w:rPr>
        <w:color w:val="D9D9D9" w:themeColor="background1" w:themeShade="D9"/>
      </w:rPr>
      <w:t>4</w:t>
    </w:r>
    <w:r w:rsidR="000B2689" w:rsidRPr="00456733">
      <w:rPr>
        <w:color w:val="D9D9D9" w:themeColor="background1" w:themeShade="D9"/>
      </w:rPr>
      <w:t>67356</w:t>
    </w:r>
    <w:r w:rsidR="004E4BFF" w:rsidRPr="00456733">
      <w:rPr>
        <w:color w:val="D9D9D9" w:themeColor="background1" w:themeShade="D9"/>
      </w:rPr>
      <w:t>)</w:t>
    </w:r>
    <w:r w:rsidR="004E4BFF" w:rsidRPr="00456733">
      <w:rPr>
        <w:color w:val="D9D9D9" w:themeColor="background1" w:themeShade="D9"/>
      </w:rPr>
      <w:tab/>
    </w:r>
    <w:r w:rsidR="004E4BFF" w:rsidRPr="00456733">
      <w:rPr>
        <w:color w:val="D9D9D9" w:themeColor="background1" w:themeShade="D9"/>
      </w:rPr>
      <w:fldChar w:fldCharType="begin"/>
    </w:r>
    <w:r w:rsidR="004E4BFF" w:rsidRPr="00456733">
      <w:rPr>
        <w:color w:val="D9D9D9" w:themeColor="background1" w:themeShade="D9"/>
      </w:rPr>
      <w:instrText xml:space="preserve"> SAVEDATE \@ DD.MM.YY </w:instrText>
    </w:r>
    <w:r w:rsidR="004E4BFF" w:rsidRPr="00456733">
      <w:rPr>
        <w:color w:val="D9D9D9" w:themeColor="background1" w:themeShade="D9"/>
      </w:rPr>
      <w:fldChar w:fldCharType="separate"/>
    </w:r>
    <w:r w:rsidR="00456733" w:rsidRPr="00456733">
      <w:rPr>
        <w:color w:val="D9D9D9" w:themeColor="background1" w:themeShade="D9"/>
      </w:rPr>
      <w:t>14.05.20</w:t>
    </w:r>
    <w:r w:rsidR="004E4BFF" w:rsidRPr="00456733">
      <w:rPr>
        <w:color w:val="D9D9D9" w:themeColor="background1" w:themeShade="D9"/>
      </w:rPr>
      <w:fldChar w:fldCharType="end"/>
    </w:r>
    <w:r w:rsidR="004E4BFF" w:rsidRPr="00456733">
      <w:rPr>
        <w:color w:val="D9D9D9" w:themeColor="background1" w:themeShade="D9"/>
      </w:rPr>
      <w:tab/>
    </w:r>
    <w:r w:rsidR="004E4BFF" w:rsidRPr="00456733">
      <w:rPr>
        <w:color w:val="D9D9D9" w:themeColor="background1" w:themeShade="D9"/>
      </w:rPr>
      <w:fldChar w:fldCharType="begin"/>
    </w:r>
    <w:r w:rsidR="004E4BFF" w:rsidRPr="00456733">
      <w:rPr>
        <w:color w:val="D9D9D9" w:themeColor="background1" w:themeShade="D9"/>
      </w:rPr>
      <w:instrText xml:space="preserve"> PRINTDATE \@ DD.MM.YY </w:instrText>
    </w:r>
    <w:r w:rsidR="004E4BFF" w:rsidRPr="00456733">
      <w:rPr>
        <w:color w:val="D9D9D9" w:themeColor="background1" w:themeShade="D9"/>
      </w:rPr>
      <w:fldChar w:fldCharType="separate"/>
    </w:r>
    <w:r w:rsidR="004338CB" w:rsidRPr="00456733">
      <w:rPr>
        <w:color w:val="D9D9D9" w:themeColor="background1" w:themeShade="D9"/>
      </w:rPr>
      <w:t>24.02.15</w:t>
    </w:r>
    <w:r w:rsidR="004E4BFF" w:rsidRPr="00456733">
      <w:rPr>
        <w:color w:val="D9D9D9" w:themeColor="background1" w:themeShade="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661A3"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99209" w14:textId="77777777" w:rsidR="00823113" w:rsidRDefault="00823113">
      <w:r>
        <w:t>____________________</w:t>
      </w:r>
    </w:p>
  </w:footnote>
  <w:footnote w:type="continuationSeparator" w:id="0">
    <w:p w14:paraId="295408B1" w14:textId="77777777" w:rsidR="00823113" w:rsidRDefault="00823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71C9E" w14:textId="77777777" w:rsidR="00AC516F" w:rsidRDefault="00AC516F" w:rsidP="00CE6F22">
    <w:pPr>
      <w:pStyle w:val="Header"/>
    </w:pPr>
    <w:r>
      <w:fldChar w:fldCharType="begin"/>
    </w:r>
    <w:r>
      <w:instrText>PAGE</w:instrText>
    </w:r>
    <w:r>
      <w:fldChar w:fldCharType="separate"/>
    </w:r>
    <w:r w:rsidR="0051074F">
      <w:rPr>
        <w:noProof/>
      </w:rPr>
      <w:t>5</w:t>
    </w:r>
    <w:r>
      <w:rPr>
        <w:noProof/>
      </w:rPr>
      <w:fldChar w:fldCharType="end"/>
    </w:r>
  </w:p>
  <w:p w14:paraId="5221D22F" w14:textId="2DB817BF" w:rsidR="00AC516F" w:rsidRDefault="0098459B" w:rsidP="004338CB">
    <w:pPr>
      <w:pStyle w:val="Header"/>
      <w:rPr>
        <w:lang w:eastAsia="zh-CN"/>
      </w:rPr>
    </w:pPr>
    <w:r>
      <w:t>C</w:t>
    </w:r>
    <w:r w:rsidR="00FE1145">
      <w:t>20</w:t>
    </w:r>
    <w:r w:rsidR="004672E6">
      <w:t>/</w:t>
    </w:r>
    <w:r w:rsidR="00574DB1">
      <w:t>4</w:t>
    </w:r>
    <w:r w:rsidR="004338CB">
      <w:t>6</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8CB"/>
    <w:rsid w:val="00001B77"/>
    <w:rsid w:val="0000517A"/>
    <w:rsid w:val="00031E72"/>
    <w:rsid w:val="000404D2"/>
    <w:rsid w:val="00046FA5"/>
    <w:rsid w:val="000853C0"/>
    <w:rsid w:val="000A1C21"/>
    <w:rsid w:val="000B2689"/>
    <w:rsid w:val="000D1567"/>
    <w:rsid w:val="000D15EA"/>
    <w:rsid w:val="000F3636"/>
    <w:rsid w:val="00100D84"/>
    <w:rsid w:val="00124C9D"/>
    <w:rsid w:val="00143E22"/>
    <w:rsid w:val="00157773"/>
    <w:rsid w:val="00166DCE"/>
    <w:rsid w:val="0018251A"/>
    <w:rsid w:val="00190272"/>
    <w:rsid w:val="00193244"/>
    <w:rsid w:val="00195C6C"/>
    <w:rsid w:val="00195FED"/>
    <w:rsid w:val="001A4BD6"/>
    <w:rsid w:val="001D5A18"/>
    <w:rsid w:val="00280EB8"/>
    <w:rsid w:val="002A6670"/>
    <w:rsid w:val="00303502"/>
    <w:rsid w:val="00325C25"/>
    <w:rsid w:val="0037161F"/>
    <w:rsid w:val="00372C8F"/>
    <w:rsid w:val="00380ECE"/>
    <w:rsid w:val="00393DDF"/>
    <w:rsid w:val="00397F55"/>
    <w:rsid w:val="003B0231"/>
    <w:rsid w:val="003B4454"/>
    <w:rsid w:val="003C2E37"/>
    <w:rsid w:val="003F1415"/>
    <w:rsid w:val="0040144C"/>
    <w:rsid w:val="00403EB7"/>
    <w:rsid w:val="00430BF0"/>
    <w:rsid w:val="004338CB"/>
    <w:rsid w:val="00456733"/>
    <w:rsid w:val="004672E6"/>
    <w:rsid w:val="00474ED1"/>
    <w:rsid w:val="00493085"/>
    <w:rsid w:val="004934B8"/>
    <w:rsid w:val="00494640"/>
    <w:rsid w:val="004A36EC"/>
    <w:rsid w:val="004D163F"/>
    <w:rsid w:val="004D53E0"/>
    <w:rsid w:val="004E4BFF"/>
    <w:rsid w:val="004F2598"/>
    <w:rsid w:val="0051074F"/>
    <w:rsid w:val="005403F7"/>
    <w:rsid w:val="00540632"/>
    <w:rsid w:val="00541CF4"/>
    <w:rsid w:val="005451E8"/>
    <w:rsid w:val="005507F2"/>
    <w:rsid w:val="00574DB1"/>
    <w:rsid w:val="005759CC"/>
    <w:rsid w:val="005A72E1"/>
    <w:rsid w:val="005C6632"/>
    <w:rsid w:val="005D1C9E"/>
    <w:rsid w:val="00622B71"/>
    <w:rsid w:val="00654257"/>
    <w:rsid w:val="0065435A"/>
    <w:rsid w:val="006A2DD3"/>
    <w:rsid w:val="006A5AF8"/>
    <w:rsid w:val="006A6E24"/>
    <w:rsid w:val="006C36CD"/>
    <w:rsid w:val="00700D1F"/>
    <w:rsid w:val="007205CB"/>
    <w:rsid w:val="00726073"/>
    <w:rsid w:val="00734FE8"/>
    <w:rsid w:val="007360CE"/>
    <w:rsid w:val="00772315"/>
    <w:rsid w:val="00775157"/>
    <w:rsid w:val="007813AE"/>
    <w:rsid w:val="00782EE7"/>
    <w:rsid w:val="007A1659"/>
    <w:rsid w:val="007A37DB"/>
    <w:rsid w:val="007C5C94"/>
    <w:rsid w:val="007E189D"/>
    <w:rsid w:val="007E3353"/>
    <w:rsid w:val="00811259"/>
    <w:rsid w:val="00813AA2"/>
    <w:rsid w:val="008173A3"/>
    <w:rsid w:val="00823113"/>
    <w:rsid w:val="0086059C"/>
    <w:rsid w:val="00864589"/>
    <w:rsid w:val="00890AFB"/>
    <w:rsid w:val="00890FC4"/>
    <w:rsid w:val="00895905"/>
    <w:rsid w:val="008D3587"/>
    <w:rsid w:val="009164A9"/>
    <w:rsid w:val="009258CB"/>
    <w:rsid w:val="00931963"/>
    <w:rsid w:val="0093362E"/>
    <w:rsid w:val="00944563"/>
    <w:rsid w:val="00953160"/>
    <w:rsid w:val="009625D8"/>
    <w:rsid w:val="009714C4"/>
    <w:rsid w:val="0098459B"/>
    <w:rsid w:val="00997185"/>
    <w:rsid w:val="009A5613"/>
    <w:rsid w:val="009C2458"/>
    <w:rsid w:val="009C4A7B"/>
    <w:rsid w:val="009C6123"/>
    <w:rsid w:val="009F1E3E"/>
    <w:rsid w:val="00A1213C"/>
    <w:rsid w:val="00A272FF"/>
    <w:rsid w:val="00A5354B"/>
    <w:rsid w:val="00A71B57"/>
    <w:rsid w:val="00AB42C1"/>
    <w:rsid w:val="00AC516F"/>
    <w:rsid w:val="00AE2926"/>
    <w:rsid w:val="00B0184B"/>
    <w:rsid w:val="00B035CD"/>
    <w:rsid w:val="00B0769D"/>
    <w:rsid w:val="00B16A68"/>
    <w:rsid w:val="00B217F8"/>
    <w:rsid w:val="00B332EA"/>
    <w:rsid w:val="00B40A53"/>
    <w:rsid w:val="00B42384"/>
    <w:rsid w:val="00B45365"/>
    <w:rsid w:val="00B46A65"/>
    <w:rsid w:val="00B60184"/>
    <w:rsid w:val="00B62D20"/>
    <w:rsid w:val="00B64D31"/>
    <w:rsid w:val="00B81E75"/>
    <w:rsid w:val="00BD1A5A"/>
    <w:rsid w:val="00BD20C0"/>
    <w:rsid w:val="00BD7A9B"/>
    <w:rsid w:val="00BD7BE1"/>
    <w:rsid w:val="00BF416B"/>
    <w:rsid w:val="00C06865"/>
    <w:rsid w:val="00C32A67"/>
    <w:rsid w:val="00C64E4E"/>
    <w:rsid w:val="00C66E64"/>
    <w:rsid w:val="00C761A0"/>
    <w:rsid w:val="00C852E8"/>
    <w:rsid w:val="00C85F7E"/>
    <w:rsid w:val="00C90D53"/>
    <w:rsid w:val="00CD47F0"/>
    <w:rsid w:val="00CD5566"/>
    <w:rsid w:val="00CD64D7"/>
    <w:rsid w:val="00CE6F22"/>
    <w:rsid w:val="00CF41F6"/>
    <w:rsid w:val="00CF7D3E"/>
    <w:rsid w:val="00D02B4E"/>
    <w:rsid w:val="00D21F11"/>
    <w:rsid w:val="00D3110D"/>
    <w:rsid w:val="00D36817"/>
    <w:rsid w:val="00D453EE"/>
    <w:rsid w:val="00D500AB"/>
    <w:rsid w:val="00D5666C"/>
    <w:rsid w:val="00D666BC"/>
    <w:rsid w:val="00D83542"/>
    <w:rsid w:val="00D92F45"/>
    <w:rsid w:val="00D94637"/>
    <w:rsid w:val="00D9725C"/>
    <w:rsid w:val="00DA7006"/>
    <w:rsid w:val="00DB5BBA"/>
    <w:rsid w:val="00DC6427"/>
    <w:rsid w:val="00DD66A1"/>
    <w:rsid w:val="00DE196D"/>
    <w:rsid w:val="00DF6B49"/>
    <w:rsid w:val="00E067C5"/>
    <w:rsid w:val="00E22BEF"/>
    <w:rsid w:val="00E265BF"/>
    <w:rsid w:val="00E378D8"/>
    <w:rsid w:val="00E43A12"/>
    <w:rsid w:val="00E67C67"/>
    <w:rsid w:val="00E77476"/>
    <w:rsid w:val="00E8228B"/>
    <w:rsid w:val="00EA0C45"/>
    <w:rsid w:val="00EE5706"/>
    <w:rsid w:val="00EF373D"/>
    <w:rsid w:val="00F11595"/>
    <w:rsid w:val="00F13BC9"/>
    <w:rsid w:val="00F13CCD"/>
    <w:rsid w:val="00F357B2"/>
    <w:rsid w:val="00F36556"/>
    <w:rsid w:val="00F705DF"/>
    <w:rsid w:val="00F70622"/>
    <w:rsid w:val="00F85624"/>
    <w:rsid w:val="00F87C05"/>
    <w:rsid w:val="00F93191"/>
    <w:rsid w:val="00F93A17"/>
    <w:rsid w:val="00FA2AF6"/>
    <w:rsid w:val="00FB073D"/>
    <w:rsid w:val="00FB771F"/>
    <w:rsid w:val="00FC5386"/>
    <w:rsid w:val="00FE11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658361B"/>
  <w15:docId w15:val="{53BEEC64-8FF7-420E-A114-96916480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 + 11 pt,Italic,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TabletextChar">
    <w:name w:val="Table_text Char"/>
    <w:link w:val="Tabletext"/>
    <w:locked/>
    <w:rsid w:val="00574DB1"/>
    <w:rPr>
      <w:rFonts w:ascii="Calibri" w:hAnsi="Calibri"/>
      <w:sz w:val="22"/>
      <w:lang w:val="en-GB" w:eastAsia="en-US"/>
    </w:rPr>
  </w:style>
  <w:style w:type="paragraph" w:customStyle="1" w:styleId="xmsonormal">
    <w:name w:val="x_msonormal"/>
    <w:basedOn w:val="Normal"/>
    <w:uiPriority w:val="99"/>
    <w:rsid w:val="00FE1145"/>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en/council/Documents/fin-hr/ref-dec005.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F37F9-58F2-4810-8AB1-1DC1D584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EC80D-8C4C-4650-ABCE-BBE3112376DF}">
  <ds:schemaRefs>
    <ds:schemaRef ds:uri="http://schemas.microsoft.com/sharepoint/v3/contenttype/forms"/>
  </ds:schemaRefs>
</ds:datastoreItem>
</file>

<file path=customXml/itemProps3.xml><?xml version="1.0" encoding="utf-8"?>
<ds:datastoreItem xmlns:ds="http://schemas.openxmlformats.org/officeDocument/2006/customXml" ds:itemID="{63F95599-5CAA-4241-8129-E76B92DEE9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DE34C8-C36D-4957-890B-87202AFCE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0</TotalTime>
  <Pages>4</Pages>
  <Words>2221</Words>
  <Characters>1005</Characters>
  <Application>Microsoft Office Word</Application>
  <DocSecurity>4</DocSecurity>
  <Lines>8</Lines>
  <Paragraphs>6</Paragraphs>
  <ScaleCrop>false</ScaleCrop>
  <HeadingPairs>
    <vt:vector size="2" baseType="variant">
      <vt:variant>
        <vt:lpstr>Title</vt:lpstr>
      </vt:variant>
      <vt:variant>
        <vt:i4>1</vt:i4>
      </vt:variant>
    </vt:vector>
  </HeadingPairs>
  <TitlesOfParts>
    <vt:vector size="1" baseType="lpstr">
      <vt:lpstr>The After-Service Health Insurance (ASHI) liability</vt:lpstr>
    </vt:vector>
  </TitlesOfParts>
  <Manager>General Secretariat - Pool</Manager>
  <Company>International Telecommunication Union (ITU)</Company>
  <LinksUpToDate>false</LinksUpToDate>
  <CharactersWithSpaces>3220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After-Service Health Insurance (ASHI) liability</dc:title>
  <dc:subject>Council 2020</dc:subject>
  <dc:creator>Zheng, Bingyue</dc:creator>
  <cp:keywords>C2020, C20</cp:keywords>
  <dc:description/>
  <cp:lastModifiedBy>Brouard, Ricarda</cp:lastModifiedBy>
  <cp:revision>2</cp:revision>
  <cp:lastPrinted>2015-02-24T13:23:00Z</cp:lastPrinted>
  <dcterms:created xsi:type="dcterms:W3CDTF">2020-05-14T11:52:00Z</dcterms:created>
  <dcterms:modified xsi:type="dcterms:W3CDTF">2020-05-14T11:52:00Z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ContentTypeId">
    <vt:lpwstr>0x010100B638F4433E584047A097BE66491F0F20</vt:lpwstr>
  </property>
</Properties>
</file>