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F597E" w14:paraId="634B08AE" w14:textId="77777777">
        <w:trPr>
          <w:cantSplit/>
        </w:trPr>
        <w:tc>
          <w:tcPr>
            <w:tcW w:w="6912" w:type="dxa"/>
          </w:tcPr>
          <w:p w14:paraId="36548A17" w14:textId="77777777" w:rsidR="00520F36" w:rsidRPr="009F597E" w:rsidRDefault="00520F36" w:rsidP="009F597E">
            <w:pPr>
              <w:spacing w:before="360"/>
            </w:pPr>
            <w:bookmarkStart w:id="0" w:name="dc06"/>
            <w:bookmarkEnd w:id="0"/>
            <w:r w:rsidRPr="009F597E">
              <w:rPr>
                <w:b/>
                <w:bCs/>
                <w:sz w:val="30"/>
                <w:szCs w:val="30"/>
              </w:rPr>
              <w:t>Conseil 20</w:t>
            </w:r>
            <w:r w:rsidR="009C353C" w:rsidRPr="009F597E">
              <w:rPr>
                <w:b/>
                <w:bCs/>
                <w:sz w:val="30"/>
                <w:szCs w:val="30"/>
              </w:rPr>
              <w:t>20</w:t>
            </w:r>
            <w:r w:rsidRPr="009F597E">
              <w:rPr>
                <w:rFonts w:ascii="Verdana" w:hAnsi="Verdana"/>
                <w:b/>
                <w:bCs/>
                <w:sz w:val="26"/>
                <w:szCs w:val="26"/>
              </w:rPr>
              <w:br/>
            </w:r>
            <w:r w:rsidRPr="009F597E">
              <w:rPr>
                <w:b/>
                <w:bCs/>
                <w:szCs w:val="24"/>
              </w:rPr>
              <w:t xml:space="preserve">Genève, </w:t>
            </w:r>
            <w:r w:rsidR="009C353C" w:rsidRPr="009F597E">
              <w:rPr>
                <w:b/>
                <w:bCs/>
                <w:szCs w:val="24"/>
              </w:rPr>
              <w:t>9</w:t>
            </w:r>
            <w:r w:rsidRPr="009F597E">
              <w:rPr>
                <w:b/>
                <w:bCs/>
                <w:szCs w:val="24"/>
              </w:rPr>
              <w:t>-</w:t>
            </w:r>
            <w:r w:rsidR="009C353C" w:rsidRPr="009F597E">
              <w:rPr>
                <w:b/>
                <w:bCs/>
                <w:szCs w:val="24"/>
              </w:rPr>
              <w:t>19</w:t>
            </w:r>
            <w:r w:rsidR="00106B19" w:rsidRPr="009F597E">
              <w:rPr>
                <w:b/>
                <w:bCs/>
                <w:szCs w:val="24"/>
              </w:rPr>
              <w:t xml:space="preserve"> juin</w:t>
            </w:r>
            <w:r w:rsidRPr="009F597E">
              <w:rPr>
                <w:b/>
                <w:bCs/>
                <w:szCs w:val="24"/>
              </w:rPr>
              <w:t xml:space="preserve"> 20</w:t>
            </w:r>
            <w:r w:rsidR="009C353C" w:rsidRPr="009F597E">
              <w:rPr>
                <w:b/>
                <w:bCs/>
                <w:szCs w:val="24"/>
              </w:rPr>
              <w:t>20</w:t>
            </w:r>
          </w:p>
        </w:tc>
        <w:tc>
          <w:tcPr>
            <w:tcW w:w="3261" w:type="dxa"/>
          </w:tcPr>
          <w:p w14:paraId="64426C8B" w14:textId="77777777" w:rsidR="00520F36" w:rsidRPr="009F597E" w:rsidRDefault="009C353C" w:rsidP="009F597E">
            <w:pPr>
              <w:spacing w:before="0"/>
            </w:pPr>
            <w:bookmarkStart w:id="1" w:name="ditulogo"/>
            <w:bookmarkEnd w:id="1"/>
            <w:r w:rsidRPr="009F597E">
              <w:rPr>
                <w:noProof/>
                <w:lang w:eastAsia="zh-CN"/>
              </w:rPr>
              <w:drawing>
                <wp:inline distT="0" distB="0" distL="0" distR="0" wp14:anchorId="54E04350" wp14:editId="3A8327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F597E" w14:paraId="3253E167" w14:textId="77777777" w:rsidTr="00EF41DD">
        <w:trPr>
          <w:cantSplit/>
          <w:trHeight w:val="20"/>
        </w:trPr>
        <w:tc>
          <w:tcPr>
            <w:tcW w:w="6912" w:type="dxa"/>
            <w:tcBorders>
              <w:bottom w:val="single" w:sz="12" w:space="0" w:color="auto"/>
            </w:tcBorders>
            <w:vAlign w:val="center"/>
          </w:tcPr>
          <w:p w14:paraId="5098E289" w14:textId="77777777" w:rsidR="00520F36" w:rsidRPr="009F597E" w:rsidRDefault="00520F36" w:rsidP="009F597E">
            <w:pPr>
              <w:spacing w:before="0"/>
              <w:rPr>
                <w:b/>
                <w:bCs/>
                <w:sz w:val="26"/>
                <w:szCs w:val="26"/>
              </w:rPr>
            </w:pPr>
          </w:p>
        </w:tc>
        <w:tc>
          <w:tcPr>
            <w:tcW w:w="3261" w:type="dxa"/>
            <w:tcBorders>
              <w:bottom w:val="single" w:sz="12" w:space="0" w:color="auto"/>
            </w:tcBorders>
          </w:tcPr>
          <w:p w14:paraId="14378E1E" w14:textId="77777777" w:rsidR="00520F36" w:rsidRPr="009F597E" w:rsidRDefault="00520F36" w:rsidP="009F597E">
            <w:pPr>
              <w:spacing w:before="0"/>
              <w:rPr>
                <w:b/>
                <w:bCs/>
              </w:rPr>
            </w:pPr>
          </w:p>
        </w:tc>
      </w:tr>
      <w:tr w:rsidR="00520F36" w:rsidRPr="009F597E" w14:paraId="3B0BC933" w14:textId="77777777">
        <w:trPr>
          <w:cantSplit/>
          <w:trHeight w:val="20"/>
        </w:trPr>
        <w:tc>
          <w:tcPr>
            <w:tcW w:w="6912" w:type="dxa"/>
            <w:tcBorders>
              <w:top w:val="single" w:sz="12" w:space="0" w:color="auto"/>
            </w:tcBorders>
          </w:tcPr>
          <w:p w14:paraId="56FAF15A" w14:textId="77777777" w:rsidR="00520F36" w:rsidRPr="009F597E" w:rsidRDefault="00520F36" w:rsidP="009F597E">
            <w:pPr>
              <w:spacing w:before="0"/>
              <w:rPr>
                <w:smallCaps/>
                <w:sz w:val="22"/>
              </w:rPr>
            </w:pPr>
          </w:p>
        </w:tc>
        <w:tc>
          <w:tcPr>
            <w:tcW w:w="3261" w:type="dxa"/>
            <w:tcBorders>
              <w:top w:val="single" w:sz="12" w:space="0" w:color="auto"/>
            </w:tcBorders>
          </w:tcPr>
          <w:p w14:paraId="7409E7BA" w14:textId="77777777" w:rsidR="00520F36" w:rsidRPr="009F597E" w:rsidRDefault="00520F36" w:rsidP="009F597E">
            <w:pPr>
              <w:spacing w:before="0"/>
              <w:rPr>
                <w:b/>
                <w:bCs/>
              </w:rPr>
            </w:pPr>
          </w:p>
        </w:tc>
      </w:tr>
      <w:tr w:rsidR="00520F36" w:rsidRPr="009F597E" w14:paraId="344F20FE" w14:textId="77777777">
        <w:trPr>
          <w:cantSplit/>
          <w:trHeight w:val="20"/>
        </w:trPr>
        <w:tc>
          <w:tcPr>
            <w:tcW w:w="6912" w:type="dxa"/>
            <w:vMerge w:val="restart"/>
          </w:tcPr>
          <w:p w14:paraId="4E328277" w14:textId="628A4AB3" w:rsidR="00520F36" w:rsidRPr="009F597E" w:rsidRDefault="00442A0C" w:rsidP="009F597E">
            <w:pPr>
              <w:spacing w:before="0"/>
              <w:rPr>
                <w:rFonts w:cs="Times"/>
                <w:b/>
                <w:bCs/>
                <w:szCs w:val="24"/>
              </w:rPr>
            </w:pPr>
            <w:bookmarkStart w:id="2" w:name="dnum" w:colFirst="1" w:colLast="1"/>
            <w:bookmarkStart w:id="3" w:name="dmeeting" w:colFirst="0" w:colLast="0"/>
            <w:r w:rsidRPr="009F597E">
              <w:rPr>
                <w:rFonts w:cs="Times"/>
                <w:b/>
                <w:bCs/>
                <w:szCs w:val="24"/>
              </w:rPr>
              <w:t xml:space="preserve">Point de l'ordre du </w:t>
            </w:r>
            <w:proofErr w:type="gramStart"/>
            <w:r w:rsidRPr="009F597E">
              <w:rPr>
                <w:rFonts w:cs="Times"/>
                <w:b/>
                <w:bCs/>
                <w:szCs w:val="24"/>
              </w:rPr>
              <w:t>jour:</w:t>
            </w:r>
            <w:proofErr w:type="gramEnd"/>
            <w:r w:rsidRPr="009F597E">
              <w:rPr>
                <w:rFonts w:cs="Times"/>
                <w:b/>
                <w:bCs/>
                <w:szCs w:val="24"/>
              </w:rPr>
              <w:t xml:space="preserve"> PL 2.11</w:t>
            </w:r>
          </w:p>
        </w:tc>
        <w:tc>
          <w:tcPr>
            <w:tcW w:w="3261" w:type="dxa"/>
          </w:tcPr>
          <w:p w14:paraId="02C40060" w14:textId="7F8DDBD3" w:rsidR="00520F36" w:rsidRPr="009F597E" w:rsidRDefault="00520F36" w:rsidP="009F597E">
            <w:pPr>
              <w:spacing w:before="0"/>
              <w:rPr>
                <w:b/>
                <w:bCs/>
              </w:rPr>
            </w:pPr>
            <w:r w:rsidRPr="009F597E">
              <w:rPr>
                <w:b/>
                <w:bCs/>
              </w:rPr>
              <w:t>Document C</w:t>
            </w:r>
            <w:r w:rsidR="009C353C" w:rsidRPr="009F597E">
              <w:rPr>
                <w:b/>
                <w:bCs/>
              </w:rPr>
              <w:t>20</w:t>
            </w:r>
            <w:r w:rsidRPr="009F597E">
              <w:rPr>
                <w:b/>
                <w:bCs/>
              </w:rPr>
              <w:t>/</w:t>
            </w:r>
            <w:r w:rsidR="00442A0C" w:rsidRPr="009F597E">
              <w:rPr>
                <w:b/>
                <w:bCs/>
              </w:rPr>
              <w:t>55</w:t>
            </w:r>
            <w:r w:rsidRPr="009F597E">
              <w:rPr>
                <w:b/>
                <w:bCs/>
              </w:rPr>
              <w:t>-F</w:t>
            </w:r>
          </w:p>
        </w:tc>
      </w:tr>
      <w:tr w:rsidR="00520F36" w:rsidRPr="009F597E" w14:paraId="2123F073" w14:textId="77777777">
        <w:trPr>
          <w:cantSplit/>
          <w:trHeight w:val="20"/>
        </w:trPr>
        <w:tc>
          <w:tcPr>
            <w:tcW w:w="6912" w:type="dxa"/>
            <w:vMerge/>
          </w:tcPr>
          <w:p w14:paraId="5AB17A01" w14:textId="77777777" w:rsidR="00520F36" w:rsidRPr="009F597E" w:rsidRDefault="00520F36" w:rsidP="009F597E">
            <w:pPr>
              <w:shd w:val="solid" w:color="FFFFFF" w:fill="FFFFFF"/>
              <w:spacing w:before="180"/>
              <w:rPr>
                <w:smallCaps/>
              </w:rPr>
            </w:pPr>
            <w:bookmarkStart w:id="4" w:name="ddate" w:colFirst="1" w:colLast="1"/>
            <w:bookmarkEnd w:id="2"/>
            <w:bookmarkEnd w:id="3"/>
          </w:p>
        </w:tc>
        <w:tc>
          <w:tcPr>
            <w:tcW w:w="3261" w:type="dxa"/>
          </w:tcPr>
          <w:p w14:paraId="65A25F03" w14:textId="1A378CAD" w:rsidR="00520F36" w:rsidRPr="009F597E" w:rsidRDefault="00442A0C" w:rsidP="009F597E">
            <w:pPr>
              <w:spacing w:before="0"/>
              <w:rPr>
                <w:b/>
                <w:bCs/>
              </w:rPr>
            </w:pPr>
            <w:r w:rsidRPr="009F597E">
              <w:rPr>
                <w:b/>
                <w:bCs/>
              </w:rPr>
              <w:t>29 avril</w:t>
            </w:r>
            <w:r w:rsidR="00520F36" w:rsidRPr="009F597E">
              <w:rPr>
                <w:b/>
                <w:bCs/>
              </w:rPr>
              <w:t xml:space="preserve"> 20</w:t>
            </w:r>
            <w:r w:rsidR="009C353C" w:rsidRPr="009F597E">
              <w:rPr>
                <w:b/>
                <w:bCs/>
              </w:rPr>
              <w:t>20</w:t>
            </w:r>
          </w:p>
        </w:tc>
      </w:tr>
      <w:tr w:rsidR="00520F36" w:rsidRPr="009F597E" w14:paraId="16DC3354" w14:textId="77777777">
        <w:trPr>
          <w:cantSplit/>
          <w:trHeight w:val="20"/>
        </w:trPr>
        <w:tc>
          <w:tcPr>
            <w:tcW w:w="6912" w:type="dxa"/>
            <w:vMerge/>
          </w:tcPr>
          <w:p w14:paraId="7ACC3701" w14:textId="77777777" w:rsidR="00520F36" w:rsidRPr="009F597E" w:rsidRDefault="00520F36" w:rsidP="009F597E">
            <w:pPr>
              <w:shd w:val="solid" w:color="FFFFFF" w:fill="FFFFFF"/>
              <w:spacing w:before="180"/>
              <w:rPr>
                <w:smallCaps/>
              </w:rPr>
            </w:pPr>
            <w:bookmarkStart w:id="5" w:name="dorlang" w:colFirst="1" w:colLast="1"/>
            <w:bookmarkEnd w:id="4"/>
          </w:p>
        </w:tc>
        <w:tc>
          <w:tcPr>
            <w:tcW w:w="3261" w:type="dxa"/>
          </w:tcPr>
          <w:p w14:paraId="0767094B" w14:textId="77777777" w:rsidR="00520F36" w:rsidRPr="009F597E" w:rsidRDefault="00520F36" w:rsidP="009F597E">
            <w:pPr>
              <w:spacing w:before="0"/>
              <w:rPr>
                <w:b/>
                <w:bCs/>
              </w:rPr>
            </w:pPr>
            <w:proofErr w:type="gramStart"/>
            <w:r w:rsidRPr="009F597E">
              <w:rPr>
                <w:b/>
                <w:bCs/>
              </w:rPr>
              <w:t>Original:</w:t>
            </w:r>
            <w:proofErr w:type="gramEnd"/>
            <w:r w:rsidRPr="009F597E">
              <w:rPr>
                <w:b/>
                <w:bCs/>
              </w:rPr>
              <w:t xml:space="preserve"> anglais</w:t>
            </w:r>
          </w:p>
        </w:tc>
      </w:tr>
      <w:tr w:rsidR="00520F36" w:rsidRPr="009F597E" w14:paraId="459E13A0" w14:textId="77777777">
        <w:trPr>
          <w:cantSplit/>
        </w:trPr>
        <w:tc>
          <w:tcPr>
            <w:tcW w:w="10173" w:type="dxa"/>
            <w:gridSpan w:val="2"/>
          </w:tcPr>
          <w:p w14:paraId="18A9D005" w14:textId="78D50271" w:rsidR="00520F36" w:rsidRPr="009F597E" w:rsidRDefault="00442A0C" w:rsidP="009F597E">
            <w:pPr>
              <w:pStyle w:val="Source"/>
            </w:pPr>
            <w:bookmarkStart w:id="6" w:name="dsource" w:colFirst="0" w:colLast="0"/>
            <w:bookmarkEnd w:id="5"/>
            <w:r w:rsidRPr="009F597E">
              <w:t>Rapport du Secrétaire général</w:t>
            </w:r>
          </w:p>
        </w:tc>
      </w:tr>
      <w:tr w:rsidR="00520F36" w:rsidRPr="009F597E" w14:paraId="7B3EADEC" w14:textId="77777777">
        <w:trPr>
          <w:cantSplit/>
        </w:trPr>
        <w:tc>
          <w:tcPr>
            <w:tcW w:w="10173" w:type="dxa"/>
            <w:gridSpan w:val="2"/>
          </w:tcPr>
          <w:p w14:paraId="5C63C9B9" w14:textId="7952BFED" w:rsidR="00520F36" w:rsidRPr="009F597E" w:rsidRDefault="00442A0C" w:rsidP="009F597E">
            <w:pPr>
              <w:pStyle w:val="Title1"/>
            </w:pPr>
            <w:bookmarkStart w:id="7" w:name="dtitle1" w:colFirst="0" w:colLast="0"/>
            <w:bookmarkEnd w:id="6"/>
            <w:r w:rsidRPr="009F597E">
              <w:t>Conférence mondiale des radiocommunications (cmr-23)</w:t>
            </w:r>
          </w:p>
        </w:tc>
      </w:tr>
      <w:bookmarkEnd w:id="7"/>
    </w:tbl>
    <w:p w14:paraId="2EA33045" w14:textId="77777777" w:rsidR="00520F36" w:rsidRPr="009F597E" w:rsidRDefault="00520F36" w:rsidP="009F597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F597E" w14:paraId="1542EC9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57F9285" w14:textId="77777777" w:rsidR="00520F36" w:rsidRPr="009F597E" w:rsidRDefault="00520F36" w:rsidP="009F597E">
            <w:pPr>
              <w:pStyle w:val="Headingb"/>
            </w:pPr>
            <w:r w:rsidRPr="009F597E">
              <w:t>Résumé</w:t>
            </w:r>
          </w:p>
          <w:p w14:paraId="4A24CEC9" w14:textId="66A17395" w:rsidR="00520F36" w:rsidRPr="009F597E" w:rsidRDefault="00442A0C" w:rsidP="009F597E">
            <w:r w:rsidRPr="009F597E">
              <w:t>La Résolution 811 (CMR-19) recommande des points à inscrire à l'ordre du jour de la CMR-23.</w:t>
            </w:r>
          </w:p>
          <w:p w14:paraId="011DC007" w14:textId="77777777" w:rsidR="00520F36" w:rsidRPr="009F597E" w:rsidRDefault="00520F36" w:rsidP="009F597E">
            <w:pPr>
              <w:pStyle w:val="Headingb"/>
            </w:pPr>
            <w:proofErr w:type="gramStart"/>
            <w:r w:rsidRPr="009F597E">
              <w:t>Suite à</w:t>
            </w:r>
            <w:proofErr w:type="gramEnd"/>
            <w:r w:rsidRPr="009F597E">
              <w:t xml:space="preserve"> donner</w:t>
            </w:r>
          </w:p>
          <w:p w14:paraId="6D5C7933" w14:textId="57359377" w:rsidR="00520F36" w:rsidRPr="009F597E" w:rsidRDefault="00AA5A83" w:rsidP="009F597E">
            <w:bookmarkStart w:id="8" w:name="lt_pId019"/>
            <w:r w:rsidRPr="009F597E">
              <w:t xml:space="preserve">Le Conseil est invité à </w:t>
            </w:r>
            <w:r w:rsidRPr="009F597E">
              <w:rPr>
                <w:b/>
                <w:bCs/>
              </w:rPr>
              <w:t>établir</w:t>
            </w:r>
            <w:r w:rsidRPr="009F597E">
              <w:t xml:space="preserve"> l'ordre du jour définitif de la CMR</w:t>
            </w:r>
            <w:r w:rsidR="00442A0C" w:rsidRPr="009F597E">
              <w:noBreakHyphen/>
              <w:t xml:space="preserve">23 </w:t>
            </w:r>
            <w:r w:rsidRPr="009F597E">
              <w:t xml:space="preserve">et à </w:t>
            </w:r>
            <w:r w:rsidRPr="009F597E">
              <w:rPr>
                <w:b/>
              </w:rPr>
              <w:t xml:space="preserve">prendre </w:t>
            </w:r>
            <w:r w:rsidR="00442A0C" w:rsidRPr="009F597E">
              <w:rPr>
                <w:b/>
              </w:rPr>
              <w:t xml:space="preserve">note </w:t>
            </w:r>
            <w:r w:rsidRPr="009F597E">
              <w:t>de l'intérêt manifesté par l'</w:t>
            </w:r>
            <w:r w:rsidR="00442A0C" w:rsidRPr="009F597E">
              <w:t xml:space="preserve">Administration </w:t>
            </w:r>
            <w:r w:rsidRPr="009F597E">
              <w:t xml:space="preserve">des Émirats arabes unis pour accueillir la </w:t>
            </w:r>
            <w:r w:rsidR="00442A0C" w:rsidRPr="009F597E">
              <w:t>CMR</w:t>
            </w:r>
            <w:r w:rsidR="00442A0C" w:rsidRPr="009F597E">
              <w:noBreakHyphen/>
              <w:t xml:space="preserve">23 </w:t>
            </w:r>
            <w:r w:rsidRPr="009F597E">
              <w:t>dans son pays</w:t>
            </w:r>
            <w:r w:rsidR="00442A0C" w:rsidRPr="009F597E">
              <w:t>.</w:t>
            </w:r>
            <w:bookmarkEnd w:id="8"/>
          </w:p>
          <w:p w14:paraId="44DA9CBB" w14:textId="57FB43A2" w:rsidR="00442A0C" w:rsidRPr="009F597E" w:rsidRDefault="00442A0C" w:rsidP="009F597E">
            <w:r w:rsidRPr="009F597E">
              <w:t xml:space="preserve">Le Conseil est invité à </w:t>
            </w:r>
            <w:r w:rsidRPr="009F597E">
              <w:rPr>
                <w:b/>
                <w:bCs/>
              </w:rPr>
              <w:t>adopter</w:t>
            </w:r>
            <w:r w:rsidRPr="009F597E">
              <w:t xml:space="preserve"> la Résolution reproduite dans l'Annexe </w:t>
            </w:r>
            <w:r w:rsidR="003D4172" w:rsidRPr="009F597E">
              <w:t>C</w:t>
            </w:r>
            <w:r w:rsidRPr="009F597E">
              <w:t>.</w:t>
            </w:r>
          </w:p>
          <w:p w14:paraId="0FA27D43" w14:textId="77777777" w:rsidR="00520F36" w:rsidRPr="009F597E" w:rsidRDefault="00520F36" w:rsidP="009F597E">
            <w:pPr>
              <w:pStyle w:val="Table"/>
              <w:keepNext w:val="0"/>
              <w:spacing w:before="0" w:after="0"/>
              <w:rPr>
                <w:rFonts w:ascii="Calibri" w:hAnsi="Calibri"/>
                <w:caps w:val="0"/>
                <w:sz w:val="22"/>
                <w:lang w:val="fr-FR"/>
              </w:rPr>
            </w:pPr>
            <w:r w:rsidRPr="009F597E">
              <w:rPr>
                <w:rFonts w:ascii="Calibri" w:hAnsi="Calibri"/>
                <w:caps w:val="0"/>
                <w:sz w:val="22"/>
                <w:lang w:val="fr-FR"/>
              </w:rPr>
              <w:t>____________</w:t>
            </w:r>
          </w:p>
          <w:p w14:paraId="67AC295C" w14:textId="77777777" w:rsidR="00520F36" w:rsidRPr="009F597E" w:rsidRDefault="00520F36" w:rsidP="009F597E">
            <w:pPr>
              <w:pStyle w:val="Headingb"/>
            </w:pPr>
            <w:r w:rsidRPr="009F597E">
              <w:t>Références</w:t>
            </w:r>
          </w:p>
          <w:p w14:paraId="04F06442" w14:textId="76ADE13A" w:rsidR="00520F36" w:rsidRPr="009F597E" w:rsidRDefault="00442A0C" w:rsidP="009F597E">
            <w:pPr>
              <w:spacing w:after="120"/>
              <w:rPr>
                <w:i/>
                <w:iCs/>
              </w:rPr>
            </w:pPr>
            <w:r w:rsidRPr="009F597E">
              <w:rPr>
                <w:i/>
                <w:iCs/>
              </w:rPr>
              <w:t xml:space="preserve">Numéros </w:t>
            </w:r>
            <w:hyperlink r:id="rId11" w:history="1">
              <w:r w:rsidRPr="009F597E">
                <w:rPr>
                  <w:rStyle w:val="Hyperlink"/>
                  <w:i/>
                  <w:iCs/>
                </w:rPr>
                <w:t>42, 47, 75, 118 et 126</w:t>
              </w:r>
            </w:hyperlink>
            <w:r w:rsidRPr="009F597E">
              <w:rPr>
                <w:i/>
                <w:iCs/>
                <w:u w:val="single"/>
              </w:rPr>
              <w:t xml:space="preserve"> de la Convention</w:t>
            </w:r>
            <w:r w:rsidRPr="009F597E">
              <w:rPr>
                <w:i/>
                <w:iCs/>
              </w:rPr>
              <w:t xml:space="preserve">; </w:t>
            </w:r>
            <w:hyperlink r:id="rId12" w:history="1">
              <w:r w:rsidRPr="009F597E">
                <w:rPr>
                  <w:rStyle w:val="Hyperlink"/>
                  <w:i/>
                  <w:iCs/>
                </w:rPr>
                <w:t>Résolution 811 (CMR-19)</w:t>
              </w:r>
            </w:hyperlink>
          </w:p>
        </w:tc>
      </w:tr>
    </w:tbl>
    <w:p w14:paraId="2408B4DF" w14:textId="6478111F" w:rsidR="003D4172" w:rsidRPr="009F597E" w:rsidRDefault="003D4172" w:rsidP="009F597E">
      <w:pPr>
        <w:pStyle w:val="Heading1"/>
      </w:pPr>
      <w:r w:rsidRPr="009F597E">
        <w:t>1</w:t>
      </w:r>
      <w:r w:rsidRPr="009F597E">
        <w:tab/>
        <w:t>Conférence mondiale des radiocommunications (CMR-</w:t>
      </w:r>
      <w:r w:rsidR="005A53F9" w:rsidRPr="009F597E">
        <w:t>23</w:t>
      </w:r>
      <w:r w:rsidRPr="009F597E">
        <w:t>)</w:t>
      </w:r>
    </w:p>
    <w:p w14:paraId="7D0F9032" w14:textId="55637F2B" w:rsidR="003D4172" w:rsidRPr="009F597E" w:rsidRDefault="003D4172" w:rsidP="009F597E">
      <w:r w:rsidRPr="009F597E">
        <w:t>1.1</w:t>
      </w:r>
      <w:r w:rsidRPr="009F597E">
        <w:tab/>
        <w:t xml:space="preserve">Par sa Résolution 811 (CMR-19) </w:t>
      </w:r>
      <w:r w:rsidR="00AA5A83" w:rsidRPr="009F597E">
        <w:t xml:space="preserve">(anciennement </w:t>
      </w:r>
      <w:r w:rsidRPr="009F597E">
        <w:t>COM6/1</w:t>
      </w:r>
      <w:r w:rsidR="00AA5A83" w:rsidRPr="009F597E">
        <w:t>)</w:t>
      </w:r>
      <w:r w:rsidRPr="009F597E">
        <w:t>, la Conférence mondiale des radiocommunications (CMR</w:t>
      </w:r>
      <w:r w:rsidRPr="009F597E">
        <w:noBreakHyphen/>
        <w:t>19) a décidé "de recommander au Conseil de convoquer en 20</w:t>
      </w:r>
      <w:r w:rsidR="00AA5A83" w:rsidRPr="009F597E">
        <w:t xml:space="preserve">23 </w:t>
      </w:r>
      <w:r w:rsidRPr="009F597E">
        <w:t>une conférence mondiale des radiocommunications d'une durée maximale de quatre semaines" (voir l'Annexe A du présent document). Elle a en outre recommandé au Conseil des points à inscrire à l'ordre du jour de la CMR</w:t>
      </w:r>
      <w:r w:rsidRPr="009F597E">
        <w:noBreakHyphen/>
        <w:t>23 et l'a invité par ailleurs à arrêter définitivement l'ordre du jour, à prendre les dispositions nécessaires à la convocation de la CMR</w:t>
      </w:r>
      <w:r w:rsidRPr="009F597E">
        <w:noBreakHyphen/>
        <w:t xml:space="preserve">23 et à engager dès que possible les consultations nécessaires avec les </w:t>
      </w:r>
      <w:r w:rsidR="00AD190F" w:rsidRPr="009F597E">
        <w:t>États</w:t>
      </w:r>
      <w:r w:rsidRPr="009F597E">
        <w:t xml:space="preserve"> Membres.</w:t>
      </w:r>
    </w:p>
    <w:p w14:paraId="437AB0DF" w14:textId="331AB38C" w:rsidR="00897553" w:rsidRPr="009F597E" w:rsidRDefault="003D4172" w:rsidP="009F597E">
      <w:r w:rsidRPr="009F597E">
        <w:t>1.2</w:t>
      </w:r>
      <w:r w:rsidRPr="009F597E">
        <w:tab/>
        <w:t xml:space="preserve">En application du numéro 118 de la Convention, le Conseil est chargé de fixer l'ordre du jour définitif d'une conférence mondiale des radiocommunications de préférence deux ans avant sa tenue, avec l'accord de la majorité des </w:t>
      </w:r>
      <w:r w:rsidR="00AD190F" w:rsidRPr="009F597E">
        <w:t>États</w:t>
      </w:r>
      <w:r w:rsidRPr="009F597E">
        <w:t xml:space="preserve"> Membres de l'Union, sous réserve des dispositions du numéro 47 de la Convention. Le lieu précis et les dates exactes doivent aussi être déterminés par le Conseil avec l'accord de la majorité des </w:t>
      </w:r>
      <w:r w:rsidR="00AD190F" w:rsidRPr="009F597E">
        <w:t>États</w:t>
      </w:r>
      <w:r w:rsidRPr="009F597E">
        <w:t xml:space="preserve"> Membres de l'Union, conformément aux numéros 42 et 47 de la Convention.</w:t>
      </w:r>
    </w:p>
    <w:p w14:paraId="030D99F4" w14:textId="67678A6B" w:rsidR="003D4172" w:rsidRPr="009F597E" w:rsidRDefault="003D4172" w:rsidP="009F597E">
      <w:pPr>
        <w:pStyle w:val="Heading1"/>
      </w:pPr>
      <w:r w:rsidRPr="009F597E">
        <w:lastRenderedPageBreak/>
        <w:t>2</w:t>
      </w:r>
      <w:r w:rsidRPr="009F597E">
        <w:tab/>
        <w:t>Assemblée des radiocommunications (AR-23) associée à la CMR-23</w:t>
      </w:r>
    </w:p>
    <w:p w14:paraId="2EB098F9" w14:textId="5E047F56" w:rsidR="00442A0C" w:rsidRPr="009F597E" w:rsidRDefault="003D4172" w:rsidP="009F597E">
      <w:r w:rsidRPr="009F597E">
        <w:t>2.1</w:t>
      </w:r>
      <w:r w:rsidRPr="009F597E">
        <w:tab/>
        <w:t xml:space="preserve">Conformément aux dispositions des numéros 83 et 91 de la Constitution, "les assemblées des radiocommunications sont normalement convoquées tous les trois à quatre ans et peuvent être associées en lieu et dates aux conférences mondiales des radiocommunications ...". Le lieu précis et les dates exactes doivent être déterminés par le Conseil, avec l'accord de la majorité des </w:t>
      </w:r>
      <w:r w:rsidR="00AD190F" w:rsidRPr="009F597E">
        <w:t>États</w:t>
      </w:r>
      <w:r w:rsidRPr="009F597E">
        <w:t xml:space="preserve"> Membres de l'Union, conformément au numéro 42 de la Convention.</w:t>
      </w:r>
    </w:p>
    <w:p w14:paraId="11046896" w14:textId="2232296C" w:rsidR="003D4172" w:rsidRPr="009F597E" w:rsidRDefault="003D4172" w:rsidP="009F597E">
      <w:pPr>
        <w:pStyle w:val="Heading1"/>
        <w:spacing w:before="360" w:after="120"/>
        <w:ind w:left="0" w:firstLine="0"/>
      </w:pPr>
      <w:r w:rsidRPr="009F597E">
        <w:t>3</w:t>
      </w:r>
      <w:r w:rsidRPr="009F597E">
        <w:tab/>
      </w:r>
      <w:bookmarkStart w:id="9" w:name="lt_pId038"/>
      <w:r w:rsidR="00AA5A83" w:rsidRPr="009F597E">
        <w:t xml:space="preserve">Proposition d'accueil </w:t>
      </w:r>
      <w:r w:rsidR="00E64A43" w:rsidRPr="009F597E">
        <w:t xml:space="preserve">de </w:t>
      </w:r>
      <w:r w:rsidR="00AA5A83" w:rsidRPr="009F597E">
        <w:t xml:space="preserve">la </w:t>
      </w:r>
      <w:r w:rsidR="005A53F9" w:rsidRPr="009F597E">
        <w:t>CMR</w:t>
      </w:r>
      <w:r w:rsidRPr="009F597E">
        <w:t>-23</w:t>
      </w:r>
      <w:bookmarkEnd w:id="9"/>
    </w:p>
    <w:p w14:paraId="712CF4EB" w14:textId="4B07B4D9" w:rsidR="003D4172" w:rsidRPr="009F597E" w:rsidRDefault="003D4172" w:rsidP="009F597E">
      <w:pPr>
        <w:spacing w:after="120"/>
      </w:pPr>
      <w:r w:rsidRPr="009F597E">
        <w:t>3.1</w:t>
      </w:r>
      <w:r w:rsidRPr="009F597E">
        <w:tab/>
      </w:r>
      <w:bookmarkStart w:id="10" w:name="lt_pId040"/>
      <w:r w:rsidR="000417A2" w:rsidRPr="009F597E">
        <w:t xml:space="preserve">Le </w:t>
      </w:r>
      <w:r w:rsidRPr="009F597E">
        <w:t xml:space="preserve">31 </w:t>
      </w:r>
      <w:r w:rsidR="00654E32" w:rsidRPr="009F597E">
        <w:t>décembre</w:t>
      </w:r>
      <w:r w:rsidRPr="009F597E">
        <w:t xml:space="preserve"> 2019, </w:t>
      </w:r>
      <w:r w:rsidR="000417A2" w:rsidRPr="009F597E">
        <w:t>l'</w:t>
      </w:r>
      <w:r w:rsidRPr="009F597E">
        <w:t xml:space="preserve">Administration </w:t>
      </w:r>
      <w:r w:rsidR="000417A2" w:rsidRPr="009F597E">
        <w:t xml:space="preserve">des </w:t>
      </w:r>
      <w:r w:rsidR="00BF7704" w:rsidRPr="009F597E">
        <w:t>É</w:t>
      </w:r>
      <w:r w:rsidR="000417A2" w:rsidRPr="009F597E">
        <w:t>mirats arabes unis a fait savoir à l'UIT qu'elle était disposée à accueillir la CMR</w:t>
      </w:r>
      <w:r w:rsidRPr="009F597E">
        <w:t xml:space="preserve">-23 </w:t>
      </w:r>
      <w:r w:rsidR="000417A2" w:rsidRPr="009F597E">
        <w:t xml:space="preserve">dans son pays </w:t>
      </w:r>
      <w:r w:rsidRPr="009F597E">
        <w:t>(</w:t>
      </w:r>
      <w:r w:rsidR="005A53F9" w:rsidRPr="009F597E">
        <w:t>voir l'</w:t>
      </w:r>
      <w:r w:rsidRPr="009F597E">
        <w:t>Annex</w:t>
      </w:r>
      <w:r w:rsidR="005A53F9" w:rsidRPr="009F597E">
        <w:t>e</w:t>
      </w:r>
      <w:r w:rsidRPr="009F597E">
        <w:t xml:space="preserve"> B)</w:t>
      </w:r>
      <w:bookmarkEnd w:id="10"/>
      <w:r w:rsidR="000417A2" w:rsidRPr="009F597E">
        <w:t>.</w:t>
      </w:r>
      <w:r w:rsidRPr="009F597E">
        <w:t xml:space="preserve"> </w:t>
      </w:r>
    </w:p>
    <w:p w14:paraId="4C97E951" w14:textId="2312362A" w:rsidR="000417A2" w:rsidRPr="009F597E" w:rsidRDefault="003D4172" w:rsidP="009F597E">
      <w:pPr>
        <w:spacing w:after="120"/>
      </w:pPr>
      <w:r w:rsidRPr="009F597E">
        <w:t>3.2</w:t>
      </w:r>
      <w:r w:rsidRPr="009F597E">
        <w:tab/>
      </w:r>
      <w:bookmarkStart w:id="11" w:name="lt_pId042"/>
      <w:r w:rsidR="000417A2" w:rsidRPr="009F597E">
        <w:t xml:space="preserve">Compte tenu de l'intérêt manifesté par les Émirats arabes unis pour accueillir la </w:t>
      </w:r>
      <w:r w:rsidR="005A53F9" w:rsidRPr="009F597E">
        <w:t>CMR</w:t>
      </w:r>
      <w:r w:rsidR="005A53F9" w:rsidRPr="009F597E">
        <w:noBreakHyphen/>
      </w:r>
      <w:r w:rsidRPr="009F597E">
        <w:t xml:space="preserve">23, </w:t>
      </w:r>
      <w:r w:rsidR="000417A2" w:rsidRPr="009F597E">
        <w:t xml:space="preserve">le Conseil est invité à charger le BR de communiquer à l'Administration des Émirats arabes unis les exigences de l'UIT pour l'accueil de l'AR-23 et de la CMR-23. </w:t>
      </w:r>
    </w:p>
    <w:bookmarkEnd w:id="11"/>
    <w:p w14:paraId="37E7FA20" w14:textId="0D7AC054" w:rsidR="003D4172" w:rsidRPr="009F597E" w:rsidRDefault="003D4172" w:rsidP="009F597E">
      <w:pPr>
        <w:pStyle w:val="Heading1"/>
        <w:spacing w:before="360" w:after="120"/>
        <w:ind w:left="0" w:firstLine="0"/>
      </w:pPr>
      <w:r w:rsidRPr="009F597E">
        <w:t>4</w:t>
      </w:r>
      <w:r w:rsidRPr="009F597E">
        <w:tab/>
      </w:r>
      <w:bookmarkStart w:id="12" w:name="lt_pId044"/>
      <w:r w:rsidR="000417A2" w:rsidRPr="009F597E">
        <w:t xml:space="preserve">Demande adressée au Conseil concernant les </w:t>
      </w:r>
      <w:r w:rsidRPr="009F597E">
        <w:t xml:space="preserve">dates, </w:t>
      </w:r>
      <w:r w:rsidR="000417A2" w:rsidRPr="009F597E">
        <w:t xml:space="preserve">le lieu et l'ordre du jour de la </w:t>
      </w:r>
      <w:r w:rsidR="005A53F9" w:rsidRPr="009F597E">
        <w:t>CMR-</w:t>
      </w:r>
      <w:r w:rsidRPr="009F597E">
        <w:t>23</w:t>
      </w:r>
      <w:bookmarkEnd w:id="12"/>
      <w:r w:rsidRPr="009F597E">
        <w:t xml:space="preserve"> </w:t>
      </w:r>
    </w:p>
    <w:p w14:paraId="14BFD2EB" w14:textId="04D27899" w:rsidR="000417A2" w:rsidRPr="009F597E" w:rsidRDefault="003D4172" w:rsidP="009F597E">
      <w:pPr>
        <w:spacing w:after="120"/>
      </w:pPr>
      <w:r w:rsidRPr="009F597E">
        <w:t>4.1</w:t>
      </w:r>
      <w:r w:rsidRPr="009F597E">
        <w:tab/>
      </w:r>
      <w:bookmarkStart w:id="13" w:name="lt_pId046"/>
      <w:r w:rsidR="000417A2" w:rsidRPr="009F597E">
        <w:t xml:space="preserve">Le Conseil est invité à charger le Secrétaire général d'engager des consultations avec les </w:t>
      </w:r>
      <w:r w:rsidR="004E6D1A" w:rsidRPr="009F597E">
        <w:t xml:space="preserve">Émirats </w:t>
      </w:r>
      <w:r w:rsidR="000417A2" w:rsidRPr="009F597E">
        <w:t xml:space="preserve">arabes unis afin d'étudier la possibilité </w:t>
      </w:r>
      <w:r w:rsidR="004E6D1A" w:rsidRPr="009F597E">
        <w:t xml:space="preserve">de tenir </w:t>
      </w:r>
      <w:r w:rsidR="000417A2" w:rsidRPr="009F597E">
        <w:t>l'AR-23 et la CMR 23 aux Émirats arabes unis au dernier trimestre de 2023.</w:t>
      </w:r>
    </w:p>
    <w:bookmarkEnd w:id="13"/>
    <w:p w14:paraId="5F027411" w14:textId="5A863534" w:rsidR="00442A0C" w:rsidRPr="009F597E" w:rsidRDefault="003D4172" w:rsidP="009F597E">
      <w:r w:rsidRPr="009F597E">
        <w:t>4.2</w:t>
      </w:r>
      <w:r w:rsidRPr="009F597E">
        <w:tab/>
      </w:r>
      <w:bookmarkStart w:id="14" w:name="lt_pId048"/>
      <w:r w:rsidR="004E6D1A" w:rsidRPr="009F597E">
        <w:t>En conséquence, le Conseil est invité à arrêter l'ordre du jour définitif de la CMR</w:t>
      </w:r>
      <w:r w:rsidR="005A53F9" w:rsidRPr="009F597E">
        <w:noBreakHyphen/>
      </w:r>
      <w:r w:rsidRPr="009F597E">
        <w:t>23 (</w:t>
      </w:r>
      <w:r w:rsidR="005A53F9" w:rsidRPr="009F597E">
        <w:t>voir l'</w:t>
      </w:r>
      <w:r w:rsidRPr="009F597E">
        <w:t>Annex</w:t>
      </w:r>
      <w:r w:rsidR="005A53F9" w:rsidRPr="009F597E">
        <w:t>e </w:t>
      </w:r>
      <w:r w:rsidRPr="009F597E">
        <w:t>C).</w:t>
      </w:r>
      <w:bookmarkEnd w:id="14"/>
    </w:p>
    <w:p w14:paraId="5FAB9F18" w14:textId="593F8DA1" w:rsidR="00925828" w:rsidRPr="00770F71" w:rsidRDefault="003D4172" w:rsidP="009F597E">
      <w:pPr>
        <w:spacing w:before="3480"/>
        <w:rPr>
          <w:i/>
          <w:iCs/>
        </w:rPr>
      </w:pPr>
      <w:proofErr w:type="gramStart"/>
      <w:r w:rsidRPr="00770F71">
        <w:rPr>
          <w:b/>
          <w:bCs/>
          <w:i/>
          <w:iCs/>
        </w:rPr>
        <w:t>Annexes</w:t>
      </w:r>
      <w:r w:rsidRPr="00770F71">
        <w:rPr>
          <w:i/>
          <w:iCs/>
        </w:rPr>
        <w:t>:</w:t>
      </w:r>
      <w:proofErr w:type="gramEnd"/>
      <w:r w:rsidRPr="00770F71">
        <w:rPr>
          <w:i/>
          <w:iCs/>
        </w:rPr>
        <w:t xml:space="preserve"> 3</w:t>
      </w:r>
    </w:p>
    <w:p w14:paraId="76294588" w14:textId="285D6FC3" w:rsidR="00925828" w:rsidRPr="009F597E" w:rsidRDefault="00925828" w:rsidP="009F597E">
      <w:pPr>
        <w:tabs>
          <w:tab w:val="clear" w:pos="567"/>
          <w:tab w:val="clear" w:pos="1134"/>
          <w:tab w:val="clear" w:pos="1701"/>
          <w:tab w:val="clear" w:pos="2268"/>
          <w:tab w:val="clear" w:pos="2835"/>
        </w:tabs>
        <w:overflowPunct/>
        <w:autoSpaceDE/>
        <w:autoSpaceDN/>
        <w:adjustRightInd/>
        <w:spacing w:before="0"/>
        <w:textAlignment w:val="auto"/>
      </w:pPr>
    </w:p>
    <w:p w14:paraId="27F0BAEB" w14:textId="76A7FC3C" w:rsidR="00925828" w:rsidRPr="009F597E" w:rsidRDefault="00925828" w:rsidP="009F597E">
      <w:r w:rsidRPr="009F597E">
        <w:br w:type="page"/>
      </w:r>
    </w:p>
    <w:p w14:paraId="02625D93" w14:textId="12AC7B7D" w:rsidR="00654E32" w:rsidRPr="009F597E" w:rsidRDefault="00925828" w:rsidP="009F597E">
      <w:pPr>
        <w:pStyle w:val="AnnexNo"/>
      </w:pPr>
      <w:r w:rsidRPr="009F597E">
        <w:lastRenderedPageBreak/>
        <w:t>Annexe A</w:t>
      </w:r>
    </w:p>
    <w:p w14:paraId="3A67FB04" w14:textId="77777777" w:rsidR="008C4998" w:rsidRPr="009F597E" w:rsidRDefault="008C4998" w:rsidP="009F597E">
      <w:pPr>
        <w:pStyle w:val="ResNo"/>
      </w:pPr>
      <w:r w:rsidRPr="009F597E">
        <w:t>Résolution 811 (CMR-19)</w:t>
      </w:r>
    </w:p>
    <w:p w14:paraId="42159734" w14:textId="77777777" w:rsidR="008C4998" w:rsidRPr="009F597E" w:rsidRDefault="008C4998" w:rsidP="009F597E">
      <w:pPr>
        <w:pStyle w:val="Restitle"/>
      </w:pPr>
      <w:r w:rsidRPr="009F597E">
        <w:t>Ordre du jour de la Conférence mondiale des radiocommunications de 2023</w:t>
      </w:r>
    </w:p>
    <w:p w14:paraId="51567C0F" w14:textId="77777777" w:rsidR="008C4998" w:rsidRPr="009F597E" w:rsidRDefault="008C4998" w:rsidP="009F597E">
      <w:pPr>
        <w:pStyle w:val="Normalaftertitle"/>
        <w:jc w:val="both"/>
        <w:rPr>
          <w:rFonts w:asciiTheme="minorHAnsi" w:hAnsiTheme="minorHAnsi" w:cstheme="minorHAnsi"/>
          <w:szCs w:val="24"/>
        </w:rPr>
      </w:pPr>
      <w:r w:rsidRPr="009F597E">
        <w:rPr>
          <w:rFonts w:asciiTheme="minorHAnsi" w:hAnsiTheme="minorHAnsi" w:cstheme="minorHAnsi"/>
          <w:szCs w:val="24"/>
        </w:rPr>
        <w:t>La Conférence mondiale des radiocommunications (Charm el-Cheikh, 2019),</w:t>
      </w:r>
    </w:p>
    <w:p w14:paraId="7DE220F0" w14:textId="77777777" w:rsidR="008C4998" w:rsidRPr="009F597E" w:rsidRDefault="008C4998" w:rsidP="009F597E">
      <w:pPr>
        <w:pStyle w:val="Call"/>
        <w:jc w:val="both"/>
        <w:rPr>
          <w:rFonts w:asciiTheme="minorHAnsi" w:hAnsiTheme="minorHAnsi" w:cstheme="minorHAnsi"/>
          <w:szCs w:val="24"/>
        </w:rPr>
      </w:pPr>
      <w:r w:rsidRPr="009F597E">
        <w:rPr>
          <w:rFonts w:asciiTheme="minorHAnsi" w:hAnsiTheme="minorHAnsi" w:cstheme="minorHAnsi"/>
          <w:szCs w:val="24"/>
        </w:rPr>
        <w:t>considérant</w:t>
      </w:r>
    </w:p>
    <w:p w14:paraId="6716A10E"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i/>
          <w:iCs/>
          <w:szCs w:val="24"/>
        </w:rPr>
        <w:t>a)</w:t>
      </w:r>
      <w:r w:rsidRPr="009F597E">
        <w:rPr>
          <w:rFonts w:asciiTheme="minorHAnsi" w:hAnsiTheme="minorHAnsi" w:cstheme="minorHAnsi"/>
          <w:szCs w:val="24"/>
        </w:rPr>
        <w:tab/>
        <w:t xml:space="preserve">que, conformément au numéro 118 de la Convention de l'UIT, le cadre général de l'ordre du jour d'une conférence mondiale des radiocommunications devrait être fixé de quatre à six ans à l'avance et que l'ordre du jour définitif est fixé par le Conseil deux ans avant la </w:t>
      </w:r>
      <w:proofErr w:type="gramStart"/>
      <w:r w:rsidRPr="009F597E">
        <w:rPr>
          <w:rFonts w:asciiTheme="minorHAnsi" w:hAnsiTheme="minorHAnsi" w:cstheme="minorHAnsi"/>
          <w:szCs w:val="24"/>
        </w:rPr>
        <w:t>conférence;</w:t>
      </w:r>
      <w:proofErr w:type="gramEnd"/>
    </w:p>
    <w:p w14:paraId="6A2D7851" w14:textId="77777777" w:rsidR="008C4998" w:rsidRPr="009F597E" w:rsidRDefault="008C4998" w:rsidP="009F597E">
      <w:pPr>
        <w:rPr>
          <w:rFonts w:asciiTheme="minorHAnsi" w:hAnsiTheme="minorHAnsi" w:cstheme="minorHAnsi"/>
          <w:i/>
          <w:iCs/>
          <w:szCs w:val="24"/>
        </w:rPr>
      </w:pPr>
      <w:r w:rsidRPr="009F597E">
        <w:rPr>
          <w:rFonts w:asciiTheme="minorHAnsi" w:hAnsiTheme="minorHAnsi" w:cstheme="minorHAnsi"/>
          <w:i/>
          <w:iCs/>
          <w:szCs w:val="24"/>
        </w:rPr>
        <w:t>b)</w:t>
      </w:r>
      <w:r w:rsidRPr="009F597E">
        <w:rPr>
          <w:rFonts w:asciiTheme="minorHAnsi" w:hAnsiTheme="minorHAnsi" w:cstheme="minorHAnsi"/>
          <w:i/>
          <w:iCs/>
          <w:szCs w:val="24"/>
        </w:rPr>
        <w:tab/>
      </w:r>
      <w:r w:rsidRPr="009F597E">
        <w:rPr>
          <w:rFonts w:asciiTheme="minorHAnsi" w:hAnsiTheme="minorHAnsi" w:cstheme="minorHAnsi"/>
          <w:szCs w:val="24"/>
        </w:rPr>
        <w:t xml:space="preserve">l'article 13 de la Constitution de l'UIT, concernant la compétence et la fréquence des conférences mondiales des radiocommunications, et l'article 7 de la Convention relatif à leur ordre du </w:t>
      </w:r>
      <w:proofErr w:type="gramStart"/>
      <w:r w:rsidRPr="009F597E">
        <w:rPr>
          <w:rFonts w:asciiTheme="minorHAnsi" w:hAnsiTheme="minorHAnsi" w:cstheme="minorHAnsi"/>
          <w:szCs w:val="24"/>
        </w:rPr>
        <w:t>jour;</w:t>
      </w:r>
      <w:proofErr w:type="gramEnd"/>
    </w:p>
    <w:p w14:paraId="6D6D9A48"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i/>
          <w:iCs/>
          <w:szCs w:val="24"/>
        </w:rPr>
        <w:t>c)</w:t>
      </w:r>
      <w:r w:rsidRPr="009F597E">
        <w:rPr>
          <w:rFonts w:asciiTheme="minorHAnsi" w:hAnsiTheme="minorHAnsi" w:cstheme="minorHAnsi"/>
          <w:szCs w:val="24"/>
        </w:rPr>
        <w:tab/>
        <w:t>les résolutions et recommandations pertinentes des conférences administratives mondiales des radiocommunications (CAMR) et des conférences mondiales des radiocommunications (CMR) précédentes,</w:t>
      </w:r>
    </w:p>
    <w:p w14:paraId="20C4BAB6" w14:textId="77777777" w:rsidR="008C4998" w:rsidRPr="009F597E" w:rsidRDefault="008C4998" w:rsidP="009F597E">
      <w:pPr>
        <w:pStyle w:val="Call"/>
        <w:jc w:val="both"/>
        <w:rPr>
          <w:rFonts w:asciiTheme="minorHAnsi" w:hAnsiTheme="minorHAnsi" w:cstheme="minorHAnsi"/>
          <w:szCs w:val="24"/>
        </w:rPr>
      </w:pPr>
      <w:r w:rsidRPr="009F597E">
        <w:rPr>
          <w:rFonts w:asciiTheme="minorHAnsi" w:hAnsiTheme="minorHAnsi" w:cstheme="minorHAnsi"/>
          <w:szCs w:val="24"/>
        </w:rPr>
        <w:t>reconnaissant</w:t>
      </w:r>
    </w:p>
    <w:p w14:paraId="363BAA04"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i/>
          <w:iCs/>
          <w:szCs w:val="24"/>
        </w:rPr>
        <w:t>a)</w:t>
      </w:r>
      <w:r w:rsidRPr="009F597E">
        <w:rPr>
          <w:rFonts w:asciiTheme="minorHAnsi" w:hAnsiTheme="minorHAnsi" w:cstheme="minorHAnsi"/>
          <w:szCs w:val="24"/>
        </w:rPr>
        <w:tab/>
        <w:t>que la présente Conférence a recensé un certain nombre de questions urgentes que la CMR</w:t>
      </w:r>
      <w:r w:rsidRPr="009F597E">
        <w:rPr>
          <w:rFonts w:asciiTheme="minorHAnsi" w:hAnsiTheme="minorHAnsi" w:cstheme="minorHAnsi"/>
          <w:szCs w:val="24"/>
        </w:rPr>
        <w:noBreakHyphen/>
        <w:t xml:space="preserve">23 devra examiner plus </w:t>
      </w:r>
      <w:proofErr w:type="gramStart"/>
      <w:r w:rsidRPr="009F597E">
        <w:rPr>
          <w:rFonts w:asciiTheme="minorHAnsi" w:hAnsiTheme="minorHAnsi" w:cstheme="minorHAnsi"/>
          <w:szCs w:val="24"/>
        </w:rPr>
        <w:t>avant;</w:t>
      </w:r>
      <w:proofErr w:type="gramEnd"/>
    </w:p>
    <w:p w14:paraId="29F62363"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i/>
          <w:iCs/>
          <w:szCs w:val="24"/>
        </w:rPr>
        <w:t>b)</w:t>
      </w:r>
      <w:r w:rsidRPr="009F597E">
        <w:rPr>
          <w:rFonts w:asciiTheme="minorHAnsi" w:hAnsiTheme="minorHAnsi" w:cstheme="minorHAnsi"/>
          <w:szCs w:val="24"/>
        </w:rPr>
        <w:tab/>
        <w:t>que, lors de l'élaboration du présent ordre du jour, certains points proposés par des administrations n'ont pas pu être retenus et que leur inscription a dû être reportée à l'ordre du jour de conférences futures,</w:t>
      </w:r>
    </w:p>
    <w:p w14:paraId="62B84ED3" w14:textId="77777777" w:rsidR="008C4998" w:rsidRPr="009F597E" w:rsidRDefault="008C4998" w:rsidP="009F597E">
      <w:pPr>
        <w:pStyle w:val="Call"/>
        <w:jc w:val="both"/>
        <w:rPr>
          <w:rFonts w:asciiTheme="minorHAnsi" w:hAnsiTheme="minorHAnsi" w:cstheme="minorHAnsi"/>
          <w:szCs w:val="24"/>
        </w:rPr>
      </w:pPr>
      <w:r w:rsidRPr="009F597E">
        <w:rPr>
          <w:rFonts w:asciiTheme="minorHAnsi" w:hAnsiTheme="minorHAnsi" w:cstheme="minorHAnsi"/>
          <w:szCs w:val="24"/>
        </w:rPr>
        <w:t>décide</w:t>
      </w:r>
    </w:p>
    <w:p w14:paraId="53B4E7E4"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 xml:space="preserve">de recommander au Conseil de convoquer en 2023 une conférence mondiale des radiocommunications d'une durée maximale de quatre semaines, dont l'ordre du jour sera le </w:t>
      </w:r>
      <w:proofErr w:type="gramStart"/>
      <w:r w:rsidRPr="009F597E">
        <w:rPr>
          <w:rFonts w:asciiTheme="minorHAnsi" w:hAnsiTheme="minorHAnsi" w:cstheme="minorHAnsi"/>
          <w:szCs w:val="24"/>
        </w:rPr>
        <w:t>suivant:</w:t>
      </w:r>
      <w:proofErr w:type="gramEnd"/>
    </w:p>
    <w:p w14:paraId="5E30FD9A"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1</w:t>
      </w:r>
      <w:r w:rsidRPr="009F597E">
        <w:rPr>
          <w:rFonts w:asciiTheme="minorHAnsi" w:hAnsiTheme="minorHAnsi" w:cstheme="minorHAnsi"/>
          <w:szCs w:val="24"/>
        </w:rPr>
        <w:tab/>
        <w:t>sur la base des propositions des administrations, compte tenu des résultats de la CMR</w:t>
      </w:r>
      <w:r w:rsidRPr="009F597E">
        <w:rPr>
          <w:rFonts w:asciiTheme="minorHAnsi" w:hAnsiTheme="minorHAnsi" w:cstheme="minorHAnsi"/>
          <w:szCs w:val="24"/>
        </w:rPr>
        <w:noBreakHyphen/>
        <w:t xml:space="preserve">19 ainsi que du rapport de la Réunion de préparation à la Conférence et compte dûment tenu des besoins des services existants ou futurs dans les bandes de fréquences considérées, examiner les points suivants et prendre les mesures </w:t>
      </w:r>
      <w:proofErr w:type="gramStart"/>
      <w:r w:rsidRPr="009F597E">
        <w:rPr>
          <w:rFonts w:asciiTheme="minorHAnsi" w:hAnsiTheme="minorHAnsi" w:cstheme="minorHAnsi"/>
          <w:szCs w:val="24"/>
        </w:rPr>
        <w:t>appropriées:</w:t>
      </w:r>
      <w:proofErr w:type="gramEnd"/>
    </w:p>
    <w:p w14:paraId="187DECBE"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1.1</w:t>
      </w:r>
      <w:r w:rsidRPr="009F597E">
        <w:rPr>
          <w:rFonts w:asciiTheme="minorHAnsi" w:hAnsiTheme="minorHAnsi" w:cstheme="minorHAnsi"/>
          <w:szCs w:val="24"/>
        </w:rPr>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figurant dans le renvoi </w:t>
      </w:r>
      <w:r w:rsidRPr="009F597E">
        <w:rPr>
          <w:rFonts w:asciiTheme="minorHAnsi" w:hAnsiTheme="minorHAnsi" w:cstheme="minorHAnsi"/>
          <w:b/>
          <w:bCs/>
          <w:szCs w:val="24"/>
        </w:rPr>
        <w:t>5.441B</w:t>
      </w:r>
      <w:r w:rsidRPr="009F597E">
        <w:rPr>
          <w:rFonts w:asciiTheme="minorHAnsi" w:hAnsiTheme="minorHAnsi" w:cstheme="minorHAnsi"/>
          <w:szCs w:val="24"/>
        </w:rPr>
        <w:t xml:space="preserve"> conformément à la Résolution </w:t>
      </w:r>
      <w:r w:rsidRPr="009F597E">
        <w:rPr>
          <w:rFonts w:asciiTheme="minorHAnsi" w:hAnsiTheme="minorHAnsi" w:cstheme="minorHAnsi"/>
          <w:b/>
          <w:bCs/>
          <w:szCs w:val="24"/>
        </w:rPr>
        <w:t>223 (Rév.CMR-19)</w:t>
      </w:r>
      <w:r w:rsidRPr="009F597E">
        <w:rPr>
          <w:rFonts w:asciiTheme="minorHAnsi" w:hAnsiTheme="minorHAnsi" w:cstheme="minorHAnsi"/>
          <w:szCs w:val="24"/>
        </w:rPr>
        <w:t>;</w:t>
      </w:r>
    </w:p>
    <w:p w14:paraId="31EFE8CD" w14:textId="77777777" w:rsidR="008C4998" w:rsidRPr="009F597E" w:rsidRDefault="008C4998" w:rsidP="009F597E">
      <w:pPr>
        <w:keepLines/>
        <w:rPr>
          <w:rFonts w:asciiTheme="minorHAnsi" w:hAnsiTheme="minorHAnsi" w:cstheme="minorHAnsi"/>
          <w:szCs w:val="24"/>
        </w:rPr>
      </w:pPr>
      <w:r w:rsidRPr="009F597E">
        <w:rPr>
          <w:rFonts w:asciiTheme="minorHAnsi" w:hAnsiTheme="minorHAnsi" w:cstheme="minorHAnsi"/>
          <w:szCs w:val="24"/>
        </w:rPr>
        <w:lastRenderedPageBreak/>
        <w:t>1.2</w:t>
      </w:r>
      <w:r w:rsidRPr="009F597E">
        <w:rPr>
          <w:rFonts w:asciiTheme="minorHAnsi" w:hAnsiTheme="minorHAnsi" w:cstheme="minorHAnsi"/>
          <w:szCs w:val="24"/>
        </w:rPr>
        <w:tab/>
        <w:t xml:space="preserve">envisager l'identification des bandes de fréquences </w:t>
      </w:r>
      <w:r w:rsidRPr="009F597E">
        <w:rPr>
          <w:rFonts w:asciiTheme="minorHAnsi" w:eastAsia="MS Mincho" w:hAnsiTheme="minorHAnsi" w:cstheme="minorHAnsi"/>
          <w:szCs w:val="24"/>
        </w:rPr>
        <w:t xml:space="preserve">3 300-3 400 MHz, 3 600-3 800 MHz, 6 425-7 025 MHz, 7 025-7 125 MHz et 10,0-10,5 GHz </w:t>
      </w:r>
      <w:r w:rsidRPr="009F597E">
        <w:rPr>
          <w:rFonts w:asciiTheme="minorHAnsi" w:hAnsiTheme="minorHAnsi" w:cstheme="minorHAnsi"/>
          <w:szCs w:val="24"/>
        </w:rPr>
        <w:t xml:space="preserve">pour les Télécommunications mobiles internationales (IMT), y compris des attributions additionnelles possibles au service mobile à titre primaire, conformément à la Résolution </w:t>
      </w:r>
      <w:r w:rsidRPr="009F597E">
        <w:rPr>
          <w:rFonts w:asciiTheme="minorHAnsi" w:hAnsiTheme="minorHAnsi" w:cstheme="minorHAnsi"/>
          <w:b/>
          <w:szCs w:val="24"/>
        </w:rPr>
        <w:t>245 (CMR-19</w:t>
      </w:r>
      <w:proofErr w:type="gramStart"/>
      <w:r w:rsidRPr="009F597E">
        <w:rPr>
          <w:rFonts w:asciiTheme="minorHAnsi" w:hAnsiTheme="minorHAnsi" w:cstheme="minorHAnsi"/>
          <w:b/>
          <w:szCs w:val="24"/>
        </w:rPr>
        <w:t>)</w:t>
      </w:r>
      <w:r w:rsidRPr="009F597E">
        <w:rPr>
          <w:rFonts w:asciiTheme="minorHAnsi" w:hAnsiTheme="minorHAnsi" w:cstheme="minorHAnsi"/>
          <w:bCs/>
          <w:szCs w:val="24"/>
        </w:rPr>
        <w:t>;</w:t>
      </w:r>
      <w:proofErr w:type="gramEnd"/>
    </w:p>
    <w:p w14:paraId="5BC2C7A7"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1.3</w:t>
      </w:r>
      <w:r w:rsidRPr="009F597E">
        <w:rPr>
          <w:rFonts w:asciiTheme="minorHAnsi" w:hAnsiTheme="minorHAnsi" w:cstheme="minorHAnsi"/>
          <w:bCs/>
          <w:iCs/>
          <w:szCs w:val="24"/>
        </w:rPr>
        <w:tab/>
        <w:t xml:space="preserve">envisager l'attribution à titre primaire de la bande de fréquences 3 600-3 800 MHz au service mobile en Région 1 et prendre les mesures réglementaires appropriées, conformément à la Résolution </w:t>
      </w:r>
      <w:r w:rsidRPr="009F597E">
        <w:rPr>
          <w:rFonts w:asciiTheme="minorHAnsi" w:hAnsiTheme="minorHAnsi" w:cstheme="minorHAnsi"/>
          <w:b/>
          <w:iCs/>
          <w:szCs w:val="24"/>
        </w:rPr>
        <w:t>246 (CMR-19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p>
    <w:p w14:paraId="5A7240EF"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1.4</w:t>
      </w:r>
      <w:r w:rsidRPr="009F597E">
        <w:rPr>
          <w:rFonts w:asciiTheme="minorHAnsi" w:hAnsiTheme="minorHAnsi" w:cstheme="minorHAnsi"/>
          <w:bCs/>
          <w:iCs/>
          <w:szCs w:val="24"/>
        </w:rPr>
        <w:tab/>
        <w:t xml:space="preserve">examiner, conformément à la Résolution </w:t>
      </w:r>
      <w:r w:rsidRPr="009F597E">
        <w:rPr>
          <w:rFonts w:asciiTheme="minorHAnsi" w:hAnsiTheme="minorHAnsi" w:cstheme="minorHAnsi"/>
          <w:b/>
          <w:iCs/>
          <w:szCs w:val="24"/>
        </w:rPr>
        <w:t>247 (CMR-19)</w:t>
      </w:r>
      <w:r w:rsidRPr="009F597E">
        <w:rPr>
          <w:rFonts w:asciiTheme="minorHAnsi" w:hAnsiTheme="minorHAnsi" w:cstheme="minorHAnsi"/>
          <w:bCs/>
          <w:iCs/>
          <w:szCs w:val="24"/>
        </w:rPr>
        <w:t xml:space="preserve">, l'utilisation de stations placées sur des plates-formes à haute altitude en tant que stations de base IMT (HIBS) dans le service mobile dans certaines bandes de fréquences au-dessous de 2,7 GHz qui sont déjà identifiées pour les IMT à l'échelle mondiale ou </w:t>
      </w:r>
      <w:proofErr w:type="gramStart"/>
      <w:r w:rsidRPr="009F597E">
        <w:rPr>
          <w:rFonts w:asciiTheme="minorHAnsi" w:hAnsiTheme="minorHAnsi" w:cstheme="minorHAnsi"/>
          <w:bCs/>
          <w:iCs/>
          <w:szCs w:val="24"/>
        </w:rPr>
        <w:t>régionale;</w:t>
      </w:r>
      <w:proofErr w:type="gramEnd"/>
    </w:p>
    <w:p w14:paraId="6C3206E9"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1.5</w:t>
      </w:r>
      <w:r w:rsidRPr="009F597E">
        <w:rPr>
          <w:rFonts w:asciiTheme="minorHAnsi" w:hAnsiTheme="minorHAnsi" w:cstheme="minorHAnsi"/>
          <w:bCs/>
          <w:iCs/>
          <w:szCs w:val="24"/>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9F597E">
        <w:rPr>
          <w:rFonts w:asciiTheme="minorHAnsi" w:hAnsiTheme="minorHAnsi" w:cstheme="minorHAnsi"/>
          <w:b/>
          <w:bCs/>
          <w:iCs/>
          <w:szCs w:val="24"/>
        </w:rPr>
        <w:t>235 (CMR-15</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563FFCAC"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1.6</w:t>
      </w:r>
      <w:r w:rsidRPr="009F597E">
        <w:rPr>
          <w:rFonts w:asciiTheme="minorHAnsi" w:hAnsiTheme="minorHAnsi" w:cstheme="minorHAnsi"/>
          <w:bCs/>
          <w:iCs/>
          <w:szCs w:val="24"/>
        </w:rPr>
        <w:tab/>
        <w:t xml:space="preserve">étudier, conformément à la Résolution </w:t>
      </w:r>
      <w:r w:rsidRPr="009F597E">
        <w:rPr>
          <w:rFonts w:asciiTheme="minorHAnsi" w:hAnsiTheme="minorHAnsi" w:cstheme="minorHAnsi"/>
          <w:b/>
          <w:bCs/>
          <w:iCs/>
          <w:szCs w:val="24"/>
        </w:rPr>
        <w:t>772 (CMR</w:t>
      </w:r>
      <w:r w:rsidRPr="009F597E">
        <w:rPr>
          <w:rFonts w:asciiTheme="minorHAnsi" w:hAnsiTheme="minorHAnsi" w:cstheme="minorHAnsi"/>
          <w:b/>
          <w:bCs/>
          <w:iCs/>
          <w:szCs w:val="24"/>
        </w:rPr>
        <w:noBreakHyphen/>
        <w:t>19)</w:t>
      </w:r>
      <w:r w:rsidRPr="009F597E">
        <w:rPr>
          <w:rFonts w:asciiTheme="minorHAnsi" w:hAnsiTheme="minorHAnsi" w:cstheme="minorHAnsi"/>
          <w:bCs/>
          <w:iCs/>
          <w:szCs w:val="24"/>
        </w:rPr>
        <w:t xml:space="preserve">, les dispositions réglementaires propres à faciliter les radiocommunications pour les véhicules </w:t>
      </w:r>
      <w:proofErr w:type="gramStart"/>
      <w:r w:rsidRPr="009F597E">
        <w:rPr>
          <w:rFonts w:asciiTheme="minorHAnsi" w:hAnsiTheme="minorHAnsi" w:cstheme="minorHAnsi"/>
          <w:bCs/>
          <w:iCs/>
          <w:szCs w:val="24"/>
        </w:rPr>
        <w:t>suborbitaux;</w:t>
      </w:r>
      <w:proofErr w:type="gramEnd"/>
    </w:p>
    <w:p w14:paraId="6FCD3F34"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1.7</w:t>
      </w:r>
      <w:r w:rsidRPr="009F597E">
        <w:rPr>
          <w:rFonts w:asciiTheme="minorHAnsi" w:hAnsiTheme="minorHAnsi" w:cstheme="minorHAnsi"/>
          <w:bCs/>
          <w:iCs/>
          <w:szCs w:val="24"/>
        </w:rPr>
        <w:tab/>
        <w:t xml:space="preserve">envisager une nouvelle attribution au service mobile aéronautique (R) par satellite (SMA(R)S), conformément à la Résolution </w:t>
      </w:r>
      <w:r w:rsidRPr="009F597E">
        <w:rPr>
          <w:rFonts w:asciiTheme="minorHAnsi" w:hAnsiTheme="minorHAnsi" w:cstheme="minorHAnsi"/>
          <w:b/>
          <w:iCs/>
          <w:szCs w:val="24"/>
        </w:rPr>
        <w:t>428</w:t>
      </w:r>
      <w:r w:rsidRPr="009F597E">
        <w:rPr>
          <w:rFonts w:asciiTheme="minorHAnsi" w:hAnsiTheme="minorHAnsi" w:cstheme="minorHAnsi"/>
          <w:bCs/>
          <w:iCs/>
          <w:szCs w:val="24"/>
        </w:rPr>
        <w:t xml:space="preserve"> </w:t>
      </w:r>
      <w:r w:rsidRPr="009F597E">
        <w:rPr>
          <w:rFonts w:asciiTheme="minorHAnsi" w:hAnsiTheme="minorHAnsi" w:cstheme="minorHAnsi"/>
          <w:b/>
          <w:iCs/>
          <w:szCs w:val="24"/>
        </w:rPr>
        <w:t>(CMR-19)</w:t>
      </w:r>
      <w:r w:rsidRPr="009F597E">
        <w:rPr>
          <w:rFonts w:asciiTheme="minorHAnsi" w:hAnsiTheme="minorHAnsi" w:cstheme="minorHAnsi"/>
          <w:bCs/>
          <w:iCs/>
          <w:szCs w:val="24"/>
        </w:rPr>
        <w:t xml:space="preserve">,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w:t>
      </w:r>
      <w:proofErr w:type="gramStart"/>
      <w:r w:rsidRPr="009F597E">
        <w:rPr>
          <w:rFonts w:asciiTheme="minorHAnsi" w:hAnsiTheme="minorHAnsi" w:cstheme="minorHAnsi"/>
          <w:bCs/>
          <w:iCs/>
          <w:szCs w:val="24"/>
        </w:rPr>
        <w:t>adjacentes;</w:t>
      </w:r>
      <w:proofErr w:type="gramEnd"/>
    </w:p>
    <w:p w14:paraId="2FFE9D3C"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1.8</w:t>
      </w:r>
      <w:r w:rsidRPr="009F597E">
        <w:rPr>
          <w:rFonts w:asciiTheme="minorHAnsi" w:hAnsiTheme="minorHAnsi" w:cstheme="minorHAnsi"/>
          <w:bCs/>
          <w:iCs/>
          <w:szCs w:val="24"/>
        </w:rPr>
        <w:tab/>
        <w:t>envisager, sur la base des études menées par l'UIT-R conformément à la Résolution </w:t>
      </w:r>
      <w:r w:rsidRPr="009F597E">
        <w:rPr>
          <w:rFonts w:asciiTheme="minorHAnsi" w:hAnsiTheme="minorHAnsi" w:cstheme="minorHAnsi"/>
          <w:b/>
          <w:bCs/>
          <w:iCs/>
          <w:szCs w:val="24"/>
        </w:rPr>
        <w:t>171 (CMR-19)</w:t>
      </w:r>
      <w:r w:rsidRPr="009F597E">
        <w:rPr>
          <w:rFonts w:asciiTheme="minorHAnsi" w:hAnsiTheme="minorHAnsi" w:cstheme="minorHAnsi"/>
          <w:bCs/>
          <w:iCs/>
          <w:szCs w:val="24"/>
        </w:rPr>
        <w:t xml:space="preserve">, des mesures réglementaires appropriées, en vue d'examiner et, au besoin, de réviser la Résolution </w:t>
      </w:r>
      <w:r w:rsidRPr="009F597E">
        <w:rPr>
          <w:rFonts w:asciiTheme="minorHAnsi" w:hAnsiTheme="minorHAnsi" w:cstheme="minorHAnsi"/>
          <w:b/>
          <w:bCs/>
          <w:iCs/>
          <w:szCs w:val="24"/>
        </w:rPr>
        <w:t>155 (Rév.CMR-19)</w:t>
      </w:r>
      <w:r w:rsidRPr="009F597E">
        <w:rPr>
          <w:rFonts w:asciiTheme="minorHAnsi" w:hAnsiTheme="minorHAnsi" w:cstheme="minorHAnsi"/>
          <w:bCs/>
          <w:iCs/>
          <w:szCs w:val="24"/>
        </w:rPr>
        <w:t xml:space="preserve"> et le numéro </w:t>
      </w:r>
      <w:r w:rsidRPr="009F597E">
        <w:rPr>
          <w:rFonts w:asciiTheme="minorHAnsi" w:hAnsiTheme="minorHAnsi" w:cstheme="minorHAnsi"/>
          <w:b/>
          <w:bCs/>
          <w:iCs/>
          <w:szCs w:val="24"/>
        </w:rPr>
        <w:t>5.484B</w:t>
      </w:r>
      <w:r w:rsidRPr="009F597E">
        <w:rPr>
          <w:rFonts w:asciiTheme="minorHAnsi" w:hAnsiTheme="minorHAnsi" w:cstheme="minorHAnsi"/>
          <w:bCs/>
          <w:iCs/>
          <w:szCs w:val="24"/>
        </w:rPr>
        <w:t xml:space="preserve"> du RR, pour permettre l'utilisation des réseaux du service fixe par satellite (SFS) pour les communications de contrôle et non associées à la charge utile des systèmes d'aéronef sans </w:t>
      </w:r>
      <w:proofErr w:type="gramStart"/>
      <w:r w:rsidRPr="009F597E">
        <w:rPr>
          <w:rFonts w:asciiTheme="minorHAnsi" w:hAnsiTheme="minorHAnsi" w:cstheme="minorHAnsi"/>
          <w:bCs/>
          <w:iCs/>
          <w:szCs w:val="24"/>
        </w:rPr>
        <w:t>pilote;</w:t>
      </w:r>
      <w:proofErr w:type="gramEnd"/>
    </w:p>
    <w:p w14:paraId="55E2DDA3"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1.9</w:t>
      </w:r>
      <w:r w:rsidRPr="009F597E">
        <w:rPr>
          <w:rFonts w:asciiTheme="minorHAnsi" w:hAnsiTheme="minorHAnsi" w:cstheme="minorHAnsi"/>
          <w:bCs/>
          <w:iCs/>
          <w:szCs w:val="24"/>
        </w:rPr>
        <w:tab/>
        <w:t xml:space="preserve">examiner l'Appendice </w:t>
      </w:r>
      <w:r w:rsidRPr="009F597E">
        <w:rPr>
          <w:rFonts w:asciiTheme="minorHAnsi" w:hAnsiTheme="minorHAnsi" w:cstheme="minorHAnsi"/>
          <w:b/>
          <w:bCs/>
          <w:iCs/>
          <w:szCs w:val="24"/>
        </w:rPr>
        <w:t>27</w:t>
      </w:r>
      <w:r w:rsidRPr="009F597E">
        <w:rPr>
          <w:rFonts w:asciiTheme="minorHAnsi" w:hAnsiTheme="minorHAnsi" w:cstheme="minorHAnsi"/>
          <w:bCs/>
          <w:iCs/>
          <w:szCs w:val="24"/>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sidRPr="009F597E">
        <w:rPr>
          <w:rFonts w:asciiTheme="minorHAnsi" w:hAnsiTheme="minorHAnsi" w:cstheme="minorHAnsi"/>
          <w:b/>
          <w:iCs/>
          <w:szCs w:val="24"/>
        </w:rPr>
        <w:t>429</w:t>
      </w:r>
      <w:r w:rsidRPr="009F597E">
        <w:rPr>
          <w:rFonts w:asciiTheme="minorHAnsi" w:hAnsiTheme="minorHAnsi" w:cstheme="minorHAnsi"/>
          <w:b/>
          <w:bCs/>
          <w:iCs/>
          <w:szCs w:val="24"/>
        </w:rPr>
        <w:t xml:space="preserve"> (CMR-19)</w:t>
      </w:r>
      <w:r w:rsidRPr="009F597E">
        <w:rPr>
          <w:rFonts w:asciiTheme="minorHAnsi" w:hAnsiTheme="minorHAnsi" w:cstheme="minorHAnsi"/>
          <w:bCs/>
          <w:iCs/>
          <w:szCs w:val="24"/>
        </w:rPr>
        <w:t>;</w:t>
      </w:r>
    </w:p>
    <w:p w14:paraId="7B5DA40E" w14:textId="77777777" w:rsidR="008C4998" w:rsidRPr="009F597E" w:rsidRDefault="008C4998" w:rsidP="009F597E">
      <w:pPr>
        <w:rPr>
          <w:rFonts w:asciiTheme="minorHAnsi" w:hAnsiTheme="minorHAnsi" w:cstheme="minorHAnsi"/>
          <w:b/>
          <w:bCs/>
          <w:iCs/>
          <w:szCs w:val="24"/>
        </w:rPr>
      </w:pPr>
      <w:r w:rsidRPr="009F597E">
        <w:rPr>
          <w:rFonts w:asciiTheme="minorHAnsi" w:hAnsiTheme="minorHAnsi" w:cstheme="minorHAnsi"/>
          <w:bCs/>
          <w:iCs/>
          <w:szCs w:val="24"/>
        </w:rPr>
        <w:t>1.10</w:t>
      </w:r>
      <w:r w:rsidRPr="009F597E">
        <w:rPr>
          <w:rFonts w:asciiTheme="minorHAnsi" w:hAnsiTheme="minorHAnsi" w:cstheme="minorHAnsi"/>
          <w:bCs/>
          <w:iCs/>
          <w:szCs w:val="24"/>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9F597E">
        <w:rPr>
          <w:rFonts w:asciiTheme="minorHAnsi" w:hAnsiTheme="minorHAnsi" w:cstheme="minorHAnsi"/>
          <w:b/>
          <w:bCs/>
          <w:iCs/>
          <w:szCs w:val="24"/>
        </w:rPr>
        <w:t>430 (CMR-19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526BB83A"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1.11</w:t>
      </w:r>
      <w:r w:rsidRPr="009F597E">
        <w:rPr>
          <w:rFonts w:asciiTheme="minorHAnsi" w:hAnsiTheme="minorHAnsi" w:cstheme="minorHAnsi"/>
          <w:bCs/>
          <w:iCs/>
          <w:szCs w:val="24"/>
        </w:rPr>
        <w:tab/>
        <w:t xml:space="preserve">examiner les mesures réglementaires qui pourraient être prises, en vue de permettre la modernisation du Système mondial de détresse et de sécurité en mer et la mise en œuvre de la navigation électronique, conformément à la Résolution </w:t>
      </w:r>
      <w:r w:rsidRPr="009F597E">
        <w:rPr>
          <w:rFonts w:asciiTheme="minorHAnsi" w:hAnsiTheme="minorHAnsi" w:cstheme="minorHAnsi"/>
          <w:b/>
          <w:iCs/>
          <w:szCs w:val="24"/>
        </w:rPr>
        <w:t>361 (Rév.CMR-19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p>
    <w:p w14:paraId="09876EC0" w14:textId="77777777" w:rsidR="008C4998" w:rsidRPr="009F597E" w:rsidRDefault="008C4998" w:rsidP="009F597E">
      <w:pPr>
        <w:keepLines/>
        <w:rPr>
          <w:rFonts w:asciiTheme="minorHAnsi" w:hAnsiTheme="minorHAnsi" w:cstheme="minorHAnsi"/>
          <w:bCs/>
          <w:iCs/>
          <w:szCs w:val="24"/>
        </w:rPr>
      </w:pPr>
      <w:r w:rsidRPr="009F597E">
        <w:rPr>
          <w:rFonts w:asciiTheme="minorHAnsi" w:hAnsiTheme="minorHAnsi" w:cstheme="minorHAnsi"/>
          <w:bCs/>
          <w:iCs/>
          <w:szCs w:val="24"/>
        </w:rPr>
        <w:lastRenderedPageBreak/>
        <w:t>1.12</w:t>
      </w:r>
      <w:r w:rsidRPr="009F597E">
        <w:rPr>
          <w:rFonts w:asciiTheme="minorHAnsi" w:hAnsiTheme="minorHAnsi" w:cstheme="minorHAnsi"/>
          <w:bCs/>
          <w:iCs/>
          <w:szCs w:val="24"/>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9F597E">
        <w:rPr>
          <w:rFonts w:asciiTheme="minorHAnsi" w:hAnsiTheme="minorHAnsi" w:cstheme="minorHAnsi"/>
          <w:b/>
          <w:bCs/>
          <w:iCs/>
          <w:szCs w:val="24"/>
        </w:rPr>
        <w:t>656 (Rév.CMR-19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2BB081E2"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1.13</w:t>
      </w:r>
      <w:r w:rsidRPr="009F597E">
        <w:rPr>
          <w:rFonts w:asciiTheme="minorHAnsi" w:hAnsiTheme="minorHAnsi" w:cstheme="minorHAnsi"/>
          <w:bCs/>
          <w:iCs/>
          <w:szCs w:val="24"/>
        </w:rPr>
        <w:tab/>
        <w:t>examiner le relèvement possible du statut de l'attribution de la bande de fréquences 14,8</w:t>
      </w:r>
      <w:r w:rsidRPr="009F597E">
        <w:rPr>
          <w:rFonts w:asciiTheme="minorHAnsi" w:hAnsiTheme="minorHAnsi" w:cstheme="minorHAnsi"/>
          <w:bCs/>
          <w:iCs/>
          <w:szCs w:val="24"/>
        </w:rPr>
        <w:noBreakHyphen/>
        <w:t xml:space="preserve">15,35 GHz au service de recherche spatiale conformément à la Résolution </w:t>
      </w:r>
      <w:r w:rsidRPr="009F597E">
        <w:rPr>
          <w:rFonts w:asciiTheme="minorHAnsi" w:hAnsiTheme="minorHAnsi" w:cstheme="minorHAnsi"/>
          <w:b/>
          <w:bCs/>
          <w:iCs/>
          <w:szCs w:val="24"/>
        </w:rPr>
        <w:t>661 (CMR</w:t>
      </w:r>
      <w:r w:rsidRPr="009F597E">
        <w:rPr>
          <w:rFonts w:asciiTheme="minorHAnsi" w:hAnsiTheme="minorHAnsi" w:cstheme="minorHAnsi"/>
          <w:b/>
          <w:bCs/>
          <w:iCs/>
          <w:szCs w:val="24"/>
        </w:rPr>
        <w:noBreakHyphen/>
        <w:t>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2D73958B"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1.14</w:t>
      </w:r>
      <w:r w:rsidRPr="009F597E">
        <w:rPr>
          <w:rFonts w:asciiTheme="minorHAnsi" w:hAnsiTheme="minorHAnsi" w:cstheme="minorHAnsi"/>
          <w:bCs/>
          <w:iCs/>
          <w:szCs w:val="24"/>
        </w:rPr>
        <w:tab/>
        <w:t>examiner et envisager la possibilité d'apporter des ajustements aux attributions de fréquences existantes ou de faire de nouvelles attributions à titre primaire au SETS (passive) dans la gamme de fréquences 231,5-252 GHz, pour s'assurer qu'elles correspondent aux exigences récentes en matière d'observation des systèmes de télédétection, conformément à la Résolution </w:t>
      </w:r>
      <w:r w:rsidRPr="009F597E">
        <w:rPr>
          <w:rFonts w:asciiTheme="minorHAnsi" w:hAnsiTheme="minorHAnsi" w:cstheme="minorHAnsi"/>
          <w:b/>
          <w:bCs/>
          <w:iCs/>
          <w:szCs w:val="24"/>
        </w:rPr>
        <w:t>662 (CMR-19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463CB230"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1.15</w:t>
      </w:r>
      <w:r w:rsidRPr="009F597E">
        <w:rPr>
          <w:rFonts w:asciiTheme="minorHAnsi" w:hAnsiTheme="minorHAnsi" w:cstheme="minorHAnsi"/>
          <w:bCs/>
          <w:iCs/>
          <w:szCs w:val="24"/>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9F597E">
        <w:rPr>
          <w:rFonts w:asciiTheme="minorHAnsi" w:hAnsiTheme="minorHAnsi" w:cstheme="minorHAnsi"/>
          <w:b/>
          <w:iCs/>
          <w:szCs w:val="24"/>
        </w:rPr>
        <w:t>172 (CMR-19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p>
    <w:p w14:paraId="218CBA39"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1.16</w:t>
      </w:r>
      <w:r w:rsidRPr="009F597E">
        <w:rPr>
          <w:rFonts w:asciiTheme="minorHAnsi" w:hAnsiTheme="minorHAnsi" w:cstheme="minorHAnsi"/>
          <w:bCs/>
          <w:iCs/>
          <w:szCs w:val="24"/>
        </w:rPr>
        <w:tab/>
        <w:t>étudier et définir les mesures techniques, opérationnelles et réglementaires, selon le cas, propres à faciliter l'utilisation des bandes de fréquences 17,7-18,6 GHz, 18,8-19,3 GHz et 19,7</w:t>
      </w:r>
      <w:r w:rsidRPr="009F597E">
        <w:rPr>
          <w:rFonts w:asciiTheme="minorHAnsi" w:hAnsiTheme="minorHAnsi" w:cstheme="minorHAnsi"/>
          <w:bCs/>
          <w:iCs/>
          <w:szCs w:val="24"/>
        </w:rPr>
        <w:noBreakHyphen/>
        <w:t xml:space="preserve">20,2 GHz (espace vers Terre), ainsi que 27,5-29,1 GHz et 29,5-30 GHz (Terre vers espace) par les stations ESIM du SFS non OSG, tout en assurant la protection voulue des services existants dans ces bandes de fréquences conformément à la Résolution </w:t>
      </w:r>
      <w:r w:rsidRPr="009F597E">
        <w:rPr>
          <w:rFonts w:asciiTheme="minorHAnsi" w:hAnsiTheme="minorHAnsi" w:cstheme="minorHAnsi"/>
          <w:b/>
          <w:iCs/>
          <w:szCs w:val="24"/>
        </w:rPr>
        <w:t>173 (CMR-19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r w:rsidRPr="009F597E">
        <w:rPr>
          <w:rFonts w:asciiTheme="minorHAnsi" w:hAnsiTheme="minorHAnsi" w:cstheme="minorHAnsi"/>
          <w:bCs/>
          <w:iCs/>
          <w:szCs w:val="24"/>
        </w:rPr>
        <w:t xml:space="preserve"> </w:t>
      </w:r>
    </w:p>
    <w:p w14:paraId="2ED0EDEE"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1.17</w:t>
      </w:r>
      <w:r w:rsidRPr="009F597E">
        <w:rPr>
          <w:rFonts w:asciiTheme="minorHAnsi" w:hAnsiTheme="minorHAnsi" w:cstheme="minorHAnsi"/>
          <w:bCs/>
          <w:iCs/>
          <w:szCs w:val="24"/>
        </w:rPr>
        <w:tab/>
        <w:t xml:space="preserve">déterminer et prendre, sur la base des études menées par l'UIT-R conformément à la Résolution </w:t>
      </w:r>
      <w:r w:rsidRPr="009F597E">
        <w:rPr>
          <w:rFonts w:asciiTheme="minorHAnsi" w:hAnsiTheme="minorHAnsi" w:cstheme="minorHAnsi"/>
          <w:b/>
          <w:bCs/>
          <w:iCs/>
          <w:szCs w:val="24"/>
        </w:rPr>
        <w:t>773 (CMR-19)</w:t>
      </w:r>
      <w:r w:rsidRPr="009F597E">
        <w:rPr>
          <w:rFonts w:asciiTheme="minorHAnsi" w:hAnsiTheme="minorHAnsi" w:cstheme="minorHAnsi"/>
          <w:bCs/>
          <w:iCs/>
          <w:szCs w:val="24"/>
        </w:rPr>
        <w:t xml:space="preserve">, les mesures réglementaires appropriées concernant l'établissement de liaisons inter-satellites dans certaines bandes de fréquences, ou dans des parties de ces bandes, en ajoutant une attribution au service inter-satellites, s'il y a </w:t>
      </w:r>
      <w:proofErr w:type="gramStart"/>
      <w:r w:rsidRPr="009F597E">
        <w:rPr>
          <w:rFonts w:asciiTheme="minorHAnsi" w:hAnsiTheme="minorHAnsi" w:cstheme="minorHAnsi"/>
          <w:bCs/>
          <w:iCs/>
          <w:szCs w:val="24"/>
        </w:rPr>
        <w:t>lieu;</w:t>
      </w:r>
      <w:proofErr w:type="gramEnd"/>
    </w:p>
    <w:p w14:paraId="20449968"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1.18</w:t>
      </w:r>
      <w:r w:rsidRPr="009F597E">
        <w:rPr>
          <w:rFonts w:asciiTheme="minorHAnsi" w:hAnsiTheme="minorHAnsi" w:cstheme="minorHAnsi"/>
          <w:bCs/>
          <w:iCs/>
          <w:szCs w:val="24"/>
        </w:rPr>
        <w:tab/>
        <w:t xml:space="preserve">examiner les études portant sur les besoins de spectre et envisager d'éventuelles nouvelles attributions au service mobile par satellite pour le développement futur des systèmes mobiles à satellites à bande étroite, conformément à la Résolution </w:t>
      </w:r>
      <w:r w:rsidRPr="009F597E">
        <w:rPr>
          <w:rFonts w:asciiTheme="minorHAnsi" w:hAnsiTheme="minorHAnsi" w:cstheme="minorHAnsi"/>
          <w:b/>
          <w:iCs/>
          <w:szCs w:val="24"/>
        </w:rPr>
        <w:t>248</w:t>
      </w:r>
      <w:r w:rsidRPr="009F597E">
        <w:rPr>
          <w:rFonts w:asciiTheme="minorHAnsi" w:hAnsiTheme="minorHAnsi" w:cstheme="minorHAnsi"/>
          <w:b/>
          <w:bCs/>
          <w:iCs/>
          <w:szCs w:val="24"/>
        </w:rPr>
        <w:t xml:space="preserve"> (CMR-19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02BDEB60" w14:textId="77777777" w:rsidR="008C4998" w:rsidRPr="009F597E" w:rsidRDefault="008C4998" w:rsidP="009F597E">
      <w:pPr>
        <w:rPr>
          <w:rFonts w:asciiTheme="minorHAnsi" w:hAnsiTheme="minorHAnsi" w:cstheme="minorHAnsi"/>
          <w:bCs/>
          <w:iCs/>
          <w:szCs w:val="24"/>
        </w:rPr>
      </w:pPr>
      <w:r w:rsidRPr="009F597E">
        <w:rPr>
          <w:rFonts w:asciiTheme="minorHAnsi" w:hAnsiTheme="minorHAnsi" w:cstheme="minorHAnsi"/>
          <w:bCs/>
          <w:iCs/>
          <w:szCs w:val="24"/>
        </w:rPr>
        <w:t>1.19</w:t>
      </w:r>
      <w:r w:rsidRPr="009F597E">
        <w:rPr>
          <w:rFonts w:asciiTheme="minorHAnsi" w:hAnsiTheme="minorHAnsi" w:cstheme="minorHAnsi"/>
          <w:b/>
          <w:bCs/>
          <w:iCs/>
          <w:szCs w:val="24"/>
        </w:rPr>
        <w:tab/>
      </w:r>
      <w:r w:rsidRPr="009F597E">
        <w:rPr>
          <w:rFonts w:asciiTheme="minorHAnsi" w:hAnsiTheme="minorHAnsi" w:cstheme="minorHAnsi"/>
          <w:bCs/>
          <w:iCs/>
          <w:szCs w:val="24"/>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9F597E">
        <w:rPr>
          <w:rFonts w:asciiTheme="minorHAnsi" w:hAnsiTheme="minorHAnsi" w:cstheme="minorHAnsi"/>
          <w:b/>
          <w:iCs/>
          <w:szCs w:val="24"/>
        </w:rPr>
        <w:t>174</w:t>
      </w:r>
      <w:r w:rsidRPr="009F597E">
        <w:rPr>
          <w:rFonts w:asciiTheme="minorHAnsi" w:hAnsiTheme="minorHAnsi" w:cstheme="minorHAnsi"/>
          <w:bCs/>
          <w:iCs/>
          <w:szCs w:val="24"/>
        </w:rPr>
        <w:t xml:space="preserve"> </w:t>
      </w:r>
      <w:r w:rsidRPr="009F597E">
        <w:rPr>
          <w:rFonts w:asciiTheme="minorHAnsi" w:hAnsiTheme="minorHAnsi" w:cstheme="minorHAnsi"/>
          <w:b/>
          <w:bCs/>
          <w:iCs/>
          <w:szCs w:val="24"/>
        </w:rPr>
        <w:t>(CMR-19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4AFB6504"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2</w:t>
      </w:r>
      <w:r w:rsidRPr="009F597E">
        <w:rPr>
          <w:rFonts w:asciiTheme="minorHAnsi" w:hAnsiTheme="minorHAnsi" w:cstheme="minorHAnsi"/>
          <w:szCs w:val="24"/>
        </w:rPr>
        <w:tab/>
        <w:t xml:space="preserve">examiner les Recommandations UIT-R révisées et incorporées par référence dans le Règlement des radiocommunications, communiquées par l'Assemblée des radiocommunications conformément au </w:t>
      </w:r>
      <w:r w:rsidRPr="009F597E">
        <w:rPr>
          <w:rFonts w:asciiTheme="minorHAnsi" w:hAnsiTheme="minorHAnsi" w:cstheme="minorHAnsi"/>
          <w:i/>
          <w:szCs w:val="24"/>
        </w:rPr>
        <w:t>décide en outre</w:t>
      </w:r>
      <w:r w:rsidRPr="009F597E">
        <w:rPr>
          <w:rFonts w:asciiTheme="minorHAnsi" w:hAnsiTheme="minorHAnsi" w:cstheme="minorHAnsi"/>
          <w:szCs w:val="24"/>
        </w:rPr>
        <w:t xml:space="preserve"> de la Résolution </w:t>
      </w:r>
      <w:r w:rsidRPr="009F597E">
        <w:rPr>
          <w:rFonts w:asciiTheme="minorHAnsi" w:hAnsiTheme="minorHAnsi" w:cstheme="minorHAnsi"/>
          <w:b/>
          <w:bCs/>
          <w:szCs w:val="24"/>
        </w:rPr>
        <w:t>27</w:t>
      </w:r>
      <w:r w:rsidRPr="009F597E">
        <w:rPr>
          <w:rFonts w:asciiTheme="minorHAnsi" w:hAnsiTheme="minorHAnsi" w:cstheme="minorHAnsi"/>
          <w:szCs w:val="24"/>
        </w:rPr>
        <w:t xml:space="preserve"> </w:t>
      </w:r>
      <w:r w:rsidRPr="009F597E">
        <w:rPr>
          <w:rFonts w:asciiTheme="minorHAnsi" w:hAnsiTheme="minorHAnsi" w:cstheme="minorHAnsi"/>
          <w:b/>
          <w:bCs/>
          <w:szCs w:val="24"/>
        </w:rPr>
        <w:t>(Rév.CMR-19)</w:t>
      </w:r>
      <w:r w:rsidRPr="009F597E">
        <w:rPr>
          <w:rFonts w:asciiTheme="minorHAnsi" w:hAnsiTheme="minorHAnsi" w:cstheme="minorHAnsi"/>
          <w:szCs w:val="24"/>
        </w:rPr>
        <w:t>,</w:t>
      </w:r>
      <w:r w:rsidRPr="009F597E">
        <w:rPr>
          <w:rFonts w:asciiTheme="minorHAnsi" w:hAnsiTheme="minorHAnsi" w:cstheme="minorHAnsi"/>
          <w:b/>
          <w:bCs/>
          <w:szCs w:val="24"/>
        </w:rPr>
        <w:t xml:space="preserve"> </w:t>
      </w:r>
      <w:r w:rsidRPr="009F597E">
        <w:rPr>
          <w:rFonts w:asciiTheme="minorHAnsi" w:hAnsiTheme="minorHAnsi" w:cstheme="minorHAnsi"/>
          <w:szCs w:val="24"/>
        </w:rPr>
        <w:t xml:space="preserve">et décider s'il convient ou non de mettre à jour les références correspondantes dans le Règlement des radiocommunications, conformément aux principes énoncés au </w:t>
      </w:r>
      <w:r w:rsidRPr="009F597E">
        <w:rPr>
          <w:rFonts w:asciiTheme="minorHAnsi" w:hAnsiTheme="minorHAnsi" w:cstheme="minorHAnsi"/>
          <w:i/>
          <w:szCs w:val="24"/>
        </w:rPr>
        <w:t>décide</w:t>
      </w:r>
      <w:r w:rsidRPr="009F597E">
        <w:rPr>
          <w:rFonts w:asciiTheme="minorHAnsi" w:hAnsiTheme="minorHAnsi" w:cstheme="minorHAnsi"/>
          <w:szCs w:val="24"/>
        </w:rPr>
        <w:t xml:space="preserve"> de cette </w:t>
      </w:r>
      <w:proofErr w:type="gramStart"/>
      <w:r w:rsidRPr="009F597E">
        <w:rPr>
          <w:rFonts w:asciiTheme="minorHAnsi" w:hAnsiTheme="minorHAnsi" w:cstheme="minorHAnsi"/>
          <w:szCs w:val="24"/>
        </w:rPr>
        <w:t>Résolution;</w:t>
      </w:r>
      <w:proofErr w:type="gramEnd"/>
    </w:p>
    <w:p w14:paraId="295F2B90"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3</w:t>
      </w:r>
      <w:r w:rsidRPr="009F597E">
        <w:rPr>
          <w:rFonts w:asciiTheme="minorHAnsi" w:hAnsiTheme="minorHAnsi" w:cstheme="minorHAnsi"/>
          <w:szCs w:val="24"/>
        </w:rPr>
        <w:tab/>
        <w:t xml:space="preserve">examiner les modifications et amendements à apporter éventuellement au Règlement des radiocommunications à la suite des décisions prises par la </w:t>
      </w:r>
      <w:proofErr w:type="gramStart"/>
      <w:r w:rsidRPr="009F597E">
        <w:rPr>
          <w:rFonts w:asciiTheme="minorHAnsi" w:hAnsiTheme="minorHAnsi" w:cstheme="minorHAnsi"/>
          <w:szCs w:val="24"/>
        </w:rPr>
        <w:t>Conférence;</w:t>
      </w:r>
      <w:proofErr w:type="gramEnd"/>
    </w:p>
    <w:p w14:paraId="43170D60"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4</w:t>
      </w:r>
      <w:r w:rsidRPr="009F597E">
        <w:rPr>
          <w:rFonts w:asciiTheme="minorHAnsi" w:hAnsiTheme="minorHAnsi" w:cstheme="minorHAnsi"/>
          <w:szCs w:val="24"/>
        </w:rPr>
        <w:tab/>
        <w:t xml:space="preserve">conformément à la Résolution </w:t>
      </w:r>
      <w:r w:rsidRPr="009F597E">
        <w:rPr>
          <w:rFonts w:asciiTheme="minorHAnsi" w:hAnsiTheme="minorHAnsi" w:cstheme="minorHAnsi"/>
          <w:b/>
          <w:bCs/>
          <w:szCs w:val="24"/>
        </w:rPr>
        <w:t>95 (Rév.CMR-19)</w:t>
      </w:r>
      <w:r w:rsidRPr="009F597E">
        <w:rPr>
          <w:rFonts w:asciiTheme="minorHAnsi" w:hAnsiTheme="minorHAnsi" w:cstheme="minorHAnsi"/>
          <w:szCs w:val="24"/>
        </w:rPr>
        <w:t xml:space="preserve">, examiner les résolutions et recommandations des conférences précédentes en vue, le cas échéant, de les réviser, de les remplacer ou de les </w:t>
      </w:r>
      <w:proofErr w:type="gramStart"/>
      <w:r w:rsidRPr="009F597E">
        <w:rPr>
          <w:rFonts w:asciiTheme="minorHAnsi" w:hAnsiTheme="minorHAnsi" w:cstheme="minorHAnsi"/>
          <w:szCs w:val="24"/>
        </w:rPr>
        <w:t>supprimer;</w:t>
      </w:r>
      <w:proofErr w:type="gramEnd"/>
    </w:p>
    <w:p w14:paraId="66690273"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lastRenderedPageBreak/>
        <w:t>5</w:t>
      </w:r>
      <w:r w:rsidRPr="009F597E">
        <w:rPr>
          <w:rFonts w:asciiTheme="minorHAnsi" w:hAnsiTheme="minorHAnsi" w:cstheme="minorHAnsi"/>
          <w:szCs w:val="24"/>
        </w:rPr>
        <w:tab/>
        <w:t xml:space="preserve">examiner le Rapport de l'Assemblée des radiocommunications soumis conformément aux numéros 135 et 136 de la Convention et lui donner la suite </w:t>
      </w:r>
      <w:proofErr w:type="gramStart"/>
      <w:r w:rsidRPr="009F597E">
        <w:rPr>
          <w:rFonts w:asciiTheme="minorHAnsi" w:hAnsiTheme="minorHAnsi" w:cstheme="minorHAnsi"/>
          <w:szCs w:val="24"/>
        </w:rPr>
        <w:t>voulue;</w:t>
      </w:r>
      <w:proofErr w:type="gramEnd"/>
    </w:p>
    <w:p w14:paraId="658FE92A"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6</w:t>
      </w:r>
      <w:r w:rsidRPr="009F597E">
        <w:rPr>
          <w:rFonts w:asciiTheme="minorHAnsi" w:hAnsiTheme="minorHAnsi" w:cstheme="minorHAnsi"/>
          <w:szCs w:val="24"/>
        </w:rPr>
        <w:tab/>
        <w:t xml:space="preserve">identifier les points auxquels les commissions d'études des radiocommunications doivent d'urgence donner suite, en vue de la conférence mondiale des radiocommunications </w:t>
      </w:r>
      <w:proofErr w:type="gramStart"/>
      <w:r w:rsidRPr="009F597E">
        <w:rPr>
          <w:rFonts w:asciiTheme="minorHAnsi" w:hAnsiTheme="minorHAnsi" w:cstheme="minorHAnsi"/>
          <w:szCs w:val="24"/>
        </w:rPr>
        <w:t>suivante;</w:t>
      </w:r>
      <w:proofErr w:type="gramEnd"/>
    </w:p>
    <w:p w14:paraId="5CF0E5F8"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7</w:t>
      </w:r>
      <w:r w:rsidRPr="009F597E">
        <w:rPr>
          <w:rFonts w:asciiTheme="minorHAnsi" w:hAnsiTheme="minorHAnsi" w:cstheme="minorHAnsi"/>
          <w:szCs w:val="24"/>
        </w:rPr>
        <w:tab/>
        <w:t>examiner d'éventuels changements à apporter en application de la Résolution 86 (Rév. Marrakech, 2002) de la Conférence de plénipotentiaires, intitulée</w:t>
      </w:r>
      <w:proofErr w:type="gramStart"/>
      <w:r w:rsidRPr="009F597E">
        <w:rPr>
          <w:rFonts w:asciiTheme="minorHAnsi" w:hAnsiTheme="minorHAnsi" w:cstheme="minorHAnsi"/>
          <w:szCs w:val="24"/>
        </w:rPr>
        <w:t xml:space="preserve"> «Procédures</w:t>
      </w:r>
      <w:proofErr w:type="gramEnd"/>
      <w:r w:rsidRPr="009F597E">
        <w:rPr>
          <w:rFonts w:asciiTheme="minorHAnsi" w:hAnsiTheme="minorHAnsi" w:cstheme="minorHAnsi"/>
          <w:szCs w:val="24"/>
        </w:rPr>
        <w:t xml:space="preserve"> de publication anticipée, de coordination, de notification et d'inscription des assignations de fréquence relatives aux réseaux à satellite», conformément à la Résolution </w:t>
      </w:r>
      <w:r w:rsidRPr="009F597E">
        <w:rPr>
          <w:rFonts w:asciiTheme="minorHAnsi" w:hAnsiTheme="minorHAnsi" w:cstheme="minorHAnsi"/>
          <w:b/>
          <w:bCs/>
          <w:szCs w:val="24"/>
        </w:rPr>
        <w:t>86 (Rév.CMR-07)</w:t>
      </w:r>
      <w:r w:rsidRPr="009F597E">
        <w:rPr>
          <w:rFonts w:asciiTheme="minorHAnsi" w:hAnsiTheme="minorHAnsi" w:cstheme="minorHAnsi"/>
          <w:szCs w:val="24"/>
        </w:rPr>
        <w:t>, afin de faciliter l'utilisation rationnelle, efficace et économique des fréquences radioélectriques et des orbites associées, y compris de l'orbite des satellites géostationnaires;</w:t>
      </w:r>
    </w:p>
    <w:p w14:paraId="20B342A6"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8</w:t>
      </w:r>
      <w:r w:rsidRPr="009F597E">
        <w:rPr>
          <w:rFonts w:asciiTheme="minorHAnsi" w:hAnsiTheme="minorHAnsi" w:cstheme="minorHAnsi"/>
          <w:szCs w:val="24"/>
        </w:rPr>
        <w:tab/>
        <w:t xml:space="preserve">examiner les demandes des administrations qui souhaitent supprimer des renvois relatifs à leur pays ou le nom de leur pays de certains renvois, s'ils ne sont plus nécessaires, compte tenu de la Résolution </w:t>
      </w:r>
      <w:r w:rsidRPr="009F597E">
        <w:rPr>
          <w:rFonts w:asciiTheme="minorHAnsi" w:hAnsiTheme="minorHAnsi" w:cstheme="minorHAnsi"/>
          <w:b/>
          <w:bCs/>
          <w:szCs w:val="24"/>
        </w:rPr>
        <w:t>26 (Rév.CMR-19)</w:t>
      </w:r>
      <w:r w:rsidRPr="009F597E">
        <w:rPr>
          <w:rFonts w:asciiTheme="minorHAnsi" w:hAnsiTheme="minorHAnsi" w:cstheme="minorHAnsi"/>
          <w:szCs w:val="24"/>
        </w:rPr>
        <w:t xml:space="preserve">, et prendre les mesures voulues à ce </w:t>
      </w:r>
      <w:proofErr w:type="gramStart"/>
      <w:r w:rsidRPr="009F597E">
        <w:rPr>
          <w:rFonts w:asciiTheme="minorHAnsi" w:hAnsiTheme="minorHAnsi" w:cstheme="minorHAnsi"/>
          <w:szCs w:val="24"/>
        </w:rPr>
        <w:t>sujet;</w:t>
      </w:r>
      <w:proofErr w:type="gramEnd"/>
    </w:p>
    <w:p w14:paraId="18108ED5"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9</w:t>
      </w:r>
      <w:r w:rsidRPr="009F597E">
        <w:rPr>
          <w:rFonts w:asciiTheme="minorHAnsi" w:hAnsiTheme="minorHAnsi" w:cstheme="minorHAnsi"/>
          <w:szCs w:val="24"/>
        </w:rPr>
        <w:tab/>
        <w:t xml:space="preserve">examiner et approuver le rapport du Directeur du Bureau des radiocommunications, conformément à l'article 7 de la </w:t>
      </w:r>
      <w:proofErr w:type="gramStart"/>
      <w:r w:rsidRPr="009F597E">
        <w:rPr>
          <w:rFonts w:asciiTheme="minorHAnsi" w:hAnsiTheme="minorHAnsi" w:cstheme="minorHAnsi"/>
          <w:szCs w:val="24"/>
        </w:rPr>
        <w:t>Convention:</w:t>
      </w:r>
      <w:proofErr w:type="gramEnd"/>
    </w:p>
    <w:p w14:paraId="4E444184"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9.1</w:t>
      </w:r>
      <w:r w:rsidRPr="009F597E">
        <w:rPr>
          <w:rFonts w:asciiTheme="minorHAnsi" w:hAnsiTheme="minorHAnsi" w:cstheme="minorHAnsi"/>
          <w:szCs w:val="24"/>
        </w:rPr>
        <w:tab/>
        <w:t>sur les activités du Secteur des radiocommunications depuis la CMR</w:t>
      </w:r>
      <w:r w:rsidRPr="009F597E">
        <w:rPr>
          <w:rFonts w:asciiTheme="minorHAnsi" w:hAnsiTheme="minorHAnsi" w:cstheme="minorHAnsi"/>
          <w:szCs w:val="24"/>
        </w:rPr>
        <w:noBreakHyphen/>
      </w:r>
      <w:proofErr w:type="gramStart"/>
      <w:r w:rsidRPr="009F597E">
        <w:rPr>
          <w:rFonts w:asciiTheme="minorHAnsi" w:hAnsiTheme="minorHAnsi" w:cstheme="minorHAnsi"/>
          <w:szCs w:val="24"/>
        </w:rPr>
        <w:t>19;</w:t>
      </w:r>
      <w:proofErr w:type="gramEnd"/>
    </w:p>
    <w:p w14:paraId="2B925160" w14:textId="77777777" w:rsidR="008C4998" w:rsidRPr="009F597E" w:rsidRDefault="008C4998" w:rsidP="009F597E">
      <w:pPr>
        <w:pStyle w:val="enumlev1"/>
        <w:rPr>
          <w:rFonts w:asciiTheme="minorHAnsi" w:hAnsiTheme="minorHAnsi" w:cstheme="minorHAnsi"/>
          <w:szCs w:val="24"/>
        </w:rPr>
      </w:pPr>
      <w:r w:rsidRPr="009F597E">
        <w:rPr>
          <w:rFonts w:asciiTheme="minorHAnsi" w:hAnsiTheme="minorHAnsi" w:cstheme="minorHAnsi"/>
          <w:szCs w:val="24"/>
        </w:rPr>
        <w:t>–</w:t>
      </w:r>
      <w:r w:rsidRPr="009F597E">
        <w:rPr>
          <w:rFonts w:asciiTheme="minorHAnsi" w:hAnsiTheme="minorHAnsi" w:cstheme="minorHAnsi"/>
          <w:szCs w:val="24"/>
        </w:rPr>
        <w:tab/>
        <w:t xml:space="preserve">Conformément à la Résolution </w:t>
      </w:r>
      <w:r w:rsidRPr="009F597E">
        <w:rPr>
          <w:rFonts w:asciiTheme="minorHAnsi" w:hAnsiTheme="minorHAnsi" w:cstheme="minorHAnsi"/>
          <w:b/>
          <w:bCs/>
          <w:szCs w:val="24"/>
        </w:rPr>
        <w:t>657 (Rév.CMR-19)</w:t>
      </w:r>
      <w:r w:rsidRPr="009F597E">
        <w:rPr>
          <w:rFonts w:asciiTheme="minorHAnsi" w:hAnsiTheme="minorHAnsi" w:cstheme="minorHAnsi"/>
          <w:szCs w:val="24"/>
        </w:rPr>
        <w:t xml:space="preserve">,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w:t>
      </w:r>
      <w:proofErr w:type="gramStart"/>
      <w:r w:rsidRPr="009F597E">
        <w:rPr>
          <w:rFonts w:asciiTheme="minorHAnsi" w:hAnsiTheme="minorHAnsi" w:cstheme="minorHAnsi"/>
          <w:szCs w:val="24"/>
        </w:rPr>
        <w:t>existants;</w:t>
      </w:r>
      <w:proofErr w:type="gramEnd"/>
    </w:p>
    <w:p w14:paraId="2748A359" w14:textId="3B020A6F" w:rsidR="008C4998" w:rsidRPr="009F597E" w:rsidRDefault="008C4998" w:rsidP="009F597E">
      <w:pPr>
        <w:pStyle w:val="enumlev1"/>
        <w:rPr>
          <w:rFonts w:asciiTheme="minorHAnsi" w:hAnsiTheme="minorHAnsi" w:cstheme="minorHAnsi"/>
          <w:szCs w:val="24"/>
        </w:rPr>
      </w:pPr>
      <w:r w:rsidRPr="009F597E">
        <w:rPr>
          <w:rFonts w:asciiTheme="minorHAnsi" w:hAnsiTheme="minorHAnsi" w:cstheme="minorHAnsi"/>
          <w:szCs w:val="24"/>
        </w:rPr>
        <w:t>–</w:t>
      </w:r>
      <w:r w:rsidRPr="009F597E">
        <w:rPr>
          <w:rFonts w:asciiTheme="minorHAnsi" w:hAnsiTheme="minorHAnsi" w:cstheme="minorHAnsi"/>
          <w:szCs w:val="24"/>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9F597E">
        <w:rPr>
          <w:rFonts w:asciiTheme="minorHAnsi" w:hAnsiTheme="minorHAnsi" w:cstheme="minorHAnsi"/>
          <w:b/>
          <w:bCs/>
          <w:szCs w:val="24"/>
        </w:rPr>
        <w:t>774 (CMR-19</w:t>
      </w:r>
      <w:proofErr w:type="gramStart"/>
      <w:r w:rsidRPr="009F597E">
        <w:rPr>
          <w:rFonts w:asciiTheme="minorHAnsi" w:hAnsiTheme="minorHAnsi" w:cstheme="minorHAnsi"/>
          <w:b/>
          <w:bCs/>
          <w:szCs w:val="24"/>
        </w:rPr>
        <w:t>)</w:t>
      </w:r>
      <w:r w:rsidRPr="009F597E">
        <w:rPr>
          <w:rFonts w:asciiTheme="minorHAnsi" w:hAnsiTheme="minorHAnsi" w:cstheme="minorHAnsi"/>
          <w:szCs w:val="24"/>
        </w:rPr>
        <w:t>;</w:t>
      </w:r>
      <w:proofErr w:type="gramEnd"/>
    </w:p>
    <w:p w14:paraId="28AF4E26" w14:textId="77777777" w:rsidR="008C4998" w:rsidRPr="009F597E" w:rsidRDefault="008C4998" w:rsidP="009F597E">
      <w:pPr>
        <w:pStyle w:val="enumlev1"/>
        <w:rPr>
          <w:rFonts w:asciiTheme="minorHAnsi" w:hAnsiTheme="minorHAnsi" w:cstheme="minorHAnsi"/>
          <w:szCs w:val="24"/>
        </w:rPr>
      </w:pPr>
      <w:r w:rsidRPr="009F597E">
        <w:rPr>
          <w:rFonts w:asciiTheme="minorHAnsi" w:hAnsiTheme="minorHAnsi" w:cstheme="minorHAnsi"/>
          <w:szCs w:val="24"/>
        </w:rPr>
        <w:t>–</w:t>
      </w:r>
      <w:r w:rsidRPr="009F597E">
        <w:rPr>
          <w:rFonts w:asciiTheme="minorHAnsi" w:hAnsiTheme="minorHAnsi" w:cstheme="minorHAnsi"/>
          <w:szCs w:val="24"/>
        </w:rPr>
        <w:tab/>
        <w:t xml:space="preserve">Étudier l'utilisation des systèmes de Télécommunications mobiles internationales pour le large bande hertzien fixe dans les bandes de fréquences attribuées au service fixe à titre primaire, conformément à la Résolution </w:t>
      </w:r>
      <w:r w:rsidRPr="009F597E">
        <w:rPr>
          <w:rFonts w:asciiTheme="minorHAnsi" w:hAnsiTheme="minorHAnsi" w:cstheme="minorHAnsi"/>
          <w:b/>
          <w:bCs/>
          <w:szCs w:val="24"/>
        </w:rPr>
        <w:t>175 (CMR</w:t>
      </w:r>
      <w:r w:rsidRPr="009F597E">
        <w:rPr>
          <w:rFonts w:asciiTheme="minorHAnsi" w:hAnsiTheme="minorHAnsi" w:cstheme="minorHAnsi"/>
          <w:b/>
          <w:bCs/>
          <w:szCs w:val="24"/>
        </w:rPr>
        <w:noBreakHyphen/>
        <w:t>19</w:t>
      </w:r>
      <w:proofErr w:type="gramStart"/>
      <w:r w:rsidRPr="009F597E">
        <w:rPr>
          <w:rFonts w:asciiTheme="minorHAnsi" w:hAnsiTheme="minorHAnsi" w:cstheme="minorHAnsi"/>
          <w:b/>
          <w:bCs/>
          <w:szCs w:val="24"/>
        </w:rPr>
        <w:t>)</w:t>
      </w:r>
      <w:r w:rsidRPr="009F597E">
        <w:rPr>
          <w:rFonts w:asciiTheme="minorHAnsi" w:hAnsiTheme="minorHAnsi" w:cstheme="minorHAnsi"/>
          <w:szCs w:val="24"/>
        </w:rPr>
        <w:t>;</w:t>
      </w:r>
      <w:proofErr w:type="gramEnd"/>
    </w:p>
    <w:p w14:paraId="6855BFD9"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9.2</w:t>
      </w:r>
      <w:r w:rsidRPr="009F597E">
        <w:rPr>
          <w:rFonts w:asciiTheme="minorHAnsi" w:hAnsiTheme="minorHAnsi" w:cstheme="minorHAnsi"/>
          <w:szCs w:val="24"/>
        </w:rPr>
        <w:tab/>
        <w:t xml:space="preserve">sur les difficultés rencontrées ou les incohérences constatées dans l'application du Règlement des </w:t>
      </w:r>
      <w:proofErr w:type="gramStart"/>
      <w:r w:rsidRPr="009F597E">
        <w:rPr>
          <w:rFonts w:asciiTheme="minorHAnsi" w:hAnsiTheme="minorHAnsi" w:cstheme="minorHAnsi"/>
          <w:szCs w:val="24"/>
        </w:rPr>
        <w:t>radiocommunications;</w:t>
      </w:r>
      <w:proofErr w:type="gramEnd"/>
      <w:r w:rsidRPr="009F597E">
        <w:rPr>
          <w:rFonts w:asciiTheme="minorHAnsi" w:hAnsiTheme="minorHAnsi" w:cstheme="minorHAnsi"/>
          <w:szCs w:val="24"/>
        </w:rPr>
        <w:t xml:space="preserve"> et</w:t>
      </w:r>
      <w:r w:rsidRPr="009F597E">
        <w:rPr>
          <w:rStyle w:val="FootnoteReference"/>
          <w:rFonts w:asciiTheme="minorHAnsi" w:hAnsiTheme="minorHAnsi" w:cstheme="minorHAnsi"/>
          <w:szCs w:val="16"/>
        </w:rPr>
        <w:footnoteReference w:customMarkFollows="1" w:id="1"/>
        <w:t>1</w:t>
      </w:r>
    </w:p>
    <w:p w14:paraId="3CADE2F1" w14:textId="77777777" w:rsidR="008C4998" w:rsidRPr="009F597E" w:rsidRDefault="008C4998" w:rsidP="009F597E">
      <w:pPr>
        <w:rPr>
          <w:rFonts w:asciiTheme="minorHAnsi" w:hAnsiTheme="minorHAnsi" w:cstheme="minorHAnsi"/>
          <w:i/>
          <w:iCs/>
          <w:szCs w:val="24"/>
        </w:rPr>
      </w:pPr>
      <w:r w:rsidRPr="009F597E">
        <w:rPr>
          <w:rFonts w:asciiTheme="minorHAnsi" w:hAnsiTheme="minorHAnsi" w:cstheme="minorHAnsi"/>
          <w:szCs w:val="24"/>
        </w:rPr>
        <w:t>9.3</w:t>
      </w:r>
      <w:r w:rsidRPr="009F597E">
        <w:rPr>
          <w:rFonts w:asciiTheme="minorHAnsi" w:hAnsiTheme="minorHAnsi" w:cstheme="minorHAnsi"/>
          <w:szCs w:val="24"/>
        </w:rPr>
        <w:tab/>
        <w:t>sur la suite donnée à la Résolution </w:t>
      </w:r>
      <w:r w:rsidRPr="009F597E">
        <w:rPr>
          <w:rFonts w:asciiTheme="minorHAnsi" w:hAnsiTheme="minorHAnsi" w:cstheme="minorHAnsi"/>
          <w:b/>
          <w:bCs/>
          <w:szCs w:val="24"/>
        </w:rPr>
        <w:t>80 (Rév.CMR-07</w:t>
      </w:r>
      <w:proofErr w:type="gramStart"/>
      <w:r w:rsidRPr="009F597E">
        <w:rPr>
          <w:rFonts w:asciiTheme="minorHAnsi" w:hAnsiTheme="minorHAnsi" w:cstheme="minorHAnsi"/>
          <w:b/>
          <w:bCs/>
          <w:szCs w:val="24"/>
        </w:rPr>
        <w:t>)</w:t>
      </w:r>
      <w:r w:rsidRPr="009F597E">
        <w:rPr>
          <w:rFonts w:asciiTheme="minorHAnsi" w:hAnsiTheme="minorHAnsi" w:cstheme="minorHAnsi"/>
          <w:szCs w:val="24"/>
        </w:rPr>
        <w:t>;</w:t>
      </w:r>
      <w:proofErr w:type="gramEnd"/>
    </w:p>
    <w:p w14:paraId="75E7FBBC"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10</w:t>
      </w:r>
      <w:r w:rsidRPr="009F597E">
        <w:rPr>
          <w:rFonts w:asciiTheme="minorHAnsi" w:hAnsiTheme="minorHAnsi" w:cstheme="minorHAnsi"/>
          <w:szCs w:val="24"/>
        </w:rPr>
        <w:tab/>
        <w:t xml:space="preserve">recommander au Conseil des points à inscrire à l'ordre du jour de la CMR suivante et des points de l'ordre du jour préliminaire de conférences futures, conformément à l'article 7 de la Convention et à la Résolution </w:t>
      </w:r>
      <w:r w:rsidRPr="009F597E">
        <w:rPr>
          <w:rFonts w:asciiTheme="minorHAnsi" w:hAnsiTheme="minorHAnsi" w:cstheme="minorHAnsi"/>
          <w:b/>
          <w:szCs w:val="24"/>
        </w:rPr>
        <w:t>804 (Rév.CMR-19)</w:t>
      </w:r>
      <w:r w:rsidRPr="009F597E">
        <w:rPr>
          <w:rFonts w:asciiTheme="minorHAnsi" w:hAnsiTheme="minorHAnsi" w:cstheme="minorHAnsi"/>
          <w:szCs w:val="24"/>
        </w:rPr>
        <w:t>,</w:t>
      </w:r>
    </w:p>
    <w:p w14:paraId="5FB14060" w14:textId="77777777" w:rsidR="008C4998" w:rsidRPr="009F597E" w:rsidRDefault="008C4998" w:rsidP="009F597E">
      <w:pPr>
        <w:pStyle w:val="Call"/>
        <w:jc w:val="both"/>
        <w:rPr>
          <w:rFonts w:asciiTheme="minorHAnsi" w:hAnsiTheme="minorHAnsi" w:cstheme="minorHAnsi"/>
          <w:szCs w:val="24"/>
        </w:rPr>
      </w:pPr>
      <w:r w:rsidRPr="009F597E">
        <w:rPr>
          <w:rFonts w:asciiTheme="minorHAnsi" w:hAnsiTheme="minorHAnsi" w:cstheme="minorHAnsi"/>
          <w:szCs w:val="24"/>
        </w:rPr>
        <w:lastRenderedPageBreak/>
        <w:t>invite le Conseil de l'UIT</w:t>
      </w:r>
    </w:p>
    <w:p w14:paraId="2DFF7E10"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à arrêter définitivement l'ordre du jour, à prendre les dispositions nécessaires en vue de la convocation de la CMR</w:t>
      </w:r>
      <w:r w:rsidRPr="009F597E">
        <w:rPr>
          <w:rFonts w:asciiTheme="minorHAnsi" w:hAnsiTheme="minorHAnsi" w:cstheme="minorHAnsi"/>
          <w:szCs w:val="24"/>
        </w:rPr>
        <w:noBreakHyphen/>
        <w:t>23 et à engager dès que possible les consultations nécessaires avec les États Membres,</w:t>
      </w:r>
    </w:p>
    <w:p w14:paraId="3D9407D3" w14:textId="77777777" w:rsidR="008C4998" w:rsidRPr="009F597E" w:rsidRDefault="008C4998" w:rsidP="009F597E">
      <w:pPr>
        <w:pStyle w:val="Call"/>
        <w:jc w:val="both"/>
        <w:rPr>
          <w:rFonts w:asciiTheme="minorHAnsi" w:hAnsiTheme="minorHAnsi" w:cstheme="minorHAnsi"/>
          <w:szCs w:val="24"/>
        </w:rPr>
      </w:pPr>
      <w:r w:rsidRPr="009F597E">
        <w:rPr>
          <w:rFonts w:asciiTheme="minorHAnsi" w:hAnsiTheme="minorHAnsi" w:cstheme="minorHAnsi"/>
          <w:szCs w:val="24"/>
        </w:rPr>
        <w:t>charge le Directeur du Bureau des radiocommunications</w:t>
      </w:r>
    </w:p>
    <w:p w14:paraId="72FD0596"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1</w:t>
      </w:r>
      <w:r w:rsidRPr="009F597E">
        <w:rPr>
          <w:rFonts w:asciiTheme="minorHAnsi" w:hAnsiTheme="minorHAnsi" w:cstheme="minorHAnsi"/>
          <w:szCs w:val="24"/>
        </w:rPr>
        <w:tab/>
        <w:t>de prendre les dispositions voulues pour la convocation des sessions de la Réunion de préparation à la Conférence et d'élaborer un rapport à l'intention de la CMR</w:t>
      </w:r>
      <w:r w:rsidRPr="009F597E">
        <w:rPr>
          <w:rFonts w:asciiTheme="minorHAnsi" w:hAnsiTheme="minorHAnsi" w:cstheme="minorHAnsi"/>
          <w:szCs w:val="24"/>
        </w:rPr>
        <w:noBreakHyphen/>
      </w:r>
      <w:proofErr w:type="gramStart"/>
      <w:r w:rsidRPr="009F597E">
        <w:rPr>
          <w:rFonts w:asciiTheme="minorHAnsi" w:hAnsiTheme="minorHAnsi" w:cstheme="minorHAnsi"/>
          <w:szCs w:val="24"/>
        </w:rPr>
        <w:t>23;</w:t>
      </w:r>
      <w:proofErr w:type="gramEnd"/>
    </w:p>
    <w:p w14:paraId="6FCC46D2" w14:textId="77777777" w:rsidR="008C4998" w:rsidRPr="009F597E" w:rsidRDefault="008C4998" w:rsidP="009F597E">
      <w:pPr>
        <w:rPr>
          <w:rFonts w:asciiTheme="minorHAnsi" w:hAnsiTheme="minorHAnsi" w:cstheme="minorHAnsi"/>
          <w:szCs w:val="24"/>
        </w:rPr>
      </w:pPr>
      <w:r w:rsidRPr="009F597E">
        <w:rPr>
          <w:rFonts w:asciiTheme="minorHAnsi" w:hAnsiTheme="minorHAnsi" w:cstheme="minorHAnsi"/>
          <w:szCs w:val="24"/>
        </w:rPr>
        <w:t>2</w:t>
      </w:r>
      <w:r w:rsidRPr="009F597E">
        <w:rPr>
          <w:rFonts w:asciiTheme="minorHAnsi" w:hAnsiTheme="minorHAnsi" w:cstheme="minorHAnsi"/>
          <w:szCs w:val="24"/>
        </w:rPr>
        <w:tab/>
        <w:t>de soumettre à la seconde session de la RPC un projet du rapport sur les difficultés rencontrées ou les incohérences constatées dans l'application du Règlement des radiocommunications visé au point 9.2 de l'ordre du jour et de soumettre le rapport final au moins cinq mois avant la CMR suivante,</w:t>
      </w:r>
    </w:p>
    <w:p w14:paraId="0AC5E5E5" w14:textId="77777777" w:rsidR="008C4998" w:rsidRPr="009F597E" w:rsidRDefault="008C4998" w:rsidP="009F597E">
      <w:pPr>
        <w:pStyle w:val="Call"/>
        <w:jc w:val="both"/>
        <w:rPr>
          <w:rFonts w:asciiTheme="minorHAnsi" w:hAnsiTheme="minorHAnsi" w:cstheme="minorHAnsi"/>
          <w:szCs w:val="24"/>
        </w:rPr>
      </w:pPr>
      <w:r w:rsidRPr="009F597E">
        <w:rPr>
          <w:rFonts w:asciiTheme="minorHAnsi" w:hAnsiTheme="minorHAnsi" w:cstheme="minorHAnsi"/>
          <w:szCs w:val="24"/>
        </w:rPr>
        <w:t>charge le Secrétaire général</w:t>
      </w:r>
    </w:p>
    <w:p w14:paraId="705477EF" w14:textId="6511428E" w:rsidR="00925828" w:rsidRPr="009F597E" w:rsidRDefault="008C4998" w:rsidP="009F597E">
      <w:pPr>
        <w:rPr>
          <w:rFonts w:asciiTheme="minorHAnsi" w:hAnsiTheme="minorHAnsi" w:cstheme="minorHAnsi"/>
          <w:szCs w:val="24"/>
        </w:rPr>
      </w:pPr>
      <w:r w:rsidRPr="009F597E">
        <w:rPr>
          <w:rFonts w:asciiTheme="minorHAnsi" w:hAnsiTheme="minorHAnsi" w:cstheme="minorHAnsi"/>
          <w:szCs w:val="24"/>
        </w:rPr>
        <w:t>de communiquer la présente Résolution aux organisations internationales ou régionales concernées.</w:t>
      </w:r>
    </w:p>
    <w:p w14:paraId="34C3DD62" w14:textId="541F5009" w:rsidR="00E95220" w:rsidRPr="009F597E" w:rsidRDefault="00E95220" w:rsidP="009F597E">
      <w:pPr>
        <w:tabs>
          <w:tab w:val="clear" w:pos="567"/>
          <w:tab w:val="clear" w:pos="1134"/>
          <w:tab w:val="clear" w:pos="1701"/>
          <w:tab w:val="clear" w:pos="2268"/>
          <w:tab w:val="clear" w:pos="2835"/>
        </w:tabs>
        <w:overflowPunct/>
        <w:autoSpaceDE/>
        <w:autoSpaceDN/>
        <w:adjustRightInd/>
        <w:spacing w:before="0"/>
        <w:textAlignment w:val="auto"/>
      </w:pPr>
      <w:r w:rsidRPr="009F597E">
        <w:br w:type="page"/>
      </w:r>
    </w:p>
    <w:p w14:paraId="504E444F" w14:textId="63A03108" w:rsidR="00925828" w:rsidRPr="009F597E" w:rsidRDefault="008378D5" w:rsidP="009F597E">
      <w:pPr>
        <w:pStyle w:val="AnnexNo"/>
      </w:pPr>
      <w:r w:rsidRPr="009F597E">
        <w:lastRenderedPageBreak/>
        <w:t>Annexe B</w:t>
      </w:r>
    </w:p>
    <w:p w14:paraId="7C1C985D" w14:textId="77777777" w:rsidR="00654E32" w:rsidRPr="009F597E" w:rsidRDefault="00654E32" w:rsidP="009F597E"/>
    <w:p w14:paraId="313D3231" w14:textId="3D2DD874"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proofErr w:type="gramStart"/>
      <w:r w:rsidRPr="009F597E">
        <w:t>R</w:t>
      </w:r>
      <w:r w:rsidR="004E6D1A" w:rsidRPr="009F597E">
        <w:t>é</w:t>
      </w:r>
      <w:r w:rsidRPr="009F597E">
        <w:t>f:</w:t>
      </w:r>
      <w:proofErr w:type="gramEnd"/>
      <w:r w:rsidRPr="009F597E">
        <w:t xml:space="preserve"> TRA/2019/3</w:t>
      </w:r>
      <w:r w:rsidR="00120EF7" w:rsidRPr="009F597E">
        <w:t>5</w:t>
      </w:r>
      <w:r w:rsidRPr="009F597E">
        <w:t>06</w:t>
      </w:r>
    </w:p>
    <w:p w14:paraId="551E47F9" w14:textId="27EB9598"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proofErr w:type="gramStart"/>
      <w:r w:rsidRPr="009F597E">
        <w:t>Date:</w:t>
      </w:r>
      <w:proofErr w:type="gramEnd"/>
      <w:r w:rsidRPr="009F597E">
        <w:t xml:space="preserve"> 31/12/2019</w:t>
      </w:r>
    </w:p>
    <w:p w14:paraId="34AC6799" w14:textId="45D3802F"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p>
    <w:p w14:paraId="49BCBEC5" w14:textId="7CD50241" w:rsidR="003C2879" w:rsidRPr="009F597E" w:rsidRDefault="004E6D1A" w:rsidP="009F597E">
      <w:pPr>
        <w:tabs>
          <w:tab w:val="clear" w:pos="567"/>
          <w:tab w:val="clear" w:pos="1134"/>
          <w:tab w:val="clear" w:pos="1701"/>
          <w:tab w:val="clear" w:pos="2268"/>
          <w:tab w:val="clear" w:pos="2835"/>
        </w:tabs>
        <w:overflowPunct/>
        <w:autoSpaceDE/>
        <w:autoSpaceDN/>
        <w:adjustRightInd/>
        <w:spacing w:before="0"/>
        <w:textAlignment w:val="auto"/>
      </w:pPr>
      <w:r w:rsidRPr="009F597E">
        <w:t xml:space="preserve">M. </w:t>
      </w:r>
      <w:r w:rsidR="003C2879" w:rsidRPr="009F597E">
        <w:t>Houlin Zhao</w:t>
      </w:r>
      <w:r w:rsidR="00BF7704" w:rsidRPr="009F597E">
        <w:br/>
      </w:r>
      <w:r w:rsidR="003C2879" w:rsidRPr="009F597E">
        <w:t>Secrétaire général</w:t>
      </w:r>
    </w:p>
    <w:p w14:paraId="130B7B37" w14:textId="1B7F4F7B"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r w:rsidRPr="009F597E">
        <w:t>Union internationale des télécommunications (UIT)</w:t>
      </w:r>
    </w:p>
    <w:p w14:paraId="7E18D89A" w14:textId="22D5AAEA"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r w:rsidRPr="009F597E">
        <w:t>CH-1211 Genève 20</w:t>
      </w:r>
    </w:p>
    <w:p w14:paraId="184F1719" w14:textId="17BB0320"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r w:rsidRPr="009F597E">
        <w:t>Suisse</w:t>
      </w:r>
    </w:p>
    <w:p w14:paraId="7C73B14C" w14:textId="7693EDE0" w:rsidR="003C2879" w:rsidRPr="009F597E" w:rsidRDefault="003C2879" w:rsidP="009F597E">
      <w:pPr>
        <w:tabs>
          <w:tab w:val="clear" w:pos="567"/>
          <w:tab w:val="clear" w:pos="1134"/>
          <w:tab w:val="clear" w:pos="1701"/>
          <w:tab w:val="clear" w:pos="2268"/>
          <w:tab w:val="clear" w:pos="2835"/>
        </w:tabs>
        <w:overflowPunct/>
        <w:autoSpaceDE/>
        <w:autoSpaceDN/>
        <w:adjustRightInd/>
        <w:spacing w:before="0"/>
        <w:textAlignment w:val="auto"/>
      </w:pPr>
      <w:proofErr w:type="gramStart"/>
      <w:r w:rsidRPr="009F597E">
        <w:t>Fax:</w:t>
      </w:r>
      <w:proofErr w:type="gramEnd"/>
      <w:r w:rsidRPr="009F597E">
        <w:t xml:space="preserve"> +41 22 730 6675</w:t>
      </w:r>
    </w:p>
    <w:p w14:paraId="2419A988" w14:textId="6007378B" w:rsidR="003A1BED" w:rsidRPr="009F597E" w:rsidRDefault="003A1BED" w:rsidP="009F597E">
      <w:pPr>
        <w:tabs>
          <w:tab w:val="clear" w:pos="567"/>
          <w:tab w:val="clear" w:pos="1134"/>
          <w:tab w:val="clear" w:pos="1701"/>
          <w:tab w:val="clear" w:pos="2268"/>
          <w:tab w:val="clear" w:pos="2835"/>
        </w:tabs>
        <w:overflowPunct/>
        <w:autoSpaceDE/>
        <w:autoSpaceDN/>
        <w:adjustRightInd/>
        <w:spacing w:before="0"/>
        <w:textAlignment w:val="auto"/>
      </w:pPr>
    </w:p>
    <w:p w14:paraId="0FEAA691" w14:textId="77777777" w:rsidR="003A1BED" w:rsidRPr="009F597E" w:rsidRDefault="003A1BED" w:rsidP="009F597E">
      <w:pPr>
        <w:tabs>
          <w:tab w:val="clear" w:pos="567"/>
          <w:tab w:val="clear" w:pos="1134"/>
          <w:tab w:val="clear" w:pos="1701"/>
          <w:tab w:val="clear" w:pos="2268"/>
          <w:tab w:val="clear" w:pos="2835"/>
        </w:tabs>
        <w:overflowPunct/>
        <w:autoSpaceDE/>
        <w:autoSpaceDN/>
        <w:adjustRightInd/>
        <w:spacing w:before="0"/>
        <w:textAlignment w:val="auto"/>
      </w:pPr>
    </w:p>
    <w:p w14:paraId="6540B93D" w14:textId="77585A98" w:rsidR="003C2879" w:rsidRPr="009F597E" w:rsidRDefault="003C2879" w:rsidP="009F597E">
      <w:pPr>
        <w:tabs>
          <w:tab w:val="clear" w:pos="567"/>
          <w:tab w:val="clear" w:pos="1134"/>
          <w:tab w:val="clear" w:pos="1701"/>
          <w:tab w:val="clear" w:pos="2268"/>
          <w:tab w:val="clear" w:pos="2835"/>
        </w:tabs>
        <w:overflowPunct/>
        <w:autoSpaceDE/>
        <w:autoSpaceDN/>
        <w:adjustRightInd/>
        <w:jc w:val="center"/>
        <w:textAlignment w:val="auto"/>
        <w:rPr>
          <w:b/>
          <w:bCs/>
          <w:sz w:val="28"/>
          <w:szCs w:val="28"/>
        </w:rPr>
      </w:pPr>
      <w:r w:rsidRPr="009F597E">
        <w:rPr>
          <w:b/>
          <w:bCs/>
          <w:sz w:val="28"/>
          <w:szCs w:val="28"/>
        </w:rPr>
        <w:t>Conf</w:t>
      </w:r>
      <w:r w:rsidR="004E6D1A" w:rsidRPr="009F597E">
        <w:rPr>
          <w:b/>
          <w:bCs/>
          <w:sz w:val="28"/>
          <w:szCs w:val="28"/>
        </w:rPr>
        <w:t>é</w:t>
      </w:r>
      <w:r w:rsidRPr="009F597E">
        <w:rPr>
          <w:b/>
          <w:bCs/>
          <w:sz w:val="28"/>
          <w:szCs w:val="28"/>
        </w:rPr>
        <w:t xml:space="preserve">rence </w:t>
      </w:r>
      <w:r w:rsidR="004E6D1A" w:rsidRPr="009F597E">
        <w:rPr>
          <w:b/>
          <w:bCs/>
          <w:sz w:val="28"/>
          <w:szCs w:val="28"/>
        </w:rPr>
        <w:t xml:space="preserve">mondiale des radiocommunications </w:t>
      </w:r>
      <w:r w:rsidRPr="009F597E">
        <w:rPr>
          <w:b/>
          <w:bCs/>
          <w:sz w:val="28"/>
          <w:szCs w:val="28"/>
        </w:rPr>
        <w:t>(CMR-23)</w:t>
      </w:r>
      <w:r w:rsidR="004E6D1A" w:rsidRPr="009F597E">
        <w:rPr>
          <w:b/>
          <w:bCs/>
          <w:sz w:val="28"/>
          <w:szCs w:val="28"/>
        </w:rPr>
        <w:t xml:space="preserve"> de l'UIT</w:t>
      </w:r>
    </w:p>
    <w:p w14:paraId="7528FC26" w14:textId="405E29B4" w:rsidR="001E57BE" w:rsidRPr="009F597E" w:rsidRDefault="001E57BE" w:rsidP="009F597E"/>
    <w:p w14:paraId="2201965A" w14:textId="608ED715" w:rsidR="001E57BE" w:rsidRPr="009F597E" w:rsidRDefault="004E6D1A" w:rsidP="009F597E">
      <w:r w:rsidRPr="009F597E">
        <w:t>Monsieur le Secrétaire général</w:t>
      </w:r>
      <w:r w:rsidR="001E57BE" w:rsidRPr="009F597E">
        <w:t>,</w:t>
      </w:r>
    </w:p>
    <w:p w14:paraId="167A2BF8" w14:textId="7F818532" w:rsidR="004C2ED8" w:rsidRPr="009F597E" w:rsidRDefault="004C2ED8" w:rsidP="009F597E">
      <w:r w:rsidRPr="009F597E">
        <w:t>Nous avons l'immense plaisir et l'honneur de vous faire part du souhait de l'Administration des Émirats arabes unis d'accueillir la Conférence mondiale des radiocommunications (CMR-23) dans son pays.</w:t>
      </w:r>
    </w:p>
    <w:p w14:paraId="67F586AF" w14:textId="4DF3C337" w:rsidR="004C2ED8" w:rsidRPr="009F597E" w:rsidRDefault="00120EF7" w:rsidP="009F597E">
      <w:r w:rsidRPr="009F597E">
        <w:t xml:space="preserve">Au vu </w:t>
      </w:r>
      <w:r w:rsidR="002D2D46" w:rsidRPr="009F597E">
        <w:t xml:space="preserve">de notre </w:t>
      </w:r>
      <w:r w:rsidR="004C2ED8" w:rsidRPr="009F597E">
        <w:t xml:space="preserve">longue expérience de l'accueil de grandes </w:t>
      </w:r>
      <w:r w:rsidR="00BF7704" w:rsidRPr="009F597E">
        <w:t>C</w:t>
      </w:r>
      <w:r w:rsidR="004C2ED8" w:rsidRPr="009F597E">
        <w:t>onférences de l'UIT, comme la PP-18, de la confiance que l'UIT et ses membres nous ont accordée à maintes reprises</w:t>
      </w:r>
      <w:r w:rsidR="00E64A43" w:rsidRPr="009F597E">
        <w:t xml:space="preserve"> et des </w:t>
      </w:r>
      <w:r w:rsidR="004C2ED8" w:rsidRPr="009F597E">
        <w:t xml:space="preserve">infrastructures et installations </w:t>
      </w:r>
      <w:r w:rsidR="00E64A43" w:rsidRPr="009F597E">
        <w:t xml:space="preserve">modernes </w:t>
      </w:r>
      <w:r w:rsidR="004C2ED8" w:rsidRPr="009F597E">
        <w:t>dont nous disposons, nous sommes convaincus de pouvoir accueillir la CMR-23</w:t>
      </w:r>
      <w:r w:rsidR="00E64A43" w:rsidRPr="009F597E">
        <w:t xml:space="preserve"> dans d'excellentes conditions</w:t>
      </w:r>
      <w:r w:rsidR="004C2ED8" w:rsidRPr="009F597E">
        <w:t>.</w:t>
      </w:r>
    </w:p>
    <w:p w14:paraId="513CCD40" w14:textId="3EC4075C" w:rsidR="004C2ED8" w:rsidRPr="009F597E" w:rsidRDefault="004C2ED8" w:rsidP="009F597E">
      <w:r w:rsidRPr="009F597E">
        <w:t xml:space="preserve">Nous attendons avec </w:t>
      </w:r>
      <w:r w:rsidR="00120EF7" w:rsidRPr="009F597E">
        <w:t xml:space="preserve">intérêt </w:t>
      </w:r>
      <w:r w:rsidRPr="009F597E">
        <w:t xml:space="preserve">que le Secrétariat général porte à l'attention des États </w:t>
      </w:r>
      <w:r w:rsidR="00E64A43" w:rsidRPr="009F597E">
        <w:t>M</w:t>
      </w:r>
      <w:r w:rsidRPr="009F597E">
        <w:t xml:space="preserve">embres notre </w:t>
      </w:r>
      <w:r w:rsidR="00E64A43" w:rsidRPr="009F597E">
        <w:t xml:space="preserve">proposition </w:t>
      </w:r>
      <w:r w:rsidRPr="009F597E">
        <w:t>d'accueil</w:t>
      </w:r>
      <w:r w:rsidR="00E64A43" w:rsidRPr="009F597E">
        <w:t xml:space="preserve"> de </w:t>
      </w:r>
      <w:r w:rsidRPr="009F597E">
        <w:t xml:space="preserve">la CMR 23 et qu'il révise ensuite les </w:t>
      </w:r>
      <w:r w:rsidR="00E64A43" w:rsidRPr="009F597E">
        <w:t>R</w:t>
      </w:r>
      <w:r w:rsidRPr="009F597E">
        <w:t xml:space="preserve">ésolutions appropriées pour </w:t>
      </w:r>
      <w:r w:rsidR="00F04A6A" w:rsidRPr="009F597E">
        <w:t xml:space="preserve">que </w:t>
      </w:r>
      <w:r w:rsidRPr="009F597E">
        <w:t xml:space="preserve">les </w:t>
      </w:r>
      <w:r w:rsidR="00E64A43" w:rsidRPr="009F597E">
        <w:t>modalités d'accueil</w:t>
      </w:r>
      <w:r w:rsidR="00F04A6A" w:rsidRPr="009F597E">
        <w:t xml:space="preserve"> soient dûment établies</w:t>
      </w:r>
      <w:r w:rsidRPr="009F597E">
        <w:t>.</w:t>
      </w:r>
    </w:p>
    <w:p w14:paraId="429D89D1" w14:textId="171F26F7" w:rsidR="001E57BE" w:rsidRPr="009F597E" w:rsidRDefault="004E6D1A" w:rsidP="009F597E">
      <w:r w:rsidRPr="009F597E">
        <w:t>Veuillez agréer, Monsieur le Secrétaire général, l'assurance de ma très haute considération.</w:t>
      </w:r>
    </w:p>
    <w:p w14:paraId="0A497624" w14:textId="766D69A0" w:rsidR="003C2879" w:rsidRPr="009F597E" w:rsidRDefault="003C2879" w:rsidP="009F597E">
      <w:pPr>
        <w:tabs>
          <w:tab w:val="clear" w:pos="567"/>
          <w:tab w:val="clear" w:pos="1134"/>
          <w:tab w:val="clear" w:pos="1701"/>
          <w:tab w:val="clear" w:pos="2268"/>
          <w:tab w:val="clear" w:pos="2835"/>
        </w:tabs>
        <w:overflowPunct/>
        <w:autoSpaceDE/>
        <w:autoSpaceDN/>
        <w:adjustRightInd/>
        <w:spacing w:before="840"/>
        <w:textAlignment w:val="auto"/>
      </w:pPr>
      <w:r w:rsidRPr="009F597E">
        <w:t>Saeed Al Suwaidi</w:t>
      </w:r>
    </w:p>
    <w:p w14:paraId="5E7A046D" w14:textId="435B8A90" w:rsidR="003C2879" w:rsidRPr="009F597E" w:rsidRDefault="004E6D1A" w:rsidP="009F597E">
      <w:pPr>
        <w:tabs>
          <w:tab w:val="clear" w:pos="567"/>
          <w:tab w:val="clear" w:pos="1134"/>
          <w:tab w:val="clear" w:pos="1701"/>
          <w:tab w:val="clear" w:pos="2268"/>
          <w:tab w:val="clear" w:pos="2835"/>
        </w:tabs>
        <w:overflowPunct/>
        <w:autoSpaceDE/>
        <w:autoSpaceDN/>
        <w:adjustRightInd/>
        <w:spacing w:before="0"/>
        <w:textAlignment w:val="auto"/>
      </w:pPr>
      <w:r w:rsidRPr="009F597E">
        <w:t>Directeur général faisant fonction</w:t>
      </w:r>
    </w:p>
    <w:p w14:paraId="7772A771" w14:textId="77777777" w:rsidR="001E57BE" w:rsidRPr="009F597E" w:rsidRDefault="001E57BE" w:rsidP="009F597E">
      <w:pPr>
        <w:tabs>
          <w:tab w:val="clear" w:pos="567"/>
          <w:tab w:val="clear" w:pos="1134"/>
          <w:tab w:val="clear" w:pos="1701"/>
          <w:tab w:val="clear" w:pos="2268"/>
          <w:tab w:val="clear" w:pos="2835"/>
        </w:tabs>
        <w:overflowPunct/>
        <w:autoSpaceDE/>
        <w:autoSpaceDN/>
        <w:adjustRightInd/>
        <w:spacing w:before="0"/>
        <w:textAlignment w:val="auto"/>
      </w:pPr>
    </w:p>
    <w:p w14:paraId="0C572736" w14:textId="6AEDCEE5" w:rsidR="008378D5" w:rsidRPr="009F597E" w:rsidRDefault="008378D5" w:rsidP="009F597E">
      <w:pPr>
        <w:tabs>
          <w:tab w:val="clear" w:pos="567"/>
          <w:tab w:val="clear" w:pos="1134"/>
          <w:tab w:val="clear" w:pos="1701"/>
          <w:tab w:val="clear" w:pos="2268"/>
          <w:tab w:val="clear" w:pos="2835"/>
        </w:tabs>
        <w:overflowPunct/>
        <w:autoSpaceDE/>
        <w:autoSpaceDN/>
        <w:adjustRightInd/>
        <w:spacing w:before="0"/>
        <w:textAlignment w:val="auto"/>
      </w:pPr>
      <w:r w:rsidRPr="009F597E">
        <w:br w:type="page"/>
      </w:r>
    </w:p>
    <w:p w14:paraId="402724D9" w14:textId="3B54ECB9" w:rsidR="008378D5" w:rsidRPr="009F597E" w:rsidRDefault="00C23028" w:rsidP="009F597E">
      <w:pPr>
        <w:pStyle w:val="AnnexNo"/>
      </w:pPr>
      <w:r w:rsidRPr="009F597E">
        <w:lastRenderedPageBreak/>
        <w:t>Annexe C</w:t>
      </w:r>
    </w:p>
    <w:p w14:paraId="440A4083" w14:textId="55C757D0" w:rsidR="00C23028" w:rsidRPr="009F597E" w:rsidRDefault="004E6D1A" w:rsidP="009F597E">
      <w:pPr>
        <w:pStyle w:val="AnnexNo"/>
      </w:pPr>
      <w:r w:rsidRPr="009F597E">
        <w:t xml:space="preserve">projet de </w:t>
      </w:r>
      <w:r w:rsidR="00C23028" w:rsidRPr="009F597E">
        <w:t>r</w:t>
      </w:r>
      <w:r w:rsidRPr="009F597E">
        <w:t>é</w:t>
      </w:r>
      <w:r w:rsidR="00C23028" w:rsidRPr="009F597E">
        <w:t>solution</w:t>
      </w:r>
    </w:p>
    <w:p w14:paraId="62B3361D" w14:textId="767A54BB" w:rsidR="00654E32" w:rsidRPr="009F597E" w:rsidRDefault="00012A30" w:rsidP="009F597E">
      <w:pPr>
        <w:pStyle w:val="Annextitle"/>
      </w:pPr>
      <w:r w:rsidRPr="009F597E">
        <w:t>O</w:t>
      </w:r>
      <w:r w:rsidR="00654E32" w:rsidRPr="009F597E">
        <w:t xml:space="preserve">rdre du jour de la Conférence mondiale </w:t>
      </w:r>
      <w:r w:rsidR="004C2ED8" w:rsidRPr="009F597E">
        <w:t>des radiocommunications de 20</w:t>
      </w:r>
      <w:r w:rsidRPr="009F597E">
        <w:t>23</w:t>
      </w:r>
    </w:p>
    <w:p w14:paraId="00249F10" w14:textId="7168D87A" w:rsidR="00C23028" w:rsidRPr="009F597E" w:rsidRDefault="00C23028" w:rsidP="009F597E">
      <w:pPr>
        <w:pStyle w:val="Normalaftertitle"/>
        <w:rPr>
          <w:iCs/>
        </w:rPr>
      </w:pPr>
      <w:r w:rsidRPr="009F597E">
        <w:t>Le Conseil</w:t>
      </w:r>
      <w:r w:rsidR="004E6D1A" w:rsidRPr="009F597E">
        <w:t xml:space="preserve"> de l'UIT</w:t>
      </w:r>
      <w:r w:rsidRPr="009F597E">
        <w:t>,</w:t>
      </w:r>
    </w:p>
    <w:p w14:paraId="17F6E2E2" w14:textId="77777777" w:rsidR="00C23028" w:rsidRPr="009F597E" w:rsidRDefault="00C23028" w:rsidP="009F597E">
      <w:pPr>
        <w:pStyle w:val="Call"/>
      </w:pPr>
      <w:r w:rsidRPr="009F597E">
        <w:t>notant</w:t>
      </w:r>
    </w:p>
    <w:p w14:paraId="756AC92C" w14:textId="6BFB7A85" w:rsidR="00C23028" w:rsidRPr="009F597E" w:rsidRDefault="00C23028" w:rsidP="009F597E">
      <w:pPr>
        <w:rPr>
          <w:i/>
        </w:rPr>
      </w:pPr>
      <w:r w:rsidRPr="009F597E">
        <w:t>que, par sa Résolution 8</w:t>
      </w:r>
      <w:r w:rsidR="004E6D1A" w:rsidRPr="009F597E">
        <w:t>11</w:t>
      </w:r>
      <w:r w:rsidRPr="009F597E">
        <w:t>, la Conférence mondiale des radiocommunications (</w:t>
      </w:r>
      <w:r w:rsidR="004E6D1A" w:rsidRPr="009F597E">
        <w:t>Charm el-Cheikh</w:t>
      </w:r>
      <w:r w:rsidRPr="009F597E">
        <w:t>, 201</w:t>
      </w:r>
      <w:r w:rsidR="004E6D1A" w:rsidRPr="009F597E">
        <w:t>9</w:t>
      </w:r>
      <w:proofErr w:type="gramStart"/>
      <w:r w:rsidRPr="009F597E">
        <w:t>):</w:t>
      </w:r>
      <w:proofErr w:type="gramEnd"/>
    </w:p>
    <w:p w14:paraId="1CB499B9" w14:textId="588573C9" w:rsidR="00C23028" w:rsidRPr="009F597E" w:rsidRDefault="00C23028" w:rsidP="009F597E">
      <w:pPr>
        <w:rPr>
          <w:iCs/>
        </w:rPr>
      </w:pPr>
      <w:r w:rsidRPr="00770F71">
        <w:rPr>
          <w:i/>
          <w:iCs/>
        </w:rPr>
        <w:t>a)</w:t>
      </w:r>
      <w:r w:rsidRPr="009F597E">
        <w:tab/>
        <w:t>a décidé de recommander au Conseil de convoquer en 20</w:t>
      </w:r>
      <w:r w:rsidR="004E6D1A" w:rsidRPr="009F597E">
        <w:t>23</w:t>
      </w:r>
      <w:r w:rsidRPr="009F597E">
        <w:t xml:space="preserve"> une </w:t>
      </w:r>
      <w:r w:rsidR="004E6D1A" w:rsidRPr="009F597E">
        <w:t>C</w:t>
      </w:r>
      <w:r w:rsidRPr="009F597E">
        <w:t xml:space="preserve">onférence mondiale des radiocommunications </w:t>
      </w:r>
      <w:r w:rsidR="004C2ED8" w:rsidRPr="009F597E">
        <w:t xml:space="preserve">(CMR-23) </w:t>
      </w:r>
      <w:r w:rsidRPr="009F597E">
        <w:t xml:space="preserve">d'une durée maximale de quatre </w:t>
      </w:r>
      <w:proofErr w:type="gramStart"/>
      <w:r w:rsidRPr="009F597E">
        <w:t>semaines;</w:t>
      </w:r>
      <w:proofErr w:type="gramEnd"/>
    </w:p>
    <w:p w14:paraId="51843E05" w14:textId="0EB0AC8D" w:rsidR="00C23028" w:rsidRPr="009F597E" w:rsidRDefault="00C23028" w:rsidP="009F597E">
      <w:r w:rsidRPr="00770F71">
        <w:rPr>
          <w:i/>
          <w:iCs/>
        </w:rPr>
        <w:t>b)</w:t>
      </w:r>
      <w:r w:rsidRPr="009F597E">
        <w:tab/>
        <w:t>a recommandé des points à inscrire à l'ordre du jour de cette conférence et a invité le Conseil à arrêter définitivement cet ordre du jour, à prendre les dispositions nécessaires pour la convocation de la CMR-</w:t>
      </w:r>
      <w:r w:rsidR="004E6D1A" w:rsidRPr="009F597E">
        <w:t xml:space="preserve">23 </w:t>
      </w:r>
      <w:r w:rsidRPr="009F597E">
        <w:t xml:space="preserve">et à engager dès que possible les consultations nécessaires avec les </w:t>
      </w:r>
      <w:r w:rsidR="00AD190F" w:rsidRPr="009F597E">
        <w:t>États</w:t>
      </w:r>
      <w:r w:rsidRPr="009F597E">
        <w:t xml:space="preserve"> Membres,</w:t>
      </w:r>
    </w:p>
    <w:p w14:paraId="6BBD0D78" w14:textId="77777777" w:rsidR="00C23028" w:rsidRPr="009F597E" w:rsidRDefault="00C23028" w:rsidP="009F597E">
      <w:pPr>
        <w:pStyle w:val="Call"/>
      </w:pPr>
      <w:r w:rsidRPr="009F597E">
        <w:t>décide</w:t>
      </w:r>
    </w:p>
    <w:p w14:paraId="233763DC" w14:textId="52855D26" w:rsidR="00C23028" w:rsidRPr="009F597E" w:rsidRDefault="00C23028" w:rsidP="009F597E">
      <w:r w:rsidRPr="009F597E">
        <w:t>de convoquer</w:t>
      </w:r>
      <w:r w:rsidR="00E8183D" w:rsidRPr="009F597E">
        <w:t xml:space="preserve"> </w:t>
      </w:r>
      <w:r w:rsidR="004E6D1A" w:rsidRPr="009F597E">
        <w:t xml:space="preserve">en 2023 </w:t>
      </w:r>
      <w:r w:rsidRPr="009F597E">
        <w:t>une Conférence mondiale des radiocommunications (CMR-</w:t>
      </w:r>
      <w:r w:rsidR="00E8183D" w:rsidRPr="009F597E">
        <w:t>23</w:t>
      </w:r>
      <w:r w:rsidRPr="009F597E">
        <w:t>)</w:t>
      </w:r>
      <w:r w:rsidR="00E8183D" w:rsidRPr="009F597E">
        <w:t>,</w:t>
      </w:r>
      <w:r w:rsidRPr="009F597E">
        <w:t xml:space="preserve"> précédée </w:t>
      </w:r>
      <w:r w:rsidR="00E8183D" w:rsidRPr="009F597E">
        <w:t xml:space="preserve">par une </w:t>
      </w:r>
      <w:r w:rsidRPr="009F597E">
        <w:t xml:space="preserve">Assemblée des radiocommunications, dont l'ordre du jour sera le </w:t>
      </w:r>
      <w:proofErr w:type="gramStart"/>
      <w:r w:rsidRPr="009F597E">
        <w:t>suivant:</w:t>
      </w:r>
      <w:proofErr w:type="gramEnd"/>
    </w:p>
    <w:p w14:paraId="3AA20859"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1</w:t>
      </w:r>
      <w:r w:rsidRPr="009F597E">
        <w:rPr>
          <w:rFonts w:asciiTheme="minorHAnsi" w:hAnsiTheme="minorHAnsi" w:cstheme="minorHAnsi"/>
          <w:szCs w:val="24"/>
        </w:rPr>
        <w:tab/>
        <w:t>sur la base des propositions des administrations, compte tenu des résultats de la CMR</w:t>
      </w:r>
      <w:r w:rsidRPr="009F597E">
        <w:rPr>
          <w:rFonts w:asciiTheme="minorHAnsi" w:hAnsiTheme="minorHAnsi" w:cstheme="minorHAnsi"/>
          <w:szCs w:val="24"/>
        </w:rPr>
        <w:noBreakHyphen/>
        <w:t xml:space="preserve">19 ainsi que du rapport de la Réunion de préparation à la Conférence et compte dûment tenu des besoins des services existants ou futurs dans les bandes de fréquences considérées, examiner les points suivants et prendre les mesures </w:t>
      </w:r>
      <w:proofErr w:type="gramStart"/>
      <w:r w:rsidRPr="009F597E">
        <w:rPr>
          <w:rFonts w:asciiTheme="minorHAnsi" w:hAnsiTheme="minorHAnsi" w:cstheme="minorHAnsi"/>
          <w:szCs w:val="24"/>
        </w:rPr>
        <w:t>appropriées:</w:t>
      </w:r>
      <w:proofErr w:type="gramEnd"/>
    </w:p>
    <w:p w14:paraId="75272415"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1.1</w:t>
      </w:r>
      <w:r w:rsidRPr="009F597E">
        <w:rPr>
          <w:rFonts w:asciiTheme="minorHAnsi" w:hAnsiTheme="minorHAnsi" w:cstheme="minorHAnsi"/>
          <w:szCs w:val="24"/>
        </w:rPr>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figurant dans le renvoi </w:t>
      </w:r>
      <w:r w:rsidRPr="009F597E">
        <w:rPr>
          <w:rFonts w:asciiTheme="minorHAnsi" w:hAnsiTheme="minorHAnsi" w:cstheme="minorHAnsi"/>
          <w:b/>
          <w:bCs/>
          <w:szCs w:val="24"/>
        </w:rPr>
        <w:t>5.441B</w:t>
      </w:r>
      <w:r w:rsidRPr="009F597E">
        <w:rPr>
          <w:rFonts w:asciiTheme="minorHAnsi" w:hAnsiTheme="minorHAnsi" w:cstheme="minorHAnsi"/>
          <w:szCs w:val="24"/>
        </w:rPr>
        <w:t xml:space="preserve"> conformément à la Résolution </w:t>
      </w:r>
      <w:r w:rsidRPr="009F597E">
        <w:rPr>
          <w:rFonts w:asciiTheme="minorHAnsi" w:hAnsiTheme="minorHAnsi" w:cstheme="minorHAnsi"/>
          <w:b/>
          <w:bCs/>
          <w:szCs w:val="24"/>
        </w:rPr>
        <w:t>223 (Rév.CMR-19)</w:t>
      </w:r>
      <w:r w:rsidRPr="009F597E">
        <w:rPr>
          <w:rFonts w:asciiTheme="minorHAnsi" w:hAnsiTheme="minorHAnsi" w:cstheme="minorHAnsi"/>
          <w:szCs w:val="24"/>
        </w:rPr>
        <w:t>;</w:t>
      </w:r>
    </w:p>
    <w:p w14:paraId="79A02D17" w14:textId="77777777" w:rsidR="00C23028" w:rsidRPr="009F597E" w:rsidRDefault="00C23028" w:rsidP="009F597E">
      <w:pPr>
        <w:keepLines/>
        <w:rPr>
          <w:rFonts w:asciiTheme="minorHAnsi" w:hAnsiTheme="minorHAnsi" w:cstheme="minorHAnsi"/>
          <w:szCs w:val="24"/>
        </w:rPr>
      </w:pPr>
      <w:r w:rsidRPr="009F597E">
        <w:rPr>
          <w:rFonts w:asciiTheme="minorHAnsi" w:hAnsiTheme="minorHAnsi" w:cstheme="minorHAnsi"/>
          <w:szCs w:val="24"/>
        </w:rPr>
        <w:t>1.2</w:t>
      </w:r>
      <w:r w:rsidRPr="009F597E">
        <w:rPr>
          <w:rFonts w:asciiTheme="minorHAnsi" w:hAnsiTheme="minorHAnsi" w:cstheme="minorHAnsi"/>
          <w:szCs w:val="24"/>
        </w:rPr>
        <w:tab/>
        <w:t xml:space="preserve">envisager l'identification des bandes de fréquences </w:t>
      </w:r>
      <w:r w:rsidRPr="009F597E">
        <w:rPr>
          <w:rFonts w:asciiTheme="minorHAnsi" w:eastAsia="MS Mincho" w:hAnsiTheme="minorHAnsi" w:cstheme="minorHAnsi"/>
          <w:szCs w:val="24"/>
        </w:rPr>
        <w:t xml:space="preserve">3 300-3 400 MHz, 3 600-3 800 MHz, 6 425-7 025 MHz, 7 025-7 125 MHz et 10,0-10,5 GHz </w:t>
      </w:r>
      <w:r w:rsidRPr="009F597E">
        <w:rPr>
          <w:rFonts w:asciiTheme="minorHAnsi" w:hAnsiTheme="minorHAnsi" w:cstheme="minorHAnsi"/>
          <w:szCs w:val="24"/>
        </w:rPr>
        <w:t xml:space="preserve">pour les Télécommunications mobiles internationales (IMT), y compris des attributions additionnelles possibles au service mobile à titre primaire, conformément à la Résolution </w:t>
      </w:r>
      <w:r w:rsidRPr="009F597E">
        <w:rPr>
          <w:rFonts w:asciiTheme="minorHAnsi" w:hAnsiTheme="minorHAnsi" w:cstheme="minorHAnsi"/>
          <w:b/>
          <w:szCs w:val="24"/>
        </w:rPr>
        <w:t>245 (CMR-19</w:t>
      </w:r>
      <w:proofErr w:type="gramStart"/>
      <w:r w:rsidRPr="009F597E">
        <w:rPr>
          <w:rFonts w:asciiTheme="minorHAnsi" w:hAnsiTheme="minorHAnsi" w:cstheme="minorHAnsi"/>
          <w:b/>
          <w:szCs w:val="24"/>
        </w:rPr>
        <w:t>)</w:t>
      </w:r>
      <w:r w:rsidRPr="009F597E">
        <w:rPr>
          <w:rFonts w:asciiTheme="minorHAnsi" w:hAnsiTheme="minorHAnsi" w:cstheme="minorHAnsi"/>
          <w:bCs/>
          <w:szCs w:val="24"/>
        </w:rPr>
        <w:t>;</w:t>
      </w:r>
      <w:proofErr w:type="gramEnd"/>
    </w:p>
    <w:p w14:paraId="10EEC81D"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1.3</w:t>
      </w:r>
      <w:r w:rsidRPr="009F597E">
        <w:rPr>
          <w:rFonts w:asciiTheme="minorHAnsi" w:hAnsiTheme="minorHAnsi" w:cstheme="minorHAnsi"/>
          <w:bCs/>
          <w:iCs/>
          <w:szCs w:val="24"/>
        </w:rPr>
        <w:tab/>
        <w:t xml:space="preserve">envisager l'attribution à titre primaire de la bande de fréquences 3 600-3 800 MHz au service mobile en Région 1 et prendre les mesures réglementaires appropriées, conformément à la Résolution </w:t>
      </w:r>
      <w:r w:rsidRPr="009F597E">
        <w:rPr>
          <w:rFonts w:asciiTheme="minorHAnsi" w:hAnsiTheme="minorHAnsi" w:cstheme="minorHAnsi"/>
          <w:b/>
          <w:iCs/>
          <w:szCs w:val="24"/>
        </w:rPr>
        <w:t>246 (CMR-19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p>
    <w:p w14:paraId="337FC4A5"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1.4</w:t>
      </w:r>
      <w:r w:rsidRPr="009F597E">
        <w:rPr>
          <w:rFonts w:asciiTheme="minorHAnsi" w:hAnsiTheme="minorHAnsi" w:cstheme="minorHAnsi"/>
          <w:bCs/>
          <w:iCs/>
          <w:szCs w:val="24"/>
        </w:rPr>
        <w:tab/>
        <w:t xml:space="preserve">examiner, conformément à la Résolution </w:t>
      </w:r>
      <w:r w:rsidRPr="009F597E">
        <w:rPr>
          <w:rFonts w:asciiTheme="minorHAnsi" w:hAnsiTheme="minorHAnsi" w:cstheme="minorHAnsi"/>
          <w:b/>
          <w:iCs/>
          <w:szCs w:val="24"/>
        </w:rPr>
        <w:t>247 (CMR-19)</w:t>
      </w:r>
      <w:r w:rsidRPr="009F597E">
        <w:rPr>
          <w:rFonts w:asciiTheme="minorHAnsi" w:hAnsiTheme="minorHAnsi" w:cstheme="minorHAnsi"/>
          <w:bCs/>
          <w:iCs/>
          <w:szCs w:val="24"/>
        </w:rPr>
        <w:t xml:space="preserve">, l'utilisation de stations placées sur des plates-formes à haute altitude en tant que stations de base IMT (HIBS) dans le service mobile dans certaines bandes de fréquences au-dessous de 2,7 GHz qui sont déjà identifiées pour les IMT à l'échelle mondiale ou </w:t>
      </w:r>
      <w:proofErr w:type="gramStart"/>
      <w:r w:rsidRPr="009F597E">
        <w:rPr>
          <w:rFonts w:asciiTheme="minorHAnsi" w:hAnsiTheme="minorHAnsi" w:cstheme="minorHAnsi"/>
          <w:bCs/>
          <w:iCs/>
          <w:szCs w:val="24"/>
        </w:rPr>
        <w:t>régionale;</w:t>
      </w:r>
      <w:proofErr w:type="gramEnd"/>
    </w:p>
    <w:p w14:paraId="47A7CC0D"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lastRenderedPageBreak/>
        <w:t>1.5</w:t>
      </w:r>
      <w:r w:rsidRPr="009F597E">
        <w:rPr>
          <w:rFonts w:asciiTheme="minorHAnsi" w:hAnsiTheme="minorHAnsi" w:cstheme="minorHAnsi"/>
          <w:bCs/>
          <w:iCs/>
          <w:szCs w:val="24"/>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9F597E">
        <w:rPr>
          <w:rFonts w:asciiTheme="minorHAnsi" w:hAnsiTheme="minorHAnsi" w:cstheme="minorHAnsi"/>
          <w:b/>
          <w:bCs/>
          <w:iCs/>
          <w:szCs w:val="24"/>
        </w:rPr>
        <w:t>235 (CMR-15</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0B4BEDF6"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1.6</w:t>
      </w:r>
      <w:r w:rsidRPr="009F597E">
        <w:rPr>
          <w:rFonts w:asciiTheme="minorHAnsi" w:hAnsiTheme="minorHAnsi" w:cstheme="minorHAnsi"/>
          <w:bCs/>
          <w:iCs/>
          <w:szCs w:val="24"/>
        </w:rPr>
        <w:tab/>
        <w:t xml:space="preserve">étudier, conformément à la Résolution </w:t>
      </w:r>
      <w:r w:rsidRPr="009F597E">
        <w:rPr>
          <w:rFonts w:asciiTheme="minorHAnsi" w:hAnsiTheme="minorHAnsi" w:cstheme="minorHAnsi"/>
          <w:b/>
          <w:bCs/>
          <w:iCs/>
          <w:szCs w:val="24"/>
        </w:rPr>
        <w:t>772 (CMR</w:t>
      </w:r>
      <w:r w:rsidRPr="009F597E">
        <w:rPr>
          <w:rFonts w:asciiTheme="minorHAnsi" w:hAnsiTheme="minorHAnsi" w:cstheme="minorHAnsi"/>
          <w:b/>
          <w:bCs/>
          <w:iCs/>
          <w:szCs w:val="24"/>
        </w:rPr>
        <w:noBreakHyphen/>
        <w:t>19)</w:t>
      </w:r>
      <w:r w:rsidRPr="009F597E">
        <w:rPr>
          <w:rFonts w:asciiTheme="minorHAnsi" w:hAnsiTheme="minorHAnsi" w:cstheme="minorHAnsi"/>
          <w:bCs/>
          <w:iCs/>
          <w:szCs w:val="24"/>
        </w:rPr>
        <w:t xml:space="preserve">, les dispositions réglementaires propres à faciliter les radiocommunications pour les véhicules </w:t>
      </w:r>
      <w:proofErr w:type="gramStart"/>
      <w:r w:rsidRPr="009F597E">
        <w:rPr>
          <w:rFonts w:asciiTheme="minorHAnsi" w:hAnsiTheme="minorHAnsi" w:cstheme="minorHAnsi"/>
          <w:bCs/>
          <w:iCs/>
          <w:szCs w:val="24"/>
        </w:rPr>
        <w:t>suborbitaux;</w:t>
      </w:r>
      <w:proofErr w:type="gramEnd"/>
    </w:p>
    <w:p w14:paraId="7AF4A4AB"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1.7</w:t>
      </w:r>
      <w:r w:rsidRPr="009F597E">
        <w:rPr>
          <w:rFonts w:asciiTheme="minorHAnsi" w:hAnsiTheme="minorHAnsi" w:cstheme="minorHAnsi"/>
          <w:bCs/>
          <w:iCs/>
          <w:szCs w:val="24"/>
        </w:rPr>
        <w:tab/>
        <w:t xml:space="preserve">envisager une nouvelle attribution au service mobile aéronautique (R) par satellite (SMA(R)S), conformément à la Résolution </w:t>
      </w:r>
      <w:r w:rsidRPr="009F597E">
        <w:rPr>
          <w:rFonts w:asciiTheme="minorHAnsi" w:hAnsiTheme="minorHAnsi" w:cstheme="minorHAnsi"/>
          <w:b/>
          <w:iCs/>
          <w:szCs w:val="24"/>
        </w:rPr>
        <w:t>428</w:t>
      </w:r>
      <w:r w:rsidRPr="009F597E">
        <w:rPr>
          <w:rFonts w:asciiTheme="minorHAnsi" w:hAnsiTheme="minorHAnsi" w:cstheme="minorHAnsi"/>
          <w:bCs/>
          <w:iCs/>
          <w:szCs w:val="24"/>
        </w:rPr>
        <w:t xml:space="preserve"> </w:t>
      </w:r>
      <w:r w:rsidRPr="009F597E">
        <w:rPr>
          <w:rFonts w:asciiTheme="minorHAnsi" w:hAnsiTheme="minorHAnsi" w:cstheme="minorHAnsi"/>
          <w:b/>
          <w:iCs/>
          <w:szCs w:val="24"/>
        </w:rPr>
        <w:t>(CMR-19)</w:t>
      </w:r>
      <w:r w:rsidRPr="009F597E">
        <w:rPr>
          <w:rFonts w:asciiTheme="minorHAnsi" w:hAnsiTheme="minorHAnsi" w:cstheme="minorHAnsi"/>
          <w:bCs/>
          <w:iCs/>
          <w:szCs w:val="24"/>
        </w:rPr>
        <w:t xml:space="preserve">,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SMA(R), le SRNA et dans les bandes de fréquences </w:t>
      </w:r>
      <w:proofErr w:type="gramStart"/>
      <w:r w:rsidRPr="009F597E">
        <w:rPr>
          <w:rFonts w:asciiTheme="minorHAnsi" w:hAnsiTheme="minorHAnsi" w:cstheme="minorHAnsi"/>
          <w:bCs/>
          <w:iCs/>
          <w:szCs w:val="24"/>
        </w:rPr>
        <w:t>adjacentes;</w:t>
      </w:r>
      <w:proofErr w:type="gramEnd"/>
    </w:p>
    <w:p w14:paraId="165E3E11"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1.8</w:t>
      </w:r>
      <w:r w:rsidRPr="009F597E">
        <w:rPr>
          <w:rFonts w:asciiTheme="minorHAnsi" w:hAnsiTheme="minorHAnsi" w:cstheme="minorHAnsi"/>
          <w:bCs/>
          <w:iCs/>
          <w:szCs w:val="24"/>
        </w:rPr>
        <w:tab/>
        <w:t>envisager, sur la base des études menées par l'UIT-R conformément à la Résolution </w:t>
      </w:r>
      <w:r w:rsidRPr="009F597E">
        <w:rPr>
          <w:rFonts w:asciiTheme="minorHAnsi" w:hAnsiTheme="minorHAnsi" w:cstheme="minorHAnsi"/>
          <w:b/>
          <w:bCs/>
          <w:iCs/>
          <w:szCs w:val="24"/>
        </w:rPr>
        <w:t>171 (CMR-19)</w:t>
      </w:r>
      <w:r w:rsidRPr="009F597E">
        <w:rPr>
          <w:rFonts w:asciiTheme="minorHAnsi" w:hAnsiTheme="minorHAnsi" w:cstheme="minorHAnsi"/>
          <w:bCs/>
          <w:iCs/>
          <w:szCs w:val="24"/>
        </w:rPr>
        <w:t xml:space="preserve">, des mesures réglementaires appropriées, en vue d'examiner et, au besoin, de réviser la Résolution </w:t>
      </w:r>
      <w:r w:rsidRPr="009F597E">
        <w:rPr>
          <w:rFonts w:asciiTheme="minorHAnsi" w:hAnsiTheme="minorHAnsi" w:cstheme="minorHAnsi"/>
          <w:b/>
          <w:bCs/>
          <w:iCs/>
          <w:szCs w:val="24"/>
        </w:rPr>
        <w:t>155 (Rév.CMR-19)</w:t>
      </w:r>
      <w:r w:rsidRPr="009F597E">
        <w:rPr>
          <w:rFonts w:asciiTheme="minorHAnsi" w:hAnsiTheme="minorHAnsi" w:cstheme="minorHAnsi"/>
          <w:bCs/>
          <w:iCs/>
          <w:szCs w:val="24"/>
        </w:rPr>
        <w:t xml:space="preserve"> et le numéro </w:t>
      </w:r>
      <w:r w:rsidRPr="009F597E">
        <w:rPr>
          <w:rFonts w:asciiTheme="minorHAnsi" w:hAnsiTheme="minorHAnsi" w:cstheme="minorHAnsi"/>
          <w:b/>
          <w:bCs/>
          <w:iCs/>
          <w:szCs w:val="24"/>
        </w:rPr>
        <w:t>5.484B</w:t>
      </w:r>
      <w:r w:rsidRPr="009F597E">
        <w:rPr>
          <w:rFonts w:asciiTheme="minorHAnsi" w:hAnsiTheme="minorHAnsi" w:cstheme="minorHAnsi"/>
          <w:bCs/>
          <w:iCs/>
          <w:szCs w:val="24"/>
        </w:rPr>
        <w:t xml:space="preserve"> du RR, pour permettre l'utilisation des réseaux du service fixe par satellite (SFS) pour les communications de contrôle et non associées à la charge utile des systèmes d'aéronef sans </w:t>
      </w:r>
      <w:proofErr w:type="gramStart"/>
      <w:r w:rsidRPr="009F597E">
        <w:rPr>
          <w:rFonts w:asciiTheme="minorHAnsi" w:hAnsiTheme="minorHAnsi" w:cstheme="minorHAnsi"/>
          <w:bCs/>
          <w:iCs/>
          <w:szCs w:val="24"/>
        </w:rPr>
        <w:t>pilote;</w:t>
      </w:r>
      <w:proofErr w:type="gramEnd"/>
    </w:p>
    <w:p w14:paraId="387FD516"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1.9</w:t>
      </w:r>
      <w:r w:rsidRPr="009F597E">
        <w:rPr>
          <w:rFonts w:asciiTheme="minorHAnsi" w:hAnsiTheme="minorHAnsi" w:cstheme="minorHAnsi"/>
          <w:bCs/>
          <w:iCs/>
          <w:szCs w:val="24"/>
        </w:rPr>
        <w:tab/>
        <w:t xml:space="preserve">examiner l'Appendice </w:t>
      </w:r>
      <w:r w:rsidRPr="009F597E">
        <w:rPr>
          <w:rFonts w:asciiTheme="minorHAnsi" w:hAnsiTheme="minorHAnsi" w:cstheme="minorHAnsi"/>
          <w:b/>
          <w:bCs/>
          <w:iCs/>
          <w:szCs w:val="24"/>
        </w:rPr>
        <w:t>27</w:t>
      </w:r>
      <w:r w:rsidRPr="009F597E">
        <w:rPr>
          <w:rFonts w:asciiTheme="minorHAnsi" w:hAnsiTheme="minorHAnsi" w:cstheme="minorHAnsi"/>
          <w:bCs/>
          <w:iCs/>
          <w:szCs w:val="24"/>
        </w:rPr>
        <w:t xml:space="preserve"> du Règlement des radiocommunications et envisager des mesures et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(le long des routes) et d'assurer la coexistence entre les systèmes actuels en ondes décamétriques et les systèmes modernisés en ondes décamétriques, conformément à la Résolution </w:t>
      </w:r>
      <w:r w:rsidRPr="009F597E">
        <w:rPr>
          <w:rFonts w:asciiTheme="minorHAnsi" w:hAnsiTheme="minorHAnsi" w:cstheme="minorHAnsi"/>
          <w:b/>
          <w:iCs/>
          <w:szCs w:val="24"/>
        </w:rPr>
        <w:t>429</w:t>
      </w:r>
      <w:r w:rsidRPr="009F597E">
        <w:rPr>
          <w:rFonts w:asciiTheme="minorHAnsi" w:hAnsiTheme="minorHAnsi" w:cstheme="minorHAnsi"/>
          <w:b/>
          <w:bCs/>
          <w:iCs/>
          <w:szCs w:val="24"/>
        </w:rPr>
        <w:t xml:space="preserve"> (CMR-19)</w:t>
      </w:r>
      <w:r w:rsidRPr="009F597E">
        <w:rPr>
          <w:rFonts w:asciiTheme="minorHAnsi" w:hAnsiTheme="minorHAnsi" w:cstheme="minorHAnsi"/>
          <w:bCs/>
          <w:iCs/>
          <w:szCs w:val="24"/>
        </w:rPr>
        <w:t>;</w:t>
      </w:r>
    </w:p>
    <w:p w14:paraId="1B1E8EB4" w14:textId="77777777" w:rsidR="00C23028" w:rsidRPr="009F597E" w:rsidRDefault="00C23028" w:rsidP="009F597E">
      <w:pPr>
        <w:rPr>
          <w:rFonts w:asciiTheme="minorHAnsi" w:hAnsiTheme="minorHAnsi" w:cstheme="minorHAnsi"/>
          <w:b/>
          <w:bCs/>
          <w:iCs/>
          <w:szCs w:val="24"/>
        </w:rPr>
      </w:pPr>
      <w:r w:rsidRPr="009F597E">
        <w:rPr>
          <w:rFonts w:asciiTheme="minorHAnsi" w:hAnsiTheme="minorHAnsi" w:cstheme="minorHAnsi"/>
          <w:bCs/>
          <w:iCs/>
          <w:szCs w:val="24"/>
        </w:rPr>
        <w:t>1.10</w:t>
      </w:r>
      <w:r w:rsidRPr="009F597E">
        <w:rPr>
          <w:rFonts w:asciiTheme="minorHAnsi" w:hAnsiTheme="minorHAnsi" w:cstheme="minorHAnsi"/>
          <w:bCs/>
          <w:iCs/>
          <w:szCs w:val="24"/>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9F597E">
        <w:rPr>
          <w:rFonts w:asciiTheme="minorHAnsi" w:hAnsiTheme="minorHAnsi" w:cstheme="minorHAnsi"/>
          <w:b/>
          <w:bCs/>
          <w:iCs/>
          <w:szCs w:val="24"/>
        </w:rPr>
        <w:t>430 (CMR-19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7E553D78"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1.11</w:t>
      </w:r>
      <w:r w:rsidRPr="009F597E">
        <w:rPr>
          <w:rFonts w:asciiTheme="minorHAnsi" w:hAnsiTheme="minorHAnsi" w:cstheme="minorHAnsi"/>
          <w:bCs/>
          <w:iCs/>
          <w:szCs w:val="24"/>
        </w:rPr>
        <w:tab/>
        <w:t xml:space="preserve">examiner les mesures réglementaires qui pourraient être prises, en vue de permettre la modernisation du Système mondial de détresse et de sécurité en mer et la mise en œuvre de la navigation électronique, conformément à la Résolution </w:t>
      </w:r>
      <w:r w:rsidRPr="009F597E">
        <w:rPr>
          <w:rFonts w:asciiTheme="minorHAnsi" w:hAnsiTheme="minorHAnsi" w:cstheme="minorHAnsi"/>
          <w:b/>
          <w:iCs/>
          <w:szCs w:val="24"/>
        </w:rPr>
        <w:t>361 (Rév.CMR-19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p>
    <w:p w14:paraId="272419A2" w14:textId="77777777" w:rsidR="00C23028" w:rsidRPr="009F597E" w:rsidRDefault="00C23028" w:rsidP="009F597E">
      <w:pPr>
        <w:keepLines/>
        <w:rPr>
          <w:rFonts w:asciiTheme="minorHAnsi" w:hAnsiTheme="minorHAnsi" w:cstheme="minorHAnsi"/>
          <w:bCs/>
          <w:iCs/>
          <w:szCs w:val="24"/>
        </w:rPr>
      </w:pPr>
      <w:r w:rsidRPr="009F597E">
        <w:rPr>
          <w:rFonts w:asciiTheme="minorHAnsi" w:hAnsiTheme="minorHAnsi" w:cstheme="minorHAnsi"/>
          <w:bCs/>
          <w:iCs/>
          <w:szCs w:val="24"/>
        </w:rPr>
        <w:t>1.12</w:t>
      </w:r>
      <w:r w:rsidRPr="009F597E">
        <w:rPr>
          <w:rFonts w:asciiTheme="minorHAnsi" w:hAnsiTheme="minorHAnsi" w:cstheme="minorHAnsi"/>
          <w:bCs/>
          <w:iCs/>
          <w:szCs w:val="24"/>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9F597E">
        <w:rPr>
          <w:rFonts w:asciiTheme="minorHAnsi" w:hAnsiTheme="minorHAnsi" w:cstheme="minorHAnsi"/>
          <w:b/>
          <w:bCs/>
          <w:iCs/>
          <w:szCs w:val="24"/>
        </w:rPr>
        <w:t>656 (Rév.CMR-19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2EF82B34"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1.13</w:t>
      </w:r>
      <w:r w:rsidRPr="009F597E">
        <w:rPr>
          <w:rFonts w:asciiTheme="minorHAnsi" w:hAnsiTheme="minorHAnsi" w:cstheme="minorHAnsi"/>
          <w:bCs/>
          <w:iCs/>
          <w:szCs w:val="24"/>
        </w:rPr>
        <w:tab/>
        <w:t>examiner le relèvement possible du statut de l'attribution de la bande de fréquences 14,8</w:t>
      </w:r>
      <w:r w:rsidRPr="009F597E">
        <w:rPr>
          <w:rFonts w:asciiTheme="minorHAnsi" w:hAnsiTheme="minorHAnsi" w:cstheme="minorHAnsi"/>
          <w:bCs/>
          <w:iCs/>
          <w:szCs w:val="24"/>
        </w:rPr>
        <w:noBreakHyphen/>
        <w:t xml:space="preserve">15,35 GHz au service de recherche spatiale conformément à la Résolution </w:t>
      </w:r>
      <w:r w:rsidRPr="009F597E">
        <w:rPr>
          <w:rFonts w:asciiTheme="minorHAnsi" w:hAnsiTheme="minorHAnsi" w:cstheme="minorHAnsi"/>
          <w:b/>
          <w:bCs/>
          <w:iCs/>
          <w:szCs w:val="24"/>
        </w:rPr>
        <w:t>661 (CMR</w:t>
      </w:r>
      <w:r w:rsidRPr="009F597E">
        <w:rPr>
          <w:rFonts w:asciiTheme="minorHAnsi" w:hAnsiTheme="minorHAnsi" w:cstheme="minorHAnsi"/>
          <w:b/>
          <w:bCs/>
          <w:iCs/>
          <w:szCs w:val="24"/>
        </w:rPr>
        <w:noBreakHyphen/>
        <w:t>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019E2B15"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1.14</w:t>
      </w:r>
      <w:r w:rsidRPr="009F597E">
        <w:rPr>
          <w:rFonts w:asciiTheme="minorHAnsi" w:hAnsiTheme="minorHAnsi" w:cstheme="minorHAnsi"/>
          <w:bCs/>
          <w:iCs/>
          <w:szCs w:val="24"/>
        </w:rPr>
        <w:tab/>
        <w:t>examiner et envisager la possibilité d'apporter des ajustements aux attributions de fréquences existantes ou de faire de nouvelles attributions à titre primaire au SETS (passive) dans la gamme de fréquences 231,5-252 GHz, pour s'assurer qu'elles correspondent aux exigences récentes en matière d'observation des systèmes de télédétection, conformément à la Résolution </w:t>
      </w:r>
      <w:r w:rsidRPr="009F597E">
        <w:rPr>
          <w:rFonts w:asciiTheme="minorHAnsi" w:hAnsiTheme="minorHAnsi" w:cstheme="minorHAnsi"/>
          <w:b/>
          <w:bCs/>
          <w:iCs/>
          <w:szCs w:val="24"/>
        </w:rPr>
        <w:t>662 (CMR-19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2BE77928"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lastRenderedPageBreak/>
        <w:t>1.15</w:t>
      </w:r>
      <w:r w:rsidRPr="009F597E">
        <w:rPr>
          <w:rFonts w:asciiTheme="minorHAnsi" w:hAnsiTheme="minorHAnsi" w:cstheme="minorHAnsi"/>
          <w:bCs/>
          <w:iCs/>
          <w:szCs w:val="24"/>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9F597E">
        <w:rPr>
          <w:rFonts w:asciiTheme="minorHAnsi" w:hAnsiTheme="minorHAnsi" w:cstheme="minorHAnsi"/>
          <w:b/>
          <w:iCs/>
          <w:szCs w:val="24"/>
        </w:rPr>
        <w:t>172 (CMR-19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p>
    <w:p w14:paraId="6A1FB3AB"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1.16</w:t>
      </w:r>
      <w:r w:rsidRPr="009F597E">
        <w:rPr>
          <w:rFonts w:asciiTheme="minorHAnsi" w:hAnsiTheme="minorHAnsi" w:cstheme="minorHAnsi"/>
          <w:bCs/>
          <w:iCs/>
          <w:szCs w:val="24"/>
        </w:rPr>
        <w:tab/>
        <w:t>étudier et définir les mesures techniques, opérationnelles et réglementaires, selon le cas, propres à faciliter l'utilisation des bandes de fréquences 17,7-18,6 GHz, 18,8-19,3 GHz et 19,7</w:t>
      </w:r>
      <w:r w:rsidRPr="009F597E">
        <w:rPr>
          <w:rFonts w:asciiTheme="minorHAnsi" w:hAnsiTheme="minorHAnsi" w:cstheme="minorHAnsi"/>
          <w:bCs/>
          <w:iCs/>
          <w:szCs w:val="24"/>
        </w:rPr>
        <w:noBreakHyphen/>
        <w:t xml:space="preserve">20,2 GHz (espace vers Terre), ainsi que 27,5-29,1 GHz et 29,5-30 GHz (Terre vers espace) par les stations ESIM du SFS non OSG, tout en assurant la protection voulue des services existants dans ces bandes de fréquences conformément à la Résolution </w:t>
      </w:r>
      <w:r w:rsidRPr="009F597E">
        <w:rPr>
          <w:rFonts w:asciiTheme="minorHAnsi" w:hAnsiTheme="minorHAnsi" w:cstheme="minorHAnsi"/>
          <w:b/>
          <w:iCs/>
          <w:szCs w:val="24"/>
        </w:rPr>
        <w:t>173 (CMR-19</w:t>
      </w:r>
      <w:proofErr w:type="gramStart"/>
      <w:r w:rsidRPr="009F597E">
        <w:rPr>
          <w:rFonts w:asciiTheme="minorHAnsi" w:hAnsiTheme="minorHAnsi" w:cstheme="minorHAnsi"/>
          <w:b/>
          <w:iCs/>
          <w:szCs w:val="24"/>
        </w:rPr>
        <w:t>)</w:t>
      </w:r>
      <w:r w:rsidRPr="009F597E">
        <w:rPr>
          <w:rFonts w:asciiTheme="minorHAnsi" w:hAnsiTheme="minorHAnsi" w:cstheme="minorHAnsi"/>
          <w:bCs/>
          <w:iCs/>
          <w:szCs w:val="24"/>
        </w:rPr>
        <w:t>;</w:t>
      </w:r>
      <w:proofErr w:type="gramEnd"/>
      <w:r w:rsidRPr="009F597E">
        <w:rPr>
          <w:rFonts w:asciiTheme="minorHAnsi" w:hAnsiTheme="minorHAnsi" w:cstheme="minorHAnsi"/>
          <w:bCs/>
          <w:iCs/>
          <w:szCs w:val="24"/>
        </w:rPr>
        <w:t xml:space="preserve"> </w:t>
      </w:r>
    </w:p>
    <w:p w14:paraId="5D3C9F0B"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1.17</w:t>
      </w:r>
      <w:r w:rsidRPr="009F597E">
        <w:rPr>
          <w:rFonts w:asciiTheme="minorHAnsi" w:hAnsiTheme="minorHAnsi" w:cstheme="minorHAnsi"/>
          <w:bCs/>
          <w:iCs/>
          <w:szCs w:val="24"/>
        </w:rPr>
        <w:tab/>
        <w:t xml:space="preserve">déterminer et prendre, sur la base des études menées par l'UIT-R conformément à la Résolution </w:t>
      </w:r>
      <w:r w:rsidRPr="009F597E">
        <w:rPr>
          <w:rFonts w:asciiTheme="minorHAnsi" w:hAnsiTheme="minorHAnsi" w:cstheme="minorHAnsi"/>
          <w:b/>
          <w:bCs/>
          <w:iCs/>
          <w:szCs w:val="24"/>
        </w:rPr>
        <w:t>773 (CMR-19)</w:t>
      </w:r>
      <w:r w:rsidRPr="009F597E">
        <w:rPr>
          <w:rFonts w:asciiTheme="minorHAnsi" w:hAnsiTheme="minorHAnsi" w:cstheme="minorHAnsi"/>
          <w:bCs/>
          <w:iCs/>
          <w:szCs w:val="24"/>
        </w:rPr>
        <w:t xml:space="preserve">, les mesures réglementaires appropriées concernant l'établissement de liaisons inter-satellites dans certaines bandes de fréquences, ou dans des parties de ces bandes, en ajoutant une attribution au service inter-satellites, s'il y a </w:t>
      </w:r>
      <w:proofErr w:type="gramStart"/>
      <w:r w:rsidRPr="009F597E">
        <w:rPr>
          <w:rFonts w:asciiTheme="minorHAnsi" w:hAnsiTheme="minorHAnsi" w:cstheme="minorHAnsi"/>
          <w:bCs/>
          <w:iCs/>
          <w:szCs w:val="24"/>
        </w:rPr>
        <w:t>lieu;</w:t>
      </w:r>
      <w:proofErr w:type="gramEnd"/>
    </w:p>
    <w:p w14:paraId="79AE4B26"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1.18</w:t>
      </w:r>
      <w:r w:rsidRPr="009F597E">
        <w:rPr>
          <w:rFonts w:asciiTheme="minorHAnsi" w:hAnsiTheme="minorHAnsi" w:cstheme="minorHAnsi"/>
          <w:bCs/>
          <w:iCs/>
          <w:szCs w:val="24"/>
        </w:rPr>
        <w:tab/>
        <w:t xml:space="preserve">examiner les études portant sur les besoins de spectre et envisager d'éventuelles nouvelles attributions au service mobile par satellite pour le développement futur des systèmes mobiles à satellites à bande étroite, conformément à la Résolution </w:t>
      </w:r>
      <w:r w:rsidRPr="009F597E">
        <w:rPr>
          <w:rFonts w:asciiTheme="minorHAnsi" w:hAnsiTheme="minorHAnsi" w:cstheme="minorHAnsi"/>
          <w:b/>
          <w:iCs/>
          <w:szCs w:val="24"/>
        </w:rPr>
        <w:t>248</w:t>
      </w:r>
      <w:r w:rsidRPr="009F597E">
        <w:rPr>
          <w:rFonts w:asciiTheme="minorHAnsi" w:hAnsiTheme="minorHAnsi" w:cstheme="minorHAnsi"/>
          <w:b/>
          <w:bCs/>
          <w:iCs/>
          <w:szCs w:val="24"/>
        </w:rPr>
        <w:t xml:space="preserve"> (CMR-19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2E85EF0F" w14:textId="77777777" w:rsidR="00C23028" w:rsidRPr="009F597E" w:rsidRDefault="00C23028" w:rsidP="009F597E">
      <w:pPr>
        <w:rPr>
          <w:rFonts w:asciiTheme="minorHAnsi" w:hAnsiTheme="minorHAnsi" w:cstheme="minorHAnsi"/>
          <w:bCs/>
          <w:iCs/>
          <w:szCs w:val="24"/>
        </w:rPr>
      </w:pPr>
      <w:r w:rsidRPr="009F597E">
        <w:rPr>
          <w:rFonts w:asciiTheme="minorHAnsi" w:hAnsiTheme="minorHAnsi" w:cstheme="minorHAnsi"/>
          <w:bCs/>
          <w:iCs/>
          <w:szCs w:val="24"/>
        </w:rPr>
        <w:t>1.19</w:t>
      </w:r>
      <w:r w:rsidRPr="009F597E">
        <w:rPr>
          <w:rFonts w:asciiTheme="minorHAnsi" w:hAnsiTheme="minorHAnsi" w:cstheme="minorHAnsi"/>
          <w:b/>
          <w:bCs/>
          <w:iCs/>
          <w:szCs w:val="24"/>
        </w:rPr>
        <w:tab/>
      </w:r>
      <w:r w:rsidRPr="009F597E">
        <w:rPr>
          <w:rFonts w:asciiTheme="minorHAnsi" w:hAnsiTheme="minorHAnsi" w:cstheme="minorHAnsi"/>
          <w:bCs/>
          <w:iCs/>
          <w:szCs w:val="24"/>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9F597E">
        <w:rPr>
          <w:rFonts w:asciiTheme="minorHAnsi" w:hAnsiTheme="minorHAnsi" w:cstheme="minorHAnsi"/>
          <w:b/>
          <w:iCs/>
          <w:szCs w:val="24"/>
        </w:rPr>
        <w:t>174</w:t>
      </w:r>
      <w:r w:rsidRPr="009F597E">
        <w:rPr>
          <w:rFonts w:asciiTheme="minorHAnsi" w:hAnsiTheme="minorHAnsi" w:cstheme="minorHAnsi"/>
          <w:bCs/>
          <w:iCs/>
          <w:szCs w:val="24"/>
        </w:rPr>
        <w:t xml:space="preserve"> </w:t>
      </w:r>
      <w:r w:rsidRPr="009F597E">
        <w:rPr>
          <w:rFonts w:asciiTheme="minorHAnsi" w:hAnsiTheme="minorHAnsi" w:cstheme="minorHAnsi"/>
          <w:b/>
          <w:bCs/>
          <w:iCs/>
          <w:szCs w:val="24"/>
        </w:rPr>
        <w:t>(CMR-19</w:t>
      </w:r>
      <w:proofErr w:type="gramStart"/>
      <w:r w:rsidRPr="009F597E">
        <w:rPr>
          <w:rFonts w:asciiTheme="minorHAnsi" w:hAnsiTheme="minorHAnsi" w:cstheme="minorHAnsi"/>
          <w:b/>
          <w:bCs/>
          <w:iCs/>
          <w:szCs w:val="24"/>
        </w:rPr>
        <w:t>)</w:t>
      </w:r>
      <w:r w:rsidRPr="009F597E">
        <w:rPr>
          <w:rFonts w:asciiTheme="minorHAnsi" w:hAnsiTheme="minorHAnsi" w:cstheme="minorHAnsi"/>
          <w:bCs/>
          <w:iCs/>
          <w:szCs w:val="24"/>
        </w:rPr>
        <w:t>;</w:t>
      </w:r>
      <w:proofErr w:type="gramEnd"/>
    </w:p>
    <w:p w14:paraId="6330EED5"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2</w:t>
      </w:r>
      <w:r w:rsidRPr="009F597E">
        <w:rPr>
          <w:rFonts w:asciiTheme="minorHAnsi" w:hAnsiTheme="minorHAnsi" w:cstheme="minorHAnsi"/>
          <w:szCs w:val="24"/>
        </w:rPr>
        <w:tab/>
        <w:t xml:space="preserve">examiner les Recommandations UIT-R révisées et incorporées par référence dans le Règlement des radiocommunications, communiquées par l'Assemblée des radiocommunications conformément au </w:t>
      </w:r>
      <w:r w:rsidRPr="009F597E">
        <w:rPr>
          <w:rFonts w:asciiTheme="minorHAnsi" w:hAnsiTheme="minorHAnsi" w:cstheme="minorHAnsi"/>
          <w:i/>
          <w:szCs w:val="24"/>
        </w:rPr>
        <w:t>décide en outre</w:t>
      </w:r>
      <w:r w:rsidRPr="009F597E">
        <w:rPr>
          <w:rFonts w:asciiTheme="minorHAnsi" w:hAnsiTheme="minorHAnsi" w:cstheme="minorHAnsi"/>
          <w:szCs w:val="24"/>
        </w:rPr>
        <w:t xml:space="preserve"> de la Résolution </w:t>
      </w:r>
      <w:r w:rsidRPr="009F597E">
        <w:rPr>
          <w:rFonts w:asciiTheme="minorHAnsi" w:hAnsiTheme="minorHAnsi" w:cstheme="minorHAnsi"/>
          <w:b/>
          <w:bCs/>
          <w:szCs w:val="24"/>
        </w:rPr>
        <w:t>27</w:t>
      </w:r>
      <w:r w:rsidRPr="009F597E">
        <w:rPr>
          <w:rFonts w:asciiTheme="minorHAnsi" w:hAnsiTheme="minorHAnsi" w:cstheme="minorHAnsi"/>
          <w:szCs w:val="24"/>
        </w:rPr>
        <w:t xml:space="preserve"> </w:t>
      </w:r>
      <w:r w:rsidRPr="009F597E">
        <w:rPr>
          <w:rFonts w:asciiTheme="minorHAnsi" w:hAnsiTheme="minorHAnsi" w:cstheme="minorHAnsi"/>
          <w:b/>
          <w:bCs/>
          <w:szCs w:val="24"/>
        </w:rPr>
        <w:t>(Rév.CMR-19)</w:t>
      </w:r>
      <w:r w:rsidRPr="009F597E">
        <w:rPr>
          <w:rFonts w:asciiTheme="minorHAnsi" w:hAnsiTheme="minorHAnsi" w:cstheme="minorHAnsi"/>
          <w:szCs w:val="24"/>
        </w:rPr>
        <w:t>,</w:t>
      </w:r>
      <w:r w:rsidRPr="009F597E">
        <w:rPr>
          <w:rFonts w:asciiTheme="minorHAnsi" w:hAnsiTheme="minorHAnsi" w:cstheme="minorHAnsi"/>
          <w:b/>
          <w:bCs/>
          <w:szCs w:val="24"/>
        </w:rPr>
        <w:t xml:space="preserve"> </w:t>
      </w:r>
      <w:r w:rsidRPr="009F597E">
        <w:rPr>
          <w:rFonts w:asciiTheme="minorHAnsi" w:hAnsiTheme="minorHAnsi" w:cstheme="minorHAnsi"/>
          <w:szCs w:val="24"/>
        </w:rPr>
        <w:t xml:space="preserve">et décider s'il convient ou non de mettre à jour les références correspondantes dans le Règlement des radiocommunications, conformément aux principes énoncés au </w:t>
      </w:r>
      <w:r w:rsidRPr="009F597E">
        <w:rPr>
          <w:rFonts w:asciiTheme="minorHAnsi" w:hAnsiTheme="minorHAnsi" w:cstheme="minorHAnsi"/>
          <w:i/>
          <w:szCs w:val="24"/>
        </w:rPr>
        <w:t>décide</w:t>
      </w:r>
      <w:r w:rsidRPr="009F597E">
        <w:rPr>
          <w:rFonts w:asciiTheme="minorHAnsi" w:hAnsiTheme="minorHAnsi" w:cstheme="minorHAnsi"/>
          <w:szCs w:val="24"/>
        </w:rPr>
        <w:t xml:space="preserve"> de cette </w:t>
      </w:r>
      <w:proofErr w:type="gramStart"/>
      <w:r w:rsidRPr="009F597E">
        <w:rPr>
          <w:rFonts w:asciiTheme="minorHAnsi" w:hAnsiTheme="minorHAnsi" w:cstheme="minorHAnsi"/>
          <w:szCs w:val="24"/>
        </w:rPr>
        <w:t>Résolution;</w:t>
      </w:r>
      <w:proofErr w:type="gramEnd"/>
    </w:p>
    <w:p w14:paraId="67476028"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3</w:t>
      </w:r>
      <w:r w:rsidRPr="009F597E">
        <w:rPr>
          <w:rFonts w:asciiTheme="minorHAnsi" w:hAnsiTheme="minorHAnsi" w:cstheme="minorHAnsi"/>
          <w:szCs w:val="24"/>
        </w:rPr>
        <w:tab/>
        <w:t xml:space="preserve">examiner les modifications et amendements à apporter éventuellement au Règlement des radiocommunications à la suite des décisions prises par la </w:t>
      </w:r>
      <w:proofErr w:type="gramStart"/>
      <w:r w:rsidRPr="009F597E">
        <w:rPr>
          <w:rFonts w:asciiTheme="minorHAnsi" w:hAnsiTheme="minorHAnsi" w:cstheme="minorHAnsi"/>
          <w:szCs w:val="24"/>
        </w:rPr>
        <w:t>Conférence;</w:t>
      </w:r>
      <w:proofErr w:type="gramEnd"/>
    </w:p>
    <w:p w14:paraId="3840C542"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4</w:t>
      </w:r>
      <w:r w:rsidRPr="009F597E">
        <w:rPr>
          <w:rFonts w:asciiTheme="minorHAnsi" w:hAnsiTheme="minorHAnsi" w:cstheme="minorHAnsi"/>
          <w:szCs w:val="24"/>
        </w:rPr>
        <w:tab/>
        <w:t xml:space="preserve">conformément à la Résolution </w:t>
      </w:r>
      <w:r w:rsidRPr="009F597E">
        <w:rPr>
          <w:rFonts w:asciiTheme="minorHAnsi" w:hAnsiTheme="minorHAnsi" w:cstheme="minorHAnsi"/>
          <w:b/>
          <w:bCs/>
          <w:szCs w:val="24"/>
        </w:rPr>
        <w:t>95 (Rév.CMR-19)</w:t>
      </w:r>
      <w:r w:rsidRPr="009F597E">
        <w:rPr>
          <w:rFonts w:asciiTheme="minorHAnsi" w:hAnsiTheme="minorHAnsi" w:cstheme="minorHAnsi"/>
          <w:szCs w:val="24"/>
        </w:rPr>
        <w:t xml:space="preserve">, examiner les résolutions et recommandations des conférences précédentes en vue, le cas échéant, de les réviser, de les remplacer ou de les </w:t>
      </w:r>
      <w:proofErr w:type="gramStart"/>
      <w:r w:rsidRPr="009F597E">
        <w:rPr>
          <w:rFonts w:asciiTheme="minorHAnsi" w:hAnsiTheme="minorHAnsi" w:cstheme="minorHAnsi"/>
          <w:szCs w:val="24"/>
        </w:rPr>
        <w:t>supprimer;</w:t>
      </w:r>
      <w:proofErr w:type="gramEnd"/>
    </w:p>
    <w:p w14:paraId="27DC4FF1"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5</w:t>
      </w:r>
      <w:r w:rsidRPr="009F597E">
        <w:rPr>
          <w:rFonts w:asciiTheme="minorHAnsi" w:hAnsiTheme="minorHAnsi" w:cstheme="minorHAnsi"/>
          <w:szCs w:val="24"/>
        </w:rPr>
        <w:tab/>
        <w:t xml:space="preserve">examiner le Rapport de l'Assemblée des radiocommunications soumis conformément aux numéros 135 et 136 de la Convention et lui donner la suite </w:t>
      </w:r>
      <w:proofErr w:type="gramStart"/>
      <w:r w:rsidRPr="009F597E">
        <w:rPr>
          <w:rFonts w:asciiTheme="minorHAnsi" w:hAnsiTheme="minorHAnsi" w:cstheme="minorHAnsi"/>
          <w:szCs w:val="24"/>
        </w:rPr>
        <w:t>voulue;</w:t>
      </w:r>
      <w:proofErr w:type="gramEnd"/>
    </w:p>
    <w:p w14:paraId="49F397A8"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6</w:t>
      </w:r>
      <w:r w:rsidRPr="009F597E">
        <w:rPr>
          <w:rFonts w:asciiTheme="minorHAnsi" w:hAnsiTheme="minorHAnsi" w:cstheme="minorHAnsi"/>
          <w:szCs w:val="24"/>
        </w:rPr>
        <w:tab/>
        <w:t xml:space="preserve">identifier les points auxquels les commissions d'études des radiocommunications doivent d'urgence donner suite, en vue de la conférence mondiale des radiocommunications </w:t>
      </w:r>
      <w:proofErr w:type="gramStart"/>
      <w:r w:rsidRPr="009F597E">
        <w:rPr>
          <w:rFonts w:asciiTheme="minorHAnsi" w:hAnsiTheme="minorHAnsi" w:cstheme="minorHAnsi"/>
          <w:szCs w:val="24"/>
        </w:rPr>
        <w:t>suivante;</w:t>
      </w:r>
      <w:proofErr w:type="gramEnd"/>
    </w:p>
    <w:p w14:paraId="210DF055"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7</w:t>
      </w:r>
      <w:r w:rsidRPr="009F597E">
        <w:rPr>
          <w:rFonts w:asciiTheme="minorHAnsi" w:hAnsiTheme="minorHAnsi" w:cstheme="minorHAnsi"/>
          <w:szCs w:val="24"/>
        </w:rPr>
        <w:tab/>
        <w:t>examiner d'éventuels changements à apporter en application de la Résolution 86 (Rév. Marrakech, 2002) de la Conférence de plénipotentiaires, intitulée</w:t>
      </w:r>
      <w:proofErr w:type="gramStart"/>
      <w:r w:rsidRPr="009F597E">
        <w:rPr>
          <w:rFonts w:asciiTheme="minorHAnsi" w:hAnsiTheme="minorHAnsi" w:cstheme="minorHAnsi"/>
          <w:szCs w:val="24"/>
        </w:rPr>
        <w:t xml:space="preserve"> «Procédures</w:t>
      </w:r>
      <w:proofErr w:type="gramEnd"/>
      <w:r w:rsidRPr="009F597E">
        <w:rPr>
          <w:rFonts w:asciiTheme="minorHAnsi" w:hAnsiTheme="minorHAnsi" w:cstheme="minorHAnsi"/>
          <w:szCs w:val="24"/>
        </w:rPr>
        <w:t xml:space="preserve"> de publication anticipée, de coordination, de notification et d'inscription des assignations de fréquence relatives aux réseaux à satellite», conformément à la Résolution </w:t>
      </w:r>
      <w:r w:rsidRPr="009F597E">
        <w:rPr>
          <w:rFonts w:asciiTheme="minorHAnsi" w:hAnsiTheme="minorHAnsi" w:cstheme="minorHAnsi"/>
          <w:b/>
          <w:bCs/>
          <w:szCs w:val="24"/>
        </w:rPr>
        <w:t>86 (Rév.CMR-07)</w:t>
      </w:r>
      <w:r w:rsidRPr="009F597E">
        <w:rPr>
          <w:rFonts w:asciiTheme="minorHAnsi" w:hAnsiTheme="minorHAnsi" w:cstheme="minorHAnsi"/>
          <w:szCs w:val="24"/>
        </w:rPr>
        <w:t>, afin de faciliter l'utilisation rationnelle, efficace et économique des fréquences radioélectriques et des orbites associées, y compris de l'orbite des satellites géostationnaires;</w:t>
      </w:r>
    </w:p>
    <w:p w14:paraId="2EC9C0BA"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8</w:t>
      </w:r>
      <w:r w:rsidRPr="009F597E">
        <w:rPr>
          <w:rFonts w:asciiTheme="minorHAnsi" w:hAnsiTheme="minorHAnsi" w:cstheme="minorHAnsi"/>
          <w:szCs w:val="24"/>
        </w:rPr>
        <w:tab/>
        <w:t xml:space="preserve">examiner les demandes des administrations qui souhaitent supprimer des renvois relatifs à leur pays ou le nom de leur pays de certains renvois, s'ils ne sont plus nécessaires, compte tenu de la Résolution </w:t>
      </w:r>
      <w:r w:rsidRPr="009F597E">
        <w:rPr>
          <w:rFonts w:asciiTheme="minorHAnsi" w:hAnsiTheme="minorHAnsi" w:cstheme="minorHAnsi"/>
          <w:b/>
          <w:bCs/>
          <w:szCs w:val="24"/>
        </w:rPr>
        <w:t>26 (Rév.CMR-19)</w:t>
      </w:r>
      <w:r w:rsidRPr="009F597E">
        <w:rPr>
          <w:rFonts w:asciiTheme="minorHAnsi" w:hAnsiTheme="minorHAnsi" w:cstheme="minorHAnsi"/>
          <w:szCs w:val="24"/>
        </w:rPr>
        <w:t xml:space="preserve">, et prendre les mesures voulues à ce </w:t>
      </w:r>
      <w:proofErr w:type="gramStart"/>
      <w:r w:rsidRPr="009F597E">
        <w:rPr>
          <w:rFonts w:asciiTheme="minorHAnsi" w:hAnsiTheme="minorHAnsi" w:cstheme="minorHAnsi"/>
          <w:szCs w:val="24"/>
        </w:rPr>
        <w:t>sujet;</w:t>
      </w:r>
      <w:proofErr w:type="gramEnd"/>
    </w:p>
    <w:p w14:paraId="0CF35CDD"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lastRenderedPageBreak/>
        <w:t>9</w:t>
      </w:r>
      <w:r w:rsidRPr="009F597E">
        <w:rPr>
          <w:rFonts w:asciiTheme="minorHAnsi" w:hAnsiTheme="minorHAnsi" w:cstheme="minorHAnsi"/>
          <w:szCs w:val="24"/>
        </w:rPr>
        <w:tab/>
        <w:t xml:space="preserve">examiner et approuver le rapport du Directeur du Bureau des radiocommunications, conformément à l'article 7 de la </w:t>
      </w:r>
      <w:proofErr w:type="gramStart"/>
      <w:r w:rsidRPr="009F597E">
        <w:rPr>
          <w:rFonts w:asciiTheme="minorHAnsi" w:hAnsiTheme="minorHAnsi" w:cstheme="minorHAnsi"/>
          <w:szCs w:val="24"/>
        </w:rPr>
        <w:t>Convention:</w:t>
      </w:r>
      <w:proofErr w:type="gramEnd"/>
    </w:p>
    <w:p w14:paraId="6F3E5416"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9.1</w:t>
      </w:r>
      <w:r w:rsidRPr="009F597E">
        <w:rPr>
          <w:rFonts w:asciiTheme="minorHAnsi" w:hAnsiTheme="minorHAnsi" w:cstheme="minorHAnsi"/>
          <w:szCs w:val="24"/>
        </w:rPr>
        <w:tab/>
        <w:t>sur les activités du Secteur des radiocommunications depuis la CMR</w:t>
      </w:r>
      <w:r w:rsidRPr="009F597E">
        <w:rPr>
          <w:rFonts w:asciiTheme="minorHAnsi" w:hAnsiTheme="minorHAnsi" w:cstheme="minorHAnsi"/>
          <w:szCs w:val="24"/>
        </w:rPr>
        <w:noBreakHyphen/>
      </w:r>
      <w:proofErr w:type="gramStart"/>
      <w:r w:rsidRPr="009F597E">
        <w:rPr>
          <w:rFonts w:asciiTheme="minorHAnsi" w:hAnsiTheme="minorHAnsi" w:cstheme="minorHAnsi"/>
          <w:szCs w:val="24"/>
        </w:rPr>
        <w:t>19;</w:t>
      </w:r>
      <w:proofErr w:type="gramEnd"/>
    </w:p>
    <w:p w14:paraId="452CCCF9" w14:textId="77777777" w:rsidR="00C23028" w:rsidRPr="009F597E" w:rsidRDefault="00C23028" w:rsidP="009F597E">
      <w:pPr>
        <w:pStyle w:val="enumlev1"/>
        <w:rPr>
          <w:rFonts w:asciiTheme="minorHAnsi" w:hAnsiTheme="minorHAnsi" w:cstheme="minorHAnsi"/>
          <w:szCs w:val="24"/>
        </w:rPr>
      </w:pPr>
      <w:r w:rsidRPr="009F597E">
        <w:rPr>
          <w:rFonts w:asciiTheme="minorHAnsi" w:hAnsiTheme="minorHAnsi" w:cstheme="minorHAnsi"/>
          <w:szCs w:val="24"/>
        </w:rPr>
        <w:t>–</w:t>
      </w:r>
      <w:r w:rsidRPr="009F597E">
        <w:rPr>
          <w:rFonts w:asciiTheme="minorHAnsi" w:hAnsiTheme="minorHAnsi" w:cstheme="minorHAnsi"/>
          <w:szCs w:val="24"/>
        </w:rPr>
        <w:tab/>
        <w:t xml:space="preserve">Conformément à la Résolution </w:t>
      </w:r>
      <w:r w:rsidRPr="009F597E">
        <w:rPr>
          <w:rFonts w:asciiTheme="minorHAnsi" w:hAnsiTheme="minorHAnsi" w:cstheme="minorHAnsi"/>
          <w:b/>
          <w:bCs/>
          <w:szCs w:val="24"/>
        </w:rPr>
        <w:t>657 (Rév.CMR-19)</w:t>
      </w:r>
      <w:r w:rsidRPr="009F597E">
        <w:rPr>
          <w:rFonts w:asciiTheme="minorHAnsi" w:hAnsiTheme="minorHAnsi" w:cstheme="minorHAnsi"/>
          <w:szCs w:val="24"/>
        </w:rPr>
        <w:t xml:space="preserve">,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supplémentaires aux services </w:t>
      </w:r>
      <w:proofErr w:type="gramStart"/>
      <w:r w:rsidRPr="009F597E">
        <w:rPr>
          <w:rFonts w:asciiTheme="minorHAnsi" w:hAnsiTheme="minorHAnsi" w:cstheme="minorHAnsi"/>
          <w:szCs w:val="24"/>
        </w:rPr>
        <w:t>existants;</w:t>
      </w:r>
      <w:proofErr w:type="gramEnd"/>
    </w:p>
    <w:p w14:paraId="62C04565" w14:textId="77777777" w:rsidR="00C23028" w:rsidRPr="009F597E" w:rsidRDefault="00C23028" w:rsidP="009F597E">
      <w:pPr>
        <w:pStyle w:val="enumlev1"/>
        <w:rPr>
          <w:rFonts w:asciiTheme="minorHAnsi" w:hAnsiTheme="minorHAnsi" w:cstheme="minorHAnsi"/>
          <w:szCs w:val="24"/>
        </w:rPr>
      </w:pPr>
      <w:r w:rsidRPr="009F597E">
        <w:rPr>
          <w:rFonts w:asciiTheme="minorHAnsi" w:hAnsiTheme="minorHAnsi" w:cstheme="minorHAnsi"/>
          <w:szCs w:val="24"/>
        </w:rPr>
        <w:t>–</w:t>
      </w:r>
      <w:r w:rsidRPr="009F597E">
        <w:rPr>
          <w:rFonts w:asciiTheme="minorHAnsi" w:hAnsiTheme="minorHAnsi" w:cstheme="minorHAnsi"/>
          <w:szCs w:val="24"/>
        </w:rPr>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9F597E">
        <w:rPr>
          <w:rFonts w:asciiTheme="minorHAnsi" w:hAnsiTheme="minorHAnsi" w:cstheme="minorHAnsi"/>
          <w:b/>
          <w:bCs/>
          <w:szCs w:val="24"/>
        </w:rPr>
        <w:t>774 (CMR-19</w:t>
      </w:r>
      <w:proofErr w:type="gramStart"/>
      <w:r w:rsidRPr="009F597E">
        <w:rPr>
          <w:rFonts w:asciiTheme="minorHAnsi" w:hAnsiTheme="minorHAnsi" w:cstheme="minorHAnsi"/>
          <w:b/>
          <w:bCs/>
          <w:szCs w:val="24"/>
        </w:rPr>
        <w:t>)</w:t>
      </w:r>
      <w:r w:rsidRPr="009F597E">
        <w:rPr>
          <w:rFonts w:asciiTheme="minorHAnsi" w:hAnsiTheme="minorHAnsi" w:cstheme="minorHAnsi"/>
          <w:szCs w:val="24"/>
        </w:rPr>
        <w:t>;</w:t>
      </w:r>
      <w:proofErr w:type="gramEnd"/>
    </w:p>
    <w:p w14:paraId="053324D6" w14:textId="77777777" w:rsidR="00C23028" w:rsidRPr="009F597E" w:rsidRDefault="00C23028" w:rsidP="009F597E">
      <w:pPr>
        <w:pStyle w:val="enumlev1"/>
        <w:rPr>
          <w:rFonts w:asciiTheme="minorHAnsi" w:hAnsiTheme="minorHAnsi" w:cstheme="minorHAnsi"/>
          <w:szCs w:val="24"/>
        </w:rPr>
      </w:pPr>
      <w:r w:rsidRPr="009F597E">
        <w:rPr>
          <w:rFonts w:asciiTheme="minorHAnsi" w:hAnsiTheme="minorHAnsi" w:cstheme="minorHAnsi"/>
          <w:szCs w:val="24"/>
        </w:rPr>
        <w:t>–</w:t>
      </w:r>
      <w:r w:rsidRPr="009F597E">
        <w:rPr>
          <w:rFonts w:asciiTheme="minorHAnsi" w:hAnsiTheme="minorHAnsi" w:cstheme="minorHAnsi"/>
          <w:szCs w:val="24"/>
        </w:rPr>
        <w:tab/>
        <w:t xml:space="preserve">Étudier l'utilisation des systèmes de Télécommunications mobiles internationales pour le large bande hertzien fixe dans les bandes de fréquences attribuées au service fixe à titre primaire, conformément à la Résolution </w:t>
      </w:r>
      <w:r w:rsidRPr="009F597E">
        <w:rPr>
          <w:rFonts w:asciiTheme="minorHAnsi" w:hAnsiTheme="minorHAnsi" w:cstheme="minorHAnsi"/>
          <w:b/>
          <w:bCs/>
          <w:szCs w:val="24"/>
        </w:rPr>
        <w:t>175 (CMR</w:t>
      </w:r>
      <w:r w:rsidRPr="009F597E">
        <w:rPr>
          <w:rFonts w:asciiTheme="minorHAnsi" w:hAnsiTheme="minorHAnsi" w:cstheme="minorHAnsi"/>
          <w:b/>
          <w:bCs/>
          <w:szCs w:val="24"/>
        </w:rPr>
        <w:noBreakHyphen/>
        <w:t>19</w:t>
      </w:r>
      <w:proofErr w:type="gramStart"/>
      <w:r w:rsidRPr="009F597E">
        <w:rPr>
          <w:rFonts w:asciiTheme="minorHAnsi" w:hAnsiTheme="minorHAnsi" w:cstheme="minorHAnsi"/>
          <w:b/>
          <w:bCs/>
          <w:szCs w:val="24"/>
        </w:rPr>
        <w:t>)</w:t>
      </w:r>
      <w:r w:rsidRPr="009F597E">
        <w:rPr>
          <w:rFonts w:asciiTheme="minorHAnsi" w:hAnsiTheme="minorHAnsi" w:cstheme="minorHAnsi"/>
          <w:szCs w:val="24"/>
        </w:rPr>
        <w:t>;</w:t>
      </w:r>
      <w:proofErr w:type="gramEnd"/>
    </w:p>
    <w:p w14:paraId="1618E3DC"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9.2</w:t>
      </w:r>
      <w:r w:rsidRPr="009F597E">
        <w:rPr>
          <w:rFonts w:asciiTheme="minorHAnsi" w:hAnsiTheme="minorHAnsi" w:cstheme="minorHAnsi"/>
          <w:szCs w:val="24"/>
        </w:rPr>
        <w:tab/>
        <w:t xml:space="preserve">sur les difficultés rencontrées ou les incohérences constatées dans l'application du Règlement des </w:t>
      </w:r>
      <w:proofErr w:type="gramStart"/>
      <w:r w:rsidRPr="009F597E">
        <w:rPr>
          <w:rFonts w:asciiTheme="minorHAnsi" w:hAnsiTheme="minorHAnsi" w:cstheme="minorHAnsi"/>
          <w:szCs w:val="24"/>
        </w:rPr>
        <w:t>radiocommunications;</w:t>
      </w:r>
      <w:proofErr w:type="gramEnd"/>
      <w:r w:rsidRPr="009F597E">
        <w:rPr>
          <w:rFonts w:asciiTheme="minorHAnsi" w:hAnsiTheme="minorHAnsi" w:cstheme="minorHAnsi"/>
          <w:szCs w:val="24"/>
        </w:rPr>
        <w:t xml:space="preserve"> et</w:t>
      </w:r>
      <w:r w:rsidRPr="009F597E">
        <w:rPr>
          <w:rStyle w:val="FootnoteReference"/>
          <w:rFonts w:asciiTheme="minorHAnsi" w:hAnsiTheme="minorHAnsi" w:cstheme="minorHAnsi"/>
          <w:szCs w:val="18"/>
        </w:rPr>
        <w:footnoteReference w:customMarkFollows="1" w:id="2"/>
        <w:t>1</w:t>
      </w:r>
    </w:p>
    <w:p w14:paraId="53EA38A7" w14:textId="77777777" w:rsidR="00C23028" w:rsidRPr="009F597E" w:rsidRDefault="00C23028" w:rsidP="009F597E">
      <w:pPr>
        <w:rPr>
          <w:rFonts w:asciiTheme="minorHAnsi" w:hAnsiTheme="minorHAnsi" w:cstheme="minorHAnsi"/>
          <w:i/>
          <w:iCs/>
          <w:szCs w:val="24"/>
        </w:rPr>
      </w:pPr>
      <w:r w:rsidRPr="009F597E">
        <w:rPr>
          <w:rFonts w:asciiTheme="minorHAnsi" w:hAnsiTheme="minorHAnsi" w:cstheme="minorHAnsi"/>
          <w:szCs w:val="24"/>
        </w:rPr>
        <w:t>9.3</w:t>
      </w:r>
      <w:r w:rsidRPr="009F597E">
        <w:rPr>
          <w:rFonts w:asciiTheme="minorHAnsi" w:hAnsiTheme="minorHAnsi" w:cstheme="minorHAnsi"/>
          <w:szCs w:val="24"/>
        </w:rPr>
        <w:tab/>
        <w:t>sur la suite donnée à la Résolution </w:t>
      </w:r>
      <w:r w:rsidRPr="009F597E">
        <w:rPr>
          <w:rFonts w:asciiTheme="minorHAnsi" w:hAnsiTheme="minorHAnsi" w:cstheme="minorHAnsi"/>
          <w:b/>
          <w:bCs/>
          <w:szCs w:val="24"/>
        </w:rPr>
        <w:t>80 (Rév.CMR-07</w:t>
      </w:r>
      <w:proofErr w:type="gramStart"/>
      <w:r w:rsidRPr="009F597E">
        <w:rPr>
          <w:rFonts w:asciiTheme="minorHAnsi" w:hAnsiTheme="minorHAnsi" w:cstheme="minorHAnsi"/>
          <w:b/>
          <w:bCs/>
          <w:szCs w:val="24"/>
        </w:rPr>
        <w:t>)</w:t>
      </w:r>
      <w:r w:rsidRPr="009F597E">
        <w:rPr>
          <w:rFonts w:asciiTheme="minorHAnsi" w:hAnsiTheme="minorHAnsi" w:cstheme="minorHAnsi"/>
          <w:szCs w:val="24"/>
        </w:rPr>
        <w:t>;</w:t>
      </w:r>
      <w:proofErr w:type="gramEnd"/>
    </w:p>
    <w:p w14:paraId="5B8C2E51" w14:textId="77777777" w:rsidR="00C23028" w:rsidRPr="009F597E" w:rsidRDefault="00C23028" w:rsidP="009F597E">
      <w:pPr>
        <w:rPr>
          <w:rFonts w:asciiTheme="minorHAnsi" w:hAnsiTheme="minorHAnsi" w:cstheme="minorHAnsi"/>
          <w:szCs w:val="24"/>
        </w:rPr>
      </w:pPr>
      <w:r w:rsidRPr="009F597E">
        <w:rPr>
          <w:rFonts w:asciiTheme="minorHAnsi" w:hAnsiTheme="minorHAnsi" w:cstheme="minorHAnsi"/>
          <w:szCs w:val="24"/>
        </w:rPr>
        <w:t>10</w:t>
      </w:r>
      <w:r w:rsidRPr="009F597E">
        <w:rPr>
          <w:rFonts w:asciiTheme="minorHAnsi" w:hAnsiTheme="minorHAnsi" w:cstheme="minorHAnsi"/>
          <w:szCs w:val="24"/>
        </w:rPr>
        <w:tab/>
        <w:t xml:space="preserve">recommander au Conseil des points à inscrire à l'ordre du jour de la CMR suivante et des points de l'ordre du jour préliminaire de conférences futures, conformément à l'article 7 de la Convention et à la Résolution </w:t>
      </w:r>
      <w:r w:rsidRPr="009F597E">
        <w:rPr>
          <w:rFonts w:asciiTheme="minorHAnsi" w:hAnsiTheme="minorHAnsi" w:cstheme="minorHAnsi"/>
          <w:b/>
          <w:szCs w:val="24"/>
        </w:rPr>
        <w:t>804 (Rév.CMR-19)</w:t>
      </w:r>
      <w:r w:rsidRPr="009F597E">
        <w:rPr>
          <w:rFonts w:asciiTheme="minorHAnsi" w:hAnsiTheme="minorHAnsi" w:cstheme="minorHAnsi"/>
          <w:szCs w:val="24"/>
        </w:rPr>
        <w:t>,</w:t>
      </w:r>
    </w:p>
    <w:p w14:paraId="7FF00820" w14:textId="451D349D" w:rsidR="00C23028" w:rsidRPr="009F597E" w:rsidRDefault="00012A30" w:rsidP="00770F71">
      <w:pPr>
        <w:spacing w:before="840"/>
        <w:jc w:val="center"/>
      </w:pPr>
      <w:r w:rsidRPr="009F597E">
        <w:t>______________</w:t>
      </w:r>
    </w:p>
    <w:sectPr w:rsidR="00C23028" w:rsidRPr="009F597E"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52798" w14:textId="77777777" w:rsidR="00442A0C" w:rsidRDefault="00442A0C">
      <w:r>
        <w:separator/>
      </w:r>
    </w:p>
  </w:endnote>
  <w:endnote w:type="continuationSeparator" w:id="0">
    <w:p w14:paraId="17198ECF" w14:textId="77777777" w:rsidR="00442A0C" w:rsidRDefault="0044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7539" w14:textId="5C13C406" w:rsidR="00732045" w:rsidRDefault="00035DEE">
    <w:pPr>
      <w:pStyle w:val="Footer"/>
    </w:pPr>
    <w:fldSimple w:instr=" FILENAME \p \* MERGEFORMAT ">
      <w:r>
        <w:t>P:\FRA\SG\CONSEIL\C20\000\055F.docx</w:t>
      </w:r>
    </w:fldSimple>
    <w:r w:rsidR="00732045">
      <w:tab/>
    </w:r>
    <w:r w:rsidR="002F1B76">
      <w:fldChar w:fldCharType="begin"/>
    </w:r>
    <w:r w:rsidR="00732045">
      <w:instrText xml:space="preserve"> savedate \@ dd.MM.yy </w:instrText>
    </w:r>
    <w:r w:rsidR="002F1B76">
      <w:fldChar w:fldCharType="separate"/>
    </w:r>
    <w:r w:rsidR="00770F71">
      <w:t>07.05.20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5CC5" w14:textId="30E838F6" w:rsidR="00732045" w:rsidRPr="00770F71" w:rsidRDefault="00035DEE">
    <w:pPr>
      <w:pStyle w:val="Footer"/>
      <w:rPr>
        <w:color w:val="BFBFBF" w:themeColor="background1" w:themeShade="BF"/>
      </w:rPr>
    </w:pPr>
    <w:r w:rsidRPr="00770F71">
      <w:rPr>
        <w:color w:val="BFBFBF" w:themeColor="background1" w:themeShade="BF"/>
      </w:rPr>
      <w:fldChar w:fldCharType="begin"/>
    </w:r>
    <w:r w:rsidRPr="00770F71">
      <w:rPr>
        <w:color w:val="BFBFBF" w:themeColor="background1" w:themeShade="BF"/>
      </w:rPr>
      <w:instrText xml:space="preserve"> FILENAME \p \* MERGEFORMAT </w:instrText>
    </w:r>
    <w:r w:rsidRPr="00770F71">
      <w:rPr>
        <w:color w:val="BFBFBF" w:themeColor="background1" w:themeShade="BF"/>
      </w:rPr>
      <w:fldChar w:fldCharType="separate"/>
    </w:r>
    <w:r w:rsidRPr="00770F71">
      <w:rPr>
        <w:color w:val="BFBFBF" w:themeColor="background1" w:themeShade="BF"/>
      </w:rPr>
      <w:t>P:\FRA\SG\CONSEIL\C20\000\055F.docx</w:t>
    </w:r>
    <w:r w:rsidRPr="00770F71">
      <w:rPr>
        <w:color w:val="BFBFBF" w:themeColor="background1" w:themeShade="BF"/>
      </w:rPr>
      <w:fldChar w:fldCharType="end"/>
    </w:r>
    <w:r w:rsidR="008378D5" w:rsidRPr="00770F71">
      <w:rPr>
        <w:color w:val="BFBFBF" w:themeColor="background1" w:themeShade="BF"/>
      </w:rPr>
      <w:t xml:space="preserve"> (467367)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E42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0AFD" w14:textId="77777777" w:rsidR="00442A0C" w:rsidRDefault="00442A0C">
      <w:r>
        <w:t>____________________</w:t>
      </w:r>
    </w:p>
  </w:footnote>
  <w:footnote w:type="continuationSeparator" w:id="0">
    <w:p w14:paraId="73016BC4" w14:textId="77777777" w:rsidR="00442A0C" w:rsidRDefault="00442A0C">
      <w:r>
        <w:continuationSeparator/>
      </w:r>
    </w:p>
  </w:footnote>
  <w:footnote w:id="1">
    <w:p w14:paraId="62331C8C" w14:textId="77777777" w:rsidR="008C4998" w:rsidRPr="008C4998" w:rsidRDefault="008C4998" w:rsidP="008C4998">
      <w:pPr>
        <w:pStyle w:val="FootnoteText"/>
        <w:rPr>
          <w:rFonts w:asciiTheme="minorHAnsi" w:hAnsiTheme="minorHAnsi" w:cstheme="minorHAnsi"/>
          <w:lang w:val="fr-CH"/>
        </w:rPr>
      </w:pPr>
      <w:r w:rsidRPr="008D2B85">
        <w:rPr>
          <w:rStyle w:val="FootnoteReference"/>
          <w:rFonts w:asciiTheme="minorHAnsi" w:hAnsiTheme="minorHAnsi" w:cstheme="minorHAnsi"/>
          <w:szCs w:val="16"/>
        </w:rPr>
        <w:t>1</w:t>
      </w:r>
      <w:r w:rsidRPr="008C4998">
        <w:rPr>
          <w:rFonts w:asciiTheme="minorHAnsi" w:hAnsiTheme="minorHAnsi" w:cstheme="minorHAnsi"/>
        </w:rPr>
        <w:tab/>
      </w:r>
      <w:r w:rsidRPr="00770F71">
        <w:rPr>
          <w:rFonts w:asciiTheme="minorHAnsi" w:hAnsiTheme="minorHAnsi" w:cstheme="minorHAnsi"/>
          <w:sz w:val="20"/>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 w:id="2">
    <w:p w14:paraId="42BFE9AD" w14:textId="77777777" w:rsidR="00C23028" w:rsidRPr="001E57BE" w:rsidRDefault="00C23028" w:rsidP="00C23028">
      <w:pPr>
        <w:pStyle w:val="FootnoteText"/>
        <w:rPr>
          <w:rFonts w:asciiTheme="minorHAnsi" w:hAnsiTheme="minorHAnsi" w:cstheme="minorHAnsi"/>
          <w:lang w:val="fr-CH"/>
        </w:rPr>
      </w:pPr>
      <w:r w:rsidRPr="001E57BE">
        <w:rPr>
          <w:rStyle w:val="FootnoteReference"/>
          <w:rFonts w:asciiTheme="minorHAnsi" w:hAnsiTheme="minorHAnsi" w:cstheme="minorHAnsi"/>
          <w:szCs w:val="16"/>
        </w:rPr>
        <w:t>1</w:t>
      </w:r>
      <w:r w:rsidRPr="001E57BE">
        <w:rPr>
          <w:rFonts w:asciiTheme="minorHAnsi" w:hAnsiTheme="minorHAnsi" w:cstheme="minorHAnsi"/>
        </w:rPr>
        <w:tab/>
      </w:r>
      <w:r w:rsidRPr="00770F71">
        <w:rPr>
          <w:rFonts w:asciiTheme="minorHAnsi" w:hAnsiTheme="minorHAnsi" w:cstheme="minorHAnsi"/>
          <w:sz w:val="20"/>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E159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BFE79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3620"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75624DCD" w14:textId="6FCDFAC3" w:rsidR="00732045" w:rsidRDefault="00732045" w:rsidP="00106B19">
    <w:pPr>
      <w:pStyle w:val="Header"/>
    </w:pPr>
    <w:r>
      <w:t>C</w:t>
    </w:r>
    <w:r w:rsidR="009C353C">
      <w:t>20</w:t>
    </w:r>
    <w:r>
      <w:t>/</w:t>
    </w:r>
    <w:r w:rsidR="008378D5">
      <w:t>55</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0C"/>
    <w:rsid w:val="00012A30"/>
    <w:rsid w:val="00035DEE"/>
    <w:rsid w:val="000417A2"/>
    <w:rsid w:val="000D0D0A"/>
    <w:rsid w:val="00103163"/>
    <w:rsid w:val="00106B19"/>
    <w:rsid w:val="00115D93"/>
    <w:rsid w:val="00120EF7"/>
    <w:rsid w:val="001247A8"/>
    <w:rsid w:val="001378C0"/>
    <w:rsid w:val="00172688"/>
    <w:rsid w:val="0018694A"/>
    <w:rsid w:val="001A3287"/>
    <w:rsid w:val="001A6508"/>
    <w:rsid w:val="001D4C31"/>
    <w:rsid w:val="001E4D21"/>
    <w:rsid w:val="001E57BE"/>
    <w:rsid w:val="00207CD1"/>
    <w:rsid w:val="002477A2"/>
    <w:rsid w:val="00263A51"/>
    <w:rsid w:val="00267E02"/>
    <w:rsid w:val="002A5D44"/>
    <w:rsid w:val="002D2D46"/>
    <w:rsid w:val="002E0BC4"/>
    <w:rsid w:val="002F1B76"/>
    <w:rsid w:val="0033568E"/>
    <w:rsid w:val="00355FF5"/>
    <w:rsid w:val="00361350"/>
    <w:rsid w:val="003A1BED"/>
    <w:rsid w:val="003C2879"/>
    <w:rsid w:val="003C3FAE"/>
    <w:rsid w:val="003D4172"/>
    <w:rsid w:val="004038CB"/>
    <w:rsid w:val="0040546F"/>
    <w:rsid w:val="0042404A"/>
    <w:rsid w:val="00442A0C"/>
    <w:rsid w:val="0044618F"/>
    <w:rsid w:val="0046769A"/>
    <w:rsid w:val="00475FB3"/>
    <w:rsid w:val="004C1E33"/>
    <w:rsid w:val="004C2ED8"/>
    <w:rsid w:val="004C37A9"/>
    <w:rsid w:val="004E6D1A"/>
    <w:rsid w:val="004F259E"/>
    <w:rsid w:val="00511F1D"/>
    <w:rsid w:val="00520F36"/>
    <w:rsid w:val="00540615"/>
    <w:rsid w:val="00540A6D"/>
    <w:rsid w:val="00571EEA"/>
    <w:rsid w:val="00575417"/>
    <w:rsid w:val="005768E1"/>
    <w:rsid w:val="005A53F9"/>
    <w:rsid w:val="005B1938"/>
    <w:rsid w:val="005C3890"/>
    <w:rsid w:val="005F7BFE"/>
    <w:rsid w:val="00600017"/>
    <w:rsid w:val="006235CA"/>
    <w:rsid w:val="00654E32"/>
    <w:rsid w:val="006643AB"/>
    <w:rsid w:val="007210CD"/>
    <w:rsid w:val="00732045"/>
    <w:rsid w:val="007369DB"/>
    <w:rsid w:val="00770F71"/>
    <w:rsid w:val="007956C2"/>
    <w:rsid w:val="007A187E"/>
    <w:rsid w:val="007A1D98"/>
    <w:rsid w:val="007C72C2"/>
    <w:rsid w:val="007D4436"/>
    <w:rsid w:val="007F257A"/>
    <w:rsid w:val="007F3665"/>
    <w:rsid w:val="00800037"/>
    <w:rsid w:val="00820071"/>
    <w:rsid w:val="008378D5"/>
    <w:rsid w:val="0086039E"/>
    <w:rsid w:val="00861D73"/>
    <w:rsid w:val="00897553"/>
    <w:rsid w:val="008A4E87"/>
    <w:rsid w:val="008A6573"/>
    <w:rsid w:val="008C4998"/>
    <w:rsid w:val="008D2B85"/>
    <w:rsid w:val="008D76E6"/>
    <w:rsid w:val="0092392D"/>
    <w:rsid w:val="00925828"/>
    <w:rsid w:val="0093234A"/>
    <w:rsid w:val="009C307F"/>
    <w:rsid w:val="009C353C"/>
    <w:rsid w:val="009F597E"/>
    <w:rsid w:val="00A2113E"/>
    <w:rsid w:val="00A23A51"/>
    <w:rsid w:val="00A24607"/>
    <w:rsid w:val="00A25CD3"/>
    <w:rsid w:val="00A82767"/>
    <w:rsid w:val="00AA332F"/>
    <w:rsid w:val="00AA5A83"/>
    <w:rsid w:val="00AA7BBB"/>
    <w:rsid w:val="00AB64A8"/>
    <w:rsid w:val="00AC0266"/>
    <w:rsid w:val="00AD190F"/>
    <w:rsid w:val="00AD24EC"/>
    <w:rsid w:val="00B309F9"/>
    <w:rsid w:val="00B32B60"/>
    <w:rsid w:val="00B61619"/>
    <w:rsid w:val="00BB4545"/>
    <w:rsid w:val="00BD5873"/>
    <w:rsid w:val="00BF7704"/>
    <w:rsid w:val="00C04BE3"/>
    <w:rsid w:val="00C23028"/>
    <w:rsid w:val="00C25D29"/>
    <w:rsid w:val="00C27A7C"/>
    <w:rsid w:val="00CA08ED"/>
    <w:rsid w:val="00CF183B"/>
    <w:rsid w:val="00D375CD"/>
    <w:rsid w:val="00D553A2"/>
    <w:rsid w:val="00D774D3"/>
    <w:rsid w:val="00D904E8"/>
    <w:rsid w:val="00DA08C3"/>
    <w:rsid w:val="00DB5A3E"/>
    <w:rsid w:val="00DC22AA"/>
    <w:rsid w:val="00DF74DD"/>
    <w:rsid w:val="00E25AD0"/>
    <w:rsid w:val="00E64A43"/>
    <w:rsid w:val="00E8183D"/>
    <w:rsid w:val="00E95220"/>
    <w:rsid w:val="00EB6350"/>
    <w:rsid w:val="00F04A6A"/>
    <w:rsid w:val="00F15B57"/>
    <w:rsid w:val="00F427DB"/>
    <w:rsid w:val="00F859C3"/>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50E67F"/>
  <w15:docId w15:val="{175FBA42-D053-4C68-AA6D-222AE9A4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73204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442A0C"/>
    <w:rPr>
      <w:color w:val="605E5C"/>
      <w:shd w:val="clear" w:color="auto" w:fill="E1DFDD"/>
    </w:rPr>
  </w:style>
  <w:style w:type="character" w:customStyle="1" w:styleId="enumlev1Char">
    <w:name w:val="enumlev1 Char"/>
    <w:basedOn w:val="DefaultParagraphFont"/>
    <w:link w:val="enumlev1"/>
    <w:locked/>
    <w:rsid w:val="008C4998"/>
    <w:rPr>
      <w:rFonts w:ascii="Calibri" w:hAnsi="Calibri"/>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sid w:val="008C4998"/>
    <w:rPr>
      <w:rFonts w:ascii="Calibri" w:hAnsi="Calibri"/>
      <w:sz w:val="24"/>
      <w:lang w:val="fr-FR" w:eastAsia="en-US"/>
    </w:rPr>
  </w:style>
  <w:style w:type="character" w:customStyle="1" w:styleId="CallChar">
    <w:name w:val="Call Char"/>
    <w:basedOn w:val="DefaultParagraphFont"/>
    <w:link w:val="Call"/>
    <w:locked/>
    <w:rsid w:val="008C4998"/>
    <w:rPr>
      <w:rFonts w:ascii="Calibri" w:hAnsi="Calibri"/>
      <w:i/>
      <w:sz w:val="24"/>
      <w:lang w:val="fr-FR" w:eastAsia="en-US"/>
    </w:rPr>
  </w:style>
  <w:style w:type="character" w:customStyle="1" w:styleId="RestitleChar">
    <w:name w:val="Res_title Char"/>
    <w:link w:val="Restitle"/>
    <w:locked/>
    <w:rsid w:val="008C4998"/>
    <w:rPr>
      <w:rFonts w:ascii="Calibri" w:hAnsi="Calibri"/>
      <w:b/>
      <w:sz w:val="28"/>
      <w:lang w:val="fr-FR" w:eastAsia="en-US"/>
    </w:rPr>
  </w:style>
  <w:style w:type="character" w:customStyle="1" w:styleId="NormalaftertitleChar">
    <w:name w:val="Normal after title Char"/>
    <w:basedOn w:val="DefaultParagraphFont"/>
    <w:link w:val="Normalaftertitle"/>
    <w:rsid w:val="008C4998"/>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3833">
      <w:bodyDiv w:val="1"/>
      <w:marLeft w:val="0"/>
      <w:marRight w:val="0"/>
      <w:marTop w:val="0"/>
      <w:marBottom w:val="0"/>
      <w:divBdr>
        <w:top w:val="none" w:sz="0" w:space="0" w:color="auto"/>
        <w:left w:val="none" w:sz="0" w:space="0" w:color="auto"/>
        <w:bottom w:val="none" w:sz="0" w:space="0" w:color="auto"/>
        <w:right w:val="none" w:sz="0" w:space="0" w:color="auto"/>
      </w:divBdr>
    </w:div>
    <w:div w:id="166553507">
      <w:bodyDiv w:val="1"/>
      <w:marLeft w:val="0"/>
      <w:marRight w:val="0"/>
      <w:marTop w:val="0"/>
      <w:marBottom w:val="0"/>
      <w:divBdr>
        <w:top w:val="none" w:sz="0" w:space="0" w:color="auto"/>
        <w:left w:val="none" w:sz="0" w:space="0" w:color="auto"/>
        <w:bottom w:val="none" w:sz="0" w:space="0" w:color="auto"/>
        <w:right w:val="none" w:sz="0" w:space="0" w:color="auto"/>
      </w:divBdr>
    </w:div>
    <w:div w:id="1036194251">
      <w:bodyDiv w:val="1"/>
      <w:marLeft w:val="0"/>
      <w:marRight w:val="0"/>
      <w:marTop w:val="0"/>
      <w:marBottom w:val="0"/>
      <w:divBdr>
        <w:top w:val="none" w:sz="0" w:space="0" w:color="auto"/>
        <w:left w:val="none" w:sz="0" w:space="0" w:color="auto"/>
        <w:bottom w:val="none" w:sz="0" w:space="0" w:color="auto"/>
        <w:right w:val="none" w:sz="0" w:space="0" w:color="auto"/>
      </w:divBdr>
    </w:div>
    <w:div w:id="1375621435">
      <w:bodyDiv w:val="1"/>
      <w:marLeft w:val="0"/>
      <w:marRight w:val="0"/>
      <w:marTop w:val="0"/>
      <w:marBottom w:val="0"/>
      <w:divBdr>
        <w:top w:val="none" w:sz="0" w:space="0" w:color="auto"/>
        <w:left w:val="none" w:sz="0" w:space="0" w:color="auto"/>
        <w:bottom w:val="none" w:sz="0" w:space="0" w:color="auto"/>
        <w:right w:val="none" w:sz="0" w:space="0" w:color="auto"/>
      </w:divBdr>
    </w:div>
    <w:div w:id="14763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R-ACT-WRC.14-2019/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Convention-F.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7B2E-FFED-461B-9C09-F18F04C1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50D19-2385-4D8A-B35A-55D72E66D759}">
  <ds:schemaRefs>
    <ds:schemaRef ds:uri="http://schemas.microsoft.com/sharepoint/v3/contenttype/forms"/>
  </ds:schemaRefs>
</ds:datastoreItem>
</file>

<file path=customXml/itemProps3.xml><?xml version="1.0" encoding="utf-8"?>
<ds:datastoreItem xmlns:ds="http://schemas.openxmlformats.org/officeDocument/2006/customXml" ds:itemID="{09064599-0F0F-496C-843A-B368C413F0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9BC713-B6D4-4A90-A1E6-F4D3A88E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12</Pages>
  <Words>4314</Words>
  <Characters>24885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29141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mondiale des radiocommunications 2023 (CMR-23)</dc:title>
  <dc:subject>Conseil 2020</dc:subject>
  <dc:creator>French</dc:creator>
  <cp:keywords>C2020, C20</cp:keywords>
  <dc:description/>
  <cp:lastModifiedBy>Brouard, Ricarda</cp:lastModifiedBy>
  <cp:revision>2</cp:revision>
  <cp:lastPrinted>2000-07-18T08:55:00Z</cp:lastPrinted>
  <dcterms:created xsi:type="dcterms:W3CDTF">2020-05-07T08:09:00Z</dcterms:created>
  <dcterms:modified xsi:type="dcterms:W3CDTF">2020-05-07T08:09:00Z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