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C0201" w14:paraId="668F0A2D" w14:textId="77777777">
        <w:trPr>
          <w:cantSplit/>
        </w:trPr>
        <w:tc>
          <w:tcPr>
            <w:tcW w:w="6912" w:type="dxa"/>
          </w:tcPr>
          <w:p w14:paraId="2F3FEC78" w14:textId="77777777" w:rsidR="00093EEB" w:rsidRPr="005C0201" w:rsidRDefault="00093EEB" w:rsidP="00C2727F">
            <w:pPr>
              <w:spacing w:before="360"/>
              <w:rPr>
                <w:szCs w:val="24"/>
              </w:rPr>
            </w:pPr>
            <w:bookmarkStart w:id="0" w:name="dc06"/>
            <w:bookmarkStart w:id="1" w:name="dbluepink" w:colFirst="0" w:colLast="0"/>
            <w:bookmarkEnd w:id="0"/>
            <w:r w:rsidRPr="005C0201">
              <w:rPr>
                <w:b/>
                <w:bCs/>
                <w:sz w:val="30"/>
                <w:szCs w:val="30"/>
              </w:rPr>
              <w:t>Consejo 20</w:t>
            </w:r>
            <w:r w:rsidR="007955DA" w:rsidRPr="005C0201">
              <w:rPr>
                <w:b/>
                <w:bCs/>
                <w:sz w:val="30"/>
                <w:szCs w:val="30"/>
              </w:rPr>
              <w:t>20</w:t>
            </w:r>
            <w:r w:rsidRPr="005C0201">
              <w:rPr>
                <w:b/>
                <w:bCs/>
                <w:sz w:val="26"/>
                <w:szCs w:val="26"/>
              </w:rPr>
              <w:br/>
            </w:r>
            <w:r w:rsidRPr="005C0201">
              <w:rPr>
                <w:b/>
                <w:bCs/>
                <w:szCs w:val="24"/>
              </w:rPr>
              <w:t xml:space="preserve">Ginebra, </w:t>
            </w:r>
            <w:r w:rsidR="007955DA" w:rsidRPr="005C0201">
              <w:rPr>
                <w:b/>
                <w:bCs/>
                <w:szCs w:val="24"/>
              </w:rPr>
              <w:t>9</w:t>
            </w:r>
            <w:r w:rsidRPr="005C0201">
              <w:rPr>
                <w:b/>
                <w:bCs/>
                <w:szCs w:val="24"/>
              </w:rPr>
              <w:t>-</w:t>
            </w:r>
            <w:r w:rsidR="007955DA" w:rsidRPr="005C0201">
              <w:rPr>
                <w:b/>
                <w:bCs/>
                <w:szCs w:val="24"/>
              </w:rPr>
              <w:t>19</w:t>
            </w:r>
            <w:r w:rsidRPr="005C0201">
              <w:rPr>
                <w:b/>
                <w:bCs/>
                <w:szCs w:val="24"/>
              </w:rPr>
              <w:t xml:space="preserve"> de </w:t>
            </w:r>
            <w:r w:rsidR="00C2727F" w:rsidRPr="005C0201">
              <w:rPr>
                <w:b/>
                <w:bCs/>
                <w:szCs w:val="24"/>
              </w:rPr>
              <w:t>junio</w:t>
            </w:r>
            <w:r w:rsidRPr="005C0201">
              <w:rPr>
                <w:b/>
                <w:bCs/>
                <w:szCs w:val="24"/>
              </w:rPr>
              <w:t xml:space="preserve"> de 20</w:t>
            </w:r>
            <w:r w:rsidR="007955DA" w:rsidRPr="005C0201">
              <w:rPr>
                <w:b/>
                <w:bCs/>
                <w:szCs w:val="24"/>
              </w:rPr>
              <w:t>20</w:t>
            </w:r>
          </w:p>
        </w:tc>
        <w:tc>
          <w:tcPr>
            <w:tcW w:w="3261" w:type="dxa"/>
          </w:tcPr>
          <w:p w14:paraId="425F8C1D" w14:textId="77777777" w:rsidR="00093EEB" w:rsidRPr="005C0201" w:rsidRDefault="007955DA" w:rsidP="007955DA">
            <w:pPr>
              <w:spacing w:before="0"/>
              <w:rPr>
                <w:szCs w:val="24"/>
              </w:rPr>
            </w:pPr>
            <w:bookmarkStart w:id="2" w:name="ditulogo"/>
            <w:bookmarkEnd w:id="2"/>
            <w:r w:rsidRPr="005C0201">
              <w:rPr>
                <w:noProof/>
              </w:rPr>
              <w:drawing>
                <wp:inline distT="0" distB="0" distL="0" distR="0" wp14:anchorId="42F1CD77" wp14:editId="51642C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C0201" w14:paraId="73FC8C5E" w14:textId="77777777">
        <w:trPr>
          <w:cantSplit/>
          <w:trHeight w:val="20"/>
        </w:trPr>
        <w:tc>
          <w:tcPr>
            <w:tcW w:w="10173" w:type="dxa"/>
            <w:gridSpan w:val="2"/>
            <w:tcBorders>
              <w:bottom w:val="single" w:sz="12" w:space="0" w:color="auto"/>
            </w:tcBorders>
          </w:tcPr>
          <w:p w14:paraId="188651CB" w14:textId="77777777" w:rsidR="00093EEB" w:rsidRPr="005C0201" w:rsidRDefault="00093EEB">
            <w:pPr>
              <w:spacing w:before="0"/>
              <w:rPr>
                <w:b/>
                <w:bCs/>
                <w:szCs w:val="24"/>
              </w:rPr>
            </w:pPr>
          </w:p>
        </w:tc>
      </w:tr>
      <w:tr w:rsidR="00093EEB" w:rsidRPr="005C0201" w14:paraId="2D3C211F" w14:textId="77777777">
        <w:trPr>
          <w:cantSplit/>
          <w:trHeight w:val="20"/>
        </w:trPr>
        <w:tc>
          <w:tcPr>
            <w:tcW w:w="6912" w:type="dxa"/>
            <w:tcBorders>
              <w:top w:val="single" w:sz="12" w:space="0" w:color="auto"/>
            </w:tcBorders>
          </w:tcPr>
          <w:p w14:paraId="3AA1F81F" w14:textId="77777777" w:rsidR="00093EEB" w:rsidRPr="005C020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2B88E68" w14:textId="77777777" w:rsidR="00093EEB" w:rsidRPr="005C0201" w:rsidRDefault="00093EEB">
            <w:pPr>
              <w:spacing w:before="0"/>
              <w:rPr>
                <w:b/>
                <w:bCs/>
                <w:szCs w:val="24"/>
              </w:rPr>
            </w:pPr>
          </w:p>
        </w:tc>
      </w:tr>
      <w:tr w:rsidR="00F77B29" w:rsidRPr="005C0201" w14:paraId="49BE5E0D" w14:textId="77777777">
        <w:trPr>
          <w:cantSplit/>
          <w:trHeight w:val="20"/>
        </w:trPr>
        <w:tc>
          <w:tcPr>
            <w:tcW w:w="6912" w:type="dxa"/>
            <w:shd w:val="clear" w:color="auto" w:fill="auto"/>
          </w:tcPr>
          <w:p w14:paraId="76CF671E" w14:textId="77777777" w:rsidR="00F77B29" w:rsidRPr="005C0201" w:rsidRDefault="00F77B29" w:rsidP="00F77B2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C0201">
              <w:rPr>
                <w:rFonts w:cs="Times"/>
                <w:b/>
                <w:szCs w:val="24"/>
              </w:rPr>
              <w:t>Punto del orden del día: PL 2.11</w:t>
            </w:r>
          </w:p>
        </w:tc>
        <w:tc>
          <w:tcPr>
            <w:tcW w:w="3261" w:type="dxa"/>
          </w:tcPr>
          <w:p w14:paraId="0DB3E755" w14:textId="77777777" w:rsidR="00F77B29" w:rsidRPr="005C0201" w:rsidRDefault="00F77B29" w:rsidP="00F77B29">
            <w:pPr>
              <w:spacing w:before="0"/>
              <w:rPr>
                <w:rFonts w:cs="Calibri"/>
                <w:b/>
                <w:bCs/>
                <w:szCs w:val="24"/>
              </w:rPr>
            </w:pPr>
            <w:r w:rsidRPr="005C0201">
              <w:rPr>
                <w:rFonts w:cs="Calibri"/>
                <w:b/>
                <w:bCs/>
                <w:szCs w:val="24"/>
              </w:rPr>
              <w:t>Documento C20/55-S</w:t>
            </w:r>
          </w:p>
        </w:tc>
      </w:tr>
      <w:tr w:rsidR="00F77B29" w:rsidRPr="005C0201" w14:paraId="050063AE" w14:textId="77777777">
        <w:trPr>
          <w:cantSplit/>
          <w:trHeight w:val="20"/>
        </w:trPr>
        <w:tc>
          <w:tcPr>
            <w:tcW w:w="6912" w:type="dxa"/>
            <w:shd w:val="clear" w:color="auto" w:fill="auto"/>
          </w:tcPr>
          <w:p w14:paraId="272AFF14" w14:textId="77777777" w:rsidR="00F77B29" w:rsidRPr="005C0201" w:rsidRDefault="00F77B29" w:rsidP="00F77B29">
            <w:pPr>
              <w:shd w:val="solid" w:color="FFFFFF" w:fill="FFFFFF"/>
              <w:spacing w:before="0"/>
              <w:rPr>
                <w:smallCaps/>
                <w:szCs w:val="24"/>
              </w:rPr>
            </w:pPr>
            <w:bookmarkStart w:id="5" w:name="ddate" w:colFirst="1" w:colLast="1"/>
            <w:bookmarkEnd w:id="3"/>
            <w:bookmarkEnd w:id="4"/>
          </w:p>
        </w:tc>
        <w:tc>
          <w:tcPr>
            <w:tcW w:w="3261" w:type="dxa"/>
          </w:tcPr>
          <w:p w14:paraId="37885A63" w14:textId="77777777" w:rsidR="00F77B29" w:rsidRPr="005C0201" w:rsidRDefault="00F77B29" w:rsidP="00F77B29">
            <w:pPr>
              <w:spacing w:before="0"/>
              <w:rPr>
                <w:rFonts w:cs="Calibri"/>
                <w:b/>
                <w:bCs/>
                <w:szCs w:val="24"/>
              </w:rPr>
            </w:pPr>
            <w:r w:rsidRPr="005C0201">
              <w:rPr>
                <w:rFonts w:cs="Calibri"/>
                <w:b/>
                <w:bCs/>
                <w:szCs w:val="24"/>
              </w:rPr>
              <w:t>29 de abril de 2020</w:t>
            </w:r>
          </w:p>
        </w:tc>
      </w:tr>
      <w:tr w:rsidR="00F77B29" w:rsidRPr="005C0201" w14:paraId="52D5E9D7" w14:textId="77777777">
        <w:trPr>
          <w:cantSplit/>
          <w:trHeight w:val="20"/>
        </w:trPr>
        <w:tc>
          <w:tcPr>
            <w:tcW w:w="6912" w:type="dxa"/>
            <w:shd w:val="clear" w:color="auto" w:fill="auto"/>
          </w:tcPr>
          <w:p w14:paraId="7AFCCA45" w14:textId="77777777" w:rsidR="00F77B29" w:rsidRPr="005C0201" w:rsidRDefault="00F77B29" w:rsidP="00F77B29">
            <w:pPr>
              <w:shd w:val="solid" w:color="FFFFFF" w:fill="FFFFFF"/>
              <w:spacing w:before="0"/>
              <w:rPr>
                <w:smallCaps/>
                <w:szCs w:val="24"/>
              </w:rPr>
            </w:pPr>
            <w:bookmarkStart w:id="6" w:name="dorlang" w:colFirst="1" w:colLast="1"/>
            <w:bookmarkEnd w:id="5"/>
          </w:p>
        </w:tc>
        <w:tc>
          <w:tcPr>
            <w:tcW w:w="3261" w:type="dxa"/>
          </w:tcPr>
          <w:p w14:paraId="4EE8C4E2" w14:textId="77777777" w:rsidR="00F77B29" w:rsidRPr="005C0201" w:rsidRDefault="00F77B29" w:rsidP="00F77B29">
            <w:pPr>
              <w:spacing w:before="0"/>
              <w:rPr>
                <w:rFonts w:cs="Calibri"/>
                <w:b/>
                <w:bCs/>
                <w:szCs w:val="24"/>
              </w:rPr>
            </w:pPr>
            <w:r w:rsidRPr="005C0201">
              <w:rPr>
                <w:rFonts w:cs="Calibri"/>
                <w:b/>
                <w:bCs/>
                <w:szCs w:val="24"/>
              </w:rPr>
              <w:t>Original: inglés</w:t>
            </w:r>
          </w:p>
        </w:tc>
      </w:tr>
      <w:tr w:rsidR="00F77B29" w:rsidRPr="005C0201" w14:paraId="7D172528" w14:textId="77777777">
        <w:trPr>
          <w:cantSplit/>
        </w:trPr>
        <w:tc>
          <w:tcPr>
            <w:tcW w:w="10173" w:type="dxa"/>
            <w:gridSpan w:val="2"/>
          </w:tcPr>
          <w:p w14:paraId="7378D1D7" w14:textId="77777777" w:rsidR="00F77B29" w:rsidRPr="005C0201" w:rsidRDefault="00F77B29" w:rsidP="00F77B29">
            <w:pPr>
              <w:pStyle w:val="Source"/>
            </w:pPr>
            <w:bookmarkStart w:id="7" w:name="dsource" w:colFirst="0" w:colLast="0"/>
            <w:bookmarkEnd w:id="1"/>
            <w:bookmarkEnd w:id="6"/>
            <w:r w:rsidRPr="005C0201">
              <w:t>Informe del Secretario General</w:t>
            </w:r>
          </w:p>
        </w:tc>
      </w:tr>
      <w:tr w:rsidR="00F77B29" w:rsidRPr="005C0201" w14:paraId="27F33711" w14:textId="77777777">
        <w:trPr>
          <w:cantSplit/>
        </w:trPr>
        <w:tc>
          <w:tcPr>
            <w:tcW w:w="10173" w:type="dxa"/>
            <w:gridSpan w:val="2"/>
          </w:tcPr>
          <w:p w14:paraId="7BF959B4" w14:textId="77777777" w:rsidR="00F77B29" w:rsidRPr="005C0201" w:rsidRDefault="00F77B29" w:rsidP="00F77B29">
            <w:pPr>
              <w:pStyle w:val="Title1"/>
            </w:pPr>
            <w:bookmarkStart w:id="8" w:name="dtitle1" w:colFirst="0" w:colLast="0"/>
            <w:bookmarkEnd w:id="7"/>
            <w:r w:rsidRPr="005C0201">
              <w:t>CONFERENCIA MUNDIAL DE RADIOCOMUNICACIONES (CMR-23)</w:t>
            </w:r>
          </w:p>
        </w:tc>
      </w:tr>
      <w:bookmarkEnd w:id="8"/>
    </w:tbl>
    <w:p w14:paraId="38945793" w14:textId="77777777" w:rsidR="00093EEB" w:rsidRPr="005C0201" w:rsidRDefault="00093EEB"/>
    <w:tbl>
      <w:tblPr>
        <w:tblW w:w="8080" w:type="dxa"/>
        <w:tblInd w:w="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080"/>
      </w:tblGrid>
      <w:tr w:rsidR="00093EEB" w:rsidRPr="005C0201" w14:paraId="24F5F58B" w14:textId="77777777" w:rsidTr="00F77B29">
        <w:trPr>
          <w:trHeight w:val="3372"/>
        </w:trPr>
        <w:tc>
          <w:tcPr>
            <w:tcW w:w="8080" w:type="dxa"/>
          </w:tcPr>
          <w:p w14:paraId="2DF0786C" w14:textId="77777777" w:rsidR="00093EEB" w:rsidRPr="005C0201" w:rsidRDefault="00093EEB">
            <w:pPr>
              <w:pStyle w:val="Headingb"/>
            </w:pPr>
            <w:r w:rsidRPr="005C0201">
              <w:t>Resumen</w:t>
            </w:r>
          </w:p>
          <w:p w14:paraId="7D488ECA" w14:textId="77777777" w:rsidR="00093EEB" w:rsidRPr="005C0201" w:rsidRDefault="00F77B29">
            <w:r w:rsidRPr="005C0201">
              <w:t>En la Resolución 8</w:t>
            </w:r>
            <w:r w:rsidR="00D23B33" w:rsidRPr="005C0201">
              <w:t>11</w:t>
            </w:r>
            <w:r w:rsidRPr="005C0201">
              <w:t xml:space="preserve"> (CMR-19) se formulan recomendaciones relativas a los puntos del orden del día de la CMR-23.</w:t>
            </w:r>
          </w:p>
          <w:p w14:paraId="639AC721" w14:textId="77777777" w:rsidR="00093EEB" w:rsidRPr="005C0201" w:rsidRDefault="00093EEB">
            <w:pPr>
              <w:pStyle w:val="Headingb"/>
            </w:pPr>
            <w:r w:rsidRPr="005C0201">
              <w:t>Acción solicitada</w:t>
            </w:r>
          </w:p>
          <w:p w14:paraId="43D61E9F" w14:textId="77777777" w:rsidR="00F77B29" w:rsidRPr="005C0201" w:rsidRDefault="00F77B29" w:rsidP="00F77B29">
            <w:r w:rsidRPr="005C0201">
              <w:t xml:space="preserve">Se invita al Consejo a que </w:t>
            </w:r>
            <w:r w:rsidRPr="005C0201">
              <w:rPr>
                <w:b/>
                <w:bCs/>
              </w:rPr>
              <w:t>fije</w:t>
            </w:r>
            <w:r w:rsidRPr="005C0201">
              <w:t xml:space="preserve"> el orden del día definitivo de la CMR-23 y </w:t>
            </w:r>
            <w:r w:rsidRPr="005C0201">
              <w:rPr>
                <w:b/>
                <w:bCs/>
              </w:rPr>
              <w:t>tome nota</w:t>
            </w:r>
            <w:r w:rsidRPr="005C0201">
              <w:t xml:space="preserve"> de la expresión de interés por parte de la Administración de los Emiratos Árabes Unidos para acoger la CMR-23 en los EAU.</w:t>
            </w:r>
          </w:p>
          <w:p w14:paraId="0861873E" w14:textId="77777777" w:rsidR="00093EEB" w:rsidRPr="005C0201" w:rsidRDefault="00F77B29" w:rsidP="00F77B29">
            <w:r w:rsidRPr="005C0201">
              <w:t xml:space="preserve">Se invita al Consejo a </w:t>
            </w:r>
            <w:r w:rsidRPr="005C0201">
              <w:rPr>
                <w:b/>
                <w:bCs/>
              </w:rPr>
              <w:t>adoptar</w:t>
            </w:r>
            <w:r w:rsidRPr="005C0201">
              <w:t xml:space="preserve"> la Resolución que figura en el Anexo </w:t>
            </w:r>
            <w:r w:rsidR="00D23B33" w:rsidRPr="005C0201">
              <w:t>C</w:t>
            </w:r>
            <w:r w:rsidRPr="005C0201">
              <w:t>.</w:t>
            </w:r>
          </w:p>
          <w:p w14:paraId="208E01F5" w14:textId="77777777" w:rsidR="00093EEB" w:rsidRPr="005C0201" w:rsidRDefault="00093EEB">
            <w:pPr>
              <w:pStyle w:val="Table"/>
              <w:keepNext w:val="0"/>
              <w:spacing w:before="0" w:after="0"/>
              <w:rPr>
                <w:caps w:val="0"/>
                <w:sz w:val="22"/>
                <w:lang w:val="es-ES_tradnl"/>
              </w:rPr>
            </w:pPr>
            <w:r w:rsidRPr="005C0201">
              <w:rPr>
                <w:caps w:val="0"/>
                <w:sz w:val="22"/>
                <w:lang w:val="es-ES_tradnl"/>
              </w:rPr>
              <w:t>____________</w:t>
            </w:r>
          </w:p>
          <w:p w14:paraId="02EDE2D5" w14:textId="77777777" w:rsidR="00093EEB" w:rsidRPr="005C0201" w:rsidRDefault="00093EEB">
            <w:pPr>
              <w:pStyle w:val="Headingb"/>
            </w:pPr>
            <w:r w:rsidRPr="005C0201">
              <w:t>Referencia</w:t>
            </w:r>
            <w:r w:rsidR="00F13626" w:rsidRPr="005C0201">
              <w:t>s</w:t>
            </w:r>
          </w:p>
          <w:p w14:paraId="7B23BC26" w14:textId="77777777" w:rsidR="00093EEB" w:rsidRPr="005C0201" w:rsidRDefault="00F77B29" w:rsidP="00DB69D9">
            <w:pPr>
              <w:spacing w:after="120"/>
              <w:rPr>
                <w:i/>
                <w:iCs/>
              </w:rPr>
            </w:pPr>
            <w:r w:rsidRPr="005C0201">
              <w:rPr>
                <w:i/>
                <w:iCs/>
              </w:rPr>
              <w:t xml:space="preserve">Números </w:t>
            </w:r>
            <w:hyperlink r:id="rId11" w:history="1">
              <w:r w:rsidRPr="005C0201">
                <w:rPr>
                  <w:rStyle w:val="Hyperlink"/>
                  <w:i/>
                  <w:iCs/>
                </w:rPr>
                <w:t>42, 47, 75, 118 y 126</w:t>
              </w:r>
            </w:hyperlink>
            <w:r w:rsidR="00DB69D9" w:rsidRPr="005C0201">
              <w:rPr>
                <w:i/>
                <w:iCs/>
              </w:rPr>
              <w:t xml:space="preserve"> </w:t>
            </w:r>
            <w:r w:rsidRPr="005C0201">
              <w:rPr>
                <w:i/>
                <w:iCs/>
              </w:rPr>
              <w:t xml:space="preserve">del Convenio; </w:t>
            </w:r>
            <w:hyperlink r:id="rId12" w:history="1">
              <w:r w:rsidRPr="005C0201">
                <w:rPr>
                  <w:rStyle w:val="Hyperlink"/>
                  <w:i/>
                  <w:iCs/>
                </w:rPr>
                <w:t>Resolución 811 (CMR-19)</w:t>
              </w:r>
            </w:hyperlink>
          </w:p>
        </w:tc>
      </w:tr>
    </w:tbl>
    <w:p w14:paraId="0AD9AA18" w14:textId="77777777" w:rsidR="00F77B29" w:rsidRPr="005C0201" w:rsidRDefault="00F77B29" w:rsidP="00F77B29">
      <w:pPr>
        <w:pStyle w:val="Heading1"/>
      </w:pPr>
      <w:r w:rsidRPr="005C0201">
        <w:t>1</w:t>
      </w:r>
      <w:r w:rsidRPr="005C0201">
        <w:tab/>
      </w:r>
      <w:proofErr w:type="gramStart"/>
      <w:r w:rsidRPr="005C0201">
        <w:t>Conferencia</w:t>
      </w:r>
      <w:proofErr w:type="gramEnd"/>
      <w:r w:rsidRPr="005C0201">
        <w:t xml:space="preserve"> Mundial de Radiocomunicaciones (CMR-23)</w:t>
      </w:r>
    </w:p>
    <w:p w14:paraId="5B5F10F7" w14:textId="77777777" w:rsidR="00F77B29" w:rsidRPr="005C0201" w:rsidRDefault="00F77B29" w:rsidP="00F77B29">
      <w:r w:rsidRPr="005C0201">
        <w:t>1.1</w:t>
      </w:r>
      <w:r w:rsidRPr="005C0201">
        <w:tab/>
        <w:t xml:space="preserve">La Conferencia Mundial de Radiocomunicaciones (CMR-19), en su Resolución 811 (CMR-19) (antigua COM6/1), resuelve "recomendar al Consejo la celebración de una Conferencia Mundial de Radiocomunicaciones en 2023 con una duración </w:t>
      </w:r>
      <w:r w:rsidR="00B87497" w:rsidRPr="005C0201">
        <w:t xml:space="preserve">máxima </w:t>
      </w:r>
      <w:r w:rsidRPr="005C0201">
        <w:t>de cuatro semanas" (véase el Anexo A del presente documento). Además, formula recomendaciones al Consejo sobre los puntos que han de incluirse en el orden del día de la CMR-23, y también le invita a fijar el orden del día definitivo, a tomar las disposiciones oportunas para convocar la CMR-23 y a iniciar cuanto antes las consultas necesarias con los Estados Miembros.</w:t>
      </w:r>
    </w:p>
    <w:p w14:paraId="691AC10C" w14:textId="77777777" w:rsidR="00F77B29" w:rsidRPr="005C0201" w:rsidRDefault="00F77B29" w:rsidP="00F77B29">
      <w:r w:rsidRPr="005C0201">
        <w:t>1.2</w:t>
      </w:r>
      <w:r w:rsidRPr="005C0201">
        <w:tab/>
        <w:t>En aplicación del número 118 del Convenio, el Consejo se encarga de establecer el orden del día definitivo de una conferencia mundial de radiocomunicaciones, preferentemente dos años antes de la conferencia, con el acuerdo de la mayoría de los Estados Miembros de la Unión, a reserva de lo establecido en el número 47 del Convenio. El Consejo también determinará el lugar concreto y las fechas exactas con el acuerdo de la mayoría de los Estados Miembros de la Unión, según con lo dispuesto en los números 42 y 47 del Convenio.</w:t>
      </w:r>
    </w:p>
    <w:p w14:paraId="426CEA16" w14:textId="77777777" w:rsidR="00F77B29" w:rsidRPr="005C0201" w:rsidRDefault="00F77B29" w:rsidP="00F77B29">
      <w:pPr>
        <w:pStyle w:val="Heading1"/>
      </w:pPr>
      <w:r w:rsidRPr="005C0201">
        <w:lastRenderedPageBreak/>
        <w:t>2</w:t>
      </w:r>
      <w:r w:rsidRPr="005C0201">
        <w:tab/>
      </w:r>
      <w:proofErr w:type="gramStart"/>
      <w:r w:rsidRPr="005C0201">
        <w:t>Asamblea</w:t>
      </w:r>
      <w:proofErr w:type="gramEnd"/>
      <w:r w:rsidRPr="005C0201">
        <w:t xml:space="preserve"> de Radiocomunicaciones (AR-23) vinculada a la CMR-23</w:t>
      </w:r>
    </w:p>
    <w:p w14:paraId="675D2A14" w14:textId="77777777" w:rsidR="00F77B29" w:rsidRPr="005C0201" w:rsidRDefault="00F77B29" w:rsidP="00F77B29">
      <w:r w:rsidRPr="005C0201">
        <w:t>2.1</w:t>
      </w:r>
      <w:r w:rsidRPr="005C0201">
        <w:tab/>
        <w:t>De conformidad con las disposiciones de los números 83 y 91 de la Constitución, "las Asambleas de Radiocomunicaciones se convocarán normalmente también cada dos a tres años y pueden estar asociadas en sus fechas y lugar con las conferencias mundiales de radiocomunicaciones...". Con arreglo al número 42 del Convenio, el Consejo determinará las fechas exactas y el lugar de celebración de la Conferencia, con la aprobación de la mayoría de los Estados Miembros de la Unión.</w:t>
      </w:r>
    </w:p>
    <w:p w14:paraId="7C24242B" w14:textId="77777777" w:rsidR="00F77B29" w:rsidRPr="005C0201" w:rsidRDefault="00F77B29" w:rsidP="00F77B29">
      <w:pPr>
        <w:pStyle w:val="Heading1"/>
      </w:pPr>
      <w:r w:rsidRPr="005C0201">
        <w:t>3</w:t>
      </w:r>
      <w:r w:rsidRPr="005C0201">
        <w:tab/>
      </w:r>
      <w:proofErr w:type="gramStart"/>
      <w:r w:rsidRPr="005C0201">
        <w:t>Expresión</w:t>
      </w:r>
      <w:proofErr w:type="gramEnd"/>
      <w:r w:rsidRPr="005C0201">
        <w:t xml:space="preserve"> de interés para acoger la CMR-23</w:t>
      </w:r>
    </w:p>
    <w:p w14:paraId="118C7CD6" w14:textId="77777777" w:rsidR="00F77B29" w:rsidRPr="005C0201" w:rsidRDefault="00F77B29" w:rsidP="00F77B29">
      <w:r w:rsidRPr="005C0201">
        <w:t>3.1</w:t>
      </w:r>
      <w:r w:rsidRPr="005C0201">
        <w:tab/>
        <w:t>El 31 de diciembre de 2019, la UIT recibió una expresión de interés por parte de la Administración de los Emiratos Árabes Unidos para acoger la CMR-23 en los EAU (véase el</w:t>
      </w:r>
      <w:r w:rsidR="0087146D" w:rsidRPr="005C0201">
        <w:t> </w:t>
      </w:r>
      <w:r w:rsidRPr="005C0201">
        <w:t>Anexo</w:t>
      </w:r>
      <w:r w:rsidR="0087146D" w:rsidRPr="005C0201">
        <w:t> </w:t>
      </w:r>
      <w:r w:rsidRPr="005C0201">
        <w:t>B).</w:t>
      </w:r>
    </w:p>
    <w:p w14:paraId="559DD0EB" w14:textId="77777777" w:rsidR="00F77B29" w:rsidRPr="005C0201" w:rsidRDefault="00F77B29" w:rsidP="00F77B29">
      <w:r w:rsidRPr="005C0201">
        <w:t>3.2</w:t>
      </w:r>
      <w:r w:rsidRPr="005C0201">
        <w:tab/>
        <w:t>En vista de la expresión de interés de los EAU por acoger la CMR-23, se invita al Consejo a encargar a la BR que comunique a la Administración de los EAU los requisitos de la UIT para acoger la AR-23 y la CMR-23.</w:t>
      </w:r>
    </w:p>
    <w:p w14:paraId="2264A389" w14:textId="77777777" w:rsidR="00F77B29" w:rsidRPr="005C0201" w:rsidRDefault="00F77B29" w:rsidP="00F77B29">
      <w:pPr>
        <w:pStyle w:val="Heading1"/>
      </w:pPr>
      <w:r w:rsidRPr="005C0201">
        <w:t>4</w:t>
      </w:r>
      <w:r w:rsidRPr="005C0201">
        <w:tab/>
      </w:r>
      <w:proofErr w:type="gramStart"/>
      <w:r w:rsidR="005F5961" w:rsidRPr="005C0201">
        <w:t>Solicitud</w:t>
      </w:r>
      <w:proofErr w:type="gramEnd"/>
      <w:r w:rsidR="005F5961" w:rsidRPr="005C0201">
        <w:t xml:space="preserve"> al Consejo respecto de las fechas, lugar y orden del día de la CMR-23</w:t>
      </w:r>
    </w:p>
    <w:p w14:paraId="09E28249" w14:textId="77777777" w:rsidR="00F77B29" w:rsidRPr="005C0201" w:rsidRDefault="00F77B29" w:rsidP="00F77B29">
      <w:r w:rsidRPr="005C0201">
        <w:t>4.1</w:t>
      </w:r>
      <w:r w:rsidRPr="005C0201">
        <w:tab/>
        <w:t>Se pide al Consejo que encargue al Secretario General que celebre consultas con los Emiratos Árabes Unidos para estudiar la posibilidad de celebrar la AR-23 y la CMR-23, en los EAU en el último trimestre de 2023.</w:t>
      </w:r>
    </w:p>
    <w:p w14:paraId="51ACD0E2" w14:textId="77777777" w:rsidR="00F77B29" w:rsidRPr="005C0201" w:rsidRDefault="00F77B29" w:rsidP="00F77B29">
      <w:r w:rsidRPr="005C0201">
        <w:t>4.2</w:t>
      </w:r>
      <w:r w:rsidRPr="005C0201">
        <w:tab/>
        <w:t>Habida cuenta de lo anterior, se invita al Consejo a finalizar el orden del día de la CMR-23 (véase Anexo C).</w:t>
      </w:r>
    </w:p>
    <w:p w14:paraId="6DD647F0" w14:textId="77777777" w:rsidR="00F77B29" w:rsidRPr="005C0201" w:rsidRDefault="00F77B29" w:rsidP="00F77B29">
      <w:pPr>
        <w:spacing w:before="3480"/>
      </w:pPr>
      <w:r w:rsidRPr="005C0201">
        <w:rPr>
          <w:b/>
          <w:bCs/>
        </w:rPr>
        <w:t>Anexos</w:t>
      </w:r>
      <w:r w:rsidRPr="005C0201">
        <w:rPr>
          <w:bCs/>
        </w:rPr>
        <w:t>:</w:t>
      </w:r>
      <w:r w:rsidRPr="005C0201">
        <w:t xml:space="preserve"> 3</w:t>
      </w:r>
    </w:p>
    <w:p w14:paraId="5092BA39" w14:textId="77777777" w:rsidR="00F77B29" w:rsidRPr="005C0201" w:rsidRDefault="00F77B29" w:rsidP="00F77B29">
      <w:r w:rsidRPr="005C0201">
        <w:br w:type="page"/>
      </w:r>
    </w:p>
    <w:p w14:paraId="27FEF640" w14:textId="77777777" w:rsidR="00F77B29" w:rsidRPr="005C0201" w:rsidRDefault="00F77B29" w:rsidP="00F77B29">
      <w:pPr>
        <w:pStyle w:val="AnnexNo"/>
      </w:pPr>
      <w:r w:rsidRPr="005C0201">
        <w:lastRenderedPageBreak/>
        <w:t>ANEXO A</w:t>
      </w:r>
    </w:p>
    <w:p w14:paraId="7B39AB0C" w14:textId="77777777" w:rsidR="00F77B29" w:rsidRPr="005C0201" w:rsidRDefault="00F77B29" w:rsidP="00DB69D9">
      <w:pPr>
        <w:pStyle w:val="RecNo"/>
      </w:pPr>
      <w:r w:rsidRPr="005C0201">
        <w:t>RESOLUCIÓN 811 (CMR-19)</w:t>
      </w:r>
    </w:p>
    <w:p w14:paraId="6E63D53B" w14:textId="77777777" w:rsidR="00F77B29" w:rsidRPr="005C0201" w:rsidRDefault="00F77B29" w:rsidP="00F77B29">
      <w:pPr>
        <w:pStyle w:val="Restitle"/>
      </w:pPr>
      <w:r w:rsidRPr="005C0201">
        <w:t>Orden del día de la Conferencia Mundial de Radiocomunicaciones de 2023</w:t>
      </w:r>
    </w:p>
    <w:p w14:paraId="06F82B9A" w14:textId="77777777" w:rsidR="00F77B29" w:rsidRPr="005C0201" w:rsidRDefault="00F77B29" w:rsidP="00DB69D9">
      <w:pPr>
        <w:pStyle w:val="Normalaftertitle"/>
      </w:pPr>
      <w:r w:rsidRPr="005C0201">
        <w:t>La Conferencia Mundial de Radiocomunicaciones (Sharm el-</w:t>
      </w:r>
      <w:proofErr w:type="spellStart"/>
      <w:r w:rsidRPr="005C0201">
        <w:t>Sheikh</w:t>
      </w:r>
      <w:proofErr w:type="spellEnd"/>
      <w:r w:rsidRPr="005C0201">
        <w:t>, 2019),</w:t>
      </w:r>
    </w:p>
    <w:p w14:paraId="79AD6D76" w14:textId="77777777" w:rsidR="00F77B29" w:rsidRPr="005C0201" w:rsidRDefault="00F77B29" w:rsidP="00F77B29">
      <w:pPr>
        <w:pStyle w:val="Call"/>
      </w:pPr>
      <w:r w:rsidRPr="005C0201">
        <w:t>considerando</w:t>
      </w:r>
    </w:p>
    <w:p w14:paraId="0D4D42C1" w14:textId="77777777" w:rsidR="00F77B29" w:rsidRPr="005C0201" w:rsidRDefault="00F77B29" w:rsidP="00F77B29">
      <w:r w:rsidRPr="005C0201">
        <w:rPr>
          <w:i/>
          <w:iCs/>
        </w:rPr>
        <w:t>a)</w:t>
      </w:r>
      <w:r w:rsidRPr="005C0201">
        <w:tab/>
        <w:t>que, de conformidad con el número 118 del Convenio de la UIT, el ámbito general del orden del día de una conferencia mundial de radiocomunicaciones debe establecerse con una antelación de cuatro a seis años y que el orden del día definitivo deberá establecerlo el Consejo dos años antes de la Conferencia;</w:t>
      </w:r>
    </w:p>
    <w:p w14:paraId="68069564" w14:textId="77777777" w:rsidR="00F77B29" w:rsidRPr="005C0201" w:rsidRDefault="00F77B29" w:rsidP="00F77B29">
      <w:r w:rsidRPr="005C0201">
        <w:rPr>
          <w:i/>
          <w:iCs/>
        </w:rPr>
        <w:t>b)</w:t>
      </w:r>
      <w:r w:rsidRPr="005C0201">
        <w:tab/>
        <w:t>el Artículo 13 de la Constitución de la UIT, sobre competencia y calendario de las conferencias mundiales de radiocomunicaciones, y el Artículo 7 del Convenio, relativo a sus órdenes del día;</w:t>
      </w:r>
    </w:p>
    <w:p w14:paraId="5F9E0EC5" w14:textId="77777777" w:rsidR="00F77B29" w:rsidRPr="005C0201" w:rsidRDefault="00F77B29" w:rsidP="00F77B29">
      <w:r w:rsidRPr="005C0201">
        <w:rPr>
          <w:i/>
          <w:iCs/>
        </w:rPr>
        <w:t>c)</w:t>
      </w:r>
      <w:r w:rsidRPr="005C0201">
        <w:tab/>
        <w:t>las Resoluciones y Recomendaciones pertinentes de las anteriores Conferencias Administrativas Mundiales de Radiocomunicaciones (CAMR) y Conferencias Mundiales de Radiocomunicaciones (CMR),</w:t>
      </w:r>
    </w:p>
    <w:p w14:paraId="4DA9758E" w14:textId="77777777" w:rsidR="00F77B29" w:rsidRPr="005C0201" w:rsidRDefault="00F77B29" w:rsidP="00F77B29">
      <w:pPr>
        <w:pStyle w:val="Call"/>
      </w:pPr>
      <w:r w:rsidRPr="005C0201">
        <w:t>reconociendo</w:t>
      </w:r>
    </w:p>
    <w:p w14:paraId="790FA831" w14:textId="77777777" w:rsidR="00F77B29" w:rsidRPr="005C0201" w:rsidRDefault="00F77B29" w:rsidP="00F77B29">
      <w:r w:rsidRPr="005C0201">
        <w:rPr>
          <w:i/>
          <w:iCs/>
        </w:rPr>
        <w:t>a)</w:t>
      </w:r>
      <w:r w:rsidRPr="005C0201">
        <w:rPr>
          <w:i/>
          <w:iCs/>
        </w:rPr>
        <w:tab/>
      </w:r>
      <w:r w:rsidRPr="005C0201">
        <w:t>que esta Conferencia ha identificado varios temas urgentes que requieren se prosiga su examen en la CMR</w:t>
      </w:r>
      <w:r w:rsidRPr="005C0201">
        <w:noBreakHyphen/>
        <w:t>23;</w:t>
      </w:r>
    </w:p>
    <w:p w14:paraId="68B4574F" w14:textId="77777777" w:rsidR="00F77B29" w:rsidRPr="005C0201" w:rsidRDefault="00F77B29" w:rsidP="00F77B29">
      <w:r w:rsidRPr="005C0201">
        <w:rPr>
          <w:i/>
          <w:iCs/>
        </w:rPr>
        <w:t>b)</w:t>
      </w:r>
      <w:r w:rsidRPr="005C0201">
        <w:rPr>
          <w:i/>
          <w:iCs/>
        </w:rPr>
        <w:tab/>
      </w:r>
      <w:r w:rsidRPr="005C0201">
        <w:t>que, al preparar el presente orden del día, muchos de los puntos propuestos por las administraciones no pudieron incluirse, debiendo posponerse para órdenes del día de futuras conferencias,</w:t>
      </w:r>
    </w:p>
    <w:p w14:paraId="6986671C" w14:textId="77777777" w:rsidR="00F77B29" w:rsidRPr="005C0201" w:rsidRDefault="00F77B29" w:rsidP="00F77B29">
      <w:pPr>
        <w:pStyle w:val="Call"/>
      </w:pPr>
      <w:r w:rsidRPr="005C0201">
        <w:t>resuelve</w:t>
      </w:r>
    </w:p>
    <w:p w14:paraId="642E8F36" w14:textId="77777777" w:rsidR="00F77B29" w:rsidRPr="005C0201" w:rsidRDefault="00F77B29" w:rsidP="00F77B29">
      <w:r w:rsidRPr="005C0201">
        <w:t>recomendar al Consejo la celebración de una Conferencia Mundial de Radiocomunicaciones en 2023 con una duración de cuatro semanas, con el siguiente orden del día:</w:t>
      </w:r>
    </w:p>
    <w:p w14:paraId="6938F5FD" w14:textId="77777777" w:rsidR="00F77B29" w:rsidRPr="005C0201" w:rsidRDefault="00F77B29" w:rsidP="00F77B29">
      <w:bookmarkStart w:id="9" w:name="_Hlk26881729"/>
      <w:r w:rsidRPr="005C0201">
        <w:t>1</w:t>
      </w:r>
      <w:r w:rsidRPr="005C0201">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w:t>
      </w:r>
    </w:p>
    <w:p w14:paraId="4941CFEA" w14:textId="77777777" w:rsidR="00F77B29" w:rsidRPr="005C0201" w:rsidRDefault="00F77B29" w:rsidP="00F77B29">
      <w:pPr>
        <w:rPr>
          <w:bCs/>
        </w:rPr>
      </w:pPr>
      <w:r w:rsidRPr="005C0201">
        <w:t>1.1</w:t>
      </w:r>
      <w:r w:rsidRPr="005C0201">
        <w:tab/>
        <w:t xml:space="preserve">considerar, sobre la base de los resultados de los estudios del UIT-R para la banda de frecuencias 4 800-4 990 MHz, posibles medidas de protección de las estaciones del servicio móvil aeronáutico y marítimo situadas en aguas internacionales o en el espacio aéreo internacional contra otras estaciones situadas en territorios nacionales, y revisar los criterios de </w:t>
      </w:r>
      <w:proofErr w:type="spellStart"/>
      <w:r w:rsidRPr="005C0201">
        <w:t>dfp</w:t>
      </w:r>
      <w:proofErr w:type="spellEnd"/>
      <w:r w:rsidRPr="005C0201">
        <w:t xml:space="preserve"> del número </w:t>
      </w:r>
      <w:r w:rsidRPr="005C0201">
        <w:rPr>
          <w:b/>
          <w:bCs/>
        </w:rPr>
        <w:t>5.441B</w:t>
      </w:r>
      <w:r w:rsidRPr="005C0201">
        <w:t xml:space="preserve">, de conformidad con la Resolución </w:t>
      </w:r>
      <w:r w:rsidRPr="005C0201">
        <w:rPr>
          <w:b/>
          <w:bCs/>
        </w:rPr>
        <w:t>223</w:t>
      </w:r>
      <w:r w:rsidRPr="005C0201">
        <w:rPr>
          <w:b/>
        </w:rPr>
        <w:t xml:space="preserve"> (Rev.CMR-19)</w:t>
      </w:r>
      <w:r w:rsidRPr="005C0201">
        <w:rPr>
          <w:bCs/>
        </w:rPr>
        <w:t>;</w:t>
      </w:r>
    </w:p>
    <w:bookmarkEnd w:id="9"/>
    <w:p w14:paraId="7CD21826" w14:textId="77777777" w:rsidR="00F77B29" w:rsidRPr="005C0201" w:rsidRDefault="00F77B29" w:rsidP="00F77B29">
      <w:r w:rsidRPr="005C0201">
        <w:t>1.2</w:t>
      </w:r>
      <w:r w:rsidRPr="005C0201">
        <w:tab/>
        <w:t>considerar la identificación de las bandas de frecuencias 3 300-3 400 MHz, 3 600</w:t>
      </w:r>
      <w:r w:rsidRPr="005C0201">
        <w:noBreakHyphen/>
        <w:t xml:space="preserve">3 800 MHz, 6 425-7 025 MHz, 7 025-7 125 MHz y 10,0-10,5 GHz para las Telecomunicaciones Móviles Internacionales (IMT), incluidas posibles atribuciones adicionales al servicio móvil a título primario, de conformidad con la Resolución </w:t>
      </w:r>
      <w:r w:rsidRPr="005C0201">
        <w:rPr>
          <w:b/>
        </w:rPr>
        <w:t>245 (CMR-19)</w:t>
      </w:r>
      <w:r w:rsidRPr="005C0201">
        <w:t>;</w:t>
      </w:r>
    </w:p>
    <w:p w14:paraId="22F56956" w14:textId="77777777" w:rsidR="00F77B29" w:rsidRPr="005C0201" w:rsidRDefault="00F77B29" w:rsidP="00F77B29">
      <w:r w:rsidRPr="005C0201">
        <w:lastRenderedPageBreak/>
        <w:t>1.3</w:t>
      </w:r>
      <w:r w:rsidRPr="005C0201">
        <w:tab/>
        <w:t xml:space="preserve">considerar la atribución a título primario de la banda de frecuencias 3 600-3 800 MHz al servicio móvil en la Región 1 y la adopción de las medidas reglamentarias convenientes, de conformidad con la Resolución </w:t>
      </w:r>
      <w:r w:rsidRPr="005C0201">
        <w:rPr>
          <w:b/>
        </w:rPr>
        <w:t>246 (CMR-19)</w:t>
      </w:r>
      <w:r w:rsidRPr="005C0201">
        <w:t>;</w:t>
      </w:r>
    </w:p>
    <w:p w14:paraId="3BD6C1B6" w14:textId="77777777" w:rsidR="00F77B29" w:rsidRPr="005C0201" w:rsidRDefault="00F77B29" w:rsidP="00F77B29">
      <w:r w:rsidRPr="005C0201">
        <w:rPr>
          <w:bCs/>
        </w:rPr>
        <w:t>1.4</w:t>
      </w:r>
      <w:r w:rsidRPr="005C0201">
        <w:rPr>
          <w:b/>
        </w:rPr>
        <w:tab/>
      </w:r>
      <w:r w:rsidRPr="005C0201">
        <w:t xml:space="preserve">considerar, de conformidad con la Resolución </w:t>
      </w:r>
      <w:r w:rsidRPr="005C0201">
        <w:rPr>
          <w:b/>
          <w:bCs/>
        </w:rPr>
        <w:t xml:space="preserve">247 </w:t>
      </w:r>
      <w:r w:rsidRPr="005C0201">
        <w:rPr>
          <w:b/>
        </w:rPr>
        <w:t>(CMR-19)</w:t>
      </w:r>
      <w:r w:rsidRPr="005C0201">
        <w:t xml:space="preserve">, la utilización de estaciones en plataformas a gran altitud como estaciones base IMT (HIBS) del servicio móvil en ciertas bandas </w:t>
      </w:r>
      <w:r w:rsidRPr="005C0201">
        <w:rPr>
          <w:bCs/>
        </w:rPr>
        <w:t xml:space="preserve">de frecuencias </w:t>
      </w:r>
      <w:r w:rsidRPr="005C0201">
        <w:t>por debajo de 2,7 GHz ya identificadas para las IMT, a nivel mundial o regional;</w:t>
      </w:r>
    </w:p>
    <w:p w14:paraId="38D2492C" w14:textId="77777777" w:rsidR="00F77B29" w:rsidRPr="005C0201" w:rsidRDefault="00F77B29" w:rsidP="00F77B29">
      <w:r w:rsidRPr="005C0201">
        <w:rPr>
          <w:bCs/>
        </w:rPr>
        <w:t>1.5</w:t>
      </w:r>
      <w:r w:rsidRPr="005C0201">
        <w:rPr>
          <w:b/>
        </w:rPr>
        <w:tab/>
      </w:r>
      <w:r w:rsidRPr="005C0201">
        <w:t>examinar la utilización del espectro y las necesidades de espectro de los servicios existentes en la banda de frecuencias 470-960 MHz en la Región 1 y considerar posibles medidas reglamentarias para la banda de frecuencias 470</w:t>
      </w:r>
      <w:r w:rsidRPr="005C0201">
        <w:noBreakHyphen/>
        <w:t>694 MHz en la Región 1 a partir del examen previsto en la Resolución </w:t>
      </w:r>
      <w:r w:rsidRPr="005C0201">
        <w:rPr>
          <w:b/>
          <w:bCs/>
        </w:rPr>
        <w:t>235</w:t>
      </w:r>
      <w:r w:rsidRPr="005C0201">
        <w:t xml:space="preserve"> </w:t>
      </w:r>
      <w:r w:rsidRPr="005C0201">
        <w:rPr>
          <w:b/>
          <w:bCs/>
        </w:rPr>
        <w:t>(CMR</w:t>
      </w:r>
      <w:r w:rsidRPr="005C0201">
        <w:rPr>
          <w:b/>
          <w:bCs/>
        </w:rPr>
        <w:noBreakHyphen/>
        <w:t>15)</w:t>
      </w:r>
      <w:r w:rsidRPr="005C0201">
        <w:t>;</w:t>
      </w:r>
    </w:p>
    <w:p w14:paraId="764DDF98" w14:textId="77777777" w:rsidR="00F77B29" w:rsidRPr="005C0201" w:rsidRDefault="00F77B29" w:rsidP="00F77B29">
      <w:r w:rsidRPr="005C0201">
        <w:t>1.6</w:t>
      </w:r>
      <w:r w:rsidRPr="005C0201">
        <w:tab/>
        <w:t xml:space="preserve">considerar, de conformidad con la Resolución </w:t>
      </w:r>
      <w:r w:rsidRPr="005C0201">
        <w:rPr>
          <w:b/>
          <w:bCs/>
        </w:rPr>
        <w:t>772 (CMR</w:t>
      </w:r>
      <w:r w:rsidRPr="005C0201">
        <w:rPr>
          <w:b/>
          <w:bCs/>
        </w:rPr>
        <w:noBreakHyphen/>
        <w:t>19)</w:t>
      </w:r>
      <w:r w:rsidRPr="005C0201">
        <w:t>, disposiciones reglamentarias para facilitar las radiocomunicaciones para vehículos suborbitales;</w:t>
      </w:r>
    </w:p>
    <w:p w14:paraId="2487B66B" w14:textId="77777777" w:rsidR="00F77B29" w:rsidRPr="005C0201" w:rsidRDefault="00F77B29" w:rsidP="00F77B29">
      <w:r w:rsidRPr="005C0201">
        <w:t>1.7</w:t>
      </w:r>
      <w:r w:rsidRPr="005C0201">
        <w:tab/>
        <w:t xml:space="preserve">considerar la posibilidad de efectuar una nueva atribución al servicio móvil aeronáutico (R) por satélite (SMA(R)S) de conformidad con la Resolución </w:t>
      </w:r>
      <w:r w:rsidRPr="005C0201">
        <w:rPr>
          <w:b/>
          <w:bCs/>
        </w:rPr>
        <w:t>428 (CMR-19)</w:t>
      </w:r>
      <w:r w:rsidRPr="005C0201">
        <w:t>, tanto para el sentido Tierra-espacio como espacio-Tierra, de las comunicaciones aeronáuticas en ondas métricas en toda la banda de frecuencias 117,975-137 MHz, o en parte de la misma, sin imponer restricciones indebidas a los sistemas en ondas métricas existentes del SMA(R)S, el SRNA y en bandas adyacentes;</w:t>
      </w:r>
    </w:p>
    <w:p w14:paraId="056DE571" w14:textId="77777777" w:rsidR="00F77B29" w:rsidRPr="005C0201" w:rsidRDefault="00F77B29" w:rsidP="00F77B29">
      <w:r w:rsidRPr="005C0201">
        <w:t>1.8</w:t>
      </w:r>
      <w:r w:rsidRPr="005C0201">
        <w:tab/>
        <w:t>considerar, basándose en los estudios del UIT-R previstos en la Resolución </w:t>
      </w:r>
      <w:r w:rsidRPr="005C0201">
        <w:rPr>
          <w:b/>
          <w:bCs/>
        </w:rPr>
        <w:t>171</w:t>
      </w:r>
      <w:r w:rsidRPr="005C0201">
        <w:rPr>
          <w:b/>
        </w:rPr>
        <w:t xml:space="preserve"> (CMR-19)</w:t>
      </w:r>
      <w:r w:rsidRPr="005C0201">
        <w:t>, medidas regulatorias adecuadas, para examinar y, de ser necesario, enmendar la Resolución </w:t>
      </w:r>
      <w:r w:rsidRPr="005C0201">
        <w:rPr>
          <w:b/>
        </w:rPr>
        <w:t>155 (Rev.CMR-19)</w:t>
      </w:r>
      <w:r w:rsidRPr="005C0201">
        <w:t xml:space="preserve"> y el número </w:t>
      </w:r>
      <w:r w:rsidRPr="005C0201">
        <w:rPr>
          <w:b/>
        </w:rPr>
        <w:t>5.484B</w:t>
      </w:r>
      <w:r w:rsidRPr="005C0201">
        <w:t xml:space="preserve"> del RR con objeto de permitir la utilización de redes de satélites del servicio fijo (SFS) para el control y las comunicaciones sin carga útil de sistemas de aeronaves no tripuladas;</w:t>
      </w:r>
    </w:p>
    <w:p w14:paraId="6407C6DD" w14:textId="77777777" w:rsidR="00F77B29" w:rsidRPr="005C0201" w:rsidRDefault="00F77B29" w:rsidP="00F77B29">
      <w:r w:rsidRPr="005C0201">
        <w:t>1.9</w:t>
      </w:r>
      <w:r w:rsidRPr="005C0201">
        <w:tab/>
        <w:t xml:space="preserve">revisar el Apéndice </w:t>
      </w:r>
      <w:r w:rsidRPr="005C0201">
        <w:rPr>
          <w:b/>
          <w:bCs/>
        </w:rPr>
        <w:t>27</w:t>
      </w:r>
      <w:r w:rsidRPr="005C0201">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w:t>
      </w:r>
      <w:proofErr w:type="spellStart"/>
      <w:r w:rsidRPr="005C0201">
        <w:t>decamétricas</w:t>
      </w:r>
      <w:proofErr w:type="spellEnd"/>
      <w:r w:rsidRPr="005C0201">
        <w:t xml:space="preserve"> atribuidas al servicio móvil aeronáutico</w:t>
      </w:r>
      <w:r w:rsidR="0078693F" w:rsidRPr="005C0201">
        <w:t> </w:t>
      </w:r>
      <w:r w:rsidRPr="005C0201">
        <w:t xml:space="preserve">(R) y garantizar la coexistencia de los actuales sistemas de ondas </w:t>
      </w:r>
      <w:proofErr w:type="spellStart"/>
      <w:r w:rsidRPr="005C0201">
        <w:t>decamétricas</w:t>
      </w:r>
      <w:proofErr w:type="spellEnd"/>
      <w:r w:rsidRPr="005C0201">
        <w:t xml:space="preserve"> con los sistemas de ondas </w:t>
      </w:r>
      <w:proofErr w:type="spellStart"/>
      <w:r w:rsidRPr="005C0201">
        <w:t>decamétricas</w:t>
      </w:r>
      <w:proofErr w:type="spellEnd"/>
      <w:r w:rsidRPr="005C0201">
        <w:t xml:space="preserve"> modernizados, de conformidad con la Resolución</w:t>
      </w:r>
      <w:r w:rsidRPr="005C0201">
        <w:rPr>
          <w:b/>
        </w:rPr>
        <w:t xml:space="preserve"> </w:t>
      </w:r>
      <w:r w:rsidRPr="005C0201">
        <w:rPr>
          <w:b/>
          <w:bCs/>
        </w:rPr>
        <w:t xml:space="preserve">429 </w:t>
      </w:r>
      <w:r w:rsidRPr="005C0201">
        <w:rPr>
          <w:b/>
        </w:rPr>
        <w:t>(CMR</w:t>
      </w:r>
      <w:r w:rsidRPr="005C0201">
        <w:rPr>
          <w:b/>
        </w:rPr>
        <w:noBreakHyphen/>
        <w:t>19)</w:t>
      </w:r>
      <w:r w:rsidRPr="005C0201">
        <w:t>;</w:t>
      </w:r>
    </w:p>
    <w:p w14:paraId="1964E993" w14:textId="77777777" w:rsidR="00F77B29" w:rsidRPr="005C0201" w:rsidRDefault="00F77B29" w:rsidP="00F77B29">
      <w:r w:rsidRPr="005C0201">
        <w:t>1.10</w:t>
      </w:r>
      <w:r w:rsidRPr="005C0201">
        <w:tab/>
        <w:t xml:space="preserve">realizar estudios sobre las necesidades de espectro, la coexistencia con los servicios de radiocomunicaciones y las medidas reglamentarias para las posibles nuevas atribuciones al servicio móvil aeronáutico para la utilización de aplicaciones móviles aeronáuticas no relacionadas con la seguridad, de conformidad con la Resolución </w:t>
      </w:r>
      <w:r w:rsidRPr="005C0201">
        <w:rPr>
          <w:b/>
          <w:bCs/>
        </w:rPr>
        <w:t>430 (CMR-19)</w:t>
      </w:r>
      <w:r w:rsidRPr="005C0201">
        <w:t>;</w:t>
      </w:r>
    </w:p>
    <w:p w14:paraId="4F616559" w14:textId="77777777" w:rsidR="00F77B29" w:rsidRPr="005C0201" w:rsidRDefault="00F77B29" w:rsidP="00F77B29">
      <w:r w:rsidRPr="005C0201">
        <w:rPr>
          <w:bCs/>
        </w:rPr>
        <w:t>1.11</w:t>
      </w:r>
      <w:r w:rsidRPr="005C0201">
        <w:rPr>
          <w:b/>
        </w:rPr>
        <w:tab/>
      </w:r>
      <w:r w:rsidRPr="005C0201">
        <w:t>considerar las posibles medidas reglamentarias para facilitar la modernización del Sistema Mundial de Socorro y Seguridad Marítimos y la aplicación de la navegación electrónica, de conformidad con la Resolución </w:t>
      </w:r>
      <w:r w:rsidRPr="005C0201">
        <w:rPr>
          <w:b/>
          <w:bCs/>
        </w:rPr>
        <w:t>361 (Rev.CMR-19)</w:t>
      </w:r>
      <w:r w:rsidRPr="005C0201">
        <w:t>;</w:t>
      </w:r>
    </w:p>
    <w:p w14:paraId="6679E2F8" w14:textId="77777777" w:rsidR="00F77B29" w:rsidRPr="005C0201" w:rsidRDefault="00F77B29" w:rsidP="00F77B29">
      <w:pPr>
        <w:rPr>
          <w:b/>
          <w:bCs/>
        </w:rPr>
      </w:pPr>
      <w:r w:rsidRPr="005C0201">
        <w:t>1.12</w:t>
      </w:r>
      <w:r w:rsidRPr="005C0201">
        <w:tab/>
        <w:t>realizar y completar, a tiempo para la CMR</w:t>
      </w:r>
      <w:r w:rsidRPr="005C0201">
        <w:noBreakHyphen/>
        <w:t xml:space="preserve">23, estudios para una posible nueva atribución secundaria al servicio de exploración de la Tierra por satélite (activo) para sondas de radar aerotransportadas en la gama de frecuencias alrededor de 45 MHz, teniendo en cuenta la protección de los servicios establecidos, incluidas las bandas </w:t>
      </w:r>
      <w:r w:rsidRPr="005C0201">
        <w:rPr>
          <w:bCs/>
        </w:rPr>
        <w:t xml:space="preserve">de frecuencias </w:t>
      </w:r>
      <w:r w:rsidRPr="005C0201">
        <w:t>adyacentes, de conformidad con la Resolución </w:t>
      </w:r>
      <w:r w:rsidRPr="005C0201">
        <w:rPr>
          <w:b/>
          <w:bCs/>
        </w:rPr>
        <w:t>656 (Rev.CMR-19)</w:t>
      </w:r>
      <w:r w:rsidRPr="005C0201">
        <w:t>;</w:t>
      </w:r>
    </w:p>
    <w:p w14:paraId="6D05238D" w14:textId="77777777" w:rsidR="00F77B29" w:rsidRPr="005C0201" w:rsidRDefault="00F77B29" w:rsidP="00F77B29">
      <w:r w:rsidRPr="005C0201">
        <w:lastRenderedPageBreak/>
        <w:t>1.13</w:t>
      </w:r>
      <w:r w:rsidRPr="005C0201">
        <w:tab/>
        <w:t xml:space="preserve">considerar la posible elevación de la categoría de la atribución al servicio de investigación espacial en la banda </w:t>
      </w:r>
      <w:r w:rsidRPr="005C0201">
        <w:rPr>
          <w:bCs/>
        </w:rPr>
        <w:t xml:space="preserve">de frecuencias </w:t>
      </w:r>
      <w:r w:rsidRPr="005C0201">
        <w:t>14,8-15,35 GHz, de conformidad con la Resolución </w:t>
      </w:r>
      <w:r w:rsidRPr="005C0201">
        <w:rPr>
          <w:b/>
          <w:bCs/>
        </w:rPr>
        <w:t>661 (CMR</w:t>
      </w:r>
      <w:r w:rsidRPr="005C0201">
        <w:rPr>
          <w:b/>
          <w:bCs/>
        </w:rPr>
        <w:noBreakHyphen/>
        <w:t>19)</w:t>
      </w:r>
      <w:r w:rsidRPr="005C0201">
        <w:t>;</w:t>
      </w:r>
    </w:p>
    <w:p w14:paraId="7931C1CB" w14:textId="77777777" w:rsidR="00F77B29" w:rsidRPr="005C0201" w:rsidRDefault="00F77B29" w:rsidP="00F77B29">
      <w:r w:rsidRPr="005C0201">
        <w:t>1.14</w:t>
      </w:r>
      <w:r w:rsidRPr="005C0201">
        <w:tab/>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Pr="005C0201">
        <w:rPr>
          <w:b/>
          <w:bCs/>
        </w:rPr>
        <w:t>662 (CMR-19)</w:t>
      </w:r>
      <w:r w:rsidRPr="005C0201">
        <w:t>;</w:t>
      </w:r>
    </w:p>
    <w:p w14:paraId="04E48668" w14:textId="77777777" w:rsidR="00F77B29" w:rsidRPr="005C0201" w:rsidRDefault="00F77B29" w:rsidP="00F77B29">
      <w:r w:rsidRPr="005C0201">
        <w:t>1.15</w:t>
      </w:r>
      <w:r w:rsidRPr="005C0201">
        <w:tab/>
        <w:t>armonizar a escala mundial la utilización de la banda de frecuencias 12,75</w:t>
      </w:r>
      <w:r w:rsidRPr="005C0201">
        <w:noBreakHyphen/>
        <w:t xml:space="preserve">13,25 GHz (Tierra-espacio) por las estaciones terrenas a bordo de aeronaves y barcos que se comunican con estaciones espaciales geoestacionarias del servicio fijo por satélite, de conformidad con la Resolución </w:t>
      </w:r>
      <w:r w:rsidRPr="005C0201">
        <w:rPr>
          <w:b/>
          <w:bCs/>
        </w:rPr>
        <w:t xml:space="preserve">172 </w:t>
      </w:r>
      <w:r w:rsidRPr="005C0201">
        <w:rPr>
          <w:b/>
        </w:rPr>
        <w:t>(CMR-19)</w:t>
      </w:r>
      <w:r w:rsidRPr="005C0201">
        <w:t>;</w:t>
      </w:r>
    </w:p>
    <w:p w14:paraId="4E04E86C" w14:textId="77777777" w:rsidR="00F77B29" w:rsidRPr="005C0201" w:rsidRDefault="00F77B29" w:rsidP="00F77B29">
      <w:r w:rsidRPr="005C0201">
        <w:t>1.16</w:t>
      </w:r>
      <w:r w:rsidRPr="005C0201">
        <w:tab/>
        <w:t>estudiar y desarrollar medidas técnicas, operativas y reglamentarias, según proceda, para facilitar la utilización de las bandas de frecuencias 17,7</w:t>
      </w:r>
      <w:r w:rsidRPr="005C0201">
        <w:noBreakHyphen/>
        <w:t>18,6 GHz y 18,8</w:t>
      </w:r>
      <w:r w:rsidRPr="005C0201">
        <w:noBreakHyphen/>
        <w:t>19,3 GHz y 19,7</w:t>
      </w:r>
      <w:r w:rsidRPr="005C0201">
        <w:noBreakHyphen/>
        <w:t>20,2 GHz (espacio</w:t>
      </w:r>
      <w:r w:rsidRPr="005C0201">
        <w:noBreakHyphen/>
        <w:t>Tierra) y 27,5</w:t>
      </w:r>
      <w:r w:rsidRPr="005C0201">
        <w:noBreakHyphen/>
        <w:t>29,1 GHz y 29,5</w:t>
      </w:r>
      <w:r w:rsidRPr="005C0201">
        <w:noBreakHyphen/>
        <w:t xml:space="preserve">30 GHz (Tierra-espacio) por las estaciones terrenas en movimiento del SFS no OSG, garantizando a su vez la debida protección de los servicios existentes en dichas bandas de frecuencias, de conformidad con la Resolución </w:t>
      </w:r>
      <w:r w:rsidRPr="005C0201">
        <w:rPr>
          <w:b/>
          <w:bCs/>
        </w:rPr>
        <w:t>173 (CMR</w:t>
      </w:r>
      <w:r w:rsidRPr="005C0201">
        <w:rPr>
          <w:b/>
          <w:bCs/>
        </w:rPr>
        <w:noBreakHyphen/>
        <w:t>19)</w:t>
      </w:r>
      <w:r w:rsidRPr="005C0201">
        <w:t>;</w:t>
      </w:r>
    </w:p>
    <w:p w14:paraId="2D554A42" w14:textId="77777777" w:rsidR="00F77B29" w:rsidRPr="005C0201" w:rsidRDefault="00F77B29" w:rsidP="00F77B29">
      <w:r w:rsidRPr="005C0201">
        <w:t>1.17</w:t>
      </w:r>
      <w:r w:rsidRPr="005C0201">
        <w:tab/>
        <w:t>determinar y tomar, basándose en los estudios del UIT-R previstos en la Resolución </w:t>
      </w:r>
      <w:r w:rsidRPr="005C0201">
        <w:rPr>
          <w:b/>
          <w:bCs/>
        </w:rPr>
        <w:t>773</w:t>
      </w:r>
      <w:r w:rsidRPr="005C0201">
        <w:rPr>
          <w:b/>
        </w:rPr>
        <w:t> (CMR-19)</w:t>
      </w:r>
      <w:r w:rsidRPr="005C0201">
        <w:t>,</w:t>
      </w:r>
      <w:r w:rsidRPr="005C0201">
        <w:rPr>
          <w:b/>
        </w:rPr>
        <w:t xml:space="preserve"> </w:t>
      </w:r>
      <w:r w:rsidRPr="005C0201">
        <w:t xml:space="preserve">las medidas reglamentarias apropiadas para el establecimiento de enlaces entre satélites en bandas de frecuencias específicas o tramos de </w:t>
      </w:r>
      <w:proofErr w:type="gramStart"/>
      <w:r w:rsidRPr="005C0201">
        <w:t>las mismas</w:t>
      </w:r>
      <w:proofErr w:type="gramEnd"/>
      <w:r w:rsidRPr="005C0201">
        <w:t>, agregando una atribución a un servicio entre satélites donde corresponda;</w:t>
      </w:r>
    </w:p>
    <w:p w14:paraId="3C0E8358" w14:textId="77777777" w:rsidR="00F77B29" w:rsidRPr="005C0201" w:rsidRDefault="00F77B29" w:rsidP="00F77B29">
      <w:r w:rsidRPr="005C0201">
        <w:t>1.18</w:t>
      </w:r>
      <w:r w:rsidRPr="005C0201">
        <w:tab/>
        <w:t>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Pr="005C0201">
        <w:rPr>
          <w:b/>
        </w:rPr>
        <w:t>248 (CMR</w:t>
      </w:r>
      <w:r w:rsidRPr="005C0201">
        <w:rPr>
          <w:b/>
        </w:rPr>
        <w:noBreakHyphen/>
        <w:t>19)</w:t>
      </w:r>
      <w:r w:rsidRPr="005C0201">
        <w:t>;</w:t>
      </w:r>
    </w:p>
    <w:p w14:paraId="13D197BF" w14:textId="77777777" w:rsidR="00F77B29" w:rsidRPr="005C0201" w:rsidRDefault="00F77B29" w:rsidP="00F77B29">
      <w:r w:rsidRPr="005C0201">
        <w:rPr>
          <w:bCs/>
        </w:rPr>
        <w:t>1.19</w:t>
      </w:r>
      <w:r w:rsidRPr="005C0201">
        <w:rPr>
          <w:b/>
        </w:rPr>
        <w:tab/>
      </w:r>
      <w:r w:rsidRPr="005C0201">
        <w:t>considerar una nueva atribución a título primario al servicio fijo por satélite en dirección espacio-Tierra en la banda de frecuencias 17,3-17,7 GHz en la Región 2, protegiendo a su vez los servicios primarios existentes en la banda, de conformidad con la Resolución </w:t>
      </w:r>
      <w:r w:rsidRPr="005C0201">
        <w:rPr>
          <w:b/>
          <w:bCs/>
        </w:rPr>
        <w:t>174 (CMR</w:t>
      </w:r>
      <w:r w:rsidRPr="005C0201">
        <w:rPr>
          <w:b/>
          <w:bCs/>
        </w:rPr>
        <w:noBreakHyphen/>
        <w:t>19)</w:t>
      </w:r>
      <w:r w:rsidRPr="005C0201">
        <w:t>;</w:t>
      </w:r>
    </w:p>
    <w:p w14:paraId="6AB72684" w14:textId="77777777" w:rsidR="00F77B29" w:rsidRPr="005C0201" w:rsidRDefault="00F77B29" w:rsidP="00F77B29">
      <w:r w:rsidRPr="005C0201">
        <w:t>2</w:t>
      </w:r>
      <w:r w:rsidRPr="005C0201">
        <w:tab/>
        <w:t>examinar las Recomendaciones UIT</w:t>
      </w:r>
      <w:r w:rsidRPr="005C0201">
        <w:noBreakHyphen/>
        <w:t xml:space="preserve">R revisadas e incorporadas por referencia en el Reglamento de Radiocomunicaciones, comunicadas por la Asamblea de Radiocomunicaciones de acuerdo con el </w:t>
      </w:r>
      <w:r w:rsidRPr="005C0201">
        <w:rPr>
          <w:i/>
          <w:iCs/>
        </w:rPr>
        <w:t>resuelve además</w:t>
      </w:r>
      <w:r w:rsidRPr="005C0201">
        <w:t xml:space="preserve"> de la Resolución </w:t>
      </w:r>
      <w:r w:rsidRPr="005C0201">
        <w:rPr>
          <w:b/>
          <w:bCs/>
        </w:rPr>
        <w:t>27 (Rev.CMR-19</w:t>
      </w:r>
      <w:r w:rsidRPr="005C0201">
        <w:t xml:space="preserve">), y decidir si se actualizan o no las referencias correspondientes en el Reglamento de Radiocomunicaciones, con arreglo a los principios contenidos en el </w:t>
      </w:r>
      <w:r w:rsidRPr="005C0201">
        <w:rPr>
          <w:i/>
          <w:iCs/>
        </w:rPr>
        <w:t>resuelve</w:t>
      </w:r>
      <w:r w:rsidRPr="005C0201">
        <w:t xml:space="preserve"> de esa Resolución;</w:t>
      </w:r>
    </w:p>
    <w:p w14:paraId="0F4D95A2" w14:textId="77777777" w:rsidR="00F77B29" w:rsidRPr="005C0201" w:rsidRDefault="00F77B29" w:rsidP="00F77B29">
      <w:bookmarkStart w:id="10" w:name="_Hlk26957098"/>
      <w:r w:rsidRPr="005C0201">
        <w:t>3</w:t>
      </w:r>
      <w:r w:rsidRPr="005C0201">
        <w:tab/>
        <w:t>examinar los cambios y las modificaciones consiguientes en el Reglamento de Radiocomunicaciones que requieran las decisiones de la Conferencia;</w:t>
      </w:r>
    </w:p>
    <w:p w14:paraId="2E722F1C" w14:textId="77777777" w:rsidR="00F77B29" w:rsidRPr="005C0201" w:rsidRDefault="00F77B29" w:rsidP="00F77B29">
      <w:r w:rsidRPr="005C0201">
        <w:t>4</w:t>
      </w:r>
      <w:r w:rsidRPr="005C0201">
        <w:tab/>
        <w:t>de conformidad con la Resolución </w:t>
      </w:r>
      <w:r w:rsidRPr="005C0201">
        <w:rPr>
          <w:b/>
          <w:bCs/>
        </w:rPr>
        <w:t>95 (Rev.CMR-19)</w:t>
      </w:r>
      <w:r w:rsidRPr="005C0201">
        <w:t>, considerar las Resoluciones y Recomendaciones de las conferencias anteriores para su posible revisión, sustitución o supresión;</w:t>
      </w:r>
    </w:p>
    <w:bookmarkEnd w:id="10"/>
    <w:p w14:paraId="6D86150B" w14:textId="77777777" w:rsidR="00F77B29" w:rsidRPr="005C0201" w:rsidRDefault="00F77B29" w:rsidP="00F77B29">
      <w:r w:rsidRPr="005C0201">
        <w:t>5</w:t>
      </w:r>
      <w:r w:rsidRPr="005C0201">
        <w:tab/>
        <w:t>examinar el Informe de la Asamblea de Radiocomunicaciones presentado con arreglo a los números 135 y 136 del Convenio, y tomar las medidas adecuadas al respecto;</w:t>
      </w:r>
    </w:p>
    <w:p w14:paraId="4BE238F6" w14:textId="77777777" w:rsidR="00F77B29" w:rsidRPr="005C0201" w:rsidRDefault="00F77B29" w:rsidP="00F77B29">
      <w:r w:rsidRPr="005C0201">
        <w:t>6</w:t>
      </w:r>
      <w:r w:rsidRPr="005C0201">
        <w:tab/>
        <w:t>identificar los temas que exigen medidas urgentes de las Comisiones de Estudio de Radiocomunicaciones para la preparación de la próxima Conferencia Mundial de Radiocomunicaciones;</w:t>
      </w:r>
    </w:p>
    <w:p w14:paraId="40B019D9" w14:textId="77777777" w:rsidR="00F77B29" w:rsidRPr="005C0201" w:rsidRDefault="00F77B29" w:rsidP="00F77B29">
      <w:r w:rsidRPr="005C0201">
        <w:lastRenderedPageBreak/>
        <w:t>7</w:t>
      </w:r>
      <w:r w:rsidRPr="005C0201">
        <w:tab/>
        <w:t xml:space="preserve">considerar posibles modificaciones para responder a lo dispuesto en la Resolución 86 (Rev. Marrakech, 2002) de la Conferencia de Plenipotenciarios: </w:t>
      </w:r>
      <w:r w:rsidR="00DB69D9" w:rsidRPr="005C0201">
        <w:t>"</w:t>
      </w:r>
      <w:r w:rsidRPr="005C0201">
        <w:t>Procedimientos de publicación anticipada, de coordinación, de notificación y de inscripción de asignaciones de frecuencias de redes de satélite</w:t>
      </w:r>
      <w:r w:rsidR="00DB69D9" w:rsidRPr="005C0201">
        <w:t>"</w:t>
      </w:r>
      <w:r w:rsidRPr="005C0201">
        <w:t xml:space="preserve"> de conformidad con la Resolución </w:t>
      </w:r>
      <w:r w:rsidRPr="005C0201">
        <w:rPr>
          <w:b/>
          <w:bCs/>
        </w:rPr>
        <w:t>86 (Rev.CMR-07</w:t>
      </w:r>
      <w:r w:rsidRPr="005C0201">
        <w:rPr>
          <w:b/>
        </w:rPr>
        <w:t>)</w:t>
      </w:r>
      <w:r w:rsidRPr="005C0201">
        <w:rPr>
          <w:bCs/>
        </w:rPr>
        <w:t xml:space="preserve">, </w:t>
      </w:r>
      <w:r w:rsidRPr="005C0201">
        <w:t>para facilitar el uso</w:t>
      </w:r>
      <w:r w:rsidRPr="005C0201">
        <w:rPr>
          <w:bCs/>
        </w:rPr>
        <w:t xml:space="preserve"> </w:t>
      </w:r>
      <w:r w:rsidRPr="005C0201">
        <w:t>racional, eficiente y económico de las radiofrecuencias y órbitas asociadas, incluida la órbita de los satélites geoestacionarios;</w:t>
      </w:r>
    </w:p>
    <w:p w14:paraId="3EDC6390" w14:textId="77777777" w:rsidR="00F77B29" w:rsidRPr="005C0201" w:rsidRDefault="00F77B29" w:rsidP="00F77B29">
      <w:bookmarkStart w:id="11" w:name="_Hlk26957874"/>
      <w:r w:rsidRPr="005C0201">
        <w:t>8</w:t>
      </w:r>
      <w:r w:rsidRPr="005C0201">
        <w:tab/>
        <w:t xml:space="preserve">examinar las peticiones de las administraciones de suprimir las notas de sus países o de que se suprima el nombre de sus países de las notas, cuando ya no sea necesario, teniendo en cuenta la Resolución </w:t>
      </w:r>
      <w:r w:rsidRPr="005C0201">
        <w:rPr>
          <w:b/>
          <w:bCs/>
        </w:rPr>
        <w:t>26 (Rev.CMR-19)</w:t>
      </w:r>
      <w:r w:rsidRPr="005C0201">
        <w:t>, y adoptar las medidas oportunas al respecto;</w:t>
      </w:r>
    </w:p>
    <w:p w14:paraId="27E45AF7" w14:textId="77777777" w:rsidR="00F77B29" w:rsidRPr="005C0201" w:rsidRDefault="00F77B29" w:rsidP="00F77B29">
      <w:r w:rsidRPr="005C0201">
        <w:t>9</w:t>
      </w:r>
      <w:r w:rsidRPr="005C0201">
        <w:tab/>
        <w:t xml:space="preserve">examinar y aprobar el Informe del </w:t>
      </w:r>
      <w:proofErr w:type="gramStart"/>
      <w:r w:rsidRPr="005C0201">
        <w:t>Director</w:t>
      </w:r>
      <w:proofErr w:type="gramEnd"/>
      <w:r w:rsidRPr="005C0201">
        <w:t xml:space="preserve"> de la Oficina de Radiocomunicaciones, de conformidad con el Artículo 7 del Convenio:</w:t>
      </w:r>
    </w:p>
    <w:p w14:paraId="7E826C6D" w14:textId="77777777" w:rsidR="00F77B29" w:rsidRPr="005C0201" w:rsidRDefault="00F77B29" w:rsidP="00F77B29">
      <w:r w:rsidRPr="005C0201">
        <w:t>9.1</w:t>
      </w:r>
      <w:r w:rsidRPr="005C0201">
        <w:tab/>
        <w:t>sobre las actividades del Sector de Radiocomunicaciones desde la CMR</w:t>
      </w:r>
      <w:r w:rsidRPr="005C0201">
        <w:noBreakHyphen/>
        <w:t>19:</w:t>
      </w:r>
    </w:p>
    <w:p w14:paraId="6C86825D" w14:textId="77777777" w:rsidR="00F77B29" w:rsidRPr="005C0201" w:rsidRDefault="00F77B29" w:rsidP="00DB69D9">
      <w:pPr>
        <w:pStyle w:val="enumlev1"/>
      </w:pPr>
      <w:r w:rsidRPr="005C0201">
        <w:t>–</w:t>
      </w:r>
      <w:r w:rsidRPr="005C0201">
        <w:tab/>
        <w:t xml:space="preserve">examinar, de conformidad con la Resolución </w:t>
      </w:r>
      <w:r w:rsidRPr="005C0201">
        <w:rPr>
          <w:b/>
          <w:bCs/>
        </w:rPr>
        <w:t>657 (Rev.CMR-19)</w:t>
      </w:r>
      <w:r w:rsidRPr="005C0201">
        <w:t xml:space="preserve">, los resultados de los estudios relativos a las características técnicas y operativas, las necesidades de espectro y la pertenencia al </w:t>
      </w:r>
      <w:r w:rsidRPr="005C0201">
        <w:rPr>
          <w:rFonts w:asciiTheme="minorHAnsi" w:hAnsiTheme="minorHAnsi" w:cstheme="minorHAnsi"/>
          <w:szCs w:val="24"/>
        </w:rPr>
        <w:t>servicio</w:t>
      </w:r>
      <w:r w:rsidRPr="005C0201">
        <w:t xml:space="preserve"> radioeléctrico pertinente de los sensores meteorológicos espaciales con el fin de </w:t>
      </w:r>
      <w:r w:rsidRPr="005C0201">
        <w:rPr>
          <w:rFonts w:asciiTheme="minorHAnsi" w:hAnsiTheme="minorHAnsi" w:cstheme="minorHAnsi"/>
          <w:szCs w:val="24"/>
        </w:rPr>
        <w:t>proporcionar</w:t>
      </w:r>
      <w:r w:rsidRPr="005C0201">
        <w:t xml:space="preserve"> el reconocimiento y protección adecuados en el Reglamento de Radiocomunicaciones, sin imponer restricciones adicionales a los servicios existentes;</w:t>
      </w:r>
    </w:p>
    <w:p w14:paraId="7F4411DB" w14:textId="77777777" w:rsidR="00F77B29" w:rsidRPr="005C0201" w:rsidRDefault="00F77B29" w:rsidP="00F77B29">
      <w:pPr>
        <w:pStyle w:val="enumlev1"/>
        <w:rPr>
          <w:bCs/>
        </w:rPr>
      </w:pPr>
      <w:r w:rsidRPr="005C0201">
        <w:t>–</w:t>
      </w:r>
      <w:r w:rsidRPr="005C0201">
        <w:tab/>
        <w:t>revisar las atribuciones al servicio de aficionados y al servicio de aficionados por satélite en la banda de frecuencias 1 240</w:t>
      </w:r>
      <w:r w:rsidRPr="005C0201">
        <w:noBreakHyphen/>
        <w:t>1 300 MHz con el fin de determinar si son necesarias medidas adicionales para garantizar la protección del servicio de radionavegación por satélite (espacio-Tierra) que funciona en la misma banda, de conformidad con la Resolución</w:t>
      </w:r>
      <w:r w:rsidR="000B17A8" w:rsidRPr="005C0201">
        <w:t> </w:t>
      </w:r>
      <w:r w:rsidRPr="005C0201">
        <w:rPr>
          <w:b/>
          <w:bCs/>
        </w:rPr>
        <w:t>774</w:t>
      </w:r>
      <w:r w:rsidR="000B17A8" w:rsidRPr="005C0201">
        <w:rPr>
          <w:b/>
        </w:rPr>
        <w:t> </w:t>
      </w:r>
      <w:r w:rsidRPr="005C0201">
        <w:rPr>
          <w:b/>
        </w:rPr>
        <w:t>(CMR-19)</w:t>
      </w:r>
      <w:r w:rsidRPr="005C0201">
        <w:rPr>
          <w:bCs/>
        </w:rPr>
        <w:t>;</w:t>
      </w:r>
    </w:p>
    <w:p w14:paraId="716E0A4C" w14:textId="77777777" w:rsidR="00F77B29" w:rsidRPr="005C0201" w:rsidRDefault="00F77B29" w:rsidP="00F77B29">
      <w:pPr>
        <w:pStyle w:val="enumlev1"/>
      </w:pPr>
      <w:r w:rsidRPr="005C0201">
        <w:t>–</w:t>
      </w:r>
      <w:r w:rsidRPr="005C0201">
        <w:tab/>
        <w:t xml:space="preserve">estudiar la utilización de los sistemas de telecomunicaciones móviles internacionales para la banda ancha </w:t>
      </w:r>
      <w:r w:rsidRPr="005C0201">
        <w:rPr>
          <w:rFonts w:asciiTheme="minorHAnsi" w:hAnsiTheme="minorHAnsi" w:cstheme="minorHAnsi"/>
          <w:szCs w:val="24"/>
        </w:rPr>
        <w:t>inalámbrica</w:t>
      </w:r>
      <w:r w:rsidRPr="005C0201">
        <w:t xml:space="preserve"> fija en las bandas de frecuencias atribuidas al servicio fijo a título primario, </w:t>
      </w:r>
      <w:r w:rsidRPr="005C0201">
        <w:rPr>
          <w:rFonts w:asciiTheme="minorHAnsi" w:hAnsiTheme="minorHAnsi" w:cstheme="minorHAnsi"/>
          <w:szCs w:val="24"/>
        </w:rPr>
        <w:t>de</w:t>
      </w:r>
      <w:r w:rsidRPr="005C0201">
        <w:t xml:space="preserve"> conformidad con la Resolución </w:t>
      </w:r>
      <w:r w:rsidRPr="005C0201">
        <w:rPr>
          <w:b/>
        </w:rPr>
        <w:t>175 (CMR-19)</w:t>
      </w:r>
      <w:r w:rsidRPr="005C0201">
        <w:t>;</w:t>
      </w:r>
    </w:p>
    <w:p w14:paraId="258DFCAC" w14:textId="77777777" w:rsidR="00F77B29" w:rsidRPr="005C0201" w:rsidRDefault="00F77B29" w:rsidP="00F77B29">
      <w:r w:rsidRPr="005C0201">
        <w:t>9.2</w:t>
      </w:r>
      <w:r w:rsidRPr="005C0201">
        <w:tab/>
        <w:t>sobre las dificultades o incoherencias observadas en la aplicación del Reglamento de Radiocomunicaciones, y</w:t>
      </w:r>
      <w:r w:rsidR="00FF5D78" w:rsidRPr="005C0201">
        <w:rPr>
          <w:rStyle w:val="FootnoteReference"/>
        </w:rPr>
        <w:footnoteReference w:customMarkFollows="1" w:id="1"/>
        <w:t>1</w:t>
      </w:r>
    </w:p>
    <w:p w14:paraId="53231E16" w14:textId="77777777" w:rsidR="00F77B29" w:rsidRPr="005C0201" w:rsidRDefault="00F77B29" w:rsidP="00F77B29">
      <w:r w:rsidRPr="005C0201">
        <w:t>9.3</w:t>
      </w:r>
      <w:r w:rsidRPr="005C0201">
        <w:tab/>
        <w:t xml:space="preserve">sobre acciones en respuesta a la </w:t>
      </w:r>
      <w:bookmarkStart w:id="12" w:name="_Hlk24492821"/>
      <w:r w:rsidRPr="005C0201">
        <w:t xml:space="preserve">Resolución </w:t>
      </w:r>
      <w:r w:rsidRPr="005C0201">
        <w:rPr>
          <w:b/>
          <w:bCs/>
        </w:rPr>
        <w:t>80 (Rev.CMR-07</w:t>
      </w:r>
      <w:r w:rsidRPr="005C0201">
        <w:t>);</w:t>
      </w:r>
    </w:p>
    <w:bookmarkEnd w:id="12"/>
    <w:p w14:paraId="05461666" w14:textId="77777777" w:rsidR="00F77B29" w:rsidRPr="005C0201" w:rsidRDefault="00F77B29" w:rsidP="00F77B29">
      <w:r w:rsidRPr="005C0201">
        <w:t>10</w:t>
      </w:r>
      <w:r w:rsidRPr="005C0201">
        <w:tab/>
        <w:t xml:space="preserve">recomendar al Consejo los puntos que debe contener el orden del día de la próxima CMR y los temas a incluir en el orden del día preliminar de futuras conferencias, de conformidad con el Artículo 7 del Convenio y la Resolución </w:t>
      </w:r>
      <w:r w:rsidRPr="005C0201">
        <w:rPr>
          <w:b/>
          <w:bCs/>
        </w:rPr>
        <w:t>804 (Rev.CMR-19)</w:t>
      </w:r>
      <w:r w:rsidRPr="005C0201">
        <w:t>,</w:t>
      </w:r>
    </w:p>
    <w:bookmarkEnd w:id="11"/>
    <w:p w14:paraId="6CD609D0" w14:textId="77777777" w:rsidR="00F77B29" w:rsidRPr="005C0201" w:rsidRDefault="00F77B29" w:rsidP="00F77B29">
      <w:pPr>
        <w:pStyle w:val="Call"/>
      </w:pPr>
      <w:r w:rsidRPr="005C0201">
        <w:t>invita al Consejo de la UIT</w:t>
      </w:r>
    </w:p>
    <w:p w14:paraId="6A436AB2" w14:textId="77777777" w:rsidR="00F77B29" w:rsidRPr="005C0201" w:rsidRDefault="00F77B29" w:rsidP="00F77B29">
      <w:r w:rsidRPr="005C0201">
        <w:t>a que ultime el orden del día y tome las disposiciones necesarias para convocar la CMR</w:t>
      </w:r>
      <w:r w:rsidRPr="005C0201">
        <w:noBreakHyphen/>
        <w:t>23, y a que inicie a la mayor brevedad posible las consultas necesarias con los Estados Miembros,</w:t>
      </w:r>
    </w:p>
    <w:p w14:paraId="37610B80" w14:textId="77777777" w:rsidR="00F77B29" w:rsidRPr="005C0201" w:rsidRDefault="00F77B29" w:rsidP="000B17A8">
      <w:pPr>
        <w:pStyle w:val="Call"/>
      </w:pPr>
      <w:r w:rsidRPr="005C0201">
        <w:lastRenderedPageBreak/>
        <w:t xml:space="preserve">encarga al </w:t>
      </w:r>
      <w:proofErr w:type="gramStart"/>
      <w:r w:rsidRPr="005C0201">
        <w:t>Director</w:t>
      </w:r>
      <w:proofErr w:type="gramEnd"/>
      <w:r w:rsidRPr="005C0201">
        <w:t xml:space="preserve"> de la Oficina de Radiocomunicaciones</w:t>
      </w:r>
    </w:p>
    <w:p w14:paraId="2103095D" w14:textId="77777777" w:rsidR="00F77B29" w:rsidRPr="005C0201" w:rsidRDefault="00F77B29" w:rsidP="00F77B29">
      <w:r w:rsidRPr="005C0201">
        <w:t>1</w:t>
      </w:r>
      <w:r w:rsidRPr="005C0201">
        <w:tab/>
        <w:t>que tome las medidas necesarias para convocar las sesiones de la Reunión Preparatoria de la Conferencia y elabore un informe a la CMR</w:t>
      </w:r>
      <w:r w:rsidRPr="005C0201">
        <w:noBreakHyphen/>
        <w:t>23;</w:t>
      </w:r>
    </w:p>
    <w:p w14:paraId="0C8B02CA" w14:textId="77777777" w:rsidR="00F77B29" w:rsidRPr="005C0201" w:rsidRDefault="00F77B29" w:rsidP="00F77B29">
      <w:r w:rsidRPr="005C0201">
        <w:t>2</w:t>
      </w:r>
      <w:r w:rsidRPr="005C0201">
        <w:tab/>
        <w:t>que presente a la segunda sesión de la RPC un proyecto de Informe sobre dificultades o incoherencias observadas en la aplicación del Reglamento de Radiocomunicaciones relativas al punto 9.2 del orden del día y que presente el Informe final al menos cinco meses antes de la próxima CMR,</w:t>
      </w:r>
    </w:p>
    <w:p w14:paraId="4BF6B63B" w14:textId="77777777" w:rsidR="00F77B29" w:rsidRPr="005C0201" w:rsidRDefault="00F77B29" w:rsidP="00F77B29">
      <w:pPr>
        <w:pStyle w:val="Call"/>
      </w:pPr>
      <w:r w:rsidRPr="005C0201">
        <w:t>encarga al Secretario General</w:t>
      </w:r>
    </w:p>
    <w:p w14:paraId="52B9CDC6" w14:textId="77777777" w:rsidR="00F77B29" w:rsidRPr="005C0201" w:rsidRDefault="00F77B29" w:rsidP="00F77B29">
      <w:r w:rsidRPr="005C0201">
        <w:t>que comunique la presente Resolución a las organizaciones internacionales y regionales interesadas.</w:t>
      </w:r>
    </w:p>
    <w:p w14:paraId="3D1804B0" w14:textId="77777777" w:rsidR="007955DA" w:rsidRPr="005C0201" w:rsidRDefault="00F77B29" w:rsidP="00F77B29">
      <w:r w:rsidRPr="005C0201">
        <w:br w:type="page"/>
      </w:r>
    </w:p>
    <w:p w14:paraId="5D78B305" w14:textId="77777777" w:rsidR="00F77B29" w:rsidRPr="005C0201" w:rsidRDefault="00F77B29" w:rsidP="000B17A8">
      <w:pPr>
        <w:pStyle w:val="AnnexNo"/>
      </w:pPr>
      <w:r w:rsidRPr="005C0201">
        <w:lastRenderedPageBreak/>
        <w:t>ANEXO B</w:t>
      </w:r>
    </w:p>
    <w:p w14:paraId="7A78B3E9" w14:textId="77777777" w:rsidR="00F77B29" w:rsidRPr="005C0201" w:rsidRDefault="00F77B29" w:rsidP="000B17A8">
      <w:pPr>
        <w:spacing w:before="240"/>
      </w:pPr>
      <w:r w:rsidRPr="005C0201">
        <w:t>Ref.:</w:t>
      </w:r>
      <w:r w:rsidR="008E6914" w:rsidRPr="005C0201">
        <w:t xml:space="preserve"> </w:t>
      </w:r>
      <w:r w:rsidRPr="005C0201">
        <w:t>TRA/2019/3506</w:t>
      </w:r>
    </w:p>
    <w:p w14:paraId="039ADD78" w14:textId="77777777" w:rsidR="00F77B29" w:rsidRPr="005C0201" w:rsidRDefault="00F77B29" w:rsidP="000B17A8">
      <w:pPr>
        <w:tabs>
          <w:tab w:val="clear" w:pos="567"/>
          <w:tab w:val="clear" w:pos="1134"/>
          <w:tab w:val="clear" w:pos="1701"/>
          <w:tab w:val="clear" w:pos="2268"/>
          <w:tab w:val="clear" w:pos="2835"/>
        </w:tabs>
        <w:overflowPunct/>
        <w:autoSpaceDE/>
        <w:autoSpaceDN/>
        <w:adjustRightInd/>
        <w:spacing w:before="0"/>
        <w:textAlignment w:val="auto"/>
      </w:pPr>
      <w:r w:rsidRPr="005C0201">
        <w:t>Fecha:</w:t>
      </w:r>
      <w:r w:rsidR="008E6914" w:rsidRPr="005C0201">
        <w:t xml:space="preserve"> </w:t>
      </w:r>
      <w:r w:rsidRPr="005C0201">
        <w:t>31/12/2019</w:t>
      </w:r>
    </w:p>
    <w:p w14:paraId="672F06C1" w14:textId="77777777" w:rsidR="00F77B29" w:rsidRPr="005C0201" w:rsidRDefault="00F77B29" w:rsidP="00F77B29">
      <w:pPr>
        <w:rPr>
          <w:b/>
        </w:rPr>
      </w:pPr>
      <w:r w:rsidRPr="005C0201">
        <w:rPr>
          <w:b/>
        </w:rPr>
        <w:t>S.E. Houlin Zhao</w:t>
      </w:r>
    </w:p>
    <w:p w14:paraId="122302DE" w14:textId="77777777" w:rsidR="00F77B29" w:rsidRPr="005C0201" w:rsidRDefault="00F77B29" w:rsidP="000B17A8">
      <w:pPr>
        <w:tabs>
          <w:tab w:val="clear" w:pos="567"/>
          <w:tab w:val="clear" w:pos="1134"/>
          <w:tab w:val="clear" w:pos="1701"/>
          <w:tab w:val="clear" w:pos="2268"/>
          <w:tab w:val="clear" w:pos="2835"/>
        </w:tabs>
        <w:overflowPunct/>
        <w:autoSpaceDE/>
        <w:autoSpaceDN/>
        <w:adjustRightInd/>
        <w:spacing w:before="0"/>
        <w:textAlignment w:val="auto"/>
      </w:pPr>
      <w:r w:rsidRPr="005C0201">
        <w:t xml:space="preserve">Secretario General </w:t>
      </w:r>
    </w:p>
    <w:p w14:paraId="6431AF93" w14:textId="77777777" w:rsidR="00F77B29" w:rsidRPr="005C0201" w:rsidRDefault="00F77B29" w:rsidP="000B17A8">
      <w:pPr>
        <w:tabs>
          <w:tab w:val="clear" w:pos="567"/>
          <w:tab w:val="clear" w:pos="1134"/>
          <w:tab w:val="clear" w:pos="1701"/>
          <w:tab w:val="clear" w:pos="2268"/>
          <w:tab w:val="clear" w:pos="2835"/>
        </w:tabs>
        <w:overflowPunct/>
        <w:autoSpaceDE/>
        <w:autoSpaceDN/>
        <w:adjustRightInd/>
        <w:spacing w:before="0"/>
        <w:textAlignment w:val="auto"/>
      </w:pPr>
      <w:r w:rsidRPr="005C0201">
        <w:t>Unión Internacional de Telecomunicaciones (UIT)</w:t>
      </w:r>
    </w:p>
    <w:p w14:paraId="61298BB1" w14:textId="77777777" w:rsidR="00F77B29" w:rsidRPr="005C0201" w:rsidRDefault="00F77B29" w:rsidP="000B17A8">
      <w:pPr>
        <w:tabs>
          <w:tab w:val="clear" w:pos="567"/>
          <w:tab w:val="clear" w:pos="1134"/>
          <w:tab w:val="clear" w:pos="1701"/>
          <w:tab w:val="clear" w:pos="2268"/>
          <w:tab w:val="clear" w:pos="2835"/>
        </w:tabs>
        <w:overflowPunct/>
        <w:autoSpaceDE/>
        <w:autoSpaceDN/>
        <w:adjustRightInd/>
        <w:spacing w:before="0"/>
        <w:textAlignment w:val="auto"/>
      </w:pPr>
      <w:r w:rsidRPr="005C0201">
        <w:t>CH-1211, Ginebra 20</w:t>
      </w:r>
    </w:p>
    <w:p w14:paraId="11E0F7B8" w14:textId="77777777" w:rsidR="00F77B29" w:rsidRPr="005C0201" w:rsidRDefault="00F77B29" w:rsidP="000B17A8">
      <w:pPr>
        <w:tabs>
          <w:tab w:val="clear" w:pos="567"/>
          <w:tab w:val="clear" w:pos="1134"/>
          <w:tab w:val="clear" w:pos="1701"/>
          <w:tab w:val="clear" w:pos="2268"/>
          <w:tab w:val="clear" w:pos="2835"/>
        </w:tabs>
        <w:overflowPunct/>
        <w:autoSpaceDE/>
        <w:autoSpaceDN/>
        <w:adjustRightInd/>
        <w:spacing w:before="0"/>
        <w:textAlignment w:val="auto"/>
      </w:pPr>
      <w:r w:rsidRPr="005C0201">
        <w:t>Suiza</w:t>
      </w:r>
    </w:p>
    <w:p w14:paraId="7E8C0F54" w14:textId="77777777" w:rsidR="00F77B29" w:rsidRPr="005C0201" w:rsidRDefault="00F77B29" w:rsidP="000B17A8">
      <w:pPr>
        <w:tabs>
          <w:tab w:val="clear" w:pos="567"/>
          <w:tab w:val="clear" w:pos="1134"/>
          <w:tab w:val="clear" w:pos="1701"/>
          <w:tab w:val="clear" w:pos="2268"/>
          <w:tab w:val="clear" w:pos="2835"/>
        </w:tabs>
        <w:overflowPunct/>
        <w:autoSpaceDE/>
        <w:autoSpaceDN/>
        <w:adjustRightInd/>
        <w:spacing w:before="0" w:after="240"/>
        <w:textAlignment w:val="auto"/>
      </w:pPr>
      <w:r w:rsidRPr="005C0201">
        <w:t>Fax:</w:t>
      </w:r>
      <w:r w:rsidR="00B87497" w:rsidRPr="005C0201">
        <w:t xml:space="preserve"> </w:t>
      </w:r>
      <w:r w:rsidRPr="005C0201">
        <w:t>+41 22 730 6675</w:t>
      </w:r>
    </w:p>
    <w:p w14:paraId="5E350047" w14:textId="77777777" w:rsidR="00F77B29" w:rsidRPr="005C0201" w:rsidRDefault="00F77B29" w:rsidP="00F77B29"/>
    <w:p w14:paraId="325879E3" w14:textId="77777777" w:rsidR="00F77B29" w:rsidRPr="005C0201" w:rsidRDefault="00F77B29" w:rsidP="00B87497">
      <w:pPr>
        <w:pStyle w:val="Title4"/>
        <w:rPr>
          <w:u w:val="single"/>
        </w:rPr>
      </w:pPr>
      <w:r w:rsidRPr="005C0201">
        <w:t>Conferencia Mundial de Radiocomunicaciones de la UIT (CMR-23)</w:t>
      </w:r>
    </w:p>
    <w:p w14:paraId="0748C7FE" w14:textId="77777777" w:rsidR="00F77B29" w:rsidRPr="005C0201" w:rsidRDefault="00F77B29" w:rsidP="00F77B29"/>
    <w:p w14:paraId="0E2D1C8A" w14:textId="77777777" w:rsidR="00F77B29" w:rsidRPr="005C0201" w:rsidRDefault="00F77B29" w:rsidP="00B87497">
      <w:pPr>
        <w:pStyle w:val="Normalaftertitle"/>
      </w:pPr>
      <w:r w:rsidRPr="005C0201">
        <w:t>Estimada Excelencia,</w:t>
      </w:r>
    </w:p>
    <w:p w14:paraId="73AC95A0" w14:textId="77777777" w:rsidR="00F77B29" w:rsidRPr="005C0201" w:rsidRDefault="00F77B29" w:rsidP="00F77B29">
      <w:r w:rsidRPr="005C0201">
        <w:t>Tenemos el inmenso placer y honor de anunciar que la Administración de los Emiratos Árabes Unidos expresa el deseo de acoger la Conferencia Mundial de Radiocomunicaciones (CMR-23) en los EAU.</w:t>
      </w:r>
    </w:p>
    <w:p w14:paraId="3EF4FD82" w14:textId="77777777" w:rsidR="00F77B29" w:rsidRPr="005C0201" w:rsidRDefault="00F77B29" w:rsidP="00F77B29">
      <w:r w:rsidRPr="005C0201">
        <w:t xml:space="preserve">Con la rica experiencia obtenida al acoger grandes conferencias de la UIT como la PP-18, la fe y confianza depositadas repetidamente por la UIT y sus </w:t>
      </w:r>
      <w:r w:rsidR="00B87497" w:rsidRPr="005C0201">
        <w:t xml:space="preserve">miembros </w:t>
      </w:r>
      <w:r w:rsidRPr="005C0201">
        <w:t>y las modernas infraestructuras e instalaciones disponibles, confiamos en acoger con éxito la CMR-23.</w:t>
      </w:r>
    </w:p>
    <w:p w14:paraId="57AE2ABC" w14:textId="77777777" w:rsidR="00F77B29" w:rsidRPr="005C0201" w:rsidRDefault="00F77B29" w:rsidP="00F77B29">
      <w:r w:rsidRPr="005C0201">
        <w:t xml:space="preserve">Esperamos que la Secretaría General someta a los Estados Miembros nuestra expresión de interés para acoger la CMR-23 y la consiguiente revisión de las Resoluciones correspondientes para formalizar los procedimientos de acogida. </w:t>
      </w:r>
    </w:p>
    <w:p w14:paraId="4FAA4537" w14:textId="77777777" w:rsidR="00F77B29" w:rsidRPr="005C0201" w:rsidRDefault="00F77B29" w:rsidP="00F77B29">
      <w:r w:rsidRPr="005C0201">
        <w:t>Le ruego acepte, Excelencia, la expresión de mi profunda gratitud</w:t>
      </w:r>
      <w:r w:rsidR="00B87497" w:rsidRPr="005C0201">
        <w:t>.</w:t>
      </w:r>
    </w:p>
    <w:p w14:paraId="522E1D6E" w14:textId="77777777" w:rsidR="00F77B29" w:rsidRPr="005C0201" w:rsidRDefault="00F77B29" w:rsidP="00F77B29">
      <w:r w:rsidRPr="005C0201">
        <w:t>Atentamente</w:t>
      </w:r>
      <w:r w:rsidR="00DB69D9" w:rsidRPr="005C0201">
        <w:t>,</w:t>
      </w:r>
    </w:p>
    <w:p w14:paraId="4E2BE59E" w14:textId="77777777" w:rsidR="00F77B29" w:rsidRPr="005C0201" w:rsidRDefault="00F77B29" w:rsidP="000B17A8">
      <w:pPr>
        <w:spacing w:before="720"/>
      </w:pPr>
      <w:r w:rsidRPr="005C0201">
        <w:t xml:space="preserve">Saeed Al </w:t>
      </w:r>
      <w:proofErr w:type="spellStart"/>
      <w:r w:rsidRPr="005C0201">
        <w:t>Suwaidi</w:t>
      </w:r>
      <w:proofErr w:type="spellEnd"/>
    </w:p>
    <w:p w14:paraId="0514C461" w14:textId="77777777" w:rsidR="00F77B29" w:rsidRPr="005C0201" w:rsidRDefault="00F77B29" w:rsidP="00DB69D9">
      <w:pPr>
        <w:spacing w:before="0"/>
      </w:pPr>
      <w:r w:rsidRPr="005C0201">
        <w:t>Director General en funciones</w:t>
      </w:r>
    </w:p>
    <w:p w14:paraId="08BE78E3" w14:textId="77777777" w:rsidR="00F77B29" w:rsidRPr="005C0201" w:rsidRDefault="00F77B29" w:rsidP="00F77B29">
      <w:r w:rsidRPr="005C0201">
        <w:br w:type="page"/>
      </w:r>
    </w:p>
    <w:p w14:paraId="0E30400F" w14:textId="77777777" w:rsidR="00F77B29" w:rsidRPr="005C0201" w:rsidRDefault="00F77B29" w:rsidP="0087146D">
      <w:pPr>
        <w:pStyle w:val="AnnexNo"/>
      </w:pPr>
      <w:r w:rsidRPr="005C0201">
        <w:lastRenderedPageBreak/>
        <w:t>ANEXO C</w:t>
      </w:r>
    </w:p>
    <w:p w14:paraId="6C163DA3" w14:textId="77777777" w:rsidR="00F77B29" w:rsidRPr="005C0201" w:rsidRDefault="00F77B29" w:rsidP="00DB69D9">
      <w:pPr>
        <w:pStyle w:val="ResNo"/>
      </w:pPr>
      <w:r w:rsidRPr="005C0201">
        <w:t>PROYECTO DE RESOLUCIÓN</w:t>
      </w:r>
    </w:p>
    <w:p w14:paraId="2C478D47" w14:textId="77777777" w:rsidR="00F77B29" w:rsidRPr="005C0201" w:rsidRDefault="00F77B29" w:rsidP="00DB69D9">
      <w:pPr>
        <w:pStyle w:val="Restitle"/>
      </w:pPr>
      <w:r w:rsidRPr="005C0201">
        <w:t>Orden del día de la Conferencia Mundial</w:t>
      </w:r>
      <w:r w:rsidR="0087146D" w:rsidRPr="005C0201">
        <w:t xml:space="preserve"> </w:t>
      </w:r>
      <w:r w:rsidRPr="005C0201">
        <w:t>de Radiocomunicaciones (CMR-23)</w:t>
      </w:r>
    </w:p>
    <w:p w14:paraId="5003A865" w14:textId="77777777" w:rsidR="00F77B29" w:rsidRPr="005C0201" w:rsidRDefault="00F77B29" w:rsidP="00DB69D9">
      <w:pPr>
        <w:pStyle w:val="Normalaftertitle"/>
      </w:pPr>
      <w:r w:rsidRPr="005C0201">
        <w:t>El Consejo de la UIT,</w:t>
      </w:r>
    </w:p>
    <w:p w14:paraId="37600F19" w14:textId="77777777" w:rsidR="00F77B29" w:rsidRPr="005C0201" w:rsidRDefault="00F77B29" w:rsidP="0087146D">
      <w:pPr>
        <w:pStyle w:val="Call"/>
      </w:pPr>
      <w:r w:rsidRPr="005C0201">
        <w:t>observando</w:t>
      </w:r>
    </w:p>
    <w:p w14:paraId="7B2FF4D7" w14:textId="77777777" w:rsidR="00F77B29" w:rsidRPr="005C0201" w:rsidRDefault="00F77B29" w:rsidP="00F77B29">
      <w:r w:rsidRPr="005C0201">
        <w:t>que en la Resolución 811 de la Conferencia Mundial de Radiocomunicaciones (Sharm el-</w:t>
      </w:r>
      <w:proofErr w:type="spellStart"/>
      <w:r w:rsidRPr="005C0201">
        <w:t>Sheikh</w:t>
      </w:r>
      <w:proofErr w:type="spellEnd"/>
      <w:r w:rsidRPr="005C0201">
        <w:t>, 2019):</w:t>
      </w:r>
    </w:p>
    <w:p w14:paraId="79D0D63C" w14:textId="77777777" w:rsidR="00F77B29" w:rsidRPr="005C0201" w:rsidRDefault="00F77B29" w:rsidP="00F77B29">
      <w:r w:rsidRPr="005C0201">
        <w:rPr>
          <w:i/>
          <w:iCs/>
        </w:rPr>
        <w:t>a)</w:t>
      </w:r>
      <w:r w:rsidRPr="005C0201">
        <w:tab/>
        <w:t>se resuelve recomendar al Consejo la celebración de una Conferencia Mundial de Radiocomunicaciones en 2023 con una duración máxima de cuatro semanas;</w:t>
      </w:r>
    </w:p>
    <w:p w14:paraId="5BB7BEFF" w14:textId="77777777" w:rsidR="00F77B29" w:rsidRPr="005C0201" w:rsidRDefault="00F77B29" w:rsidP="00F77B29">
      <w:r w:rsidRPr="005C0201">
        <w:rPr>
          <w:i/>
          <w:iCs/>
        </w:rPr>
        <w:t>b)</w:t>
      </w:r>
      <w:r w:rsidRPr="005C0201">
        <w:tab/>
        <w:t>se formulan recomendaciones sobre su orden del día, y se invita al Consejo a finalizar el orden del día, a tomar las disposiciones oportunas para convocar la CMR-23, y a iniciar lo antes posible las correspondientes consultas con los Estados Miembros,</w:t>
      </w:r>
    </w:p>
    <w:p w14:paraId="33271893" w14:textId="77777777" w:rsidR="00F77B29" w:rsidRPr="005C0201" w:rsidRDefault="00F77B29" w:rsidP="0087146D">
      <w:pPr>
        <w:pStyle w:val="Call"/>
      </w:pPr>
      <w:r w:rsidRPr="005C0201">
        <w:t>resuelve</w:t>
      </w:r>
    </w:p>
    <w:p w14:paraId="7DE6945E" w14:textId="77777777" w:rsidR="00F77B29" w:rsidRPr="005C0201" w:rsidRDefault="00F77B29" w:rsidP="00F77B29">
      <w:r w:rsidRPr="005C0201">
        <w:t>convocar una Conferencia Mundial de Radiocomunicaciones (CMR-23) en 2023, precedida de una Asamblea de Radiocomunicaciones, con el siguiente orden del día:</w:t>
      </w:r>
    </w:p>
    <w:p w14:paraId="11D6D99B" w14:textId="77777777" w:rsidR="00F77B29" w:rsidRPr="005C0201" w:rsidRDefault="00F77B29" w:rsidP="00F77B29">
      <w:r w:rsidRPr="005C0201">
        <w:t>1</w:t>
      </w:r>
      <w:r w:rsidRPr="005C0201">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w:t>
      </w:r>
    </w:p>
    <w:p w14:paraId="7A66C1BB" w14:textId="77777777" w:rsidR="00F77B29" w:rsidRPr="005C0201" w:rsidRDefault="00F77B29" w:rsidP="00F77B29">
      <w:pPr>
        <w:rPr>
          <w:bCs/>
        </w:rPr>
      </w:pPr>
      <w:r w:rsidRPr="005C0201">
        <w:t>1.1</w:t>
      </w:r>
      <w:r w:rsidRPr="005C0201">
        <w:tab/>
        <w:t xml:space="preserve">considerar, sobre la base de los resultados de los estudios del UIT-R para la banda de frecuencias 4 800-4 990 MHz, posibles medidas de protección de las estaciones del servicio móvil aeronáutico y marítimo situadas en aguas internacionales o en el espacio aéreo internacional contra otras estaciones situadas en territorios nacionales, y revisar los criterios de </w:t>
      </w:r>
      <w:proofErr w:type="spellStart"/>
      <w:r w:rsidRPr="005C0201">
        <w:t>dfp</w:t>
      </w:r>
      <w:proofErr w:type="spellEnd"/>
      <w:r w:rsidRPr="005C0201">
        <w:t xml:space="preserve"> del número</w:t>
      </w:r>
      <w:r w:rsidR="0087146D" w:rsidRPr="005C0201">
        <w:t> </w:t>
      </w:r>
      <w:r w:rsidRPr="005C0201">
        <w:rPr>
          <w:b/>
          <w:bCs/>
        </w:rPr>
        <w:t>5.441B</w:t>
      </w:r>
      <w:r w:rsidRPr="005C0201">
        <w:t xml:space="preserve">, de conformidad con la Resolución </w:t>
      </w:r>
      <w:r w:rsidRPr="005C0201">
        <w:rPr>
          <w:b/>
          <w:bCs/>
        </w:rPr>
        <w:t>223</w:t>
      </w:r>
      <w:r w:rsidRPr="005C0201">
        <w:rPr>
          <w:b/>
        </w:rPr>
        <w:t xml:space="preserve"> (Rev.CMR-19)</w:t>
      </w:r>
      <w:r w:rsidRPr="005C0201">
        <w:rPr>
          <w:bCs/>
        </w:rPr>
        <w:t>;</w:t>
      </w:r>
    </w:p>
    <w:p w14:paraId="53232C80" w14:textId="77777777" w:rsidR="00F77B29" w:rsidRPr="005C0201" w:rsidRDefault="00F77B29" w:rsidP="00F77B29">
      <w:r w:rsidRPr="005C0201">
        <w:t>1.2</w:t>
      </w:r>
      <w:r w:rsidRPr="005C0201">
        <w:tab/>
        <w:t>considerar la identificación de las bandas de frecuencias 3 300-3 400 MHz, 3 600</w:t>
      </w:r>
      <w:r w:rsidRPr="005C0201">
        <w:noBreakHyphen/>
        <w:t xml:space="preserve">3 800 MHz, 6 425-7 025 MHz, 7 025-7 125 MHz y 10,0-10,5 GHz para las Telecomunicaciones Móviles Internacionales (IMT), incluidas posibles atribuciones adicionales al servicio móvil a título primario, de conformidad con la Resolución </w:t>
      </w:r>
      <w:r w:rsidRPr="005C0201">
        <w:rPr>
          <w:b/>
        </w:rPr>
        <w:t>245 (CMR-19)</w:t>
      </w:r>
      <w:r w:rsidRPr="005C0201">
        <w:t>;</w:t>
      </w:r>
    </w:p>
    <w:p w14:paraId="076F173A" w14:textId="77777777" w:rsidR="00F77B29" w:rsidRPr="005C0201" w:rsidRDefault="00F77B29" w:rsidP="00F77B29">
      <w:r w:rsidRPr="005C0201">
        <w:t>1.3</w:t>
      </w:r>
      <w:r w:rsidRPr="005C0201">
        <w:tab/>
        <w:t xml:space="preserve">considerar la atribución a título primario de la banda de frecuencias 3 600-3 800 MHz al servicio móvil en la Región 1 y la adopción de las medidas reglamentarias convenientes, de conformidad con la Resolución </w:t>
      </w:r>
      <w:r w:rsidRPr="005C0201">
        <w:rPr>
          <w:b/>
        </w:rPr>
        <w:t>246 (CMR-19)</w:t>
      </w:r>
      <w:r w:rsidRPr="005C0201">
        <w:t>;</w:t>
      </w:r>
    </w:p>
    <w:p w14:paraId="4BDAAEB0" w14:textId="77777777" w:rsidR="00F77B29" w:rsidRPr="005C0201" w:rsidRDefault="00F77B29" w:rsidP="00F77B29">
      <w:r w:rsidRPr="005C0201">
        <w:rPr>
          <w:bCs/>
        </w:rPr>
        <w:t>1.4</w:t>
      </w:r>
      <w:r w:rsidRPr="005C0201">
        <w:rPr>
          <w:b/>
        </w:rPr>
        <w:tab/>
      </w:r>
      <w:r w:rsidRPr="005C0201">
        <w:t xml:space="preserve">considerar, de conformidad con la Resolución </w:t>
      </w:r>
      <w:r w:rsidRPr="005C0201">
        <w:rPr>
          <w:b/>
          <w:bCs/>
        </w:rPr>
        <w:t xml:space="preserve">247 </w:t>
      </w:r>
      <w:r w:rsidRPr="005C0201">
        <w:rPr>
          <w:b/>
        </w:rPr>
        <w:t>(CMR-19)</w:t>
      </w:r>
      <w:r w:rsidRPr="005C0201">
        <w:t xml:space="preserve">, la utilización de estaciones en plataformas a gran altitud como estaciones base IMT (HIBS) del servicio móvil en ciertas bandas </w:t>
      </w:r>
      <w:r w:rsidRPr="005C0201">
        <w:rPr>
          <w:bCs/>
        </w:rPr>
        <w:t xml:space="preserve">de frecuencias </w:t>
      </w:r>
      <w:r w:rsidRPr="005C0201">
        <w:t>por debajo de 2,7 GHz ya identificadas para las IMT, a nivel mundial o regional;</w:t>
      </w:r>
    </w:p>
    <w:p w14:paraId="1F6C6CA2" w14:textId="77777777" w:rsidR="00F77B29" w:rsidRPr="005C0201" w:rsidRDefault="00F77B29" w:rsidP="00F77B29">
      <w:r w:rsidRPr="005C0201">
        <w:rPr>
          <w:bCs/>
        </w:rPr>
        <w:t>1.5</w:t>
      </w:r>
      <w:r w:rsidRPr="005C0201">
        <w:rPr>
          <w:b/>
        </w:rPr>
        <w:tab/>
      </w:r>
      <w:r w:rsidRPr="005C0201">
        <w:t>examinar la utilización del espectro y las necesidades de espectro de los servicios existentes en la banda de frecuencias 470-960 MHz en la Región 1 y considerar posibles medidas reglamentarias para la banda de frecuencias 470</w:t>
      </w:r>
      <w:r w:rsidRPr="005C0201">
        <w:noBreakHyphen/>
        <w:t>694 MHz en la Región 1 a partir del examen previsto en la Resolución </w:t>
      </w:r>
      <w:r w:rsidRPr="005C0201">
        <w:rPr>
          <w:b/>
          <w:bCs/>
        </w:rPr>
        <w:t>235</w:t>
      </w:r>
      <w:r w:rsidRPr="005C0201">
        <w:t xml:space="preserve"> </w:t>
      </w:r>
      <w:r w:rsidRPr="005C0201">
        <w:rPr>
          <w:b/>
          <w:bCs/>
        </w:rPr>
        <w:t>(CMR</w:t>
      </w:r>
      <w:r w:rsidRPr="005C0201">
        <w:rPr>
          <w:b/>
          <w:bCs/>
        </w:rPr>
        <w:noBreakHyphen/>
        <w:t>15)</w:t>
      </w:r>
      <w:r w:rsidRPr="005C0201">
        <w:t>;</w:t>
      </w:r>
    </w:p>
    <w:p w14:paraId="1D903C66" w14:textId="77777777" w:rsidR="00F77B29" w:rsidRPr="005C0201" w:rsidRDefault="00F77B29" w:rsidP="00F77B29">
      <w:r w:rsidRPr="005C0201">
        <w:lastRenderedPageBreak/>
        <w:t>1.6</w:t>
      </w:r>
      <w:r w:rsidRPr="005C0201">
        <w:tab/>
        <w:t xml:space="preserve">considerar, de conformidad con la Resolución </w:t>
      </w:r>
      <w:r w:rsidRPr="005C0201">
        <w:rPr>
          <w:b/>
          <w:bCs/>
        </w:rPr>
        <w:t>772 (CMR</w:t>
      </w:r>
      <w:r w:rsidRPr="005C0201">
        <w:rPr>
          <w:b/>
          <w:bCs/>
        </w:rPr>
        <w:noBreakHyphen/>
        <w:t>19)</w:t>
      </w:r>
      <w:r w:rsidRPr="005C0201">
        <w:t>, disposiciones reglamentarias para facilitar las radiocomunicaciones para vehículos suborbitales;</w:t>
      </w:r>
    </w:p>
    <w:p w14:paraId="4169DBB6" w14:textId="77777777" w:rsidR="00F77B29" w:rsidRPr="005C0201" w:rsidRDefault="00F77B29" w:rsidP="00F77B29">
      <w:r w:rsidRPr="005C0201">
        <w:t>1.7</w:t>
      </w:r>
      <w:r w:rsidRPr="005C0201">
        <w:tab/>
        <w:t xml:space="preserve">considerar la posibilidad de efectuar una nueva atribución al servicio móvil aeronáutico (R) por satélite (SMA(R)S) de conformidad con la Resolución </w:t>
      </w:r>
      <w:r w:rsidRPr="005C0201">
        <w:rPr>
          <w:b/>
          <w:bCs/>
        </w:rPr>
        <w:t>428 (CMR-19)</w:t>
      </w:r>
      <w:r w:rsidRPr="005C0201">
        <w:t>, tanto para el sentido Tierra-espacio como espacio-Tierra, de las comunicaciones aeronáuticas en ondas métricas en toda la banda de frecuencias 117,975-137 MHz, o en parte de la misma, sin imponer restricciones indebidas a los sistemas en ondas métricas existentes del SMA(R)S, el SRNA y en bandas adyacentes;</w:t>
      </w:r>
    </w:p>
    <w:p w14:paraId="151EB9F9" w14:textId="77777777" w:rsidR="00F77B29" w:rsidRPr="005C0201" w:rsidRDefault="00F77B29" w:rsidP="00F77B29">
      <w:r w:rsidRPr="005C0201">
        <w:t>1.8</w:t>
      </w:r>
      <w:r w:rsidRPr="005C0201">
        <w:tab/>
        <w:t>considerar, basándose en los estudios del UIT-R previstos en la Resolución </w:t>
      </w:r>
      <w:r w:rsidRPr="005C0201">
        <w:rPr>
          <w:b/>
          <w:bCs/>
        </w:rPr>
        <w:t>171</w:t>
      </w:r>
      <w:r w:rsidRPr="005C0201">
        <w:rPr>
          <w:b/>
        </w:rPr>
        <w:t xml:space="preserve"> (CMR-19)</w:t>
      </w:r>
      <w:r w:rsidRPr="005C0201">
        <w:t>, medidas regulatorias adecuadas, para examinar y, de ser necesario, enmendar la Resolución</w:t>
      </w:r>
      <w:r w:rsidR="0087146D" w:rsidRPr="005C0201">
        <w:t> </w:t>
      </w:r>
      <w:r w:rsidRPr="005C0201">
        <w:rPr>
          <w:b/>
        </w:rPr>
        <w:t>155</w:t>
      </w:r>
      <w:r w:rsidR="0087146D" w:rsidRPr="005C0201">
        <w:rPr>
          <w:b/>
        </w:rPr>
        <w:t> </w:t>
      </w:r>
      <w:r w:rsidRPr="005C0201">
        <w:rPr>
          <w:b/>
        </w:rPr>
        <w:t>(Rev.CMR-19)</w:t>
      </w:r>
      <w:r w:rsidRPr="005C0201">
        <w:t xml:space="preserve"> y el número </w:t>
      </w:r>
      <w:r w:rsidRPr="005C0201">
        <w:rPr>
          <w:b/>
        </w:rPr>
        <w:t>5.484B</w:t>
      </w:r>
      <w:r w:rsidRPr="005C0201">
        <w:t xml:space="preserve"> del RR con objeto de permitir la utilización de redes de satélites del servicio fijo (SFS) para el control y las comunicaciones sin carga útil de sistemas de aeronaves no tripuladas;</w:t>
      </w:r>
    </w:p>
    <w:p w14:paraId="56D14BAA" w14:textId="77777777" w:rsidR="00F77B29" w:rsidRPr="005C0201" w:rsidRDefault="00F77B29" w:rsidP="00F77B29">
      <w:r w:rsidRPr="005C0201">
        <w:t>1.9</w:t>
      </w:r>
      <w:r w:rsidRPr="005C0201">
        <w:tab/>
        <w:t xml:space="preserve">revisar el Apéndice </w:t>
      </w:r>
      <w:r w:rsidRPr="005C0201">
        <w:rPr>
          <w:b/>
          <w:bCs/>
        </w:rPr>
        <w:t>27</w:t>
      </w:r>
      <w:r w:rsidRPr="005C0201">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w:t>
      </w:r>
      <w:proofErr w:type="spellStart"/>
      <w:r w:rsidRPr="005C0201">
        <w:t>decamétricas</w:t>
      </w:r>
      <w:proofErr w:type="spellEnd"/>
      <w:r w:rsidRPr="005C0201">
        <w:t xml:space="preserve"> atribuidas al servicio móvil aeronáutico (R) y garantizar la coexistencia de los actuales sistemas de ondas </w:t>
      </w:r>
      <w:proofErr w:type="spellStart"/>
      <w:r w:rsidRPr="005C0201">
        <w:t>decamétricas</w:t>
      </w:r>
      <w:proofErr w:type="spellEnd"/>
      <w:r w:rsidRPr="005C0201">
        <w:t xml:space="preserve"> con los sistemas de ondas </w:t>
      </w:r>
      <w:proofErr w:type="spellStart"/>
      <w:r w:rsidRPr="005C0201">
        <w:t>decamétricas</w:t>
      </w:r>
      <w:proofErr w:type="spellEnd"/>
      <w:r w:rsidRPr="005C0201">
        <w:t xml:space="preserve"> modernizados, de conformidad con la Resolución</w:t>
      </w:r>
      <w:r w:rsidRPr="005C0201">
        <w:rPr>
          <w:b/>
        </w:rPr>
        <w:t xml:space="preserve"> </w:t>
      </w:r>
      <w:r w:rsidRPr="005C0201">
        <w:rPr>
          <w:b/>
          <w:bCs/>
        </w:rPr>
        <w:t xml:space="preserve">429 </w:t>
      </w:r>
      <w:r w:rsidRPr="005C0201">
        <w:rPr>
          <w:b/>
        </w:rPr>
        <w:t>(CMR</w:t>
      </w:r>
      <w:r w:rsidRPr="005C0201">
        <w:rPr>
          <w:b/>
        </w:rPr>
        <w:noBreakHyphen/>
        <w:t>19)</w:t>
      </w:r>
      <w:r w:rsidRPr="005C0201">
        <w:t>;</w:t>
      </w:r>
    </w:p>
    <w:p w14:paraId="36509A2A" w14:textId="77777777" w:rsidR="00F77B29" w:rsidRPr="005C0201" w:rsidRDefault="00F77B29" w:rsidP="00F77B29">
      <w:r w:rsidRPr="005C0201">
        <w:t>1.10</w:t>
      </w:r>
      <w:r w:rsidRPr="005C0201">
        <w:tab/>
        <w:t xml:space="preserve">realizar estudios sobre las necesidades de espectro, la coexistencia con los servicios de radiocomunicaciones y las medidas reglamentarias para las posibles nuevas atribuciones al servicio móvil aeronáutico para la utilización de aplicaciones móviles aeronáuticas no relacionadas con la seguridad, de conformidad con la Resolución </w:t>
      </w:r>
      <w:r w:rsidRPr="005C0201">
        <w:rPr>
          <w:b/>
          <w:bCs/>
        </w:rPr>
        <w:t>430 (CMR-19)</w:t>
      </w:r>
      <w:r w:rsidRPr="005C0201">
        <w:t>;</w:t>
      </w:r>
    </w:p>
    <w:p w14:paraId="4D371C31" w14:textId="77777777" w:rsidR="00F77B29" w:rsidRPr="005C0201" w:rsidRDefault="00F77B29" w:rsidP="00F77B29">
      <w:r w:rsidRPr="005C0201">
        <w:rPr>
          <w:bCs/>
        </w:rPr>
        <w:t>1.11</w:t>
      </w:r>
      <w:r w:rsidRPr="005C0201">
        <w:rPr>
          <w:b/>
        </w:rPr>
        <w:tab/>
      </w:r>
      <w:r w:rsidRPr="005C0201">
        <w:t>considerar las posibles medidas reglamentarias para facilitar la modernización del Sistema Mundial de Socorro y Seguridad Marítimos y la aplicación de la navegación electrónica, de conformidad con la Resolución </w:t>
      </w:r>
      <w:r w:rsidRPr="005C0201">
        <w:rPr>
          <w:b/>
          <w:bCs/>
        </w:rPr>
        <w:t>361 (Rev.CMR-19)</w:t>
      </w:r>
      <w:r w:rsidRPr="005C0201">
        <w:t>;</w:t>
      </w:r>
    </w:p>
    <w:p w14:paraId="564162F5" w14:textId="77777777" w:rsidR="00F77B29" w:rsidRPr="005C0201" w:rsidRDefault="00F77B29" w:rsidP="00F77B29">
      <w:pPr>
        <w:rPr>
          <w:b/>
          <w:bCs/>
        </w:rPr>
      </w:pPr>
      <w:r w:rsidRPr="005C0201">
        <w:t>1.12</w:t>
      </w:r>
      <w:r w:rsidRPr="005C0201">
        <w:tab/>
        <w:t>realizar y completar, a tiempo para la CMR</w:t>
      </w:r>
      <w:r w:rsidRPr="005C0201">
        <w:noBreakHyphen/>
        <w:t xml:space="preserve">23, estudios para una posible nueva atribución secundaria al servicio de exploración de la Tierra por satélite (activo) para sondas de radar aerotransportadas en la gama de frecuencias alrededor de 45 MHz, teniendo en cuenta la protección de los servicios establecidos, incluidas las bandas </w:t>
      </w:r>
      <w:r w:rsidRPr="005C0201">
        <w:rPr>
          <w:bCs/>
        </w:rPr>
        <w:t xml:space="preserve">de frecuencias </w:t>
      </w:r>
      <w:r w:rsidRPr="005C0201">
        <w:t>adyacentes, de conformidad con la Resolución </w:t>
      </w:r>
      <w:r w:rsidRPr="005C0201">
        <w:rPr>
          <w:b/>
          <w:bCs/>
        </w:rPr>
        <w:t>656 (Rev.CMR-19)</w:t>
      </w:r>
      <w:r w:rsidRPr="005C0201">
        <w:t>;</w:t>
      </w:r>
    </w:p>
    <w:p w14:paraId="257E4512" w14:textId="77777777" w:rsidR="00F77B29" w:rsidRPr="005C0201" w:rsidRDefault="00F77B29" w:rsidP="00F77B29">
      <w:r w:rsidRPr="005C0201">
        <w:t>1.13</w:t>
      </w:r>
      <w:r w:rsidRPr="005C0201">
        <w:tab/>
        <w:t xml:space="preserve">considerar la posible elevación de la categoría de la atribución al servicio de investigación espacial en la banda </w:t>
      </w:r>
      <w:r w:rsidRPr="005C0201">
        <w:rPr>
          <w:bCs/>
        </w:rPr>
        <w:t xml:space="preserve">de frecuencias </w:t>
      </w:r>
      <w:r w:rsidRPr="005C0201">
        <w:t>14,8-15,35 GHz, de conformidad con la Resolución</w:t>
      </w:r>
      <w:r w:rsidR="0087146D" w:rsidRPr="005C0201">
        <w:t> </w:t>
      </w:r>
      <w:r w:rsidRPr="005C0201">
        <w:rPr>
          <w:b/>
          <w:bCs/>
        </w:rPr>
        <w:t>661</w:t>
      </w:r>
      <w:r w:rsidR="0087146D" w:rsidRPr="005C0201">
        <w:rPr>
          <w:b/>
          <w:bCs/>
        </w:rPr>
        <w:t> </w:t>
      </w:r>
      <w:r w:rsidRPr="005C0201">
        <w:rPr>
          <w:b/>
          <w:bCs/>
        </w:rPr>
        <w:t>(CMR</w:t>
      </w:r>
      <w:r w:rsidRPr="005C0201">
        <w:rPr>
          <w:b/>
          <w:bCs/>
        </w:rPr>
        <w:noBreakHyphen/>
        <w:t>19)</w:t>
      </w:r>
      <w:r w:rsidRPr="005C0201">
        <w:t>;</w:t>
      </w:r>
    </w:p>
    <w:p w14:paraId="782C84E0" w14:textId="77777777" w:rsidR="00F77B29" w:rsidRPr="005C0201" w:rsidRDefault="00F77B29" w:rsidP="00F77B29">
      <w:r w:rsidRPr="005C0201">
        <w:t>1.14</w:t>
      </w:r>
      <w:r w:rsidRPr="005C0201">
        <w:tab/>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Pr="005C0201">
        <w:rPr>
          <w:b/>
          <w:bCs/>
        </w:rPr>
        <w:t>662 (CMR-19)</w:t>
      </w:r>
      <w:r w:rsidRPr="005C0201">
        <w:t>;</w:t>
      </w:r>
    </w:p>
    <w:p w14:paraId="5EF26E33" w14:textId="77777777" w:rsidR="00F77B29" w:rsidRPr="005C0201" w:rsidRDefault="00F77B29" w:rsidP="00F77B29">
      <w:r w:rsidRPr="005C0201">
        <w:t>1.15</w:t>
      </w:r>
      <w:r w:rsidRPr="005C0201">
        <w:tab/>
        <w:t>armonizar a escala mundial la utilización de la banda de frecuencias 12,75</w:t>
      </w:r>
      <w:r w:rsidRPr="005C0201">
        <w:noBreakHyphen/>
        <w:t xml:space="preserve">13,25 GHz (Tierra-espacio) por las estaciones terrenas a bordo de aeronaves y barcos que se comunican con estaciones espaciales geoestacionarias del servicio fijo por satélite, de conformidad con la Resolución </w:t>
      </w:r>
      <w:r w:rsidRPr="005C0201">
        <w:rPr>
          <w:b/>
          <w:bCs/>
        </w:rPr>
        <w:t xml:space="preserve">172 </w:t>
      </w:r>
      <w:r w:rsidRPr="005C0201">
        <w:rPr>
          <w:b/>
        </w:rPr>
        <w:t>(CMR-19)</w:t>
      </w:r>
      <w:r w:rsidRPr="005C0201">
        <w:t>;</w:t>
      </w:r>
    </w:p>
    <w:p w14:paraId="157A78DD" w14:textId="77777777" w:rsidR="00F77B29" w:rsidRPr="005C0201" w:rsidRDefault="00F77B29" w:rsidP="00F77B29">
      <w:r w:rsidRPr="005C0201">
        <w:lastRenderedPageBreak/>
        <w:t>1.16</w:t>
      </w:r>
      <w:r w:rsidRPr="005C0201">
        <w:tab/>
        <w:t>estudiar y desarrollar medidas técnicas, operativas y reglamentarias, según proceda, para facilitar la utilización de las bandas de frecuencias 17,7</w:t>
      </w:r>
      <w:r w:rsidRPr="005C0201">
        <w:noBreakHyphen/>
        <w:t>18,6 GHz y 18,8</w:t>
      </w:r>
      <w:r w:rsidRPr="005C0201">
        <w:noBreakHyphen/>
        <w:t>19,3 GHz y 19,7</w:t>
      </w:r>
      <w:r w:rsidRPr="005C0201">
        <w:noBreakHyphen/>
        <w:t>20,2 GHz (espacio</w:t>
      </w:r>
      <w:r w:rsidRPr="005C0201">
        <w:noBreakHyphen/>
        <w:t>Tierra) y 27,5</w:t>
      </w:r>
      <w:r w:rsidRPr="005C0201">
        <w:noBreakHyphen/>
        <w:t>29,1 GHz y 29,5</w:t>
      </w:r>
      <w:r w:rsidRPr="005C0201">
        <w:noBreakHyphen/>
        <w:t xml:space="preserve">30 GHz (Tierra-espacio) por las estaciones terrenas en movimiento del SFS no OSG, garantizando a su vez la debida protección de los servicios existentes en dichas bandas de frecuencias, de conformidad con la Resolución </w:t>
      </w:r>
      <w:r w:rsidRPr="005C0201">
        <w:rPr>
          <w:b/>
          <w:bCs/>
        </w:rPr>
        <w:t>173 (CMR</w:t>
      </w:r>
      <w:r w:rsidRPr="005C0201">
        <w:rPr>
          <w:b/>
          <w:bCs/>
        </w:rPr>
        <w:noBreakHyphen/>
        <w:t>19)</w:t>
      </w:r>
      <w:r w:rsidRPr="005C0201">
        <w:t>;</w:t>
      </w:r>
    </w:p>
    <w:p w14:paraId="167B8410" w14:textId="77777777" w:rsidR="00F77B29" w:rsidRPr="005C0201" w:rsidRDefault="00F77B29" w:rsidP="00F77B29">
      <w:r w:rsidRPr="005C0201">
        <w:t>1.17</w:t>
      </w:r>
      <w:r w:rsidRPr="005C0201">
        <w:tab/>
        <w:t>determinar y tomar, basándose en los estudios del UIT-R previstos en la Resolución</w:t>
      </w:r>
      <w:r w:rsidR="0087146D" w:rsidRPr="005C0201">
        <w:t> </w:t>
      </w:r>
      <w:r w:rsidRPr="005C0201">
        <w:rPr>
          <w:b/>
          <w:bCs/>
        </w:rPr>
        <w:t>773</w:t>
      </w:r>
      <w:r w:rsidR="0087146D" w:rsidRPr="005C0201">
        <w:rPr>
          <w:b/>
        </w:rPr>
        <w:t> </w:t>
      </w:r>
      <w:r w:rsidRPr="005C0201">
        <w:rPr>
          <w:b/>
        </w:rPr>
        <w:t>(CMR-19)</w:t>
      </w:r>
      <w:r w:rsidRPr="005C0201">
        <w:t>,</w:t>
      </w:r>
      <w:r w:rsidRPr="005C0201">
        <w:rPr>
          <w:b/>
        </w:rPr>
        <w:t xml:space="preserve"> </w:t>
      </w:r>
      <w:r w:rsidRPr="005C0201">
        <w:t xml:space="preserve">las medidas reglamentarias apropiadas para el establecimiento de enlaces entre satélites en bandas de frecuencias específicas o tramos de </w:t>
      </w:r>
      <w:proofErr w:type="gramStart"/>
      <w:r w:rsidRPr="005C0201">
        <w:t>las mismas</w:t>
      </w:r>
      <w:proofErr w:type="gramEnd"/>
      <w:r w:rsidRPr="005C0201">
        <w:t>, agregando una atribución a un servicio entre satélites donde corresponda;</w:t>
      </w:r>
    </w:p>
    <w:p w14:paraId="1B86221F" w14:textId="77777777" w:rsidR="00F77B29" w:rsidRPr="005C0201" w:rsidRDefault="00F77B29" w:rsidP="00F77B29">
      <w:r w:rsidRPr="005C0201">
        <w:t>1.18</w:t>
      </w:r>
      <w:r w:rsidRPr="005C0201">
        <w:tab/>
        <w:t>considerar la posibilidad de realizar estudios relativos a las necesidades de espectro del servicio móvil, así como la posibilidad de otorgarle nuevas atribuciones, para el desarrollo futuro de sistemas móviles por satélite de banda estrecha, de conformidad con la Resolución</w:t>
      </w:r>
      <w:r w:rsidR="0087146D" w:rsidRPr="005C0201">
        <w:t> </w:t>
      </w:r>
      <w:r w:rsidRPr="005C0201">
        <w:rPr>
          <w:b/>
        </w:rPr>
        <w:t>248</w:t>
      </w:r>
      <w:r w:rsidR="0087146D" w:rsidRPr="005C0201">
        <w:rPr>
          <w:b/>
        </w:rPr>
        <w:t> </w:t>
      </w:r>
      <w:r w:rsidRPr="005C0201">
        <w:rPr>
          <w:b/>
        </w:rPr>
        <w:t>(CMR</w:t>
      </w:r>
      <w:r w:rsidR="0087146D" w:rsidRPr="005C0201">
        <w:rPr>
          <w:b/>
        </w:rPr>
        <w:noBreakHyphen/>
      </w:r>
      <w:r w:rsidRPr="005C0201">
        <w:rPr>
          <w:b/>
        </w:rPr>
        <w:t>19)</w:t>
      </w:r>
      <w:r w:rsidRPr="005C0201">
        <w:t>;</w:t>
      </w:r>
    </w:p>
    <w:p w14:paraId="03D7BD9B" w14:textId="77777777" w:rsidR="00F77B29" w:rsidRPr="005C0201" w:rsidRDefault="00F77B29" w:rsidP="00F77B29">
      <w:r w:rsidRPr="005C0201">
        <w:rPr>
          <w:bCs/>
        </w:rPr>
        <w:t>1.19</w:t>
      </w:r>
      <w:r w:rsidRPr="005C0201">
        <w:rPr>
          <w:b/>
        </w:rPr>
        <w:tab/>
      </w:r>
      <w:r w:rsidRPr="005C0201">
        <w:t>considerar una nueva atribución a título primario al servicio fijo por satélite en dirección espacio-Tierra en la banda de frecuencias 17,3-17,7 GHz en la Región 2, protegiendo a su vez los servicios primarios existentes en la banda, de conformidad con la Resolución </w:t>
      </w:r>
      <w:r w:rsidRPr="005C0201">
        <w:rPr>
          <w:b/>
          <w:bCs/>
        </w:rPr>
        <w:t>174</w:t>
      </w:r>
      <w:r w:rsidR="0087146D" w:rsidRPr="005C0201">
        <w:rPr>
          <w:b/>
          <w:bCs/>
        </w:rPr>
        <w:t> </w:t>
      </w:r>
      <w:r w:rsidRPr="005C0201">
        <w:rPr>
          <w:b/>
          <w:bCs/>
        </w:rPr>
        <w:t>(CMR</w:t>
      </w:r>
      <w:r w:rsidR="0087146D" w:rsidRPr="005C0201">
        <w:rPr>
          <w:b/>
          <w:bCs/>
        </w:rPr>
        <w:noBreakHyphen/>
      </w:r>
      <w:r w:rsidRPr="005C0201">
        <w:rPr>
          <w:b/>
          <w:bCs/>
        </w:rPr>
        <w:t>19)</w:t>
      </w:r>
      <w:r w:rsidRPr="005C0201">
        <w:t>;</w:t>
      </w:r>
    </w:p>
    <w:p w14:paraId="06919B95" w14:textId="77777777" w:rsidR="00F77B29" w:rsidRPr="005C0201" w:rsidRDefault="00F77B29" w:rsidP="00F77B29">
      <w:r w:rsidRPr="005C0201">
        <w:t>2</w:t>
      </w:r>
      <w:r w:rsidRPr="005C0201">
        <w:tab/>
        <w:t>examinar las Recomendaciones UIT</w:t>
      </w:r>
      <w:r w:rsidRPr="005C0201">
        <w:noBreakHyphen/>
        <w:t xml:space="preserve">R revisadas e incorporadas por referencia en el Reglamento de Radiocomunicaciones, comunicadas por la Asamblea de Radiocomunicaciones de acuerdo con el </w:t>
      </w:r>
      <w:r w:rsidRPr="005C0201">
        <w:rPr>
          <w:i/>
          <w:iCs/>
        </w:rPr>
        <w:t>resuelve además</w:t>
      </w:r>
      <w:r w:rsidRPr="005C0201">
        <w:t xml:space="preserve"> de la Resolución </w:t>
      </w:r>
      <w:r w:rsidRPr="005C0201">
        <w:rPr>
          <w:b/>
          <w:bCs/>
        </w:rPr>
        <w:t>27 (Rev.CMR-19</w:t>
      </w:r>
      <w:r w:rsidRPr="005C0201">
        <w:t xml:space="preserve">), y decidir si se actualizan o no las referencias correspondientes en el Reglamento de Radiocomunicaciones, con arreglo a los principios contenidos en el </w:t>
      </w:r>
      <w:r w:rsidRPr="005C0201">
        <w:rPr>
          <w:i/>
          <w:iCs/>
        </w:rPr>
        <w:t>resuelve</w:t>
      </w:r>
      <w:r w:rsidRPr="005C0201">
        <w:t xml:space="preserve"> de esa Resolución;</w:t>
      </w:r>
    </w:p>
    <w:p w14:paraId="1B0A666B" w14:textId="77777777" w:rsidR="00F77B29" w:rsidRPr="005C0201" w:rsidRDefault="00F77B29" w:rsidP="00F77B29">
      <w:r w:rsidRPr="005C0201">
        <w:t>3</w:t>
      </w:r>
      <w:r w:rsidRPr="005C0201">
        <w:tab/>
        <w:t>examinar los cambios y las modificaciones consiguientes en el Reglamento de Radiocomunicaciones que requieran las decisiones de la Conferencia;</w:t>
      </w:r>
    </w:p>
    <w:p w14:paraId="7907CEB1" w14:textId="77777777" w:rsidR="00F77B29" w:rsidRPr="005C0201" w:rsidRDefault="00F77B29" w:rsidP="00F77B29">
      <w:r w:rsidRPr="005C0201">
        <w:t>4</w:t>
      </w:r>
      <w:r w:rsidRPr="005C0201">
        <w:tab/>
        <w:t>de conformidad con la Resolución </w:t>
      </w:r>
      <w:r w:rsidRPr="005C0201">
        <w:rPr>
          <w:b/>
          <w:bCs/>
        </w:rPr>
        <w:t>95 (Rev.CMR-19)</w:t>
      </w:r>
      <w:r w:rsidRPr="005C0201">
        <w:t>, considerar las Resoluciones y Recomendaciones de las conferencias anteriores para su posible revisión, sustitución o supresión;</w:t>
      </w:r>
    </w:p>
    <w:p w14:paraId="3B914281" w14:textId="77777777" w:rsidR="00F77B29" w:rsidRPr="005C0201" w:rsidRDefault="00F77B29" w:rsidP="00F77B29">
      <w:r w:rsidRPr="005C0201">
        <w:t>5</w:t>
      </w:r>
      <w:r w:rsidRPr="005C0201">
        <w:tab/>
        <w:t>examinar el Informe de la Asamblea de Radiocomunicaciones presentado con arreglo a los números 135 y 136 del Convenio, y tomar las medidas adecuadas al respecto;</w:t>
      </w:r>
    </w:p>
    <w:p w14:paraId="4EB11F69" w14:textId="77777777" w:rsidR="00F77B29" w:rsidRPr="005C0201" w:rsidRDefault="00F77B29" w:rsidP="00F77B29">
      <w:r w:rsidRPr="005C0201">
        <w:t>6</w:t>
      </w:r>
      <w:r w:rsidRPr="005C0201">
        <w:tab/>
        <w:t>identificar los temas que exigen medidas urgentes de las Comisiones de Estudio de Radiocomunicaciones para la preparación de la próxima Conferencia Mundial de Radiocomunicaciones;</w:t>
      </w:r>
    </w:p>
    <w:p w14:paraId="7C0EE318" w14:textId="77777777" w:rsidR="00F77B29" w:rsidRPr="005C0201" w:rsidRDefault="00F77B29" w:rsidP="00F77B29">
      <w:r w:rsidRPr="005C0201">
        <w:t>7</w:t>
      </w:r>
      <w:r w:rsidRPr="005C0201">
        <w:tab/>
        <w:t xml:space="preserve">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5C0201">
        <w:rPr>
          <w:b/>
          <w:bCs/>
        </w:rPr>
        <w:t>86 (Rev.CMR-07</w:t>
      </w:r>
      <w:r w:rsidRPr="005C0201">
        <w:rPr>
          <w:b/>
        </w:rPr>
        <w:t>)</w:t>
      </w:r>
      <w:r w:rsidRPr="005C0201">
        <w:rPr>
          <w:bCs/>
        </w:rPr>
        <w:t xml:space="preserve">, </w:t>
      </w:r>
      <w:r w:rsidRPr="005C0201">
        <w:t>para facilitar el uso</w:t>
      </w:r>
      <w:r w:rsidRPr="005C0201">
        <w:rPr>
          <w:bCs/>
        </w:rPr>
        <w:t xml:space="preserve"> </w:t>
      </w:r>
      <w:r w:rsidRPr="005C0201">
        <w:t>racional, eficiente y económico de las radiofrecuencias y órbitas asociadas, incluida la órbita de los satélites geoestacionarios;</w:t>
      </w:r>
    </w:p>
    <w:p w14:paraId="622B1BC2" w14:textId="77777777" w:rsidR="00F77B29" w:rsidRPr="005C0201" w:rsidRDefault="00F77B29" w:rsidP="00F77B29">
      <w:r w:rsidRPr="005C0201">
        <w:t>8</w:t>
      </w:r>
      <w:r w:rsidRPr="005C0201">
        <w:tab/>
        <w:t xml:space="preserve">examinar las peticiones de las administraciones de suprimir las notas de sus países o de que se suprima el nombre de sus países de las notas, cuando ya no sea necesario, teniendo en cuenta la Resolución </w:t>
      </w:r>
      <w:r w:rsidRPr="005C0201">
        <w:rPr>
          <w:b/>
          <w:bCs/>
        </w:rPr>
        <w:t>26 (Rev.CMR-19)</w:t>
      </w:r>
      <w:r w:rsidRPr="005C0201">
        <w:t>, y adoptar las medidas oportunas al respecto;</w:t>
      </w:r>
    </w:p>
    <w:p w14:paraId="2AD4CE0D" w14:textId="77777777" w:rsidR="00F77B29" w:rsidRPr="005C0201" w:rsidRDefault="00F77B29" w:rsidP="00F77B29">
      <w:r w:rsidRPr="005C0201">
        <w:t>9</w:t>
      </w:r>
      <w:r w:rsidRPr="005C0201">
        <w:tab/>
        <w:t xml:space="preserve">examinar y aprobar el Informe del </w:t>
      </w:r>
      <w:proofErr w:type="gramStart"/>
      <w:r w:rsidRPr="005C0201">
        <w:t>Director</w:t>
      </w:r>
      <w:proofErr w:type="gramEnd"/>
      <w:r w:rsidRPr="005C0201">
        <w:t xml:space="preserve"> de la Oficina de Radiocomunicaciones, de conformidad con el Artículo 7 del Convenio:</w:t>
      </w:r>
    </w:p>
    <w:p w14:paraId="40F183C4" w14:textId="77777777" w:rsidR="00F77B29" w:rsidRPr="005C0201" w:rsidRDefault="00F77B29" w:rsidP="00F77B29">
      <w:r w:rsidRPr="005C0201">
        <w:lastRenderedPageBreak/>
        <w:t>9.1</w:t>
      </w:r>
      <w:r w:rsidRPr="005C0201">
        <w:tab/>
        <w:t>sobre las actividades del Sector de Radiocomunicaciones desde la CMR</w:t>
      </w:r>
      <w:r w:rsidRPr="005C0201">
        <w:noBreakHyphen/>
        <w:t>19:</w:t>
      </w:r>
    </w:p>
    <w:p w14:paraId="0C58D524" w14:textId="77777777" w:rsidR="00F77B29" w:rsidRPr="005C0201" w:rsidRDefault="00F77B29" w:rsidP="0087146D">
      <w:pPr>
        <w:pStyle w:val="enumlev1"/>
      </w:pPr>
      <w:r w:rsidRPr="005C0201">
        <w:t>–</w:t>
      </w:r>
      <w:r w:rsidRPr="005C0201">
        <w:tab/>
        <w:t xml:space="preserve">examinar, de conformidad con la Resolución </w:t>
      </w:r>
      <w:r w:rsidRPr="005C0201">
        <w:rPr>
          <w:b/>
          <w:bCs/>
        </w:rPr>
        <w:t>657 (Rev.CMR-19)</w:t>
      </w:r>
      <w:r w:rsidRPr="005C0201">
        <w:t xml:space="preserve">, los resultados de los estudios relativos a las características técnicas y operativas, las necesidades de espectro y la pertenencia </w:t>
      </w:r>
      <w:r w:rsidRPr="005C0201">
        <w:rPr>
          <w:rFonts w:asciiTheme="minorHAnsi" w:hAnsiTheme="minorHAnsi" w:cstheme="minorHAnsi"/>
          <w:szCs w:val="24"/>
        </w:rPr>
        <w:t>al</w:t>
      </w:r>
      <w:r w:rsidRPr="005C0201">
        <w:t xml:space="preserve"> servicio radioeléctrico pertinente de los sensores meteorológicos espaciales con el fin de proporcionar el reconocimiento y protección adecuados en el Reglamento de Radiocomunicaciones, sin imponer restricciones adicionales a los servicios existentes;</w:t>
      </w:r>
    </w:p>
    <w:p w14:paraId="46F57EE0" w14:textId="77777777" w:rsidR="00F77B29" w:rsidRPr="005C0201" w:rsidRDefault="00F77B29" w:rsidP="0087146D">
      <w:pPr>
        <w:pStyle w:val="enumlev1"/>
        <w:rPr>
          <w:bCs/>
        </w:rPr>
      </w:pPr>
      <w:r w:rsidRPr="005C0201">
        <w:t>–</w:t>
      </w:r>
      <w:r w:rsidRPr="005C0201">
        <w:tab/>
        <w:t>revisar las atribuciones al servicio de aficionados y al servicio de aficionados por satélite en la banda de frecuencias 1 240</w:t>
      </w:r>
      <w:r w:rsidRPr="005C0201">
        <w:noBreakHyphen/>
        <w:t xml:space="preserve">1 300 MHz con el fin de determinar si son necesarias medidas adicionales </w:t>
      </w:r>
      <w:r w:rsidRPr="005C0201">
        <w:rPr>
          <w:rFonts w:asciiTheme="minorHAnsi" w:hAnsiTheme="minorHAnsi" w:cstheme="minorHAnsi"/>
          <w:szCs w:val="24"/>
        </w:rPr>
        <w:t>para</w:t>
      </w:r>
      <w:r w:rsidRPr="005C0201">
        <w:t xml:space="preserve"> garantizar la protección del servicio de radionavegación por satélite (espacio-Tierra) que funciona en la misma banda, de conformidad con la Resolución</w:t>
      </w:r>
      <w:r w:rsidR="0087146D" w:rsidRPr="005C0201">
        <w:t> </w:t>
      </w:r>
      <w:r w:rsidRPr="005C0201">
        <w:rPr>
          <w:b/>
          <w:bCs/>
        </w:rPr>
        <w:t>774</w:t>
      </w:r>
      <w:r w:rsidR="0087146D" w:rsidRPr="005C0201">
        <w:rPr>
          <w:b/>
        </w:rPr>
        <w:t> </w:t>
      </w:r>
      <w:r w:rsidRPr="005C0201">
        <w:rPr>
          <w:b/>
        </w:rPr>
        <w:t>(CMR-19)</w:t>
      </w:r>
      <w:r w:rsidRPr="005C0201">
        <w:rPr>
          <w:bCs/>
        </w:rPr>
        <w:t>;</w:t>
      </w:r>
    </w:p>
    <w:p w14:paraId="53112513" w14:textId="77777777" w:rsidR="00F77B29" w:rsidRPr="005C0201" w:rsidRDefault="00F77B29" w:rsidP="0087146D">
      <w:pPr>
        <w:pStyle w:val="enumlev1"/>
      </w:pPr>
      <w:r w:rsidRPr="005C0201">
        <w:t>–</w:t>
      </w:r>
      <w:r w:rsidRPr="005C0201">
        <w:tab/>
        <w:t xml:space="preserve">estudiar la utilización de los sistemas de telecomunicaciones móviles internacionales para la banda ancha inalámbrica fija en las bandas de frecuencias atribuidas al servicio fijo a título primario, de </w:t>
      </w:r>
      <w:r w:rsidRPr="005C0201">
        <w:rPr>
          <w:rFonts w:asciiTheme="minorHAnsi" w:hAnsiTheme="minorHAnsi" w:cstheme="minorHAnsi"/>
          <w:szCs w:val="24"/>
        </w:rPr>
        <w:t>conformidad</w:t>
      </w:r>
      <w:r w:rsidRPr="005C0201">
        <w:t xml:space="preserve"> con la Resolución </w:t>
      </w:r>
      <w:r w:rsidRPr="005C0201">
        <w:rPr>
          <w:b/>
        </w:rPr>
        <w:t>175 (CMR-19)</w:t>
      </w:r>
      <w:r w:rsidRPr="005C0201">
        <w:t>;</w:t>
      </w:r>
    </w:p>
    <w:p w14:paraId="53C8319A" w14:textId="77777777" w:rsidR="00F77B29" w:rsidRPr="005C0201" w:rsidRDefault="00F77B29" w:rsidP="00F77B29">
      <w:r w:rsidRPr="005C0201">
        <w:t>9.2</w:t>
      </w:r>
      <w:r w:rsidRPr="005C0201">
        <w:tab/>
        <w:t>sobre las dificultades o incoherencias observadas en la aplicación del Reglamento de Radiocomunicaciones, y</w:t>
      </w:r>
      <w:r w:rsidR="00FF5D78" w:rsidRPr="005C0201">
        <w:rPr>
          <w:rStyle w:val="FootnoteReference"/>
        </w:rPr>
        <w:footnoteReference w:customMarkFollows="1" w:id="2"/>
        <w:t>1</w:t>
      </w:r>
    </w:p>
    <w:p w14:paraId="4223C9C5" w14:textId="77777777" w:rsidR="00F77B29" w:rsidRPr="005C0201" w:rsidRDefault="00F77B29" w:rsidP="00F77B29">
      <w:r w:rsidRPr="005C0201">
        <w:t>9.3</w:t>
      </w:r>
      <w:r w:rsidRPr="005C0201">
        <w:tab/>
        <w:t xml:space="preserve">sobre acciones en respuesta a la Resolución </w:t>
      </w:r>
      <w:r w:rsidRPr="005C0201">
        <w:rPr>
          <w:b/>
          <w:bCs/>
        </w:rPr>
        <w:t>80 (Rev.CMR-07</w:t>
      </w:r>
      <w:r w:rsidRPr="005C0201">
        <w:t>);</w:t>
      </w:r>
    </w:p>
    <w:p w14:paraId="720068D3" w14:textId="77777777" w:rsidR="00C2727F" w:rsidRPr="005C0201" w:rsidRDefault="00F77B29" w:rsidP="000B0D00">
      <w:r w:rsidRPr="005C0201">
        <w:t>10</w:t>
      </w:r>
      <w:r w:rsidRPr="005C0201">
        <w:tab/>
        <w:t>recomendar al Consejo los puntos que debe contener el orden del día de la próxima CMR y los temas a incluir en el orden del día preliminar de futuras conferencias, de conformidad con el</w:t>
      </w:r>
      <w:r w:rsidR="0087146D" w:rsidRPr="005C0201">
        <w:t> </w:t>
      </w:r>
      <w:r w:rsidRPr="005C0201">
        <w:t xml:space="preserve">Artículo 7 del Convenio y la Resolución </w:t>
      </w:r>
      <w:r w:rsidRPr="005C0201">
        <w:rPr>
          <w:b/>
          <w:bCs/>
        </w:rPr>
        <w:t>804 (Rev.CMR-19)</w:t>
      </w:r>
      <w:r w:rsidR="0087146D" w:rsidRPr="005C0201">
        <w:t>.</w:t>
      </w:r>
    </w:p>
    <w:p w14:paraId="14C253D3" w14:textId="77777777" w:rsidR="0087146D" w:rsidRPr="005C0201" w:rsidRDefault="0087146D" w:rsidP="0087146D"/>
    <w:p w14:paraId="7E169227" w14:textId="77777777" w:rsidR="0087146D" w:rsidRPr="005C0201" w:rsidRDefault="0087146D" w:rsidP="0087146D">
      <w:pPr>
        <w:jc w:val="center"/>
      </w:pPr>
      <w:r w:rsidRPr="005C0201">
        <w:t>______________</w:t>
      </w:r>
    </w:p>
    <w:sectPr w:rsidR="0087146D" w:rsidRPr="005C0201"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CE86D" w14:textId="77777777" w:rsidR="000542B6" w:rsidRDefault="000542B6">
      <w:r>
        <w:separator/>
      </w:r>
    </w:p>
  </w:endnote>
  <w:endnote w:type="continuationSeparator" w:id="0">
    <w:p w14:paraId="45F2D893" w14:textId="77777777" w:rsidR="000542B6" w:rsidRDefault="0005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7AC6" w14:textId="77777777" w:rsidR="00760F1C" w:rsidRPr="00D72D6F" w:rsidRDefault="0087146D" w:rsidP="0087146D">
    <w:pPr>
      <w:pStyle w:val="Footer"/>
      <w:rPr>
        <w:color w:val="BFBFBF" w:themeColor="background1" w:themeShade="BF"/>
        <w:lang w:val="fr-CH"/>
      </w:rPr>
    </w:pPr>
    <w:r w:rsidRPr="00D72D6F">
      <w:rPr>
        <w:color w:val="BFBFBF" w:themeColor="background1" w:themeShade="BF"/>
        <w:lang w:val="fr-FR"/>
      </w:rPr>
      <w:fldChar w:fldCharType="begin"/>
    </w:r>
    <w:r w:rsidRPr="00D72D6F">
      <w:rPr>
        <w:color w:val="BFBFBF" w:themeColor="background1" w:themeShade="BF"/>
        <w:lang w:val="fr-FR"/>
      </w:rPr>
      <w:instrText xml:space="preserve"> FILENAME \p \* MERGEFORMAT </w:instrText>
    </w:r>
    <w:r w:rsidRPr="00D72D6F">
      <w:rPr>
        <w:color w:val="BFBFBF" w:themeColor="background1" w:themeShade="BF"/>
        <w:lang w:val="fr-FR"/>
      </w:rPr>
      <w:fldChar w:fldCharType="separate"/>
    </w:r>
    <w:r w:rsidRPr="00D72D6F">
      <w:rPr>
        <w:color w:val="BFBFBF" w:themeColor="background1" w:themeShade="BF"/>
        <w:lang w:val="fr-FR"/>
      </w:rPr>
      <w:t>P:\ESP\SG\CONSEIL\C20\000\055S.docx</w:t>
    </w:r>
    <w:r w:rsidRPr="00D72D6F">
      <w:rPr>
        <w:color w:val="BFBFBF" w:themeColor="background1" w:themeShade="BF"/>
      </w:rPr>
      <w:fldChar w:fldCharType="end"/>
    </w:r>
    <w:r w:rsidRPr="00D72D6F">
      <w:rPr>
        <w:color w:val="BFBFBF" w:themeColor="background1" w:themeShade="BF"/>
        <w:lang w:val="fr-FR"/>
      </w:rPr>
      <w:t xml:space="preserve"> (467367)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746F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304F9" w14:textId="77777777" w:rsidR="000542B6" w:rsidRDefault="000542B6">
      <w:r>
        <w:t>____________________</w:t>
      </w:r>
    </w:p>
  </w:footnote>
  <w:footnote w:type="continuationSeparator" w:id="0">
    <w:p w14:paraId="43F79F4F" w14:textId="77777777" w:rsidR="000542B6" w:rsidRDefault="000542B6">
      <w:r>
        <w:continuationSeparator/>
      </w:r>
    </w:p>
  </w:footnote>
  <w:footnote w:id="1">
    <w:p w14:paraId="6414D222" w14:textId="77777777" w:rsidR="00FF5D78" w:rsidRPr="00FF5D78" w:rsidRDefault="00FF5D78">
      <w:pPr>
        <w:pStyle w:val="FootnoteText"/>
        <w:rPr>
          <w:lang w:val="es-ES"/>
        </w:rPr>
      </w:pPr>
      <w:r>
        <w:rPr>
          <w:rStyle w:val="FootnoteReference"/>
        </w:rPr>
        <w:t>1</w:t>
      </w:r>
      <w:r>
        <w:tab/>
      </w:r>
      <w:r w:rsidRPr="00DB69D9">
        <w:t xml:space="preserve">Este punto del orden del día se limita estrictamente al Informe del </w:t>
      </w:r>
      <w:proofErr w:type="gramStart"/>
      <w:r w:rsidRPr="00DB69D9">
        <w:t>Director</w:t>
      </w:r>
      <w:proofErr w:type="gramEnd"/>
      <w:r w:rsidRPr="00DB69D9">
        <w:t xml:space="preserve">, en relación con las dificultades o incoherencias observadas en la aplicación del Reglamento de Radiocomunicaciones y las observaciones de las administraciones. Se invita a las administraciones a que informen al </w:t>
      </w:r>
      <w:proofErr w:type="gramStart"/>
      <w:r w:rsidRPr="00DB69D9">
        <w:t>Director</w:t>
      </w:r>
      <w:proofErr w:type="gramEnd"/>
      <w:r w:rsidRPr="00DB69D9">
        <w:t xml:space="preserve"> de la Oficina de Radiocomunicaciones de las dificultades o incoherencias observadas en el Reglamento de Radiocomunicaciones.</w:t>
      </w:r>
    </w:p>
  </w:footnote>
  <w:footnote w:id="2">
    <w:p w14:paraId="0DCE4F73" w14:textId="77777777" w:rsidR="00FF5D78" w:rsidRPr="00FF5D78" w:rsidRDefault="00FF5D78">
      <w:pPr>
        <w:pStyle w:val="FootnoteText"/>
        <w:rPr>
          <w:lang w:val="es-ES"/>
        </w:rPr>
      </w:pPr>
      <w:r>
        <w:rPr>
          <w:rStyle w:val="FootnoteReference"/>
        </w:rPr>
        <w:t>1</w:t>
      </w:r>
      <w:r>
        <w:tab/>
      </w:r>
      <w:r w:rsidRPr="00D72D6F">
        <w:rPr>
          <w:sz w:val="20"/>
        </w:rPr>
        <w:t xml:space="preserve">Este punto del orden del día se limita estrictamente al Informe del </w:t>
      </w:r>
      <w:proofErr w:type="gramStart"/>
      <w:r w:rsidRPr="00D72D6F">
        <w:rPr>
          <w:sz w:val="20"/>
        </w:rPr>
        <w:t>Director</w:t>
      </w:r>
      <w:proofErr w:type="gramEnd"/>
      <w:r w:rsidRPr="00D72D6F">
        <w:rPr>
          <w:sz w:val="20"/>
        </w:rPr>
        <w:t xml:space="preserve">, en relación con las dificultades o incoherencias observadas en la aplicación del Reglamento de Radiocomunicaciones y las observaciones de las administraciones. Se invita a las administraciones a que informen al </w:t>
      </w:r>
      <w:proofErr w:type="gramStart"/>
      <w:r w:rsidRPr="00D72D6F">
        <w:rPr>
          <w:sz w:val="20"/>
        </w:rPr>
        <w:t>Director</w:t>
      </w:r>
      <w:proofErr w:type="gramEnd"/>
      <w:r w:rsidRPr="00D72D6F">
        <w:rPr>
          <w:sz w:val="20"/>
        </w:rPr>
        <w:t xml:space="preserve">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5018" w14:textId="77777777" w:rsidR="00760F1C" w:rsidRDefault="000B7C15" w:rsidP="007657F0">
    <w:pPr>
      <w:pStyle w:val="Header"/>
    </w:pPr>
    <w:r>
      <w:fldChar w:fldCharType="begin"/>
    </w:r>
    <w:r>
      <w:instrText>PAGE</w:instrText>
    </w:r>
    <w:r>
      <w:fldChar w:fldCharType="separate"/>
    </w:r>
    <w:r w:rsidR="005C0201">
      <w:rPr>
        <w:noProof/>
      </w:rPr>
      <w:t>9</w:t>
    </w:r>
    <w:r>
      <w:rPr>
        <w:noProof/>
      </w:rPr>
      <w:fldChar w:fldCharType="end"/>
    </w:r>
  </w:p>
  <w:p w14:paraId="0CAC4891" w14:textId="77777777" w:rsidR="00760F1C" w:rsidRDefault="00760F1C" w:rsidP="00C2727F">
    <w:pPr>
      <w:pStyle w:val="Header"/>
    </w:pPr>
    <w:r>
      <w:t>C</w:t>
    </w:r>
    <w:r w:rsidR="007955DA">
      <w:t>20</w:t>
    </w:r>
    <w:r>
      <w:t>/</w:t>
    </w:r>
    <w:r w:rsidR="0087146D">
      <w:t>55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29"/>
    <w:rsid w:val="000542B6"/>
    <w:rsid w:val="00093EEB"/>
    <w:rsid w:val="000B0D00"/>
    <w:rsid w:val="000B17A8"/>
    <w:rsid w:val="000B7C15"/>
    <w:rsid w:val="000D1D0F"/>
    <w:rsid w:val="000F5290"/>
    <w:rsid w:val="0010165C"/>
    <w:rsid w:val="00146BFB"/>
    <w:rsid w:val="001D4791"/>
    <w:rsid w:val="001F14A2"/>
    <w:rsid w:val="002801AA"/>
    <w:rsid w:val="002C4676"/>
    <w:rsid w:val="002C70B0"/>
    <w:rsid w:val="002F3CC4"/>
    <w:rsid w:val="004E440F"/>
    <w:rsid w:val="00513630"/>
    <w:rsid w:val="00560125"/>
    <w:rsid w:val="00585553"/>
    <w:rsid w:val="005B34D9"/>
    <w:rsid w:val="005C0201"/>
    <w:rsid w:val="005D0CCF"/>
    <w:rsid w:val="005F3BCB"/>
    <w:rsid w:val="005F410F"/>
    <w:rsid w:val="005F5961"/>
    <w:rsid w:val="0060149A"/>
    <w:rsid w:val="00601924"/>
    <w:rsid w:val="006217AF"/>
    <w:rsid w:val="006447EA"/>
    <w:rsid w:val="0064731F"/>
    <w:rsid w:val="00664572"/>
    <w:rsid w:val="006710F6"/>
    <w:rsid w:val="006C1B56"/>
    <w:rsid w:val="006D4761"/>
    <w:rsid w:val="00726872"/>
    <w:rsid w:val="00760F1C"/>
    <w:rsid w:val="007657F0"/>
    <w:rsid w:val="0077252D"/>
    <w:rsid w:val="0078693F"/>
    <w:rsid w:val="00791673"/>
    <w:rsid w:val="007955DA"/>
    <w:rsid w:val="007E5DD3"/>
    <w:rsid w:val="007F350B"/>
    <w:rsid w:val="00820BE4"/>
    <w:rsid w:val="008451E8"/>
    <w:rsid w:val="0087146D"/>
    <w:rsid w:val="008E6914"/>
    <w:rsid w:val="00913B9C"/>
    <w:rsid w:val="00914715"/>
    <w:rsid w:val="00956E77"/>
    <w:rsid w:val="009F4811"/>
    <w:rsid w:val="00AA390C"/>
    <w:rsid w:val="00B0200A"/>
    <w:rsid w:val="00B574DB"/>
    <w:rsid w:val="00B826C2"/>
    <w:rsid w:val="00B8298E"/>
    <w:rsid w:val="00B87497"/>
    <w:rsid w:val="00BD0723"/>
    <w:rsid w:val="00BD2518"/>
    <w:rsid w:val="00BF1D1C"/>
    <w:rsid w:val="00C20C59"/>
    <w:rsid w:val="00C2727F"/>
    <w:rsid w:val="00C55B1F"/>
    <w:rsid w:val="00CF1A67"/>
    <w:rsid w:val="00D23B33"/>
    <w:rsid w:val="00D2750E"/>
    <w:rsid w:val="00D62446"/>
    <w:rsid w:val="00D72D6F"/>
    <w:rsid w:val="00DA4EA2"/>
    <w:rsid w:val="00DB69D9"/>
    <w:rsid w:val="00DC3D3E"/>
    <w:rsid w:val="00DE2C90"/>
    <w:rsid w:val="00DE3B24"/>
    <w:rsid w:val="00E06947"/>
    <w:rsid w:val="00E3592D"/>
    <w:rsid w:val="00E92DE8"/>
    <w:rsid w:val="00EB1212"/>
    <w:rsid w:val="00ED65AB"/>
    <w:rsid w:val="00F12850"/>
    <w:rsid w:val="00F13626"/>
    <w:rsid w:val="00F33BF4"/>
    <w:rsid w:val="00F7105E"/>
    <w:rsid w:val="00F75F57"/>
    <w:rsid w:val="00F77B29"/>
    <w:rsid w:val="00F82FEE"/>
    <w:rsid w:val="00FD57D3"/>
    <w:rsid w:val="00FF11BD"/>
    <w:rsid w:val="00FF5D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3A34AA"/>
  <w15:docId w15:val="{75E6AAB3-A869-4231-9E25-38B886D8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F77B29"/>
    <w:rPr>
      <w:color w:val="605E5C"/>
      <w:shd w:val="clear" w:color="auto" w:fill="E1DFDD"/>
    </w:rPr>
  </w:style>
  <w:style w:type="character" w:customStyle="1" w:styleId="RestitleChar">
    <w:name w:val="Res_title Char"/>
    <w:link w:val="Restitle"/>
    <w:locked/>
    <w:rsid w:val="00F77B29"/>
    <w:rPr>
      <w:rFonts w:ascii="Calibri" w:hAnsi="Calibri"/>
      <w:b/>
      <w:sz w:val="28"/>
      <w:lang w:val="es-ES_tradnl" w:eastAsia="en-US"/>
    </w:rPr>
  </w:style>
  <w:style w:type="character" w:customStyle="1" w:styleId="enumlev1Char">
    <w:name w:val="enumlev1 Char"/>
    <w:basedOn w:val="DefaultParagraphFont"/>
    <w:link w:val="enumlev1"/>
    <w:locked/>
    <w:rsid w:val="00F77B2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pub/R-ACT-WRC.14-2019/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Convention-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95909-85D4-46E0-B30E-61A5651F6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E52CE-0E8F-41D1-8E02-9A43588D33A4}">
  <ds:schemaRefs>
    <ds:schemaRef ds:uri="http://schemas.microsoft.com/sharepoint/v3/contenttype/forms"/>
  </ds:schemaRefs>
</ds:datastoreItem>
</file>

<file path=customXml/itemProps3.xml><?xml version="1.0" encoding="utf-8"?>
<ds:datastoreItem xmlns:ds="http://schemas.openxmlformats.org/officeDocument/2006/customXml" ds:itemID="{FFA9AB6C-ABF3-40F7-A620-C449933E21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7FFF2C-65DE-4E2F-A9F8-2773BFB0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0</TotalTime>
  <Pages>12</Pages>
  <Words>4235</Words>
  <Characters>23871</Characters>
  <Application>Microsoft Office Word</Application>
  <DocSecurity>4</DocSecurity>
  <Lines>198</Lines>
  <Paragraphs>56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28050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Mundial de Radiocomunicaciones (CMR-23)</dc:title>
  <dc:subject>Consejo 2020</dc:subject>
  <dc:creator>Casellas, Mercedes</dc:creator>
  <cp:keywords>C2020, C20</cp:keywords>
  <dc:description/>
  <cp:lastModifiedBy>Brouard, Ricarda</cp:lastModifiedBy>
  <cp:revision>2</cp:revision>
  <cp:lastPrinted>2006-03-24T09:51:00Z</cp:lastPrinted>
  <dcterms:created xsi:type="dcterms:W3CDTF">2020-05-29T12:24:00Z</dcterms:created>
  <dcterms:modified xsi:type="dcterms:W3CDTF">2020-05-29T12:24:00Z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