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CE24FC" w14:paraId="21974442" w14:textId="77777777">
        <w:trPr>
          <w:cantSplit/>
        </w:trPr>
        <w:tc>
          <w:tcPr>
            <w:tcW w:w="6912" w:type="dxa"/>
          </w:tcPr>
          <w:p w14:paraId="36C3C82E" w14:textId="77777777" w:rsidR="00520F36" w:rsidRPr="00CE24FC" w:rsidRDefault="00520F36" w:rsidP="00281607">
            <w:pPr>
              <w:spacing w:before="360"/>
            </w:pPr>
            <w:bookmarkStart w:id="0" w:name="dc06"/>
            <w:bookmarkEnd w:id="0"/>
            <w:r w:rsidRPr="00CE24FC">
              <w:rPr>
                <w:b/>
                <w:bCs/>
                <w:sz w:val="30"/>
                <w:szCs w:val="30"/>
              </w:rPr>
              <w:t>Conseil 20</w:t>
            </w:r>
            <w:r w:rsidR="009C353C" w:rsidRPr="00CE24FC">
              <w:rPr>
                <w:b/>
                <w:bCs/>
                <w:sz w:val="30"/>
                <w:szCs w:val="30"/>
              </w:rPr>
              <w:t>20</w:t>
            </w:r>
            <w:r w:rsidRPr="00CE24FC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CE24FC">
              <w:rPr>
                <w:b/>
                <w:bCs/>
                <w:szCs w:val="24"/>
              </w:rPr>
              <w:t xml:space="preserve">Genève, </w:t>
            </w:r>
            <w:r w:rsidR="009C353C" w:rsidRPr="00CE24FC">
              <w:rPr>
                <w:b/>
                <w:bCs/>
                <w:szCs w:val="24"/>
              </w:rPr>
              <w:t>9</w:t>
            </w:r>
            <w:r w:rsidRPr="00CE24FC">
              <w:rPr>
                <w:b/>
                <w:bCs/>
                <w:szCs w:val="24"/>
              </w:rPr>
              <w:t>-</w:t>
            </w:r>
            <w:r w:rsidR="009C353C" w:rsidRPr="00CE24FC">
              <w:rPr>
                <w:b/>
                <w:bCs/>
                <w:szCs w:val="24"/>
              </w:rPr>
              <w:t>19</w:t>
            </w:r>
            <w:r w:rsidR="00106B19" w:rsidRPr="00CE24FC">
              <w:rPr>
                <w:b/>
                <w:bCs/>
                <w:szCs w:val="24"/>
              </w:rPr>
              <w:t xml:space="preserve"> juin</w:t>
            </w:r>
            <w:r w:rsidRPr="00CE24FC">
              <w:rPr>
                <w:b/>
                <w:bCs/>
                <w:szCs w:val="24"/>
              </w:rPr>
              <w:t xml:space="preserve"> 20</w:t>
            </w:r>
            <w:r w:rsidR="009C353C" w:rsidRPr="00CE24FC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0FE3649B" w14:textId="77777777" w:rsidR="00520F36" w:rsidRPr="00CE24FC" w:rsidRDefault="009C353C" w:rsidP="00281607">
            <w:pPr>
              <w:spacing w:before="0"/>
            </w:pPr>
            <w:bookmarkStart w:id="1" w:name="ditulogo"/>
            <w:bookmarkEnd w:id="1"/>
            <w:r w:rsidRPr="00CE24FC">
              <w:rPr>
                <w:noProof/>
                <w:lang w:eastAsia="zh-CN"/>
              </w:rPr>
              <w:drawing>
                <wp:inline distT="0" distB="0" distL="0" distR="0" wp14:anchorId="34FBE211" wp14:editId="3E1C69C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CE24FC" w14:paraId="3B07E338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322696C" w14:textId="77777777" w:rsidR="00520F36" w:rsidRPr="00CE24FC" w:rsidRDefault="00520F36" w:rsidP="00281607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A333F16" w14:textId="77777777" w:rsidR="00520F36" w:rsidRPr="00CE24FC" w:rsidRDefault="00520F36" w:rsidP="00281607">
            <w:pPr>
              <w:spacing w:before="0"/>
              <w:rPr>
                <w:b/>
                <w:bCs/>
              </w:rPr>
            </w:pPr>
          </w:p>
        </w:tc>
      </w:tr>
      <w:tr w:rsidR="00520F36" w:rsidRPr="00CE24FC" w14:paraId="102589F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8A4A5F9" w14:textId="77777777" w:rsidR="00520F36" w:rsidRPr="00CE24FC" w:rsidRDefault="00520F36" w:rsidP="0028160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F801800" w14:textId="77777777" w:rsidR="00520F36" w:rsidRPr="00CE24FC" w:rsidRDefault="00520F36" w:rsidP="00281607">
            <w:pPr>
              <w:spacing w:before="0"/>
              <w:rPr>
                <w:b/>
                <w:bCs/>
              </w:rPr>
            </w:pPr>
          </w:p>
        </w:tc>
      </w:tr>
      <w:tr w:rsidR="00520F36" w:rsidRPr="00CE24FC" w14:paraId="6EC1278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B2AE45C" w14:textId="09A5DE2D" w:rsidR="00520F36" w:rsidRPr="00CE24FC" w:rsidRDefault="00AD5497" w:rsidP="0028160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CE24FC">
              <w:rPr>
                <w:rFonts w:cs="Times"/>
                <w:b/>
                <w:bCs/>
                <w:szCs w:val="24"/>
              </w:rPr>
              <w:t>Point de l'ordre de jour</w:t>
            </w:r>
            <w:r w:rsidR="00B8389E" w:rsidRPr="00CE24FC">
              <w:rPr>
                <w:rFonts w:cs="Times"/>
                <w:b/>
                <w:bCs/>
                <w:szCs w:val="24"/>
              </w:rPr>
              <w:t>: ADM 26</w:t>
            </w:r>
          </w:p>
        </w:tc>
        <w:tc>
          <w:tcPr>
            <w:tcW w:w="3261" w:type="dxa"/>
          </w:tcPr>
          <w:p w14:paraId="07875B2B" w14:textId="6D81698B" w:rsidR="00520F36" w:rsidRPr="00CE24FC" w:rsidRDefault="00520F36" w:rsidP="00281607">
            <w:pPr>
              <w:spacing w:before="0"/>
              <w:rPr>
                <w:b/>
                <w:bCs/>
              </w:rPr>
            </w:pPr>
            <w:r w:rsidRPr="00CE24FC">
              <w:rPr>
                <w:b/>
                <w:bCs/>
              </w:rPr>
              <w:t>Document C</w:t>
            </w:r>
            <w:r w:rsidR="009C353C" w:rsidRPr="00CE24FC">
              <w:rPr>
                <w:b/>
                <w:bCs/>
              </w:rPr>
              <w:t>20</w:t>
            </w:r>
            <w:r w:rsidRPr="00CE24FC">
              <w:rPr>
                <w:b/>
                <w:bCs/>
              </w:rPr>
              <w:t>/</w:t>
            </w:r>
            <w:r w:rsidR="00B8389E" w:rsidRPr="00CE24FC">
              <w:rPr>
                <w:b/>
                <w:bCs/>
              </w:rPr>
              <w:t>56</w:t>
            </w:r>
            <w:r w:rsidRPr="00CE24FC">
              <w:rPr>
                <w:b/>
                <w:bCs/>
              </w:rPr>
              <w:t>-F</w:t>
            </w:r>
          </w:p>
        </w:tc>
      </w:tr>
      <w:tr w:rsidR="00520F36" w:rsidRPr="00CE24FC" w14:paraId="6332E5C4" w14:textId="77777777">
        <w:trPr>
          <w:cantSplit/>
          <w:trHeight w:val="20"/>
        </w:trPr>
        <w:tc>
          <w:tcPr>
            <w:tcW w:w="6912" w:type="dxa"/>
            <w:vMerge/>
          </w:tcPr>
          <w:p w14:paraId="03158A7C" w14:textId="77777777" w:rsidR="00520F36" w:rsidRPr="00CE24FC" w:rsidRDefault="00520F36" w:rsidP="0028160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C6E6C05" w14:textId="2E6A6E6B" w:rsidR="00520F36" w:rsidRPr="00CE24FC" w:rsidRDefault="00B8389E" w:rsidP="00281607">
            <w:pPr>
              <w:spacing w:before="0"/>
              <w:rPr>
                <w:b/>
                <w:bCs/>
              </w:rPr>
            </w:pPr>
            <w:r w:rsidRPr="00CE24FC">
              <w:rPr>
                <w:b/>
                <w:bCs/>
              </w:rPr>
              <w:t>3 mars</w:t>
            </w:r>
            <w:r w:rsidR="00520F36" w:rsidRPr="00CE24FC">
              <w:rPr>
                <w:b/>
                <w:bCs/>
              </w:rPr>
              <w:t xml:space="preserve"> 20</w:t>
            </w:r>
            <w:r w:rsidR="009C353C" w:rsidRPr="00CE24FC">
              <w:rPr>
                <w:b/>
                <w:bCs/>
              </w:rPr>
              <w:t>20</w:t>
            </w:r>
          </w:p>
        </w:tc>
      </w:tr>
      <w:tr w:rsidR="00520F36" w:rsidRPr="00CE24FC" w14:paraId="685D69CC" w14:textId="77777777">
        <w:trPr>
          <w:cantSplit/>
          <w:trHeight w:val="20"/>
        </w:trPr>
        <w:tc>
          <w:tcPr>
            <w:tcW w:w="6912" w:type="dxa"/>
            <w:vMerge/>
          </w:tcPr>
          <w:p w14:paraId="32A57AFA" w14:textId="77777777" w:rsidR="00520F36" w:rsidRPr="00CE24FC" w:rsidRDefault="00520F36" w:rsidP="00281607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116B9C72" w14:textId="77777777" w:rsidR="00520F36" w:rsidRPr="00CE24FC" w:rsidRDefault="00520F36" w:rsidP="00281607">
            <w:pPr>
              <w:spacing w:before="0"/>
              <w:rPr>
                <w:b/>
                <w:bCs/>
              </w:rPr>
            </w:pPr>
            <w:r w:rsidRPr="00CE24FC">
              <w:rPr>
                <w:b/>
                <w:bCs/>
              </w:rPr>
              <w:t>Original: anglais</w:t>
            </w:r>
          </w:p>
        </w:tc>
      </w:tr>
      <w:tr w:rsidR="00520F36" w:rsidRPr="00CE24FC" w14:paraId="2FE87013" w14:textId="77777777">
        <w:trPr>
          <w:cantSplit/>
        </w:trPr>
        <w:tc>
          <w:tcPr>
            <w:tcW w:w="10173" w:type="dxa"/>
            <w:gridSpan w:val="2"/>
          </w:tcPr>
          <w:p w14:paraId="62B0B3A3" w14:textId="7245C220" w:rsidR="00520F36" w:rsidRPr="00CE24FC" w:rsidRDefault="00AD5497" w:rsidP="00281607">
            <w:pPr>
              <w:pStyle w:val="Source"/>
            </w:pPr>
            <w:bookmarkStart w:id="6" w:name="dsource" w:colFirst="0" w:colLast="0"/>
            <w:bookmarkEnd w:id="5"/>
            <w:r w:rsidRPr="00CE24FC">
              <w:t>Rapport du Secrétaire général</w:t>
            </w:r>
          </w:p>
        </w:tc>
      </w:tr>
      <w:tr w:rsidR="00520F36" w:rsidRPr="00CE24FC" w14:paraId="082BF63B" w14:textId="77777777">
        <w:trPr>
          <w:cantSplit/>
        </w:trPr>
        <w:tc>
          <w:tcPr>
            <w:tcW w:w="10173" w:type="dxa"/>
            <w:gridSpan w:val="2"/>
          </w:tcPr>
          <w:p w14:paraId="0320460C" w14:textId="54059462" w:rsidR="00520F36" w:rsidRPr="00CE24FC" w:rsidRDefault="00AD5497" w:rsidP="00CE24FC">
            <w:pPr>
              <w:pStyle w:val="Title1"/>
              <w:spacing w:after="120"/>
            </w:pPr>
            <w:bookmarkStart w:id="7" w:name="dtitle1" w:colFirst="0" w:colLast="0"/>
            <w:bookmarkEnd w:id="6"/>
            <w:r w:rsidRPr="00CE24FC">
              <w:t xml:space="preserve">Résultats de la cMR-19 ayant des incidences financières </w:t>
            </w:r>
          </w:p>
        </w:tc>
      </w:tr>
    </w:tbl>
    <w:tbl>
      <w:tblPr>
        <w:tblpPr w:leftFromText="180" w:rightFromText="180" w:vertAnchor="text" w:horzAnchor="margin" w:tblpXSpec="center" w:tblpY="3796"/>
        <w:tblOverlap w:val="never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CE24FC" w14:paraId="72E1F893" w14:textId="77777777" w:rsidTr="00CC51A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14:paraId="0E61B2A6" w14:textId="77777777" w:rsidR="00520F36" w:rsidRPr="00CE24FC" w:rsidRDefault="00520F36" w:rsidP="008E7231">
            <w:pPr>
              <w:pStyle w:val="Headingb"/>
            </w:pPr>
            <w:r w:rsidRPr="00CE24FC">
              <w:t>Résumé</w:t>
            </w:r>
          </w:p>
          <w:p w14:paraId="511E7304" w14:textId="2D0E6AB7" w:rsidR="00B8389E" w:rsidRPr="00CE24FC" w:rsidRDefault="00AD5497" w:rsidP="008E7231">
            <w:r w:rsidRPr="00CE24FC">
              <w:t>La Conférence mondiale des radiocommunications (CMR-19), qui s'est tenue à Charm el-Cheikh (Égypte) du 28 octobre au 22 novembre 2019, a adopté un certain nombre de décisions</w:t>
            </w:r>
            <w:r w:rsidR="00847722" w:rsidRPr="00CE24FC">
              <w:t xml:space="preserve">, notamment en ce qui concerne des programmes de travail, et a </w:t>
            </w:r>
            <w:r w:rsidR="000742BD" w:rsidRPr="00CE24FC">
              <w:t>défini</w:t>
            </w:r>
            <w:r w:rsidR="00847722" w:rsidRPr="00CE24FC">
              <w:t xml:space="preserve"> des Questions supplémentaires qui seront étudiées </w:t>
            </w:r>
            <w:r w:rsidR="00962A01" w:rsidRPr="00CE24FC">
              <w:t>au cours de</w:t>
            </w:r>
            <w:r w:rsidR="00847722" w:rsidRPr="00CE24FC">
              <w:t xml:space="preserve"> la nouvelle période d'études</w:t>
            </w:r>
            <w:r w:rsidR="00B8389E" w:rsidRPr="00CE24FC">
              <w:t>.</w:t>
            </w:r>
          </w:p>
          <w:p w14:paraId="182F4BD4" w14:textId="62226CC3" w:rsidR="00B8389E" w:rsidRPr="00CE24FC" w:rsidRDefault="00847722" w:rsidP="008E7231">
            <w:r w:rsidRPr="00CE24FC">
              <w:t>Comme indiqué dans le Rapport de la Commission de contrôle budgétaire (</w:t>
            </w:r>
            <w:hyperlink r:id="rId9" w:history="1">
              <w:r w:rsidRPr="00CE24FC">
                <w:rPr>
                  <w:rStyle w:val="Hyperlink"/>
                </w:rPr>
                <w:t>Document 337(Rév.2)</w:t>
              </w:r>
            </w:hyperlink>
            <w:r w:rsidRPr="00CE24FC">
              <w:t xml:space="preserve">, Commission 3) de la CMR-19, </w:t>
            </w:r>
            <w:r w:rsidR="000742BD" w:rsidRPr="00CE24FC">
              <w:t>dans le cadre de ses</w:t>
            </w:r>
            <w:r w:rsidRPr="00CE24FC">
              <w:t xml:space="preserve"> travaux</w:t>
            </w:r>
            <w:r w:rsidR="000742BD" w:rsidRPr="00CE24FC">
              <w:t>,</w:t>
            </w:r>
            <w:r w:rsidRPr="00CE24FC">
              <w:t xml:space="preserve"> la Conférence </w:t>
            </w:r>
            <w:r w:rsidR="000742BD" w:rsidRPr="00CE24FC">
              <w:t xml:space="preserve">a </w:t>
            </w:r>
            <w:r w:rsidRPr="00CE24FC">
              <w:t>identifi</w:t>
            </w:r>
            <w:r w:rsidR="000742BD" w:rsidRPr="00CE24FC">
              <w:t>é</w:t>
            </w:r>
            <w:r w:rsidRPr="00CE24FC">
              <w:t xml:space="preserve"> d</w:t>
            </w:r>
            <w:r w:rsidR="000742BD" w:rsidRPr="00CE24FC">
              <w:t xml:space="preserve">es domaines nécessitant des </w:t>
            </w:r>
            <w:r w:rsidRPr="00CE24FC">
              <w:t>activités</w:t>
            </w:r>
            <w:r w:rsidR="000742BD" w:rsidRPr="00CE24FC">
              <w:t xml:space="preserve"> </w:t>
            </w:r>
            <w:r w:rsidRPr="00CE24FC">
              <w:t>d</w:t>
            </w:r>
            <w:r w:rsidR="000742BD" w:rsidRPr="00CE24FC">
              <w:t xml:space="preserve">es </w:t>
            </w:r>
            <w:r w:rsidRPr="00CE24FC">
              <w:t xml:space="preserve">études </w:t>
            </w:r>
            <w:r w:rsidR="000742BD" w:rsidRPr="00CE24FC">
              <w:t xml:space="preserve">et un travail de conception de logiciels </w:t>
            </w:r>
            <w:r w:rsidRPr="00CE24FC">
              <w:t xml:space="preserve">supplémentaires, </w:t>
            </w:r>
            <w:r w:rsidR="000742BD" w:rsidRPr="00CE24FC">
              <w:t>en vue de</w:t>
            </w:r>
            <w:r w:rsidR="002B22D2" w:rsidRPr="00CE24FC">
              <w:t xml:space="preserve"> la mise en œuvre de</w:t>
            </w:r>
            <w:r w:rsidR="000742BD" w:rsidRPr="00CE24FC">
              <w:t xml:space="preserve"> ses</w:t>
            </w:r>
            <w:r w:rsidR="002B22D2" w:rsidRPr="00CE24FC">
              <w:t xml:space="preserve"> décisions. Les coûts estimés pour la réalisation de ces nouveaux travaux sont de l'ordre de 1,721 million CHF. La CMR-19 a prié le Secrétaire général de porter ces informations à l'attention de la session de 2020 du Conseil, afin de déterminer la méthode la plus efficace pour financer ces activités, </w:t>
            </w:r>
            <w:r w:rsidR="00962A01" w:rsidRPr="00CE24FC">
              <w:t>celles-ci devant</w:t>
            </w:r>
            <w:r w:rsidR="002B22D2" w:rsidRPr="00CE24FC">
              <w:t xml:space="preserve"> être menées à bien avant la prochaine Conférence mondiale des radiocommun</w:t>
            </w:r>
            <w:bookmarkStart w:id="8" w:name="_GoBack"/>
            <w:bookmarkEnd w:id="8"/>
            <w:r w:rsidR="002B22D2" w:rsidRPr="00CE24FC">
              <w:t>ications, qui se tiendra en 2023 (CMR-23). Les décisions de la Conférence ainsi que les estimations des montants affectés et les motifs</w:t>
            </w:r>
            <w:r w:rsidR="00962A01" w:rsidRPr="00CE24FC">
              <w:t xml:space="preserve"> sont présentés</w:t>
            </w:r>
            <w:r w:rsidR="002B22D2" w:rsidRPr="00CE24FC">
              <w:t xml:space="preserve"> dans le corps du présent document.</w:t>
            </w:r>
          </w:p>
          <w:p w14:paraId="550F43D0" w14:textId="7147F6C0" w:rsidR="00520F36" w:rsidRPr="00CE24FC" w:rsidRDefault="00C6346D" w:rsidP="008E7231">
            <w:r w:rsidRPr="00CE24FC">
              <w:t>Les participants à la réunion du Groupe de travail du Conseil sur les ressources financières et les ressources humaines (GTC-FHR) tenue en février 2020 ont examiné cette question et ont conclu que la demande serait présentée au Conseil à sa session de 2020</w:t>
            </w:r>
            <w:r w:rsidR="00B8389E" w:rsidRPr="00CE24FC">
              <w:t>.</w:t>
            </w:r>
          </w:p>
          <w:p w14:paraId="45A958EB" w14:textId="77777777" w:rsidR="00520F36" w:rsidRPr="00CE24FC" w:rsidRDefault="00520F36" w:rsidP="008E7231">
            <w:pPr>
              <w:pStyle w:val="Headingb"/>
              <w:spacing w:before="120"/>
            </w:pPr>
            <w:r w:rsidRPr="00CE24FC">
              <w:t>Suite à donner</w:t>
            </w:r>
          </w:p>
          <w:p w14:paraId="0CC50325" w14:textId="52E2CC43" w:rsidR="00520F36" w:rsidRPr="00CE24FC" w:rsidRDefault="00C6346D" w:rsidP="008E7231">
            <w:r w:rsidRPr="00CE24FC">
              <w:t xml:space="preserve">Le Conseil est invité à </w:t>
            </w:r>
            <w:r w:rsidRPr="00CE24FC">
              <w:rPr>
                <w:b/>
                <w:bCs/>
              </w:rPr>
              <w:t>autoriser</w:t>
            </w:r>
            <w:r w:rsidRPr="00CE24FC">
              <w:t xml:space="preserve"> le Secrétaire général à prendre les mesures voulues</w:t>
            </w:r>
            <w:r w:rsidR="00962A01" w:rsidRPr="00CE24FC">
              <w:t>,</w:t>
            </w:r>
            <w:r w:rsidRPr="00CE24FC">
              <w:t xml:space="preserve"> à titre prioritaire, afin d'affecter des fonds en utilisant les </w:t>
            </w:r>
            <w:r w:rsidR="00697DFE" w:rsidRPr="00CE24FC">
              <w:t>économies annuelles</w:t>
            </w:r>
            <w:r w:rsidRPr="00CE24FC">
              <w:t xml:space="preserve"> réalisées dans la mise en œuvre du budget en 2020</w:t>
            </w:r>
            <w:r w:rsidR="000742BD" w:rsidRPr="00CE24FC">
              <w:t xml:space="preserve"> ou</w:t>
            </w:r>
            <w:r w:rsidRPr="00CE24FC">
              <w:t xml:space="preserve"> à</w:t>
            </w:r>
            <w:r w:rsidR="00697DFE" w:rsidRPr="00CE24FC">
              <w:t xml:space="preserve"> </w:t>
            </w:r>
            <w:r w:rsidR="00697DFE" w:rsidRPr="00CE24FC">
              <w:rPr>
                <w:b/>
                <w:bCs/>
              </w:rPr>
              <w:t>lancer un appel</w:t>
            </w:r>
            <w:r w:rsidR="00697DFE" w:rsidRPr="00CE24FC">
              <w:t xml:space="preserve"> à contributions volontaires, ou, en dernier recours, à faire un prélèvement sur le Fonds de réserve au cours du prochain cycle budgétaire.</w:t>
            </w:r>
          </w:p>
          <w:p w14:paraId="7D1658C3" w14:textId="77777777" w:rsidR="00520F36" w:rsidRPr="00CE24FC" w:rsidRDefault="00520F36" w:rsidP="008E7231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CE24FC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5D582521" w14:textId="77777777" w:rsidR="00520F36" w:rsidRPr="00CE24FC" w:rsidRDefault="00520F36" w:rsidP="008E7231">
            <w:pPr>
              <w:pStyle w:val="Headingb"/>
              <w:spacing w:before="120"/>
            </w:pPr>
            <w:r w:rsidRPr="00CE24FC">
              <w:t>Références</w:t>
            </w:r>
          </w:p>
          <w:p w14:paraId="0CC168E6" w14:textId="40ED0B97" w:rsidR="00520F36" w:rsidRPr="00CE24FC" w:rsidRDefault="00BD267F" w:rsidP="008E7231">
            <w:pPr>
              <w:spacing w:before="0" w:after="120"/>
              <w:rPr>
                <w:rStyle w:val="Hyperlink"/>
              </w:rPr>
            </w:pPr>
            <w:hyperlink r:id="rId10" w:history="1">
              <w:r w:rsidR="00B8389E" w:rsidRPr="00CE24FC">
                <w:rPr>
                  <w:rStyle w:val="Hyperlink"/>
                </w:rPr>
                <w:t>Doc</w:t>
              </w:r>
              <w:r w:rsidR="00697DFE" w:rsidRPr="00CE24FC">
                <w:rPr>
                  <w:rStyle w:val="Hyperlink"/>
                </w:rPr>
                <w:t>ument</w:t>
              </w:r>
              <w:r w:rsidR="00B8389E" w:rsidRPr="00CE24FC">
                <w:rPr>
                  <w:rStyle w:val="Hyperlink"/>
                </w:rPr>
                <w:t xml:space="preserve"> 337(R</w:t>
              </w:r>
              <w:r w:rsidR="00697DFE" w:rsidRPr="00CE24FC">
                <w:rPr>
                  <w:rStyle w:val="Hyperlink"/>
                </w:rPr>
                <w:t>é</w:t>
              </w:r>
              <w:r w:rsidR="00B8389E" w:rsidRPr="00CE24FC">
                <w:rPr>
                  <w:rStyle w:val="Hyperlink"/>
                </w:rPr>
                <w:t>v.2)</w:t>
              </w:r>
            </w:hyperlink>
            <w:r w:rsidR="00B8389E" w:rsidRPr="00CE24FC">
              <w:rPr>
                <w:rStyle w:val="Hyperlink"/>
              </w:rPr>
              <w:t>,</w:t>
            </w:r>
            <w:r w:rsidR="00697DFE" w:rsidRPr="00CE24FC">
              <w:rPr>
                <w:rStyle w:val="Hyperlink"/>
              </w:rPr>
              <w:t xml:space="preserve"> Document</w:t>
            </w:r>
            <w:r w:rsidR="00B8389E" w:rsidRPr="00CE24FC">
              <w:rPr>
                <w:rStyle w:val="Hyperlink"/>
              </w:rPr>
              <w:t xml:space="preserve"> </w:t>
            </w:r>
            <w:hyperlink r:id="rId11" w:history="1">
              <w:r w:rsidR="00B8389E" w:rsidRPr="00CE24FC">
                <w:rPr>
                  <w:rStyle w:val="Hyperlink"/>
                </w:rPr>
                <w:t>CWG-FHR-11</w:t>
              </w:r>
            </w:hyperlink>
            <w:r w:rsidR="00B8389E" w:rsidRPr="00CE24FC">
              <w:rPr>
                <w:rStyle w:val="Hyperlink"/>
              </w:rPr>
              <w:t>/5</w:t>
            </w:r>
          </w:p>
        </w:tc>
      </w:tr>
    </w:tbl>
    <w:p w14:paraId="1200A0D2" w14:textId="6C550861" w:rsidR="001277BA" w:rsidRPr="00CE24FC" w:rsidRDefault="001277BA" w:rsidP="00281607">
      <w:pPr>
        <w:pStyle w:val="Heading1"/>
      </w:pPr>
      <w:r w:rsidRPr="00CE24FC">
        <w:lastRenderedPageBreak/>
        <w:t>1</w:t>
      </w:r>
      <w:r w:rsidRPr="00CE24FC">
        <w:tab/>
        <w:t>Introduction</w:t>
      </w:r>
    </w:p>
    <w:p w14:paraId="3D26646B" w14:textId="16F42DEA" w:rsidR="001277BA" w:rsidRPr="00CE24FC" w:rsidRDefault="00697DFE" w:rsidP="00281607">
      <w:r w:rsidRPr="00CE24FC">
        <w:t>La Conférence mondiale des radiocommunications, qui s'est tenue à Charm el-Cheikh (Égypte) du</w:t>
      </w:r>
      <w:r w:rsidR="009F7E50" w:rsidRPr="00CE24FC">
        <w:t> </w:t>
      </w:r>
      <w:r w:rsidRPr="00CE24FC">
        <w:t>28 octobre au 22 novembre 2019, a adopté plusieurs décisions concernant de nouvelles activités et études</w:t>
      </w:r>
      <w:r w:rsidR="00962A01" w:rsidRPr="00CE24FC">
        <w:t>,</w:t>
      </w:r>
      <w:r w:rsidRPr="00CE24FC">
        <w:t xml:space="preserve"> ainsi que des améliorations à apporter aux systèmes et aux infrastructures existants</w:t>
      </w:r>
      <w:r w:rsidR="00962A01" w:rsidRPr="00CE24FC">
        <w:t>,</w:t>
      </w:r>
      <w:r w:rsidRPr="00CE24FC">
        <w:t xml:space="preserve"> afin de permettre au Bureau des radiocommunications de répondre </w:t>
      </w:r>
      <w:r w:rsidR="000742BD" w:rsidRPr="00CE24FC">
        <w:t>rapidement</w:t>
      </w:r>
      <w:r w:rsidRPr="00CE24FC">
        <w:t xml:space="preserve"> aux demandes des membres</w:t>
      </w:r>
      <w:r w:rsidR="00A47969" w:rsidRPr="00CE24FC">
        <w:t xml:space="preserve"> et de traiter </w:t>
      </w:r>
      <w:r w:rsidR="000742BD" w:rsidRPr="00CE24FC">
        <w:t>d</w:t>
      </w:r>
      <w:r w:rsidR="00A47969" w:rsidRPr="00CE24FC">
        <w:t xml:space="preserve">es questions d'ordre stratégique qui </w:t>
      </w:r>
      <w:r w:rsidR="000742BD" w:rsidRPr="00CE24FC">
        <w:t>nécessiteront</w:t>
      </w:r>
      <w:r w:rsidR="00A47969" w:rsidRPr="00CE24FC">
        <w:t xml:space="preserve"> l'attention de la CMR-23.</w:t>
      </w:r>
    </w:p>
    <w:p w14:paraId="04E72555" w14:textId="4ED72724" w:rsidR="001277BA" w:rsidRPr="00CE24FC" w:rsidRDefault="00C66299" w:rsidP="00281607">
      <w:r w:rsidRPr="00CE24FC">
        <w:t xml:space="preserve">La CMR-19 a défini ces activités comme étant des domaines prioritaires pour l'UIT-R, et </w:t>
      </w:r>
      <w:r w:rsidR="00962A01" w:rsidRPr="00CE24FC">
        <w:t xml:space="preserve">le </w:t>
      </w:r>
      <w:r w:rsidRPr="00CE24FC">
        <w:t xml:space="preserve">Bureau des radiocommunications </w:t>
      </w:r>
      <w:r w:rsidR="00962A01" w:rsidRPr="00CE24FC">
        <w:t xml:space="preserve">est chargé </w:t>
      </w:r>
      <w:r w:rsidRPr="00CE24FC">
        <w:t xml:space="preserve">de mettre en œuvre ces activités et de faire rapport à la prochaine Conférence </w:t>
      </w:r>
      <w:r w:rsidR="001277BA" w:rsidRPr="00CE24FC">
        <w:t>(</w:t>
      </w:r>
      <w:r w:rsidRPr="00CE24FC">
        <w:t>CMR</w:t>
      </w:r>
      <w:r w:rsidR="001277BA" w:rsidRPr="00CE24FC">
        <w:noBreakHyphen/>
        <w:t>23).</w:t>
      </w:r>
    </w:p>
    <w:p w14:paraId="328FD3CB" w14:textId="1030A0E3" w:rsidR="001277BA" w:rsidRPr="00CE24FC" w:rsidRDefault="00453930" w:rsidP="00281607">
      <w:r w:rsidRPr="00CE24FC">
        <w:t xml:space="preserve">Dans la mesure où les besoins dépassent le budget alloué au Bureau, il est proposé que le Conseil </w:t>
      </w:r>
      <w:r w:rsidR="000742BD" w:rsidRPr="00CE24FC">
        <w:t>examine cette question en priorité</w:t>
      </w:r>
      <w:r w:rsidRPr="00CE24FC">
        <w:t xml:space="preserve">, en trouvant des manières de financer ces activités, </w:t>
      </w:r>
      <w:r w:rsidR="000742BD" w:rsidRPr="00CE24FC">
        <w:t>sachant</w:t>
      </w:r>
      <w:r w:rsidRPr="00CE24FC">
        <w:t xml:space="preserve"> que le délai de mise en œuvre est </w:t>
      </w:r>
      <w:r w:rsidR="000742BD" w:rsidRPr="00CE24FC">
        <w:t>court</w:t>
      </w:r>
      <w:r w:rsidRPr="00CE24FC">
        <w:t xml:space="preserve"> et </w:t>
      </w:r>
      <w:r w:rsidR="000742BD" w:rsidRPr="00CE24FC">
        <w:t>exige</w:t>
      </w:r>
      <w:r w:rsidRPr="00CE24FC">
        <w:t xml:space="preserve"> de prendre des mesures immédiates. Le Conseil est invité à envisager les options proposées ci-dessous</w:t>
      </w:r>
      <w:r w:rsidR="001277BA" w:rsidRPr="00CE24FC">
        <w:t>:</w:t>
      </w:r>
    </w:p>
    <w:p w14:paraId="52BCE923" w14:textId="40F91914" w:rsidR="001277BA" w:rsidRPr="00CE24FC" w:rsidRDefault="001277BA" w:rsidP="00281607">
      <w:pPr>
        <w:pStyle w:val="enumlev1"/>
      </w:pPr>
      <w:r w:rsidRPr="00CE24FC">
        <w:t>•</w:t>
      </w:r>
      <w:r w:rsidRPr="00CE24FC">
        <w:tab/>
      </w:r>
      <w:r w:rsidR="00453930" w:rsidRPr="00CE24FC">
        <w:t>Autoriser le Secrétaire général à affecter à ces activités des fonds issus des économies réalisées, et ce à titre de priorité.</w:t>
      </w:r>
    </w:p>
    <w:p w14:paraId="3448CE1D" w14:textId="53D4E8EC" w:rsidR="001277BA" w:rsidRPr="00CE24FC" w:rsidRDefault="001277BA" w:rsidP="00281607">
      <w:pPr>
        <w:pStyle w:val="enumlev1"/>
      </w:pPr>
      <w:r w:rsidRPr="00CE24FC">
        <w:t>•</w:t>
      </w:r>
      <w:r w:rsidRPr="00CE24FC">
        <w:tab/>
      </w:r>
      <w:r w:rsidR="00453930" w:rsidRPr="00CE24FC">
        <w:t xml:space="preserve">Autoriser le Secrétaire général et le Directeur du Bureau des radiocommunications à rechercher des </w:t>
      </w:r>
      <w:r w:rsidR="000742BD" w:rsidRPr="00CE24FC">
        <w:t>aides</w:t>
      </w:r>
      <w:r w:rsidR="00453930" w:rsidRPr="00CE24FC">
        <w:t xml:space="preserve"> financières pour une partie des travaux</w:t>
      </w:r>
      <w:r w:rsidR="000742BD" w:rsidRPr="00CE24FC">
        <w:t xml:space="preserve"> associés à la mise</w:t>
      </w:r>
      <w:r w:rsidR="00453930" w:rsidRPr="00CE24FC">
        <w:t xml:space="preserve"> en œuvre </w:t>
      </w:r>
      <w:r w:rsidR="000742BD" w:rsidRPr="00CE24FC">
        <w:t xml:space="preserve">de </w:t>
      </w:r>
      <w:r w:rsidR="00453930" w:rsidRPr="00CE24FC">
        <w:t>certaines composantes de ces décisions fondées sur des projets</w:t>
      </w:r>
      <w:r w:rsidRPr="00CE24FC">
        <w:t>.</w:t>
      </w:r>
    </w:p>
    <w:p w14:paraId="681805AD" w14:textId="6CF8BBD3" w:rsidR="001277BA" w:rsidRPr="00CE24FC" w:rsidRDefault="001277BA" w:rsidP="00281607">
      <w:pPr>
        <w:pStyle w:val="enumlev1"/>
      </w:pPr>
      <w:r w:rsidRPr="00CE24FC">
        <w:t>•</w:t>
      </w:r>
      <w:r w:rsidRPr="00CE24FC">
        <w:tab/>
      </w:r>
      <w:r w:rsidR="00453930" w:rsidRPr="00CE24FC">
        <w:t>Autoriser le Secrétaire général à inclure toute dépense récurrente dans le prochain cycle du budget ordinaire</w:t>
      </w:r>
      <w:r w:rsidRPr="00CE24FC">
        <w:t>.</w:t>
      </w:r>
    </w:p>
    <w:p w14:paraId="429C7D74" w14:textId="539EE2FB" w:rsidR="00A42549" w:rsidRPr="00CE24FC" w:rsidRDefault="001277BA" w:rsidP="00281607">
      <w:pPr>
        <w:pStyle w:val="Heading1"/>
      </w:pPr>
      <w:r w:rsidRPr="00CE24FC">
        <w:t>2</w:t>
      </w:r>
      <w:r w:rsidRPr="00CE24FC">
        <w:tab/>
      </w:r>
      <w:r w:rsidR="00A42549" w:rsidRPr="00CE24FC">
        <w:t>Incidences financières des Décisions ou des Résolutions de la Conférence</w:t>
      </w:r>
      <w:r w:rsidR="0074776A" w:rsidRPr="00CE24FC">
        <w:t xml:space="preserve"> (CMR-19)</w:t>
      </w:r>
      <w:r w:rsidR="00A42549" w:rsidRPr="00CE24FC">
        <w:t xml:space="preserve"> (Document 493)</w:t>
      </w:r>
    </w:p>
    <w:p w14:paraId="0A11431E" w14:textId="521AF356" w:rsidR="00A42549" w:rsidRPr="00CE24FC" w:rsidRDefault="00A42549" w:rsidP="00281607">
      <w:pPr>
        <w:pStyle w:val="Headingb"/>
        <w:tabs>
          <w:tab w:val="clear" w:pos="567"/>
        </w:tabs>
        <w:ind w:left="0" w:firstLine="0"/>
      </w:pPr>
      <w:r w:rsidRPr="00CE24FC">
        <w:t>Résolution 35 (CMR</w:t>
      </w:r>
      <w:r w:rsidRPr="00CE24FC">
        <w:noBreakHyphen/>
        <w:t>19)</w:t>
      </w:r>
      <w:r w:rsidRPr="00CE24FC">
        <w:rPr>
          <w:sz w:val="22"/>
        </w:rPr>
        <w:t xml:space="preserve">, </w:t>
      </w:r>
      <w:r w:rsidRPr="00CE24FC">
        <w:t xml:space="preserve">Méthode par étape relative à la mise en œuvre des assignations de fréquence à des stations spatiales d'un système à satellites non géostationnaires dans certaines bandes </w:t>
      </w:r>
      <w:r w:rsidRPr="00CE24FC">
        <w:rPr>
          <w:lang w:eastAsia="zh-CN"/>
        </w:rPr>
        <w:t xml:space="preserve">de fréquences </w:t>
      </w:r>
      <w:r w:rsidRPr="00CE24FC">
        <w:t>et certains services</w:t>
      </w:r>
    </w:p>
    <w:p w14:paraId="5348912A" w14:textId="7763FF09" w:rsidR="00A42549" w:rsidRPr="00CE24FC" w:rsidRDefault="00A42549" w:rsidP="00281607">
      <w:r w:rsidRPr="00CE24FC">
        <w:t xml:space="preserve">Selon les estimations, les incidences financières relatives à la mise en œuvre de ce projet de nouvelle Résolution se chiffrent à 340 000 CHF. Les estimations portent sur l'élaboration de logiciels avec l'aide de ressources extérieures (des précisions sont données dans le Document </w:t>
      </w:r>
      <w:hyperlink r:id="rId12" w:history="1">
        <w:r w:rsidRPr="00CE24FC">
          <w:rPr>
            <w:rStyle w:val="Hyperlink"/>
          </w:rPr>
          <w:t>453</w:t>
        </w:r>
      </w:hyperlink>
      <w:r w:rsidRPr="00CE24FC">
        <w:t xml:space="preserve"> et dans le Tableau 1 ci-dessous).</w:t>
      </w:r>
    </w:p>
    <w:p w14:paraId="21F5EC19" w14:textId="61722799" w:rsidR="00A42549" w:rsidRPr="00CE24FC" w:rsidRDefault="00A42549" w:rsidP="00281607">
      <w:pPr>
        <w:pStyle w:val="Headingb"/>
        <w:tabs>
          <w:tab w:val="clear" w:pos="567"/>
        </w:tabs>
        <w:ind w:left="0" w:firstLine="0"/>
      </w:pPr>
      <w:r w:rsidRPr="00CE24FC">
        <w:t>Résolution 169 (CMR</w:t>
      </w:r>
      <w:r w:rsidRPr="00CE24FC">
        <w:noBreakHyphen/>
        <w:t>19)</w:t>
      </w:r>
      <w:bookmarkStart w:id="9" w:name="_Toc450208625"/>
      <w:r w:rsidRPr="00CE24FC">
        <w:t>, Utilisation des bandes de fréquences 17,7-19,7 GHz et 27,5</w:t>
      </w:r>
      <w:r w:rsidRPr="00CE24FC">
        <w:noBreakHyphen/>
        <w:t>29,5 GHz par les stations terriennes en mouvement communiquant avec des stations spatiales géostationnaires du service fixe par satellite</w:t>
      </w:r>
      <w:bookmarkEnd w:id="9"/>
    </w:p>
    <w:p w14:paraId="726F4DE0" w14:textId="7B306A28" w:rsidR="00A42549" w:rsidRPr="00CE24FC" w:rsidRDefault="00A42549" w:rsidP="00281607">
      <w:r w:rsidRPr="00CE24FC">
        <w:t xml:space="preserve">Selon les estimations, les incidences financières relatives à la mise en œuvre de ce projet de nouvelle Résolution se chiffrent à 85 000 CHF (des précisions sont données dans le Document </w:t>
      </w:r>
      <w:hyperlink r:id="rId13" w:history="1">
        <w:r w:rsidRPr="00CE24FC">
          <w:rPr>
            <w:rStyle w:val="Hyperlink"/>
          </w:rPr>
          <w:t>463</w:t>
        </w:r>
      </w:hyperlink>
      <w:r w:rsidRPr="00CE24FC">
        <w:t xml:space="preserve"> et dans le Tableau 1 ci-dessous). Les estimations portent sur les coûts afférents à l'élaboration de logiciels.</w:t>
      </w:r>
    </w:p>
    <w:p w14:paraId="3995A556" w14:textId="77777777" w:rsidR="00E26E92" w:rsidRPr="00CE24FC" w:rsidRDefault="00A42549" w:rsidP="00281607">
      <w:pPr>
        <w:pStyle w:val="Headingb"/>
      </w:pPr>
      <w:r w:rsidRPr="00CE24FC">
        <w:lastRenderedPageBreak/>
        <w:t>Modifications des numéros 9.36 et 9.53A et des Appendices 30, 30A et 30B du RR</w:t>
      </w:r>
    </w:p>
    <w:p w14:paraId="5B299472" w14:textId="6FB5D8E6" w:rsidR="00A42549" w:rsidRPr="00CE24FC" w:rsidRDefault="00A42549" w:rsidP="00281607">
      <w:pPr>
        <w:rPr>
          <w:b/>
          <w:bCs/>
        </w:rPr>
      </w:pPr>
      <w:r w:rsidRPr="00CE24FC">
        <w:t xml:space="preserve">Selon les estimations, les incidences financières relatives aux modifications des numéros </w:t>
      </w:r>
      <w:r w:rsidRPr="00CE24FC">
        <w:rPr>
          <w:b/>
        </w:rPr>
        <w:t>9.36</w:t>
      </w:r>
      <w:r w:rsidRPr="00CE24FC">
        <w:rPr>
          <w:bCs/>
        </w:rPr>
        <w:t xml:space="preserve"> et</w:t>
      </w:r>
      <w:r w:rsidR="009F7E50" w:rsidRPr="00CE24FC">
        <w:rPr>
          <w:bCs/>
        </w:rPr>
        <w:t> </w:t>
      </w:r>
      <w:r w:rsidRPr="00CE24FC">
        <w:rPr>
          <w:b/>
        </w:rPr>
        <w:t>9.53A</w:t>
      </w:r>
      <w:r w:rsidRPr="00CE24FC">
        <w:t xml:space="preserve"> et des</w:t>
      </w:r>
      <w:r w:rsidRPr="00CE24FC">
        <w:rPr>
          <w:b/>
          <w:bCs/>
        </w:rPr>
        <w:t xml:space="preserve"> </w:t>
      </w:r>
      <w:r w:rsidRPr="00CE24FC">
        <w:t xml:space="preserve">Appendices </w:t>
      </w:r>
      <w:r w:rsidRPr="00CE24FC">
        <w:rPr>
          <w:b/>
          <w:bCs/>
        </w:rPr>
        <w:t>30</w:t>
      </w:r>
      <w:r w:rsidRPr="00CE24FC">
        <w:t xml:space="preserve">, </w:t>
      </w:r>
      <w:r w:rsidRPr="00CE24FC">
        <w:rPr>
          <w:b/>
          <w:bCs/>
        </w:rPr>
        <w:t>30A</w:t>
      </w:r>
      <w:r w:rsidRPr="00CE24FC">
        <w:t xml:space="preserve"> et </w:t>
      </w:r>
      <w:r w:rsidRPr="00CE24FC">
        <w:rPr>
          <w:b/>
          <w:bCs/>
        </w:rPr>
        <w:t>30B</w:t>
      </w:r>
      <w:r w:rsidRPr="00CE24FC">
        <w:t xml:space="preserve"> du RR se chiffrent à 200 000 CHF (des précisions sont données dans les Documents </w:t>
      </w:r>
      <w:hyperlink r:id="rId14" w:history="1">
        <w:r w:rsidRPr="00CE24FC">
          <w:rPr>
            <w:rStyle w:val="Hyperlink"/>
          </w:rPr>
          <w:t>325</w:t>
        </w:r>
      </w:hyperlink>
      <w:r w:rsidRPr="00CE24FC">
        <w:t xml:space="preserve">, </w:t>
      </w:r>
      <w:hyperlink r:id="rId15" w:history="1">
        <w:r w:rsidRPr="00CE24FC">
          <w:rPr>
            <w:rStyle w:val="Hyperlink"/>
          </w:rPr>
          <w:t>190</w:t>
        </w:r>
      </w:hyperlink>
      <w:r w:rsidRPr="00CE24FC">
        <w:t xml:space="preserve">, </w:t>
      </w:r>
      <w:hyperlink r:id="rId16" w:history="1">
        <w:r w:rsidRPr="00CE24FC">
          <w:rPr>
            <w:rStyle w:val="Hyperlink"/>
          </w:rPr>
          <w:t>332</w:t>
        </w:r>
      </w:hyperlink>
      <w:r w:rsidRPr="00CE24FC">
        <w:t xml:space="preserve">, </w:t>
      </w:r>
      <w:hyperlink r:id="rId17" w:history="1">
        <w:r w:rsidRPr="00CE24FC">
          <w:rPr>
            <w:rStyle w:val="Hyperlink"/>
          </w:rPr>
          <w:t>491</w:t>
        </w:r>
      </w:hyperlink>
      <w:r w:rsidRPr="00CE24FC">
        <w:t xml:space="preserve"> et </w:t>
      </w:r>
      <w:hyperlink r:id="rId18" w:history="1">
        <w:r w:rsidRPr="00CE24FC">
          <w:rPr>
            <w:rStyle w:val="Hyperlink"/>
          </w:rPr>
          <w:t>492</w:t>
        </w:r>
      </w:hyperlink>
      <w:r w:rsidRPr="00CE24FC">
        <w:t xml:space="preserve"> et dans le Tableau 1 ci</w:t>
      </w:r>
      <w:r w:rsidRPr="00CE24FC">
        <w:noBreakHyphen/>
        <w:t>dessous).</w:t>
      </w:r>
    </w:p>
    <w:p w14:paraId="1355B142" w14:textId="70C09639" w:rsidR="00CA225E" w:rsidRPr="00CE24FC" w:rsidRDefault="00A42549" w:rsidP="00281607">
      <w:pPr>
        <w:pStyle w:val="Headingb"/>
        <w:tabs>
          <w:tab w:val="clear" w:pos="567"/>
        </w:tabs>
        <w:ind w:left="0" w:firstLine="0"/>
      </w:pPr>
      <w:r w:rsidRPr="00CE24FC">
        <w:t xml:space="preserve">Résolution </w:t>
      </w:r>
      <w:r w:rsidR="00E26E92" w:rsidRPr="00CE24FC">
        <w:t>245</w:t>
      </w:r>
      <w:r w:rsidRPr="00CE24FC">
        <w:t xml:space="preserve"> (CMR-19)</w:t>
      </w:r>
      <w:r w:rsidR="00E26E92" w:rsidRPr="00CE24FC">
        <w:t xml:space="preserve">, </w:t>
      </w:r>
      <w:r w:rsidRPr="00CE24FC">
        <w:t>Études sur les questions liées aux fréquences pour l'identification des bandes de fréquences 3 300-3 400 MHz, 3 600-3 800 MHz, 6 425-7 025 MHz, 7 025-7 125 MHz, et</w:t>
      </w:r>
      <w:r w:rsidR="009F7E50" w:rsidRPr="00CE24FC">
        <w:t> </w:t>
      </w:r>
      <w:r w:rsidRPr="00CE24FC">
        <w:t>10,0-10,5 GHz pour la composante de Terre des Télécommunications mobiles internationales</w:t>
      </w:r>
      <w:r w:rsidR="009F7E50" w:rsidRPr="00CE24FC">
        <w:t> </w:t>
      </w:r>
      <w:r w:rsidRPr="00CE24FC">
        <w:t>(IMT)</w:t>
      </w:r>
    </w:p>
    <w:p w14:paraId="1CD482B0" w14:textId="03FAC9ED" w:rsidR="00A42549" w:rsidRPr="00CE24FC" w:rsidRDefault="00A42549" w:rsidP="00281607">
      <w:r w:rsidRPr="00CE24FC">
        <w:t xml:space="preserve">Selon les estimations, les incidences financières relatives à la mise en œuvre de </w:t>
      </w:r>
      <w:r w:rsidR="00BF295D" w:rsidRPr="00CE24FC">
        <w:t>cette</w:t>
      </w:r>
      <w:r w:rsidRPr="00CE24FC">
        <w:t xml:space="preserve"> nouvelle Résolution se chiffrent à 456 000 CHF</w:t>
      </w:r>
      <w:r w:rsidR="00BF295D" w:rsidRPr="00CE24FC">
        <w:t>, ce qui couvre les journées de réunion supplémentaires et les coûts d'interprétation et de traduction de la documentation technique.</w:t>
      </w:r>
    </w:p>
    <w:p w14:paraId="1FA65249" w14:textId="274FFECC" w:rsidR="00A42549" w:rsidRPr="00CE24FC" w:rsidRDefault="00A42549" w:rsidP="00281607">
      <w:pPr>
        <w:pStyle w:val="Headingb"/>
        <w:tabs>
          <w:tab w:val="clear" w:pos="567"/>
        </w:tabs>
        <w:ind w:left="0" w:firstLine="0"/>
      </w:pPr>
      <w:r w:rsidRPr="00CE24FC">
        <w:t xml:space="preserve">Résolution 235 </w:t>
      </w:r>
      <w:r w:rsidR="00CA225E" w:rsidRPr="00CE24FC">
        <w:t>(CMR-15)</w:t>
      </w:r>
      <w:r w:rsidR="009F7E50" w:rsidRPr="00CE24FC">
        <w:t>,</w:t>
      </w:r>
      <w:r w:rsidR="00CA225E" w:rsidRPr="00CE24FC">
        <w:t xml:space="preserve"> Examen de l</w:t>
      </w:r>
      <w:r w:rsidR="000742BD" w:rsidRPr="00CE24FC">
        <w:t>'</w:t>
      </w:r>
      <w:r w:rsidR="00CA225E" w:rsidRPr="00CE24FC">
        <w:t>utilisation du spectre dans la bande de fréquences 470</w:t>
      </w:r>
      <w:r w:rsidR="00097E5E" w:rsidRPr="00CE24FC">
        <w:noBreakHyphen/>
      </w:r>
      <w:r w:rsidR="00CA225E" w:rsidRPr="00CE24FC">
        <w:t xml:space="preserve">960 MHz en Région 1, </w:t>
      </w:r>
      <w:r w:rsidRPr="00CE24FC">
        <w:t xml:space="preserve">visée au point 1.5 de l'ordre du jour de la CMR-23 </w:t>
      </w:r>
      <w:r w:rsidR="00097E5E" w:rsidRPr="00CE24FC">
        <w:t>–</w:t>
      </w:r>
      <w:r w:rsidRPr="00CE24FC">
        <w:t xml:space="preserve"> Examen de l</w:t>
      </w:r>
      <w:r w:rsidR="000742BD" w:rsidRPr="00CE24FC">
        <w:t>'</w:t>
      </w:r>
      <w:r w:rsidRPr="00CE24FC">
        <w:t>utilisation du spectre dans la bande de fréquences 470-960 MHz en Région 1</w:t>
      </w:r>
    </w:p>
    <w:p w14:paraId="4AAF84C6" w14:textId="06D5A485" w:rsidR="00A42549" w:rsidRPr="00CE24FC" w:rsidRDefault="00A42549" w:rsidP="00281607">
      <w:r w:rsidRPr="00CE24FC">
        <w:t>Selon les estimations, les incidences financières relatives à la mise en œuvre de cette Résolution se chiffrent à 340 000 CHF</w:t>
      </w:r>
      <w:r w:rsidR="00CA225E" w:rsidRPr="00CE24FC">
        <w:t xml:space="preserve">, </w:t>
      </w:r>
      <w:r w:rsidR="00BF295D" w:rsidRPr="00CE24FC">
        <w:t>ce qui couvre les journées de réunion supplémentaires et les coûts d'interprétation et de traduction de la documentation technique</w:t>
      </w:r>
      <w:r w:rsidR="00CA225E" w:rsidRPr="00CE24FC">
        <w:t>.</w:t>
      </w:r>
    </w:p>
    <w:p w14:paraId="7F3A8E76" w14:textId="421135DB" w:rsidR="00CA225E" w:rsidRPr="00CE24FC" w:rsidRDefault="00CA225E" w:rsidP="00281607">
      <w:pPr>
        <w:pStyle w:val="Headingb"/>
        <w:tabs>
          <w:tab w:val="clear" w:pos="567"/>
          <w:tab w:val="left" w:pos="0"/>
        </w:tabs>
        <w:ind w:left="0" w:firstLine="0"/>
      </w:pPr>
      <w:r w:rsidRPr="00CE24FC">
        <w:t>R</w:t>
      </w:r>
      <w:r w:rsidR="00BF295D" w:rsidRPr="00CE24FC">
        <w:t>é</w:t>
      </w:r>
      <w:r w:rsidRPr="00CE24FC">
        <w:t xml:space="preserve">solutions </w:t>
      </w:r>
      <w:r w:rsidR="00BF295D" w:rsidRPr="00CE24FC">
        <w:t xml:space="preserve">et dispositions adoptées par la CMR-19 ayant trait au point 1.6 de l'ordre du jour de la CMR-19 </w:t>
      </w:r>
      <w:r w:rsidRPr="00CE24FC">
        <w:t>(</w:t>
      </w:r>
      <w:r w:rsidR="00BF295D" w:rsidRPr="00CE24FC">
        <w:t>SFS non OSG</w:t>
      </w:r>
      <w:r w:rsidRPr="00CE24FC">
        <w:t>):</w:t>
      </w:r>
    </w:p>
    <w:p w14:paraId="7F1C03CB" w14:textId="42EE95C7" w:rsidR="00CA225E" w:rsidRPr="00CE24FC" w:rsidRDefault="00CA225E" w:rsidP="00281607">
      <w:pPr>
        <w:pStyle w:val="enumlev1"/>
        <w:rPr>
          <w:b/>
          <w:bCs/>
        </w:rPr>
      </w:pPr>
      <w:r w:rsidRPr="00CE24FC">
        <w:rPr>
          <w:b/>
          <w:bCs/>
        </w:rPr>
        <w:t>•</w:t>
      </w:r>
      <w:r w:rsidRPr="00CE24FC">
        <w:tab/>
      </w:r>
      <w:r w:rsidR="00BF295D" w:rsidRPr="00CE24FC">
        <w:rPr>
          <w:b/>
          <w:bCs/>
        </w:rPr>
        <w:t>Nouvelles dispositions numéro</w:t>
      </w:r>
      <w:r w:rsidRPr="00CE24FC">
        <w:rPr>
          <w:b/>
          <w:bCs/>
        </w:rPr>
        <w:t xml:space="preserve"> 5.550C, 5.550E, 22.5L</w:t>
      </w:r>
      <w:r w:rsidR="00BF295D" w:rsidRPr="00CE24FC">
        <w:rPr>
          <w:b/>
          <w:bCs/>
        </w:rPr>
        <w:t xml:space="preserve"> et </w:t>
      </w:r>
      <w:r w:rsidRPr="00CE24FC">
        <w:rPr>
          <w:b/>
          <w:bCs/>
        </w:rPr>
        <w:t>22.5M</w:t>
      </w:r>
      <w:r w:rsidR="00BF295D" w:rsidRPr="00CE24FC">
        <w:rPr>
          <w:b/>
          <w:bCs/>
        </w:rPr>
        <w:t xml:space="preserve"> du RR</w:t>
      </w:r>
      <w:r w:rsidR="009F7E50" w:rsidRPr="00CE24FC">
        <w:rPr>
          <w:b/>
          <w:bCs/>
        </w:rPr>
        <w:t>.</w:t>
      </w:r>
    </w:p>
    <w:p w14:paraId="0AF46A76" w14:textId="588911E3" w:rsidR="00CA225E" w:rsidRPr="00CE24FC" w:rsidRDefault="00CA225E" w:rsidP="00281607">
      <w:pPr>
        <w:pStyle w:val="enumlev1"/>
        <w:rPr>
          <w:b/>
          <w:bCs/>
        </w:rPr>
      </w:pPr>
      <w:r w:rsidRPr="00CE24FC">
        <w:rPr>
          <w:b/>
          <w:bCs/>
        </w:rPr>
        <w:t>•</w:t>
      </w:r>
      <w:r w:rsidRPr="00CE24FC">
        <w:rPr>
          <w:b/>
          <w:bCs/>
        </w:rPr>
        <w:tab/>
        <w:t xml:space="preserve">Résolution 769 (CMR-19), </w:t>
      </w:r>
      <w:bookmarkStart w:id="10" w:name="_Toc327364511"/>
      <w:bookmarkStart w:id="11" w:name="_Toc450048777"/>
      <w:r w:rsidR="0039061D" w:rsidRPr="00CE24FC">
        <w:rPr>
          <w:b/>
          <w:bCs/>
        </w:rPr>
        <w:t>Protection des réseaux à satellite géostationnaire du service fixe par satellite, du service de radiodiffusion par satellite et du service mobile par satellite contre les brouillages cumulatifs causés par de multiples systèmes à satellites non géostationnaires du service fixe par satellite dans les bandes de fréquences 37,5</w:t>
      </w:r>
      <w:r w:rsidR="0039061D" w:rsidRPr="00CE24FC">
        <w:rPr>
          <w:b/>
          <w:bCs/>
        </w:rPr>
        <w:noBreakHyphen/>
        <w:t>39,5 GHz, 39,5-42,5 GHz, 47,2-50,2 GHz et 50,4-51,4 GHz</w:t>
      </w:r>
      <w:bookmarkEnd w:id="10"/>
      <w:bookmarkEnd w:id="11"/>
      <w:r w:rsidR="0039061D" w:rsidRPr="00CE24FC">
        <w:rPr>
          <w:b/>
          <w:bCs/>
        </w:rPr>
        <w:t>.</w:t>
      </w:r>
    </w:p>
    <w:p w14:paraId="1D801A84" w14:textId="55F4B993" w:rsidR="0039061D" w:rsidRPr="00CE24FC" w:rsidRDefault="0039061D" w:rsidP="00281607">
      <w:pPr>
        <w:pStyle w:val="enumlev1"/>
        <w:rPr>
          <w:b/>
          <w:bCs/>
        </w:rPr>
      </w:pPr>
      <w:r w:rsidRPr="00CE24FC">
        <w:rPr>
          <w:b/>
          <w:bCs/>
        </w:rPr>
        <w:t>•</w:t>
      </w:r>
      <w:r w:rsidRPr="00CE24FC">
        <w:rPr>
          <w:b/>
          <w:bCs/>
        </w:rPr>
        <w:tab/>
        <w:t>Résolution 770 (CMR-19)</w:t>
      </w:r>
      <w:r w:rsidR="009F7E50" w:rsidRPr="00CE24FC">
        <w:rPr>
          <w:b/>
          <w:bCs/>
        </w:rPr>
        <w:t>,</w:t>
      </w:r>
      <w:r w:rsidRPr="00CE24FC">
        <w:rPr>
          <w:b/>
          <w:bCs/>
        </w:rPr>
        <w:t xml:space="preserve"> </w:t>
      </w:r>
      <w:r w:rsidR="00E21D64" w:rsidRPr="00CE24FC">
        <w:rPr>
          <w:b/>
          <w:bCs/>
        </w:rPr>
        <w:t>Application de l'Article 22 du Règlement des radiocommunications à la protection des réseaux à satellite géostationnaire du service fixe par satellite et du service de radiodiffusion par satellite vis-à-vis des systèmes à satellites non géostationnaires du service fixe par satellite dans les bandes de fréquences 37,5</w:t>
      </w:r>
      <w:r w:rsidR="00E21D64" w:rsidRPr="00CE24FC">
        <w:rPr>
          <w:b/>
          <w:bCs/>
        </w:rPr>
        <w:noBreakHyphen/>
        <w:t>39,5</w:t>
      </w:r>
      <w:r w:rsidR="00097E5E" w:rsidRPr="00CE24FC">
        <w:rPr>
          <w:b/>
          <w:bCs/>
        </w:rPr>
        <w:t> </w:t>
      </w:r>
      <w:r w:rsidR="00E21D64" w:rsidRPr="00CE24FC">
        <w:rPr>
          <w:b/>
          <w:bCs/>
        </w:rPr>
        <w:t>GHz, 39,5-42,5 GHz, 47,2-50,2 GHz, et 50,4-51,4 GHz.</w:t>
      </w:r>
    </w:p>
    <w:p w14:paraId="246AA664" w14:textId="570FC11B" w:rsidR="001277BA" w:rsidRPr="00CE24FC" w:rsidRDefault="00A42549" w:rsidP="00281607">
      <w:r w:rsidRPr="00CE24FC">
        <w:t xml:space="preserve">Selon les estimations, les incidences financières relatives à la mise en œuvre des dispositions réglementaires en application </w:t>
      </w:r>
      <w:r w:rsidR="00BF295D" w:rsidRPr="00CE24FC">
        <w:t>du</w:t>
      </w:r>
      <w:r w:rsidRPr="00CE24FC">
        <w:t xml:space="preserve"> point 1.6 de l'ordre du jour de la CMR-19 se chiffrent à</w:t>
      </w:r>
      <w:r w:rsidR="009F7E50" w:rsidRPr="00CE24FC">
        <w:t> </w:t>
      </w:r>
      <w:r w:rsidR="00E21D64" w:rsidRPr="00CE24FC">
        <w:t>15</w:t>
      </w:r>
      <w:r w:rsidRPr="00CE24FC">
        <w:t>0</w:t>
      </w:r>
      <w:r w:rsidR="00E21D64" w:rsidRPr="00CE24FC">
        <w:t> </w:t>
      </w:r>
      <w:r w:rsidRPr="00CE24FC">
        <w:t>000</w:t>
      </w:r>
      <w:r w:rsidR="00E21D64" w:rsidRPr="00CE24FC">
        <w:t> </w:t>
      </w:r>
      <w:r w:rsidRPr="00CE24FC">
        <w:t xml:space="preserve">CHF. Les coûts sont liés à l'élaboration de logiciels (des précisions sont données dans le Document </w:t>
      </w:r>
      <w:hyperlink r:id="rId19" w:history="1">
        <w:r w:rsidRPr="00CE24FC">
          <w:rPr>
            <w:rStyle w:val="Hyperlink"/>
          </w:rPr>
          <w:t>493</w:t>
        </w:r>
      </w:hyperlink>
      <w:r w:rsidRPr="00CE24FC">
        <w:t xml:space="preserve"> et dans le Tableau 1 ci-dessous).</w:t>
      </w:r>
    </w:p>
    <w:p w14:paraId="03086EED" w14:textId="321D8C85" w:rsidR="007C002F" w:rsidRPr="00CE24FC" w:rsidRDefault="00104C85" w:rsidP="009F7E50">
      <w:pPr>
        <w:pStyle w:val="Headingb"/>
        <w:ind w:left="0" w:firstLine="0"/>
      </w:pPr>
      <w:r w:rsidRPr="00CE24FC">
        <w:t xml:space="preserve">Résolutions et dispositions adoptées par la CMR-19 ayant trait au point 1.14 de l'ordre du jour de la CMR-19 </w:t>
      </w:r>
      <w:r w:rsidR="007C002F" w:rsidRPr="00CE24FC">
        <w:t>(</w:t>
      </w:r>
      <w:r w:rsidR="0014445A" w:rsidRPr="00CE24FC">
        <w:t xml:space="preserve">stations </w:t>
      </w:r>
      <w:r w:rsidR="007C002F" w:rsidRPr="00CE24FC">
        <w:t>HAPS):</w:t>
      </w:r>
    </w:p>
    <w:p w14:paraId="6F048F40" w14:textId="29861CC1" w:rsidR="007C002F" w:rsidRPr="00CE24FC" w:rsidRDefault="007C002F" w:rsidP="00281607">
      <w:pPr>
        <w:pStyle w:val="enumlev1"/>
        <w:rPr>
          <w:b/>
          <w:bCs/>
        </w:rPr>
      </w:pPr>
      <w:r w:rsidRPr="00CE24FC">
        <w:rPr>
          <w:b/>
          <w:bCs/>
        </w:rPr>
        <w:t>•</w:t>
      </w:r>
      <w:r w:rsidRPr="00CE24FC">
        <w:rPr>
          <w:b/>
          <w:bCs/>
        </w:rPr>
        <w:tab/>
        <w:t>Résolution 122 (R</w:t>
      </w:r>
      <w:r w:rsidR="009F7E50" w:rsidRPr="00CE24FC">
        <w:rPr>
          <w:b/>
          <w:bCs/>
        </w:rPr>
        <w:t>év</w:t>
      </w:r>
      <w:r w:rsidRPr="00CE24FC">
        <w:rPr>
          <w:b/>
          <w:bCs/>
        </w:rPr>
        <w:t>.</w:t>
      </w:r>
      <w:r w:rsidR="009F7E50" w:rsidRPr="00CE24FC">
        <w:rPr>
          <w:b/>
          <w:bCs/>
        </w:rPr>
        <w:t xml:space="preserve"> </w:t>
      </w:r>
      <w:r w:rsidRPr="00CE24FC">
        <w:rPr>
          <w:b/>
          <w:bCs/>
        </w:rPr>
        <w:t>CMR</w:t>
      </w:r>
      <w:r w:rsidRPr="00CE24FC">
        <w:rPr>
          <w:b/>
          <w:bCs/>
        </w:rPr>
        <w:noBreakHyphen/>
        <w:t>19), Utilisation des bandes de fréquences 47,2-47,5 GHz et</w:t>
      </w:r>
      <w:r w:rsidR="009F7E50" w:rsidRPr="00CE24FC">
        <w:rPr>
          <w:b/>
          <w:bCs/>
        </w:rPr>
        <w:t> </w:t>
      </w:r>
      <w:r w:rsidRPr="00CE24FC">
        <w:rPr>
          <w:b/>
          <w:bCs/>
        </w:rPr>
        <w:t>47,9</w:t>
      </w:r>
      <w:r w:rsidRPr="00CE24FC">
        <w:rPr>
          <w:b/>
          <w:bCs/>
        </w:rPr>
        <w:noBreakHyphen/>
        <w:t>48,2 GHz par des stations du service fixe placées sur des plates-formes à haute altitude</w:t>
      </w:r>
      <w:r w:rsidR="009F7E50" w:rsidRPr="00CE24FC">
        <w:rPr>
          <w:b/>
          <w:bCs/>
        </w:rPr>
        <w:t>.</w:t>
      </w:r>
    </w:p>
    <w:p w14:paraId="60D6DE15" w14:textId="1909D1BC" w:rsidR="007C002F" w:rsidRPr="00CE24FC" w:rsidRDefault="007C002F" w:rsidP="00281607">
      <w:pPr>
        <w:pStyle w:val="enumlev1"/>
        <w:rPr>
          <w:b/>
          <w:bCs/>
        </w:rPr>
      </w:pPr>
      <w:r w:rsidRPr="00CE24FC">
        <w:rPr>
          <w:b/>
          <w:bCs/>
        </w:rPr>
        <w:t>•</w:t>
      </w:r>
      <w:r w:rsidRPr="00CE24FC">
        <w:rPr>
          <w:b/>
          <w:bCs/>
        </w:rPr>
        <w:tab/>
        <w:t>Résolution 165 (CMR-19), Utilisation de la bande de fréquences 21,4-22 GHz par les stations placées sur des plates</w:t>
      </w:r>
      <w:r w:rsidRPr="00CE24FC">
        <w:rPr>
          <w:b/>
          <w:bCs/>
        </w:rPr>
        <w:noBreakHyphen/>
        <w:t>formes à haute altitude dans le service fixe en Région 2</w:t>
      </w:r>
      <w:r w:rsidR="009F7E50" w:rsidRPr="00CE24FC">
        <w:rPr>
          <w:b/>
          <w:bCs/>
        </w:rPr>
        <w:t>.</w:t>
      </w:r>
    </w:p>
    <w:p w14:paraId="010F6778" w14:textId="28BFE6ED" w:rsidR="007C002F" w:rsidRPr="00CE24FC" w:rsidRDefault="007C002F" w:rsidP="00281607">
      <w:pPr>
        <w:pStyle w:val="enumlev1"/>
        <w:rPr>
          <w:b/>
          <w:bCs/>
        </w:rPr>
      </w:pPr>
      <w:r w:rsidRPr="00CE24FC">
        <w:rPr>
          <w:b/>
          <w:bCs/>
        </w:rPr>
        <w:lastRenderedPageBreak/>
        <w:t>•</w:t>
      </w:r>
      <w:r w:rsidRPr="00CE24FC">
        <w:rPr>
          <w:b/>
          <w:bCs/>
        </w:rPr>
        <w:tab/>
        <w:t>Résolution 166 (CMR-19), Utilisation de la bande de fréquences 24,25-27,5 GHz par les stations placées sur des plates-formes à haute altitude du service fixe en Région 2</w:t>
      </w:r>
      <w:r w:rsidR="009F7E50" w:rsidRPr="00CE24FC">
        <w:rPr>
          <w:b/>
          <w:bCs/>
        </w:rPr>
        <w:t>.</w:t>
      </w:r>
    </w:p>
    <w:p w14:paraId="5EADF9D8" w14:textId="650ACC77" w:rsidR="007C002F" w:rsidRPr="00CE24FC" w:rsidRDefault="007C002F" w:rsidP="00281607">
      <w:pPr>
        <w:pStyle w:val="enumlev1"/>
        <w:rPr>
          <w:b/>
          <w:bCs/>
        </w:rPr>
      </w:pPr>
      <w:r w:rsidRPr="00CE24FC">
        <w:rPr>
          <w:b/>
          <w:bCs/>
        </w:rPr>
        <w:t>•</w:t>
      </w:r>
      <w:r w:rsidRPr="00CE24FC">
        <w:rPr>
          <w:b/>
          <w:bCs/>
        </w:rPr>
        <w:tab/>
        <w:t>Résolution 167 (CMR-19), Utilisation de la bande de fréquences 31-31,3 GHz par des stations placées sur des plates</w:t>
      </w:r>
      <w:r w:rsidRPr="00CE24FC">
        <w:rPr>
          <w:b/>
          <w:bCs/>
        </w:rPr>
        <w:noBreakHyphen/>
        <w:t>formes à haute altitude dans le service fixe</w:t>
      </w:r>
      <w:r w:rsidR="009F7E50" w:rsidRPr="00CE24FC">
        <w:rPr>
          <w:b/>
          <w:bCs/>
        </w:rPr>
        <w:t>.</w:t>
      </w:r>
    </w:p>
    <w:p w14:paraId="605F33C1" w14:textId="6A52DE2D" w:rsidR="007C002F" w:rsidRPr="00CE24FC" w:rsidRDefault="007C002F" w:rsidP="00281607">
      <w:pPr>
        <w:pStyle w:val="enumlev1"/>
        <w:rPr>
          <w:b/>
          <w:bCs/>
        </w:rPr>
      </w:pPr>
      <w:r w:rsidRPr="00CE24FC">
        <w:rPr>
          <w:b/>
          <w:bCs/>
        </w:rPr>
        <w:t>•</w:t>
      </w:r>
      <w:r w:rsidRPr="00CE24FC">
        <w:rPr>
          <w:b/>
          <w:bCs/>
        </w:rPr>
        <w:tab/>
        <w:t>Résolution 168 (CMR-19), Utilisation de la bande de fréquences 38-39,5 GHz par des stations placées sur des plates</w:t>
      </w:r>
      <w:r w:rsidRPr="00CE24FC">
        <w:rPr>
          <w:b/>
          <w:bCs/>
        </w:rPr>
        <w:noBreakHyphen/>
        <w:t>formes à haute altitude dans le service fixe</w:t>
      </w:r>
      <w:r w:rsidR="009F7E50" w:rsidRPr="00CE24FC">
        <w:rPr>
          <w:b/>
          <w:bCs/>
        </w:rPr>
        <w:t>.</w:t>
      </w:r>
    </w:p>
    <w:p w14:paraId="0317AB8C" w14:textId="2553C221" w:rsidR="00250931" w:rsidRPr="00CE24FC" w:rsidRDefault="00250931" w:rsidP="00281607">
      <w:r w:rsidRPr="00CE24FC">
        <w:t>Selon les estimations, les incidences financières relatives à la mise en œuvre des dispositions réglementaires en application d</w:t>
      </w:r>
      <w:r w:rsidR="00E32BC0" w:rsidRPr="00CE24FC">
        <w:t>u</w:t>
      </w:r>
      <w:r w:rsidRPr="00CE24FC">
        <w:t xml:space="preserve"> point 1.14 de l'ordre du jour de la CMR-19 se chiffrent à</w:t>
      </w:r>
      <w:r w:rsidR="009F7E50" w:rsidRPr="00CE24FC">
        <w:t> </w:t>
      </w:r>
      <w:r w:rsidR="00E32BC0" w:rsidRPr="00CE24FC">
        <w:t>150 </w:t>
      </w:r>
      <w:r w:rsidRPr="00CE24FC">
        <w:t>000</w:t>
      </w:r>
      <w:r w:rsidR="00E32BC0" w:rsidRPr="00CE24FC">
        <w:t> </w:t>
      </w:r>
      <w:r w:rsidRPr="00CE24FC">
        <w:t xml:space="preserve">CHF. Les coûts sont liés à l'élaboration de logiciels (des précisions sont données dans le Document </w:t>
      </w:r>
      <w:hyperlink r:id="rId20" w:history="1">
        <w:r w:rsidRPr="00CE24FC">
          <w:rPr>
            <w:rStyle w:val="Hyperlink"/>
          </w:rPr>
          <w:t>450</w:t>
        </w:r>
      </w:hyperlink>
      <w:r w:rsidRPr="00CE24FC">
        <w:t xml:space="preserve"> et dans le Tableau 1 ci-dessous).</w:t>
      </w:r>
    </w:p>
    <w:p w14:paraId="3B8A1CC2" w14:textId="6AFED958" w:rsidR="00E32BC0" w:rsidRPr="00CE24FC" w:rsidRDefault="00104C85" w:rsidP="00281607">
      <w:r w:rsidRPr="00CE24FC">
        <w:t>Il convient de noter que certaines des dispositions du RR</w:t>
      </w:r>
      <w:r w:rsidR="000742BD" w:rsidRPr="00CE24FC">
        <w:t xml:space="preserve"> et de Résolutions</w:t>
      </w:r>
      <w:r w:rsidRPr="00CE24FC">
        <w:t xml:space="preserve"> susmentionnées nécessitent l'élaboration de logiciels à l'usage de tous les États Membres. Les coûts connexes ne peuvent donc pas être considérés comme des dépenses récurrentes liées à la soumission de</w:t>
      </w:r>
      <w:r w:rsidR="000742BD" w:rsidRPr="00CE24FC">
        <w:t>s</w:t>
      </w:r>
      <w:r w:rsidRPr="00CE24FC">
        <w:t xml:space="preserve"> fiches de notification de réseaux à satellite. À ce titre, ces coûts n'entrent pas dans le cadre du recouvrement des coûts établi dans la Décision 482 (Conseil 2019</w:t>
      </w:r>
      <w:r w:rsidR="00E32BC0" w:rsidRPr="00CE24FC">
        <w:t>).</w:t>
      </w:r>
    </w:p>
    <w:p w14:paraId="4C048988" w14:textId="39854734" w:rsidR="00E32BC0" w:rsidRPr="00CE24FC" w:rsidRDefault="00E32BC0" w:rsidP="00281607">
      <w:pPr>
        <w:pStyle w:val="TableNo"/>
      </w:pPr>
      <w:r w:rsidRPr="00CE24FC">
        <w:t>TABLE</w:t>
      </w:r>
      <w:r w:rsidR="00401DAA" w:rsidRPr="00CE24FC">
        <w:t>AU</w:t>
      </w:r>
      <w:r w:rsidRPr="00CE24FC">
        <w:t xml:space="preserve"> 1</w:t>
      </w:r>
    </w:p>
    <w:p w14:paraId="651CF4DB" w14:textId="1F2EB3E1" w:rsidR="00E32BC0" w:rsidRPr="00CE24FC" w:rsidRDefault="00104C85" w:rsidP="00281607">
      <w:pPr>
        <w:pStyle w:val="Tabletitle"/>
        <w:spacing w:after="240"/>
      </w:pPr>
      <w:r w:rsidRPr="00CE24FC">
        <w:t>Résumé des coûts estimés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3544"/>
        <w:gridCol w:w="1428"/>
      </w:tblGrid>
      <w:tr w:rsidR="00B46C6A" w:rsidRPr="00CE24FC" w14:paraId="6896DAE6" w14:textId="77777777" w:rsidTr="00A26F0E">
        <w:trPr>
          <w:cantSplit/>
          <w:tblHeader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5B26" w14:textId="77777777" w:rsidR="00CD31AD" w:rsidRPr="00CE24FC" w:rsidRDefault="00CD31AD" w:rsidP="00B46C6A">
            <w:pPr>
              <w:pStyle w:val="Tablehead"/>
            </w:pPr>
            <w:r w:rsidRPr="00CE24FC">
              <w:t>Décisions pertinentes de la CMR-19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AB80" w14:textId="77777777" w:rsidR="00CD31AD" w:rsidRPr="00CE24FC" w:rsidRDefault="00CD31AD" w:rsidP="00B46C6A">
            <w:pPr>
              <w:pStyle w:val="Tablehead"/>
            </w:pPr>
            <w:r w:rsidRPr="00CE24FC">
              <w:t>Appui nécessaire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4083" w14:textId="77777777" w:rsidR="00CD31AD" w:rsidRPr="00CE24FC" w:rsidRDefault="00CD31AD" w:rsidP="00B46C6A">
            <w:pPr>
              <w:pStyle w:val="Tablehead"/>
            </w:pPr>
            <w:r w:rsidRPr="00CE24FC">
              <w:t>Montant (CHF)</w:t>
            </w:r>
          </w:p>
        </w:tc>
      </w:tr>
      <w:tr w:rsidR="00B46C6A" w:rsidRPr="00CE24FC" w14:paraId="00BFFC6E" w14:textId="77777777" w:rsidTr="00A26F0E">
        <w:trPr>
          <w:cantSplit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8663" w14:textId="08C84BB0" w:rsidR="00CD31AD" w:rsidRPr="00CE24FC" w:rsidRDefault="00CD31AD" w:rsidP="00281607">
            <w:pPr>
              <w:pStyle w:val="Tabletext"/>
            </w:pPr>
            <w:r w:rsidRPr="00CE24FC">
              <w:t>Résolution 35 (CMR-19)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88631" w14:textId="194B26A9" w:rsidR="00CD31AD" w:rsidRPr="00CE24FC" w:rsidRDefault="00CD31AD" w:rsidP="00281607">
            <w:pPr>
              <w:pStyle w:val="Tabletext"/>
            </w:pPr>
            <w:r w:rsidRPr="00CE24FC">
              <w:t>Coûts afférents à l</w:t>
            </w:r>
            <w:r w:rsidR="000742BD" w:rsidRPr="00CE24FC">
              <w:t>'</w:t>
            </w:r>
            <w:r w:rsidRPr="00CE24FC">
              <w:t xml:space="preserve">élaboration de logiciels, avec </w:t>
            </w:r>
            <w:r w:rsidR="00962A01" w:rsidRPr="00CE24FC">
              <w:t>l'aide de</w:t>
            </w:r>
            <w:r w:rsidRPr="00CE24FC">
              <w:t xml:space="preserve"> ressources </w:t>
            </w:r>
            <w:r w:rsidR="00962A01" w:rsidRPr="00CE24FC">
              <w:t>extérieures</w:t>
            </w:r>
            <w:r w:rsidRPr="00CE24FC">
              <w:t xml:space="preserve"> (création d</w:t>
            </w:r>
            <w:r w:rsidR="000742BD" w:rsidRPr="00CE24FC">
              <w:t>'</w:t>
            </w:r>
            <w:r w:rsidRPr="00CE24FC">
              <w:t xml:space="preserve">une nouvelle base de données permettant de suivre le déploiement des systèmes non OSG et </w:t>
            </w:r>
            <w:r w:rsidR="00962A01" w:rsidRPr="00CE24FC">
              <w:t>logiciel visant à mettre</w:t>
            </w:r>
            <w:r w:rsidRPr="00CE24FC">
              <w:t xml:space="preserve"> à jour </w:t>
            </w:r>
            <w:r w:rsidR="00962A01" w:rsidRPr="00CE24FC">
              <w:t>le</w:t>
            </w:r>
            <w:r w:rsidRPr="00CE24FC">
              <w:t xml:space="preserve"> Fichier de référence en conséquence)</w:t>
            </w:r>
            <w:r w:rsidR="009F7E50" w:rsidRPr="00CE24FC"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D3F4" w14:textId="77777777" w:rsidR="00CD31AD" w:rsidRPr="00CE24FC" w:rsidRDefault="00CD31AD" w:rsidP="009F7E50">
            <w:pPr>
              <w:pStyle w:val="Tabletext"/>
              <w:ind w:right="190"/>
              <w:jc w:val="right"/>
            </w:pPr>
            <w:r w:rsidRPr="00CE24FC">
              <w:t>340 000</w:t>
            </w:r>
          </w:p>
        </w:tc>
      </w:tr>
      <w:tr w:rsidR="00B46C6A" w:rsidRPr="00CE24FC" w14:paraId="343676A4" w14:textId="77777777" w:rsidTr="00A26F0E">
        <w:trPr>
          <w:cantSplit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B1B2" w14:textId="6AEAB6B9" w:rsidR="00CD31AD" w:rsidRPr="00CE24FC" w:rsidRDefault="00CD31AD" w:rsidP="00281607">
            <w:pPr>
              <w:pStyle w:val="Tabletext"/>
            </w:pPr>
            <w:r w:rsidRPr="00CE24FC">
              <w:t>Résolution 169 (CMR-19)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DA2D" w14:textId="7316DD7C" w:rsidR="00CD31AD" w:rsidRPr="00CE24FC" w:rsidRDefault="00CD31AD" w:rsidP="00281607">
            <w:pPr>
              <w:pStyle w:val="Tabletext"/>
            </w:pPr>
            <w:r w:rsidRPr="00CE24FC">
              <w:t>Coûts afférents à l</w:t>
            </w:r>
            <w:r w:rsidR="000742BD" w:rsidRPr="00CE24FC">
              <w:t>'</w:t>
            </w:r>
            <w:r w:rsidRPr="00CE24FC">
              <w:t>élaboration de logiciels</w:t>
            </w:r>
            <w:r w:rsidR="009F7E50" w:rsidRPr="00CE24FC"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AD7C" w14:textId="77777777" w:rsidR="00CD31AD" w:rsidRPr="00CE24FC" w:rsidRDefault="00CD31AD" w:rsidP="009F7E50">
            <w:pPr>
              <w:pStyle w:val="Tabletext"/>
              <w:ind w:right="190"/>
              <w:jc w:val="right"/>
            </w:pPr>
            <w:r w:rsidRPr="00CE24FC">
              <w:t>85 000</w:t>
            </w:r>
          </w:p>
        </w:tc>
      </w:tr>
      <w:tr w:rsidR="00B46C6A" w:rsidRPr="00CE24FC" w14:paraId="78CA9A7A" w14:textId="77777777" w:rsidTr="00A26F0E">
        <w:trPr>
          <w:cantSplit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5084" w14:textId="4DE4F0B7" w:rsidR="00CD31AD" w:rsidRPr="00CE24FC" w:rsidRDefault="00CD31AD" w:rsidP="00281607">
            <w:pPr>
              <w:pStyle w:val="Tabletext"/>
            </w:pPr>
            <w:r w:rsidRPr="00CE24FC">
              <w:t xml:space="preserve">Modification des numéros 9.36 et 9.53A et des Appendices 30, 30A et 30B du RR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90C0" w14:textId="4F3BD1CF" w:rsidR="00CD31AD" w:rsidRPr="00CE24FC" w:rsidRDefault="00CD31AD" w:rsidP="00281607">
            <w:pPr>
              <w:pStyle w:val="Tabletext"/>
            </w:pPr>
            <w:r w:rsidRPr="00CE24FC">
              <w:t>Coûts afférents à l</w:t>
            </w:r>
            <w:r w:rsidR="000742BD" w:rsidRPr="00CE24FC">
              <w:t>'</w:t>
            </w:r>
            <w:r w:rsidRPr="00CE24FC">
              <w:t>élaboration de logiciels</w:t>
            </w:r>
            <w:r w:rsidR="009F7E50" w:rsidRPr="00CE24FC"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E374" w14:textId="77777777" w:rsidR="00CD31AD" w:rsidRPr="00CE24FC" w:rsidRDefault="00CD31AD" w:rsidP="009F7E50">
            <w:pPr>
              <w:pStyle w:val="Tabletext"/>
              <w:ind w:right="190"/>
              <w:jc w:val="right"/>
            </w:pPr>
            <w:r w:rsidRPr="00CE24FC">
              <w:t>200 000</w:t>
            </w:r>
          </w:p>
        </w:tc>
      </w:tr>
      <w:tr w:rsidR="00B46C6A" w:rsidRPr="00CE24FC" w14:paraId="2786BAD9" w14:textId="77777777" w:rsidTr="00A26F0E">
        <w:trPr>
          <w:cantSplit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52326" w14:textId="7766B9EA" w:rsidR="00CD31AD" w:rsidRPr="00CE24FC" w:rsidRDefault="00CD31AD" w:rsidP="00281607">
            <w:pPr>
              <w:pStyle w:val="Tabletext"/>
            </w:pPr>
            <w:r w:rsidRPr="00CE24FC">
              <w:t xml:space="preserve">Résolution 245 (CMR-19) </w:t>
            </w:r>
            <w:r w:rsidR="00B46C6A" w:rsidRPr="00CE24FC">
              <w:t>–</w:t>
            </w:r>
            <w:r w:rsidRPr="00CE24FC">
              <w:t xml:space="preserve"> Études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20C6" w14:textId="4F058325" w:rsidR="00CD31AD" w:rsidRPr="00CE24FC" w:rsidRDefault="00962A01" w:rsidP="00281607">
            <w:pPr>
              <w:pStyle w:val="Tabletext"/>
            </w:pPr>
            <w:r w:rsidRPr="00CE24FC">
              <w:t>Appui institutionnel</w:t>
            </w:r>
            <w:r w:rsidR="00CD31AD" w:rsidRPr="00CE24FC">
              <w:t xml:space="preserve"> et appui aux réunions</w:t>
            </w:r>
            <w:r w:rsidR="009F7E50" w:rsidRPr="00CE24FC"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4012" w14:textId="77777777" w:rsidR="00CD31AD" w:rsidRPr="00CE24FC" w:rsidRDefault="00CD31AD" w:rsidP="009F7E50">
            <w:pPr>
              <w:pStyle w:val="Tabletext"/>
              <w:ind w:right="190"/>
              <w:jc w:val="right"/>
            </w:pPr>
            <w:r w:rsidRPr="00CE24FC">
              <w:t>456 000</w:t>
            </w:r>
          </w:p>
        </w:tc>
      </w:tr>
      <w:tr w:rsidR="00B46C6A" w:rsidRPr="00CE24FC" w14:paraId="673A347D" w14:textId="77777777" w:rsidTr="00A26F0E">
        <w:trPr>
          <w:cantSplit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D52B" w14:textId="341EC4EA" w:rsidR="00CD31AD" w:rsidRPr="00CE24FC" w:rsidRDefault="00CD31AD" w:rsidP="00281607">
            <w:pPr>
              <w:pStyle w:val="Tabletext"/>
            </w:pPr>
            <w:r w:rsidRPr="00CE24FC">
              <w:t xml:space="preserve">Résolution 235 (CMR-15) </w:t>
            </w:r>
            <w:r w:rsidR="00B46C6A" w:rsidRPr="00CE24FC">
              <w:t>–</w:t>
            </w:r>
            <w:r w:rsidRPr="00CE24FC">
              <w:t xml:space="preserve"> Études relatives au point de l</w:t>
            </w:r>
            <w:r w:rsidR="000742BD" w:rsidRPr="00CE24FC">
              <w:t>'</w:t>
            </w:r>
            <w:r w:rsidRPr="00CE24FC">
              <w:t>ordre du jour 1.5 de la CMR-23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D79E" w14:textId="2184FB15" w:rsidR="00CD31AD" w:rsidRPr="00CE24FC" w:rsidRDefault="00962A01" w:rsidP="00281607">
            <w:pPr>
              <w:pStyle w:val="Tabletext"/>
            </w:pPr>
            <w:r w:rsidRPr="00CE24FC">
              <w:t xml:space="preserve">Appui institutionnel </w:t>
            </w:r>
            <w:r w:rsidR="00CD31AD" w:rsidRPr="00CE24FC">
              <w:t>et appui aux réunions</w:t>
            </w:r>
            <w:r w:rsidR="009F7E50" w:rsidRPr="00CE24FC"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CB21F" w14:textId="77777777" w:rsidR="00CD31AD" w:rsidRPr="00CE24FC" w:rsidRDefault="00CD31AD" w:rsidP="009F7E50">
            <w:pPr>
              <w:pStyle w:val="Tabletext"/>
              <w:ind w:right="190"/>
              <w:jc w:val="right"/>
            </w:pPr>
            <w:r w:rsidRPr="00CE24FC">
              <w:t>340 000</w:t>
            </w:r>
          </w:p>
        </w:tc>
      </w:tr>
      <w:tr w:rsidR="00B46C6A" w:rsidRPr="00CE24FC" w14:paraId="28BA4344" w14:textId="77777777" w:rsidTr="00A26F0E">
        <w:trPr>
          <w:cantSplit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8876" w14:textId="7C80B82C" w:rsidR="00CD31AD" w:rsidRPr="00CE24FC" w:rsidRDefault="00CD31AD" w:rsidP="004E49F1">
            <w:pPr>
              <w:pStyle w:val="Tabletext"/>
              <w:spacing w:after="240"/>
            </w:pPr>
            <w:r w:rsidRPr="00CE24FC">
              <w:lastRenderedPageBreak/>
              <w:t>Diverses dispositions du RR et Résolutions relatives au point 1.6 de l</w:t>
            </w:r>
            <w:r w:rsidR="000742BD" w:rsidRPr="00CE24FC">
              <w:t>'</w:t>
            </w:r>
            <w:r w:rsidRPr="00CE24FC">
              <w:t>ordre du jour de la CMR-19 (SFS non OSG)</w:t>
            </w:r>
          </w:p>
          <w:p w14:paraId="790BE3AA" w14:textId="77777777" w:rsidR="00CD31AD" w:rsidRPr="00CE24FC" w:rsidRDefault="00CD31AD" w:rsidP="00281607">
            <w:pPr>
              <w:pStyle w:val="Tabletext"/>
            </w:pPr>
            <w:r w:rsidRPr="00CE24FC">
              <w:t>Numéros 5.550C, 5.550E, 22.5L et 22.5M du RR et Résolutions 769 (CMR-19) et 770 (CMR-19) de la CMR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3303" w14:textId="05A129E7" w:rsidR="00CD31AD" w:rsidRPr="00CE24FC" w:rsidRDefault="00CD31AD" w:rsidP="00281607">
            <w:pPr>
              <w:pStyle w:val="Tabletext"/>
            </w:pPr>
            <w:r w:rsidRPr="00CE24FC">
              <w:t>Coûts afférents à l</w:t>
            </w:r>
            <w:r w:rsidR="000742BD" w:rsidRPr="00CE24FC">
              <w:t>'</w:t>
            </w:r>
            <w:r w:rsidRPr="00CE24FC">
              <w:t xml:space="preserve">élaboration de logiciels (mise en </w:t>
            </w:r>
            <w:r w:rsidR="0014445A" w:rsidRPr="00CE24FC">
              <w:t>œuvre</w:t>
            </w:r>
            <w:r w:rsidRPr="00CE24FC">
              <w:t xml:space="preserve"> d</w:t>
            </w:r>
            <w:r w:rsidR="00CD686F" w:rsidRPr="00CE24FC">
              <w:t>e la</w:t>
            </w:r>
            <w:r w:rsidRPr="00CE24FC">
              <w:t xml:space="preserve"> nouvelle méthode, tout en exploitant </w:t>
            </w:r>
            <w:r w:rsidR="00CD686F" w:rsidRPr="00CE24FC">
              <w:t>les possibilités de réutilisation des éléments logiciels déjà mis au point</w:t>
            </w:r>
            <w:r w:rsidRPr="00CE24FC">
              <w:t>)</w:t>
            </w:r>
            <w:r w:rsidR="009F7E50" w:rsidRPr="00CE24FC"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D3DB" w14:textId="77777777" w:rsidR="00CD31AD" w:rsidRPr="00CE24FC" w:rsidRDefault="00CD31AD" w:rsidP="009F7E50">
            <w:pPr>
              <w:pStyle w:val="Tabletext"/>
              <w:ind w:right="190"/>
              <w:jc w:val="right"/>
            </w:pPr>
            <w:r w:rsidRPr="00CE24FC">
              <w:t>150 000</w:t>
            </w:r>
          </w:p>
        </w:tc>
      </w:tr>
      <w:tr w:rsidR="00B46C6A" w:rsidRPr="00CE24FC" w14:paraId="7F47F74D" w14:textId="77777777" w:rsidTr="00A26F0E">
        <w:trPr>
          <w:cantSplit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FF0C" w14:textId="1FCF688E" w:rsidR="00CD31AD" w:rsidRPr="00CE24FC" w:rsidRDefault="00CD31AD" w:rsidP="004E49F1">
            <w:pPr>
              <w:pStyle w:val="Tabletext"/>
              <w:spacing w:after="240"/>
            </w:pPr>
            <w:r w:rsidRPr="00CE24FC">
              <w:t>Diverses Résolutions relatives au point 1.14 de l</w:t>
            </w:r>
            <w:r w:rsidR="000742BD" w:rsidRPr="00CE24FC">
              <w:t>'</w:t>
            </w:r>
            <w:r w:rsidRPr="00CE24FC">
              <w:t>ordre du jour de la CMR-19 (stations HAPS)</w:t>
            </w:r>
          </w:p>
          <w:p w14:paraId="4A0B3EA2" w14:textId="77777777" w:rsidR="00CD31AD" w:rsidRPr="00CE24FC" w:rsidRDefault="00CD31AD" w:rsidP="00281607">
            <w:pPr>
              <w:pStyle w:val="Tabletext"/>
            </w:pPr>
            <w:r w:rsidRPr="00CE24FC">
              <w:t>Résolution 122 (Rév.CMR-19) et Résolutions 165, 166, 167 et 168 (CMR-19)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AD70" w14:textId="38963F4D" w:rsidR="00CD31AD" w:rsidRPr="00CE24FC" w:rsidRDefault="00CD31AD" w:rsidP="00281607">
            <w:pPr>
              <w:pStyle w:val="Tabletext"/>
            </w:pPr>
            <w:r w:rsidRPr="00CE24FC">
              <w:t>Coûts afférents à l</w:t>
            </w:r>
            <w:r w:rsidR="000742BD" w:rsidRPr="00CE24FC">
              <w:t>'</w:t>
            </w:r>
            <w:r w:rsidRPr="00CE24FC">
              <w:t>élaboration de logiciels, y compris l</w:t>
            </w:r>
            <w:r w:rsidR="000742BD" w:rsidRPr="00CE24FC">
              <w:t>'</w:t>
            </w:r>
            <w:r w:rsidRPr="00CE24FC">
              <w:t xml:space="preserve">élaboration de modules de calcul pour plus de 30 conditions techniques, </w:t>
            </w:r>
            <w:r w:rsidR="00CD686F" w:rsidRPr="00CE24FC">
              <w:t>la</w:t>
            </w:r>
            <w:r w:rsidRPr="00CE24FC">
              <w:t xml:space="preserve"> modification d</w:t>
            </w:r>
            <w:r w:rsidR="00CD686F" w:rsidRPr="00CE24FC">
              <w:t>e</w:t>
            </w:r>
            <w:r w:rsidRPr="00CE24FC">
              <w:t xml:space="preserve"> la base de données </w:t>
            </w:r>
            <w:r w:rsidR="00CD686F" w:rsidRPr="00CE24FC">
              <w:t xml:space="preserve">du Fichier de référence </w:t>
            </w:r>
            <w:r w:rsidRPr="00CE24FC">
              <w:t>et la structure de</w:t>
            </w:r>
            <w:r w:rsidR="00CD686F" w:rsidRPr="00CE24FC">
              <w:t>s fiches de</w:t>
            </w:r>
            <w:r w:rsidRPr="00CE24FC">
              <w:t xml:space="preserve"> notification, conformément à l</w:t>
            </w:r>
            <w:r w:rsidR="000742BD" w:rsidRPr="00CE24FC">
              <w:t>'</w:t>
            </w:r>
            <w:r w:rsidRPr="00CE24FC">
              <w:t>Appendice 4 du RR</w:t>
            </w:r>
            <w:r w:rsidR="00CD686F" w:rsidRPr="00CE24FC">
              <w:t xml:space="preserve"> modifié</w:t>
            </w:r>
            <w:r w:rsidR="00281607" w:rsidRPr="00CE24FC">
              <w:t>,</w:t>
            </w:r>
            <w:r w:rsidRPr="00CE24FC">
              <w:t xml:space="preserve"> et la conception d</w:t>
            </w:r>
            <w:r w:rsidR="000742BD" w:rsidRPr="00CE24FC">
              <w:t>'</w:t>
            </w:r>
            <w:r w:rsidRPr="00CE24FC">
              <w:t xml:space="preserve">une interface </w:t>
            </w:r>
            <w:r w:rsidR="00962A01" w:rsidRPr="00CE24FC">
              <w:t xml:space="preserve">utilisateur </w:t>
            </w:r>
            <w:r w:rsidR="00CD686F" w:rsidRPr="00CE24FC">
              <w:t>de</w:t>
            </w:r>
            <w:r w:rsidRPr="00CE24FC">
              <w:t xml:space="preserve"> notification</w:t>
            </w:r>
            <w:r w:rsidR="00CD686F" w:rsidRPr="00CE24FC">
              <w:t xml:space="preserve"> dédiée</w:t>
            </w:r>
            <w:r w:rsidRPr="00CE24FC"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5503" w14:textId="55B4DB89" w:rsidR="00CD31AD" w:rsidRPr="00CE24FC" w:rsidRDefault="00CD31AD" w:rsidP="009F7E50">
            <w:pPr>
              <w:pStyle w:val="Tabletext"/>
              <w:ind w:right="190"/>
              <w:jc w:val="right"/>
            </w:pPr>
            <w:r w:rsidRPr="00CE24FC">
              <w:t>150 000</w:t>
            </w:r>
          </w:p>
        </w:tc>
      </w:tr>
      <w:tr w:rsidR="00B46C6A" w:rsidRPr="00CE24FC" w14:paraId="7E196134" w14:textId="77777777" w:rsidTr="00A26F0E">
        <w:trPr>
          <w:cantSplit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7536B" w14:textId="77777777" w:rsidR="00CD31AD" w:rsidRPr="00CE24FC" w:rsidRDefault="00CD31AD" w:rsidP="00281607">
            <w:pPr>
              <w:pStyle w:val="Tabletext"/>
            </w:pPr>
            <w:r w:rsidRPr="00CE24FC">
              <w:rPr>
                <w:b/>
                <w:bCs/>
              </w:rPr>
              <w:t>Total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D40F" w14:textId="77777777" w:rsidR="00CD31AD" w:rsidRPr="00CE24FC" w:rsidRDefault="00CD31AD" w:rsidP="00281607">
            <w:pPr>
              <w:pStyle w:val="Tabletext"/>
              <w:jc w:val="right"/>
            </w:pPr>
            <w:r w:rsidRPr="00CE24FC">
              <w:rPr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3963" w14:textId="77777777" w:rsidR="00CD31AD" w:rsidRPr="00CE24FC" w:rsidRDefault="00CD31AD" w:rsidP="009F7E50">
            <w:pPr>
              <w:pStyle w:val="Tabletext"/>
              <w:ind w:right="190"/>
              <w:jc w:val="right"/>
            </w:pPr>
            <w:r w:rsidRPr="00CE24FC">
              <w:rPr>
                <w:b/>
                <w:bCs/>
              </w:rPr>
              <w:t>1 721 000</w:t>
            </w:r>
          </w:p>
        </w:tc>
      </w:tr>
    </w:tbl>
    <w:p w14:paraId="49ED00DD" w14:textId="77777777" w:rsidR="00E32BC0" w:rsidRPr="00CE24FC" w:rsidRDefault="00E32BC0" w:rsidP="00281607">
      <w:pPr>
        <w:spacing w:before="360"/>
        <w:jc w:val="center"/>
      </w:pPr>
      <w:r w:rsidRPr="00CE24FC">
        <w:t>______________</w:t>
      </w:r>
    </w:p>
    <w:sectPr w:rsidR="00E32BC0" w:rsidRPr="00CE24FC" w:rsidSect="005C3890">
      <w:headerReference w:type="even" r:id="rId21"/>
      <w:headerReference w:type="default" r:id="rId22"/>
      <w:footerReference w:type="even" r:id="rId23"/>
      <w:footerReference w:type="first" r:id="rId2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9D137" w14:textId="77777777" w:rsidR="00BD267F" w:rsidRDefault="00BD267F">
      <w:r>
        <w:separator/>
      </w:r>
    </w:p>
  </w:endnote>
  <w:endnote w:type="continuationSeparator" w:id="0">
    <w:p w14:paraId="59E669FD" w14:textId="77777777" w:rsidR="00BD267F" w:rsidRDefault="00BD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C1253" w14:textId="58C1B536" w:rsidR="00732045" w:rsidRPr="00CC51AB" w:rsidRDefault="00F51167">
    <w:pPr>
      <w:pStyle w:val="Footer"/>
      <w:rPr>
        <w:lang w:val="fr-CH"/>
      </w:rPr>
    </w:pPr>
    <w:r>
      <w:fldChar w:fldCharType="begin"/>
    </w:r>
    <w:r w:rsidRPr="00CC51AB">
      <w:rPr>
        <w:lang w:val="fr-CH"/>
      </w:rPr>
      <w:instrText xml:space="preserve"> FILENAME \p \* MERGEFORMAT </w:instrText>
    </w:r>
    <w:r>
      <w:fldChar w:fldCharType="separate"/>
    </w:r>
    <w:r w:rsidR="00CE24FC">
      <w:rPr>
        <w:lang w:val="fr-CH"/>
      </w:rPr>
      <w:t>P:\FRA\SG\CONSEIL\C20\000\056F.docx</w:t>
    </w:r>
    <w:r>
      <w:fldChar w:fldCharType="end"/>
    </w:r>
    <w:r w:rsidR="00732045" w:rsidRPr="00CC51AB">
      <w:rPr>
        <w:lang w:val="fr-CH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D1311">
      <w:t>11.03.20</w:t>
    </w:r>
    <w:r w:rsidR="002F1B76">
      <w:fldChar w:fldCharType="end"/>
    </w:r>
    <w:r w:rsidR="00732045" w:rsidRPr="00CC51AB">
      <w:rPr>
        <w:lang w:val="fr-CH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E24FC">
      <w:t>10.03.20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BDC2" w14:textId="3CF35F6C" w:rsidR="00732045" w:rsidRDefault="00732045">
    <w:pPr>
      <w:spacing w:after="120"/>
      <w:jc w:val="center"/>
    </w:pPr>
    <w:r>
      <w:t xml:space="preserve">• </w:t>
    </w:r>
    <w:hyperlink r:id="rId1" w:history="1">
      <w:r w:rsidR="001277BA">
        <w:rPr>
          <w:rStyle w:val="Hyperlink"/>
        </w:rPr>
        <w:t>https://www.itu.int/fr/council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29120" w14:textId="77777777" w:rsidR="00BD267F" w:rsidRDefault="00BD267F">
      <w:r>
        <w:t>____________________</w:t>
      </w:r>
    </w:p>
  </w:footnote>
  <w:footnote w:type="continuationSeparator" w:id="0">
    <w:p w14:paraId="1ACFC3C2" w14:textId="77777777" w:rsidR="00BD267F" w:rsidRDefault="00BD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2D0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53A0B9B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D872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10A16C47" w14:textId="4F04E07D" w:rsidR="00732045" w:rsidRDefault="00732045" w:rsidP="00106B19">
    <w:pPr>
      <w:pStyle w:val="Header"/>
    </w:pPr>
    <w:r>
      <w:t>C</w:t>
    </w:r>
    <w:r w:rsidR="009C353C">
      <w:t>20</w:t>
    </w:r>
    <w:r>
      <w:t>/</w:t>
    </w:r>
    <w:r w:rsidR="00E32BC0">
      <w:t>56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357D"/>
    <w:multiLevelType w:val="hybridMultilevel"/>
    <w:tmpl w:val="06F09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75A2"/>
    <w:multiLevelType w:val="hybridMultilevel"/>
    <w:tmpl w:val="3FD899C2"/>
    <w:lvl w:ilvl="0" w:tplc="0809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E"/>
    <w:rsid w:val="000742BD"/>
    <w:rsid w:val="00097E5E"/>
    <w:rsid w:val="000D0D0A"/>
    <w:rsid w:val="00103163"/>
    <w:rsid w:val="00104C85"/>
    <w:rsid w:val="00106B19"/>
    <w:rsid w:val="00115D93"/>
    <w:rsid w:val="001247A8"/>
    <w:rsid w:val="001277BA"/>
    <w:rsid w:val="001378C0"/>
    <w:rsid w:val="0014445A"/>
    <w:rsid w:val="0018694A"/>
    <w:rsid w:val="001A3287"/>
    <w:rsid w:val="001A6508"/>
    <w:rsid w:val="001C42BA"/>
    <w:rsid w:val="001D4C31"/>
    <w:rsid w:val="001E4D21"/>
    <w:rsid w:val="00207587"/>
    <w:rsid w:val="00207CD1"/>
    <w:rsid w:val="002477A2"/>
    <w:rsid w:val="00250931"/>
    <w:rsid w:val="00263A51"/>
    <w:rsid w:val="00267E02"/>
    <w:rsid w:val="00281607"/>
    <w:rsid w:val="002A370B"/>
    <w:rsid w:val="002A5D44"/>
    <w:rsid w:val="002B22D2"/>
    <w:rsid w:val="002E0BC4"/>
    <w:rsid w:val="002F1B76"/>
    <w:rsid w:val="0033568E"/>
    <w:rsid w:val="00355FF5"/>
    <w:rsid w:val="00361350"/>
    <w:rsid w:val="00376668"/>
    <w:rsid w:val="0039061D"/>
    <w:rsid w:val="003A790D"/>
    <w:rsid w:val="003C3FAE"/>
    <w:rsid w:val="00401DAA"/>
    <w:rsid w:val="004038CB"/>
    <w:rsid w:val="0040546F"/>
    <w:rsid w:val="0042404A"/>
    <w:rsid w:val="00427C48"/>
    <w:rsid w:val="0044618F"/>
    <w:rsid w:val="00453930"/>
    <w:rsid w:val="0046769A"/>
    <w:rsid w:val="00475FB3"/>
    <w:rsid w:val="004C37A9"/>
    <w:rsid w:val="004E49F1"/>
    <w:rsid w:val="004E4BFC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408"/>
    <w:rsid w:val="005F7BFE"/>
    <w:rsid w:val="00600017"/>
    <w:rsid w:val="006235CA"/>
    <w:rsid w:val="006643AB"/>
    <w:rsid w:val="00697DFE"/>
    <w:rsid w:val="007210CD"/>
    <w:rsid w:val="00732045"/>
    <w:rsid w:val="007369DB"/>
    <w:rsid w:val="0074776A"/>
    <w:rsid w:val="007956C2"/>
    <w:rsid w:val="007A187E"/>
    <w:rsid w:val="007C002F"/>
    <w:rsid w:val="007C72C2"/>
    <w:rsid w:val="007D4436"/>
    <w:rsid w:val="007F257A"/>
    <w:rsid w:val="007F3665"/>
    <w:rsid w:val="00800037"/>
    <w:rsid w:val="0082060E"/>
    <w:rsid w:val="00847722"/>
    <w:rsid w:val="00861D73"/>
    <w:rsid w:val="008A4E87"/>
    <w:rsid w:val="008D76E6"/>
    <w:rsid w:val="008E7231"/>
    <w:rsid w:val="0092392D"/>
    <w:rsid w:val="0093234A"/>
    <w:rsid w:val="00962A01"/>
    <w:rsid w:val="009C307F"/>
    <w:rsid w:val="009C353C"/>
    <w:rsid w:val="009F7E50"/>
    <w:rsid w:val="00A2113E"/>
    <w:rsid w:val="00A23A51"/>
    <w:rsid w:val="00A24607"/>
    <w:rsid w:val="00A25CD3"/>
    <w:rsid w:val="00A26F0E"/>
    <w:rsid w:val="00A42549"/>
    <w:rsid w:val="00A47969"/>
    <w:rsid w:val="00A82767"/>
    <w:rsid w:val="00AA332F"/>
    <w:rsid w:val="00AA7BBB"/>
    <w:rsid w:val="00AB64A8"/>
    <w:rsid w:val="00AC0266"/>
    <w:rsid w:val="00AD24EC"/>
    <w:rsid w:val="00AD5497"/>
    <w:rsid w:val="00B309F9"/>
    <w:rsid w:val="00B32B60"/>
    <w:rsid w:val="00B46C6A"/>
    <w:rsid w:val="00B61619"/>
    <w:rsid w:val="00B8389E"/>
    <w:rsid w:val="00BB4545"/>
    <w:rsid w:val="00BB56D1"/>
    <w:rsid w:val="00BD267F"/>
    <w:rsid w:val="00BD5873"/>
    <w:rsid w:val="00BF295D"/>
    <w:rsid w:val="00C04BE3"/>
    <w:rsid w:val="00C25D29"/>
    <w:rsid w:val="00C27A7C"/>
    <w:rsid w:val="00C6346D"/>
    <w:rsid w:val="00C66299"/>
    <w:rsid w:val="00CA08ED"/>
    <w:rsid w:val="00CA225E"/>
    <w:rsid w:val="00CC51AB"/>
    <w:rsid w:val="00CD1311"/>
    <w:rsid w:val="00CD31AD"/>
    <w:rsid w:val="00CD686F"/>
    <w:rsid w:val="00CE24FC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1D64"/>
    <w:rsid w:val="00E25AD0"/>
    <w:rsid w:val="00E26E92"/>
    <w:rsid w:val="00E32BC0"/>
    <w:rsid w:val="00E4507B"/>
    <w:rsid w:val="00EB4376"/>
    <w:rsid w:val="00EB6350"/>
    <w:rsid w:val="00EB654E"/>
    <w:rsid w:val="00F15B57"/>
    <w:rsid w:val="00F427DB"/>
    <w:rsid w:val="00F51167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DBEBC1"/>
  <w15:docId w15:val="{937301CC-A256-4A32-BB10-E73F9335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qFormat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8389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389E"/>
    <w:rPr>
      <w:rFonts w:ascii="Segoe UI" w:hAnsi="Segoe UI" w:cs="Segoe UI"/>
      <w:sz w:val="18"/>
      <w:szCs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389E"/>
    <w:rPr>
      <w:color w:val="605E5C"/>
      <w:shd w:val="clear" w:color="auto" w:fill="E1DFDD"/>
    </w:rPr>
  </w:style>
  <w:style w:type="table" w:styleId="TableGrid">
    <w:name w:val="Table Grid"/>
    <w:basedOn w:val="TableNormal"/>
    <w:rsid w:val="00E3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CD31AD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16-WRC19-C-0463/en" TargetMode="External"/><Relationship Id="rId18" Type="http://schemas.openxmlformats.org/officeDocument/2006/relationships/hyperlink" Target="https://www.itu.int/md/R16-WRC19-C-0492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6-WRC19-C-0453/en" TargetMode="External"/><Relationship Id="rId17" Type="http://schemas.openxmlformats.org/officeDocument/2006/relationships/hyperlink" Target="https://www.itu.int/md/R16-WRC19-C-0491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6-WRC19-C-0332/en" TargetMode="External"/><Relationship Id="rId20" Type="http://schemas.openxmlformats.org/officeDocument/2006/relationships/hyperlink" Target="https://www.itu.int/md/R16-WRC19-C-045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WGFHR11-C-0005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6-WRC19-C-0190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R16-WRC19-C-0337/en" TargetMode="External"/><Relationship Id="rId19" Type="http://schemas.openxmlformats.org/officeDocument/2006/relationships/hyperlink" Target="https://www.itu.int/md/R16-WRC19-C-049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337/en" TargetMode="External"/><Relationship Id="rId14" Type="http://schemas.openxmlformats.org/officeDocument/2006/relationships/hyperlink" Target="https://www.itu.int/md/R16-WRC19-C-0325/en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997F-FD50-4E89-86BC-824729BD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PF_C20</Template>
  <TotalTime>2</TotalTime>
  <Pages>5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11896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C2020, C20</cp:keywords>
  <dc:description/>
  <cp:lastModifiedBy>Janin, Patricia</cp:lastModifiedBy>
  <cp:revision>4</cp:revision>
  <cp:lastPrinted>2020-03-10T12:48:00Z</cp:lastPrinted>
  <dcterms:created xsi:type="dcterms:W3CDTF">2020-03-11T15:10:00Z</dcterms:created>
  <dcterms:modified xsi:type="dcterms:W3CDTF">2020-03-11T15:11:00Z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