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663"/>
        <w:gridCol w:w="2976"/>
      </w:tblGrid>
      <w:tr w:rsidR="00BC7BC0" w:rsidRPr="001D684B" w14:paraId="4BEF036B" w14:textId="77777777" w:rsidTr="00F850C8">
        <w:trPr>
          <w:cantSplit/>
        </w:trPr>
        <w:tc>
          <w:tcPr>
            <w:tcW w:w="6663" w:type="dxa"/>
          </w:tcPr>
          <w:p w14:paraId="69205ED9" w14:textId="77777777" w:rsidR="00BC7BC0" w:rsidRPr="001D684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1D684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D684B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1D684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D684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D684B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1D684B">
              <w:rPr>
                <w:b/>
                <w:bCs/>
                <w:szCs w:val="22"/>
                <w:lang w:val="ru-RU"/>
              </w:rPr>
              <w:t>9</w:t>
            </w:r>
            <w:r w:rsidR="005B3DEC" w:rsidRPr="001D684B">
              <w:rPr>
                <w:b/>
                <w:bCs/>
                <w:szCs w:val="22"/>
                <w:lang w:val="ru-RU"/>
              </w:rPr>
              <w:t>–</w:t>
            </w:r>
            <w:r w:rsidR="00442515" w:rsidRPr="001D684B">
              <w:rPr>
                <w:b/>
                <w:bCs/>
                <w:szCs w:val="22"/>
                <w:lang w:val="ru-RU"/>
              </w:rPr>
              <w:t>19</w:t>
            </w:r>
            <w:r w:rsidR="005B3DEC" w:rsidRPr="001D684B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1D684B">
              <w:rPr>
                <w:b/>
                <w:bCs/>
                <w:lang w:val="ru-RU"/>
              </w:rPr>
              <w:t xml:space="preserve"> </w:t>
            </w:r>
            <w:r w:rsidR="00225368" w:rsidRPr="001D684B">
              <w:rPr>
                <w:b/>
                <w:bCs/>
                <w:lang w:val="ru-RU"/>
              </w:rPr>
              <w:t>20</w:t>
            </w:r>
            <w:r w:rsidR="00442515" w:rsidRPr="001D684B">
              <w:rPr>
                <w:b/>
                <w:bCs/>
                <w:lang w:val="ru-RU"/>
              </w:rPr>
              <w:t>20</w:t>
            </w:r>
            <w:r w:rsidR="00225368" w:rsidRPr="001D684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976" w:type="dxa"/>
          </w:tcPr>
          <w:p w14:paraId="19E39C47" w14:textId="77777777" w:rsidR="00BC7BC0" w:rsidRPr="001D684B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1D684B">
              <w:rPr>
                <w:noProof/>
                <w:lang w:val="ru-RU" w:eastAsia="zh-CN"/>
              </w:rPr>
              <w:drawing>
                <wp:inline distT="0" distB="0" distL="0" distR="0" wp14:anchorId="659FC59A" wp14:editId="3D6C9E7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D684B" w14:paraId="00DDD45C" w14:textId="77777777" w:rsidTr="00F850C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B62FF7B" w14:textId="77777777" w:rsidR="00BC7BC0" w:rsidRPr="001D684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0FEFE2D6" w14:textId="77777777" w:rsidR="00BC7BC0" w:rsidRPr="001D684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D684B" w14:paraId="6DD4F5C1" w14:textId="77777777" w:rsidTr="00F850C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9286BC4" w14:textId="77777777" w:rsidR="00BC7BC0" w:rsidRPr="001D684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7EBB2DB2" w14:textId="77777777" w:rsidR="00BC7BC0" w:rsidRPr="001D684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D684B" w14:paraId="60D14D36" w14:textId="77777777" w:rsidTr="00F850C8">
        <w:trPr>
          <w:cantSplit/>
          <w:trHeight w:val="23"/>
        </w:trPr>
        <w:tc>
          <w:tcPr>
            <w:tcW w:w="6663" w:type="dxa"/>
            <w:vMerge w:val="restart"/>
          </w:tcPr>
          <w:p w14:paraId="1DE4E321" w14:textId="48FEC042" w:rsidR="00BC7BC0" w:rsidRPr="001D684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D684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D684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A35F1" w:rsidRPr="001D684B">
              <w:rPr>
                <w:b/>
                <w:bCs/>
                <w:caps/>
                <w:szCs w:val="22"/>
                <w:lang w:val="ru-RU"/>
              </w:rPr>
              <w:t>ADM 26</w:t>
            </w:r>
          </w:p>
        </w:tc>
        <w:tc>
          <w:tcPr>
            <w:tcW w:w="2976" w:type="dxa"/>
          </w:tcPr>
          <w:p w14:paraId="70EA1FC2" w14:textId="22E9158A" w:rsidR="00BC7BC0" w:rsidRPr="001D684B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D684B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D684B">
              <w:rPr>
                <w:b/>
                <w:bCs/>
                <w:szCs w:val="22"/>
                <w:lang w:val="ru-RU"/>
              </w:rPr>
              <w:t>20</w:t>
            </w:r>
            <w:r w:rsidRPr="001D684B">
              <w:rPr>
                <w:b/>
                <w:bCs/>
                <w:szCs w:val="22"/>
                <w:lang w:val="ru-RU"/>
              </w:rPr>
              <w:t>/</w:t>
            </w:r>
            <w:r w:rsidR="009A35F1" w:rsidRPr="001D684B">
              <w:rPr>
                <w:b/>
                <w:bCs/>
                <w:szCs w:val="22"/>
                <w:lang w:val="ru-RU"/>
              </w:rPr>
              <w:t>56</w:t>
            </w:r>
            <w:r w:rsidRPr="001D684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D684B" w14:paraId="737B44DD" w14:textId="77777777" w:rsidTr="00F850C8">
        <w:trPr>
          <w:cantSplit/>
          <w:trHeight w:val="23"/>
        </w:trPr>
        <w:tc>
          <w:tcPr>
            <w:tcW w:w="6663" w:type="dxa"/>
            <w:vMerge/>
          </w:tcPr>
          <w:p w14:paraId="588BF4A5" w14:textId="77777777" w:rsidR="00BC7BC0" w:rsidRPr="001D684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76" w:type="dxa"/>
          </w:tcPr>
          <w:p w14:paraId="0C354A97" w14:textId="59E4072B" w:rsidR="00BC7BC0" w:rsidRPr="001D684B" w:rsidRDefault="009A35F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684B">
              <w:rPr>
                <w:b/>
                <w:bCs/>
                <w:szCs w:val="22"/>
                <w:lang w:val="ru-RU"/>
              </w:rPr>
              <w:t>3 марта</w:t>
            </w:r>
            <w:r w:rsidR="00EB4FCB" w:rsidRPr="001D684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D684B">
              <w:rPr>
                <w:b/>
                <w:bCs/>
                <w:szCs w:val="22"/>
                <w:lang w:val="ru-RU"/>
              </w:rPr>
              <w:t>20</w:t>
            </w:r>
            <w:r w:rsidR="00442515" w:rsidRPr="001D684B">
              <w:rPr>
                <w:b/>
                <w:bCs/>
                <w:szCs w:val="22"/>
                <w:lang w:val="ru-RU"/>
              </w:rPr>
              <w:t>20</w:t>
            </w:r>
            <w:r w:rsidR="00BC7BC0" w:rsidRPr="001D684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D684B" w14:paraId="1DEB7A99" w14:textId="77777777" w:rsidTr="00F850C8">
        <w:trPr>
          <w:cantSplit/>
          <w:trHeight w:val="23"/>
        </w:trPr>
        <w:tc>
          <w:tcPr>
            <w:tcW w:w="6663" w:type="dxa"/>
            <w:vMerge/>
          </w:tcPr>
          <w:p w14:paraId="5B0DD376" w14:textId="77777777" w:rsidR="00BC7BC0" w:rsidRPr="001D684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76" w:type="dxa"/>
          </w:tcPr>
          <w:p w14:paraId="3C763567" w14:textId="77777777" w:rsidR="00BC7BC0" w:rsidRPr="001D684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D684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D684B" w14:paraId="2298618C" w14:textId="77777777" w:rsidTr="00F850C8">
        <w:trPr>
          <w:cantSplit/>
        </w:trPr>
        <w:tc>
          <w:tcPr>
            <w:tcW w:w="9639" w:type="dxa"/>
            <w:gridSpan w:val="2"/>
          </w:tcPr>
          <w:p w14:paraId="6DCB12AD" w14:textId="74299184" w:rsidR="00BC7BC0" w:rsidRPr="001D684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1D684B">
              <w:rPr>
                <w:lang w:val="ru-RU"/>
              </w:rPr>
              <w:t>Отчет Генерального секретаря</w:t>
            </w:r>
          </w:p>
        </w:tc>
      </w:tr>
      <w:tr w:rsidR="00BC7BC0" w:rsidRPr="001D684B" w14:paraId="0230E877" w14:textId="77777777" w:rsidTr="00F850C8">
        <w:trPr>
          <w:cantSplit/>
        </w:trPr>
        <w:tc>
          <w:tcPr>
            <w:tcW w:w="9639" w:type="dxa"/>
            <w:gridSpan w:val="2"/>
          </w:tcPr>
          <w:p w14:paraId="4AE30483" w14:textId="0B7DD8CD" w:rsidR="00BC7BC0" w:rsidRPr="001D684B" w:rsidRDefault="0071005A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1D684B">
              <w:rPr>
                <w:lang w:val="ru-RU"/>
              </w:rPr>
              <w:t>результаты вкр</w:t>
            </w:r>
            <w:r w:rsidR="009A35F1" w:rsidRPr="001D684B">
              <w:rPr>
                <w:lang w:val="ru-RU"/>
              </w:rPr>
              <w:t>-19</w:t>
            </w:r>
            <w:r w:rsidRPr="001D684B">
              <w:rPr>
                <w:lang w:val="ru-RU"/>
              </w:rPr>
              <w:t>,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имеющие финансовые последствия</w:t>
            </w:r>
          </w:p>
        </w:tc>
      </w:tr>
      <w:bookmarkEnd w:id="3"/>
    </w:tbl>
    <w:p w14:paraId="2952CCA9" w14:textId="77777777" w:rsidR="002D2F57" w:rsidRPr="001D684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D684B" w14:paraId="29B8FE5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24869" w14:textId="77777777" w:rsidR="002D2F57" w:rsidRPr="001D684B" w:rsidRDefault="002D2F57">
            <w:pPr>
              <w:pStyle w:val="Headingb"/>
              <w:rPr>
                <w:szCs w:val="22"/>
                <w:lang w:val="ru-RU"/>
              </w:rPr>
            </w:pPr>
            <w:r w:rsidRPr="001D684B">
              <w:rPr>
                <w:szCs w:val="22"/>
                <w:lang w:val="ru-RU"/>
              </w:rPr>
              <w:t>Резюме</w:t>
            </w:r>
          </w:p>
          <w:p w14:paraId="5B27909F" w14:textId="45BAC34B" w:rsidR="009A35F1" w:rsidRPr="001D684B" w:rsidRDefault="0071005A" w:rsidP="00F850C8">
            <w:pPr>
              <w:rPr>
                <w:lang w:val="ru-RU"/>
              </w:rPr>
            </w:pPr>
            <w:bookmarkStart w:id="4" w:name="lt_pId013"/>
            <w:r w:rsidRPr="001D684B">
              <w:rPr>
                <w:lang w:val="ru-RU"/>
              </w:rPr>
              <w:t>Всемирная конференция радиосвязи (ВКР-19), проходившая в Шарм-эль-Шейхе, Египет, с 28 октября по 22 ноября 2019 года, приняла ряд решений, включа</w:t>
            </w:r>
            <w:r w:rsidR="00793F3A" w:rsidRPr="001D684B">
              <w:rPr>
                <w:lang w:val="ru-RU"/>
              </w:rPr>
              <w:t>ющи</w:t>
            </w:r>
            <w:r w:rsidR="003F5637" w:rsidRPr="001D684B">
              <w:rPr>
                <w:lang w:val="ru-RU"/>
              </w:rPr>
              <w:t>х</w:t>
            </w:r>
            <w:r w:rsidRPr="001D684B">
              <w:rPr>
                <w:lang w:val="ru-RU"/>
              </w:rPr>
              <w:t xml:space="preserve"> планы работы,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и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создала некоторые дополнительные вопросы для исследования</w:t>
            </w:r>
            <w:r w:rsidR="00B412F6" w:rsidRPr="001D684B">
              <w:rPr>
                <w:lang w:val="ru-RU"/>
              </w:rPr>
              <w:t xml:space="preserve"> в</w:t>
            </w:r>
            <w:r w:rsidRPr="001D684B">
              <w:rPr>
                <w:lang w:val="ru-RU"/>
              </w:rPr>
              <w:t xml:space="preserve"> новом исследовательском цикле</w:t>
            </w:r>
            <w:r w:rsidR="009A35F1" w:rsidRPr="001D684B">
              <w:rPr>
                <w:lang w:val="ru-RU"/>
              </w:rPr>
              <w:t>.</w:t>
            </w:r>
            <w:bookmarkEnd w:id="4"/>
          </w:p>
          <w:p w14:paraId="17E40A57" w14:textId="285F75F8" w:rsidR="009A35F1" w:rsidRPr="001D684B" w:rsidRDefault="0018092B" w:rsidP="00F850C8">
            <w:pPr>
              <w:rPr>
                <w:lang w:val="ru-RU"/>
              </w:rPr>
            </w:pPr>
            <w:bookmarkStart w:id="5" w:name="lt_pId014"/>
            <w:r w:rsidRPr="001D684B">
              <w:rPr>
                <w:lang w:val="ru-RU"/>
              </w:rPr>
              <w:t>В о</w:t>
            </w:r>
            <w:r w:rsidR="00CD3ADF" w:rsidRPr="001D684B">
              <w:rPr>
                <w:lang w:val="ru-RU"/>
              </w:rPr>
              <w:t>тчет</w:t>
            </w:r>
            <w:r w:rsidRPr="001D684B">
              <w:rPr>
                <w:lang w:val="ru-RU"/>
              </w:rPr>
              <w:t>е</w:t>
            </w:r>
            <w:r w:rsidR="00CD3ADF" w:rsidRPr="001D684B">
              <w:rPr>
                <w:lang w:val="ru-RU"/>
              </w:rPr>
              <w:t xml:space="preserve"> Комитета по бюджетному контролю </w:t>
            </w:r>
            <w:r w:rsidR="009A35F1" w:rsidRPr="001D684B">
              <w:rPr>
                <w:lang w:val="ru-RU"/>
              </w:rPr>
              <w:t>(</w:t>
            </w:r>
            <w:hyperlink r:id="rId8" w:history="1">
              <w:r w:rsidR="009A35F1" w:rsidRPr="001D684B">
                <w:rPr>
                  <w:rStyle w:val="Hyperlink"/>
                  <w:lang w:val="ru-RU"/>
                </w:rPr>
                <w:t>Док. 337</w:t>
              </w:r>
            </w:hyperlink>
            <w:r w:rsidR="009A35F1" w:rsidRPr="001D684B">
              <w:rPr>
                <w:rStyle w:val="Hyperlink"/>
                <w:lang w:val="ru-RU"/>
              </w:rPr>
              <w:t>(Rev.2)</w:t>
            </w:r>
            <w:r w:rsidR="009A35F1" w:rsidRPr="001D684B">
              <w:rPr>
                <w:lang w:val="ru-RU"/>
              </w:rPr>
              <w:t>, COM 3)</w:t>
            </w:r>
            <w:r w:rsidR="003F5637" w:rsidRPr="001D684B">
              <w:rPr>
                <w:lang w:val="ru-RU"/>
              </w:rPr>
              <w:t>,</w:t>
            </w:r>
            <w:r w:rsidR="009A35F1" w:rsidRPr="001D684B">
              <w:rPr>
                <w:lang w:val="ru-RU"/>
              </w:rPr>
              <w:t xml:space="preserve"> </w:t>
            </w:r>
            <w:r w:rsidR="00CD3ADF" w:rsidRPr="001D684B">
              <w:rPr>
                <w:lang w:val="ru-RU"/>
              </w:rPr>
              <w:t>Всемирной конференции радиосвязи (ВКР-19)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выявлен</w:t>
            </w:r>
            <w:r w:rsidR="007B40DC" w:rsidRPr="001D684B">
              <w:rPr>
                <w:lang w:val="ru-RU"/>
              </w:rPr>
              <w:t>ы</w:t>
            </w:r>
            <w:r w:rsidRPr="001D684B">
              <w:rPr>
                <w:lang w:val="ru-RU"/>
              </w:rPr>
              <w:t xml:space="preserve"> несколько областей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дополнительной работы</w:t>
            </w:r>
            <w:r w:rsidR="009A35F1" w:rsidRPr="001D684B">
              <w:rPr>
                <w:lang w:val="ru-RU"/>
              </w:rPr>
              <w:t xml:space="preserve">, </w:t>
            </w:r>
            <w:r w:rsidRPr="001D684B">
              <w:rPr>
                <w:lang w:val="ru-RU"/>
              </w:rPr>
              <w:t>исследовани</w:t>
            </w:r>
            <w:r w:rsidR="007B40DC" w:rsidRPr="001D684B">
              <w:rPr>
                <w:lang w:val="ru-RU"/>
              </w:rPr>
              <w:t>я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и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разработк</w:t>
            </w:r>
            <w:r w:rsidR="007B40DC" w:rsidRPr="001D684B">
              <w:rPr>
                <w:lang w:val="ru-RU"/>
              </w:rPr>
              <w:t>а</w:t>
            </w:r>
            <w:r w:rsidR="009A35F1" w:rsidRPr="001D684B">
              <w:rPr>
                <w:lang w:val="ru-RU"/>
              </w:rPr>
              <w:t xml:space="preserve"> </w:t>
            </w:r>
            <w:r w:rsidR="007B40DC" w:rsidRPr="001D684B">
              <w:rPr>
                <w:lang w:val="ru-RU"/>
              </w:rPr>
              <w:t>для выполнения решений Конференции</w:t>
            </w:r>
            <w:r w:rsidR="009A35F1" w:rsidRPr="001D684B">
              <w:rPr>
                <w:lang w:val="ru-RU"/>
              </w:rPr>
              <w:t>.</w:t>
            </w:r>
            <w:bookmarkEnd w:id="5"/>
            <w:r w:rsidR="009A35F1" w:rsidRPr="001D684B">
              <w:rPr>
                <w:lang w:val="ru-RU"/>
              </w:rPr>
              <w:t xml:space="preserve"> </w:t>
            </w:r>
            <w:bookmarkStart w:id="6" w:name="lt_pId015"/>
            <w:r w:rsidR="007B40DC" w:rsidRPr="001D684B">
              <w:rPr>
                <w:lang w:val="ru-RU"/>
              </w:rPr>
              <w:t>Сметные затраты</w:t>
            </w:r>
            <w:r w:rsidR="009A35F1" w:rsidRPr="001D684B">
              <w:rPr>
                <w:lang w:val="ru-RU"/>
              </w:rPr>
              <w:t xml:space="preserve"> </w:t>
            </w:r>
            <w:r w:rsidR="007B40DC" w:rsidRPr="001D684B">
              <w:rPr>
                <w:lang w:val="ru-RU"/>
              </w:rPr>
              <w:t>на выполнение этих новых задач</w:t>
            </w:r>
            <w:r w:rsidR="009A35F1" w:rsidRPr="001D684B">
              <w:rPr>
                <w:lang w:val="ru-RU"/>
              </w:rPr>
              <w:t xml:space="preserve"> </w:t>
            </w:r>
            <w:r w:rsidR="007B40DC" w:rsidRPr="001D684B">
              <w:rPr>
                <w:lang w:val="ru-RU"/>
              </w:rPr>
              <w:t>составляют</w:t>
            </w:r>
            <w:r w:rsidR="009A35F1" w:rsidRPr="001D684B">
              <w:rPr>
                <w:lang w:val="ru-RU"/>
              </w:rPr>
              <w:t xml:space="preserve"> 1</w:t>
            </w:r>
            <w:r w:rsidR="005B1F81" w:rsidRPr="001D684B">
              <w:rPr>
                <w:lang w:val="ru-RU"/>
              </w:rPr>
              <w:t> </w:t>
            </w:r>
            <w:r w:rsidR="009A35F1" w:rsidRPr="001D684B">
              <w:rPr>
                <w:lang w:val="ru-RU"/>
              </w:rPr>
              <w:t>721</w:t>
            </w:r>
            <w:r w:rsidR="007B40DC" w:rsidRPr="001D684B">
              <w:rPr>
                <w:lang w:val="ru-RU"/>
              </w:rPr>
              <w:t> 000</w:t>
            </w:r>
            <w:r w:rsidR="005B1F81" w:rsidRPr="001D684B">
              <w:rPr>
                <w:lang w:val="ru-RU"/>
              </w:rPr>
              <w:t> </w:t>
            </w:r>
            <w:r w:rsidR="007B40DC" w:rsidRPr="001D684B">
              <w:rPr>
                <w:lang w:val="ru-RU"/>
              </w:rPr>
              <w:t>швейцарских франков</w:t>
            </w:r>
            <w:r w:rsidR="009A35F1" w:rsidRPr="001D684B">
              <w:rPr>
                <w:lang w:val="ru-RU"/>
              </w:rPr>
              <w:t>.</w:t>
            </w:r>
            <w:bookmarkEnd w:id="6"/>
            <w:r w:rsidR="009A35F1" w:rsidRPr="001D684B">
              <w:rPr>
                <w:lang w:val="ru-RU"/>
              </w:rPr>
              <w:t xml:space="preserve"> </w:t>
            </w:r>
            <w:bookmarkStart w:id="7" w:name="lt_pId016"/>
            <w:r w:rsidR="007B40DC" w:rsidRPr="001D684B">
              <w:rPr>
                <w:lang w:val="ru-RU"/>
              </w:rPr>
              <w:t>ВКР</w:t>
            </w:r>
            <w:r w:rsidR="009A35F1" w:rsidRPr="001D684B">
              <w:rPr>
                <w:lang w:val="ru-RU"/>
              </w:rPr>
              <w:t xml:space="preserve">-19 </w:t>
            </w:r>
            <w:r w:rsidR="007B40DC" w:rsidRPr="001D684B">
              <w:rPr>
                <w:lang w:val="ru-RU"/>
              </w:rPr>
              <w:t>просила Генерального секретаря довести эту</w:t>
            </w:r>
            <w:r w:rsidR="00863E4D" w:rsidRPr="001D684B">
              <w:rPr>
                <w:lang w:val="ru-RU"/>
              </w:rPr>
              <w:t xml:space="preserve"> цифру</w:t>
            </w:r>
            <w:r w:rsidR="007B40DC" w:rsidRPr="001D684B">
              <w:rPr>
                <w:lang w:val="ru-RU"/>
              </w:rPr>
              <w:t xml:space="preserve"> до сведения </w:t>
            </w:r>
            <w:r w:rsidR="00863E4D" w:rsidRPr="001D684B">
              <w:rPr>
                <w:lang w:val="ru-RU"/>
              </w:rPr>
              <w:t>сессии Совета 2020 года,</w:t>
            </w:r>
            <w:r w:rsidR="009A35F1" w:rsidRPr="001D684B">
              <w:rPr>
                <w:lang w:val="ru-RU"/>
              </w:rPr>
              <w:t xml:space="preserve"> </w:t>
            </w:r>
            <w:r w:rsidR="00863E4D" w:rsidRPr="001D684B">
              <w:rPr>
                <w:lang w:val="ru-RU"/>
              </w:rPr>
              <w:t>чтобы обсудить на ней</w:t>
            </w:r>
            <w:r w:rsidR="009A35F1" w:rsidRPr="001D684B">
              <w:rPr>
                <w:lang w:val="ru-RU"/>
              </w:rPr>
              <w:t xml:space="preserve"> </w:t>
            </w:r>
            <w:r w:rsidR="00863E4D" w:rsidRPr="001D684B">
              <w:rPr>
                <w:lang w:val="ru-RU"/>
              </w:rPr>
              <w:t>наиболее эффективную методику финансирования этих видов деятельности,</w:t>
            </w:r>
            <w:r w:rsidR="009A35F1" w:rsidRPr="001D684B">
              <w:rPr>
                <w:lang w:val="ru-RU"/>
              </w:rPr>
              <w:t xml:space="preserve"> </w:t>
            </w:r>
            <w:r w:rsidR="00863E4D" w:rsidRPr="001D684B">
              <w:rPr>
                <w:lang w:val="ru-RU"/>
              </w:rPr>
              <w:t>поскольку они должны быть завершены</w:t>
            </w:r>
            <w:r w:rsidR="009A35F1" w:rsidRPr="001D684B">
              <w:rPr>
                <w:lang w:val="ru-RU"/>
              </w:rPr>
              <w:t xml:space="preserve"> </w:t>
            </w:r>
            <w:r w:rsidR="00863E4D" w:rsidRPr="001D684B">
              <w:rPr>
                <w:lang w:val="ru-RU"/>
              </w:rPr>
              <w:t xml:space="preserve">до Всемирной конференции радиосвязи, запланированной на </w:t>
            </w:r>
            <w:r w:rsidR="009A35F1" w:rsidRPr="001D684B">
              <w:rPr>
                <w:lang w:val="ru-RU"/>
              </w:rPr>
              <w:t>2023</w:t>
            </w:r>
            <w:r w:rsidR="00863E4D" w:rsidRPr="001D684B">
              <w:rPr>
                <w:lang w:val="ru-RU"/>
              </w:rPr>
              <w:t xml:space="preserve"> год</w:t>
            </w:r>
            <w:r w:rsidR="009A35F1" w:rsidRPr="001D684B">
              <w:rPr>
                <w:lang w:val="ru-RU"/>
              </w:rPr>
              <w:t xml:space="preserve"> (</w:t>
            </w:r>
            <w:r w:rsidR="00863E4D" w:rsidRPr="001D684B">
              <w:rPr>
                <w:lang w:val="ru-RU"/>
              </w:rPr>
              <w:t>ВКР</w:t>
            </w:r>
            <w:r w:rsidR="009A35F1" w:rsidRPr="001D684B">
              <w:rPr>
                <w:lang w:val="ru-RU"/>
              </w:rPr>
              <w:t>-23).</w:t>
            </w:r>
            <w:bookmarkEnd w:id="7"/>
            <w:r w:rsidR="009A35F1" w:rsidRPr="001D684B">
              <w:rPr>
                <w:lang w:val="ru-RU"/>
              </w:rPr>
              <w:t xml:space="preserve"> </w:t>
            </w:r>
            <w:bookmarkStart w:id="8" w:name="lt_pId017"/>
            <w:r w:rsidR="00FD3191" w:rsidRPr="001D684B">
              <w:rPr>
                <w:lang w:val="ru-RU"/>
              </w:rPr>
              <w:t xml:space="preserve">В основной части </w:t>
            </w:r>
            <w:r w:rsidR="007039C0" w:rsidRPr="001D684B">
              <w:rPr>
                <w:lang w:val="ru-RU"/>
              </w:rPr>
              <w:t>настоящего</w:t>
            </w:r>
            <w:r w:rsidR="00FD3191" w:rsidRPr="001D684B">
              <w:rPr>
                <w:lang w:val="ru-RU"/>
              </w:rPr>
              <w:t xml:space="preserve"> документа содержатся решения </w:t>
            </w:r>
            <w:r w:rsidR="00863E4D" w:rsidRPr="001D684B">
              <w:rPr>
                <w:lang w:val="ru-RU"/>
              </w:rPr>
              <w:t>Конференции,</w:t>
            </w:r>
            <w:r w:rsidR="009A35F1" w:rsidRPr="001D684B">
              <w:rPr>
                <w:lang w:val="ru-RU"/>
              </w:rPr>
              <w:t xml:space="preserve"> </w:t>
            </w:r>
            <w:r w:rsidR="00863E4D" w:rsidRPr="001D684B">
              <w:rPr>
                <w:lang w:val="ru-RU"/>
              </w:rPr>
              <w:t>включая</w:t>
            </w:r>
            <w:r w:rsidR="009A35F1" w:rsidRPr="001D684B">
              <w:rPr>
                <w:lang w:val="ru-RU"/>
              </w:rPr>
              <w:t xml:space="preserve"> </w:t>
            </w:r>
            <w:r w:rsidR="00FD3191" w:rsidRPr="001D684B">
              <w:rPr>
                <w:lang w:val="ru-RU"/>
              </w:rPr>
              <w:t>сметные</w:t>
            </w:r>
            <w:r w:rsidR="00863E4D" w:rsidRPr="001D684B">
              <w:rPr>
                <w:lang w:val="ru-RU"/>
              </w:rPr>
              <w:t xml:space="preserve"> ассигнования и</w:t>
            </w:r>
            <w:r w:rsidR="009A35F1" w:rsidRPr="001D684B">
              <w:rPr>
                <w:lang w:val="ru-RU"/>
              </w:rPr>
              <w:t xml:space="preserve"> </w:t>
            </w:r>
            <w:r w:rsidR="003F00A9" w:rsidRPr="001D684B">
              <w:rPr>
                <w:lang w:val="ru-RU"/>
              </w:rPr>
              <w:t>их обоснование</w:t>
            </w:r>
            <w:r w:rsidR="009A35F1" w:rsidRPr="001D684B">
              <w:rPr>
                <w:lang w:val="ru-RU"/>
              </w:rPr>
              <w:t>.</w:t>
            </w:r>
            <w:bookmarkEnd w:id="8"/>
          </w:p>
          <w:p w14:paraId="226D78A2" w14:textId="5CD7006A" w:rsidR="009A35F1" w:rsidRPr="001D684B" w:rsidRDefault="003F00A9" w:rsidP="00F850C8">
            <w:pPr>
              <w:rPr>
                <w:lang w:val="ru-RU"/>
              </w:rPr>
            </w:pPr>
            <w:bookmarkStart w:id="9" w:name="lt_pId018"/>
            <w:r w:rsidRPr="001D684B">
              <w:rPr>
                <w:lang w:val="ru-RU"/>
              </w:rPr>
              <w:t>На собрании Рабочей группы Совета по финансовым и людским ресурсам (РГС</w:t>
            </w:r>
            <w:r w:rsidR="005B1F81" w:rsidRPr="001D684B">
              <w:rPr>
                <w:lang w:val="ru-RU"/>
              </w:rPr>
              <w:noBreakHyphen/>
            </w:r>
            <w:r w:rsidRPr="001D684B">
              <w:rPr>
                <w:lang w:val="ru-RU"/>
              </w:rPr>
              <w:t>ФЛР), состоявшемся в феврале</w:t>
            </w:r>
            <w:r w:rsidR="009A35F1" w:rsidRPr="001D684B">
              <w:rPr>
                <w:lang w:val="ru-RU"/>
              </w:rPr>
              <w:t xml:space="preserve"> 2020</w:t>
            </w:r>
            <w:r w:rsidRPr="001D684B">
              <w:rPr>
                <w:lang w:val="ru-RU"/>
              </w:rPr>
              <w:t xml:space="preserve"> года,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 xml:space="preserve">этот вопрос был рассмотрен и было решено </w:t>
            </w:r>
            <w:r w:rsidR="00793F3A" w:rsidRPr="001D684B">
              <w:rPr>
                <w:lang w:val="ru-RU"/>
              </w:rPr>
              <w:t>вынести</w:t>
            </w:r>
            <w:r w:rsidRPr="001D684B">
              <w:rPr>
                <w:lang w:val="ru-RU"/>
              </w:rPr>
              <w:t xml:space="preserve"> эту просьбу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на рассмотрение сессии Совета 2020 года</w:t>
            </w:r>
            <w:r w:rsidR="009A35F1" w:rsidRPr="001D684B">
              <w:rPr>
                <w:lang w:val="ru-RU"/>
              </w:rPr>
              <w:t>.</w:t>
            </w:r>
            <w:bookmarkEnd w:id="9"/>
          </w:p>
          <w:p w14:paraId="2A61447C" w14:textId="77777777" w:rsidR="002D2F57" w:rsidRPr="001D684B" w:rsidRDefault="002D2F57" w:rsidP="00F850C8">
            <w:pPr>
              <w:pStyle w:val="Headingb"/>
              <w:rPr>
                <w:lang w:val="ru-RU"/>
              </w:rPr>
            </w:pPr>
            <w:r w:rsidRPr="001D684B">
              <w:rPr>
                <w:lang w:val="ru-RU"/>
              </w:rPr>
              <w:t xml:space="preserve">Необходимые </w:t>
            </w:r>
            <w:r w:rsidR="00F5225B" w:rsidRPr="001D684B">
              <w:rPr>
                <w:lang w:val="ru-RU"/>
              </w:rPr>
              <w:t>действия</w:t>
            </w:r>
          </w:p>
          <w:p w14:paraId="5861AB87" w14:textId="10A35CD3" w:rsidR="009A35F1" w:rsidRPr="001D684B" w:rsidRDefault="003F00A9" w:rsidP="00F850C8">
            <w:pPr>
              <w:rPr>
                <w:lang w:val="ru-RU"/>
              </w:rPr>
            </w:pPr>
            <w:bookmarkStart w:id="10" w:name="lt_pId020"/>
            <w:r w:rsidRPr="001D684B">
              <w:rPr>
                <w:lang w:val="ru-RU"/>
              </w:rPr>
              <w:t>Совету предлагается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b/>
                <w:bCs/>
                <w:lang w:val="ru-RU"/>
              </w:rPr>
              <w:t xml:space="preserve">разрешить </w:t>
            </w:r>
            <w:r w:rsidRPr="001D684B">
              <w:rPr>
                <w:lang w:val="ru-RU"/>
              </w:rPr>
              <w:t>Генеральному секретарю</w:t>
            </w:r>
            <w:r w:rsidR="009A35F1" w:rsidRPr="001D684B">
              <w:rPr>
                <w:lang w:val="ru-RU"/>
              </w:rPr>
              <w:t xml:space="preserve"> </w:t>
            </w:r>
            <w:r w:rsidRPr="001D684B">
              <w:rPr>
                <w:lang w:val="ru-RU"/>
              </w:rPr>
              <w:t>принять в приоритетном порядке соответствующие меры с тем, чтобы выделить</w:t>
            </w:r>
            <w:r w:rsidR="005730DD" w:rsidRPr="001D684B">
              <w:rPr>
                <w:lang w:val="ru-RU"/>
              </w:rPr>
              <w:t xml:space="preserve"> средства</w:t>
            </w:r>
            <w:r w:rsidR="00793F3A" w:rsidRPr="001D684B">
              <w:rPr>
                <w:lang w:val="ru-RU"/>
              </w:rPr>
              <w:t>,</w:t>
            </w:r>
            <w:r w:rsidR="005730DD" w:rsidRPr="001D684B">
              <w:rPr>
                <w:lang w:val="ru-RU"/>
              </w:rPr>
              <w:t xml:space="preserve"> </w:t>
            </w:r>
            <w:r w:rsidR="006E7655" w:rsidRPr="001D684B">
              <w:rPr>
                <w:lang w:val="ru-RU"/>
              </w:rPr>
              <w:t>образующиеся от</w:t>
            </w:r>
            <w:r w:rsidR="00793F3A" w:rsidRPr="001D684B">
              <w:rPr>
                <w:lang w:val="ru-RU"/>
              </w:rPr>
              <w:t xml:space="preserve"> </w:t>
            </w:r>
            <w:r w:rsidR="005730DD" w:rsidRPr="001D684B">
              <w:rPr>
                <w:lang w:val="ru-RU"/>
              </w:rPr>
              <w:t>ежегодной экономии в процессе выполнения бюджета</w:t>
            </w:r>
            <w:r w:rsidR="009A35F1" w:rsidRPr="001D684B">
              <w:rPr>
                <w:lang w:val="ru-RU"/>
              </w:rPr>
              <w:t xml:space="preserve"> </w:t>
            </w:r>
            <w:r w:rsidR="005730DD" w:rsidRPr="001D684B">
              <w:rPr>
                <w:lang w:val="ru-RU"/>
              </w:rPr>
              <w:t>в</w:t>
            </w:r>
            <w:r w:rsidR="009A35F1" w:rsidRPr="001D684B">
              <w:rPr>
                <w:lang w:val="ru-RU"/>
              </w:rPr>
              <w:t xml:space="preserve"> 2020</w:t>
            </w:r>
            <w:r w:rsidR="005730DD" w:rsidRPr="001D684B">
              <w:rPr>
                <w:lang w:val="ru-RU"/>
              </w:rPr>
              <w:t xml:space="preserve"> году</w:t>
            </w:r>
            <w:r w:rsidR="009A35F1" w:rsidRPr="001D684B">
              <w:rPr>
                <w:lang w:val="ru-RU"/>
              </w:rPr>
              <w:t xml:space="preserve">, </w:t>
            </w:r>
            <w:r w:rsidR="005730DD" w:rsidRPr="001D684B">
              <w:rPr>
                <w:lang w:val="ru-RU"/>
              </w:rPr>
              <w:t>или</w:t>
            </w:r>
            <w:r w:rsidR="009A35F1" w:rsidRPr="001D684B">
              <w:rPr>
                <w:lang w:val="ru-RU"/>
              </w:rPr>
              <w:t xml:space="preserve"> </w:t>
            </w:r>
            <w:r w:rsidR="005730DD" w:rsidRPr="001D684B">
              <w:rPr>
                <w:b/>
                <w:bCs/>
                <w:lang w:val="ru-RU"/>
              </w:rPr>
              <w:t>обратиться с</w:t>
            </w:r>
            <w:r w:rsidR="005730DD" w:rsidRPr="001D684B">
              <w:rPr>
                <w:lang w:val="ru-RU"/>
              </w:rPr>
              <w:t xml:space="preserve"> </w:t>
            </w:r>
            <w:r w:rsidR="005730DD" w:rsidRPr="001D684B">
              <w:rPr>
                <w:b/>
                <w:bCs/>
                <w:lang w:val="ru-RU"/>
              </w:rPr>
              <w:t xml:space="preserve">призывом </w:t>
            </w:r>
            <w:r w:rsidR="005730DD" w:rsidRPr="001D684B">
              <w:rPr>
                <w:lang w:val="ru-RU"/>
              </w:rPr>
              <w:t>внести</w:t>
            </w:r>
            <w:r w:rsidR="005730DD" w:rsidRPr="001D684B">
              <w:rPr>
                <w:b/>
                <w:bCs/>
                <w:lang w:val="ru-RU"/>
              </w:rPr>
              <w:t xml:space="preserve"> </w:t>
            </w:r>
            <w:r w:rsidR="005730DD" w:rsidRPr="001D684B">
              <w:rPr>
                <w:lang w:val="ru-RU"/>
              </w:rPr>
              <w:t>добровольный взнос</w:t>
            </w:r>
            <w:r w:rsidR="009A35F1" w:rsidRPr="001D684B">
              <w:rPr>
                <w:lang w:val="ru-RU"/>
              </w:rPr>
              <w:t xml:space="preserve"> </w:t>
            </w:r>
            <w:r w:rsidR="005730DD" w:rsidRPr="001D684B">
              <w:rPr>
                <w:lang w:val="ru-RU"/>
              </w:rPr>
              <w:t>или,</w:t>
            </w:r>
            <w:r w:rsidR="009A35F1" w:rsidRPr="001D684B">
              <w:rPr>
                <w:lang w:val="ru-RU"/>
              </w:rPr>
              <w:t xml:space="preserve"> </w:t>
            </w:r>
            <w:r w:rsidR="005730DD" w:rsidRPr="001D684B">
              <w:rPr>
                <w:lang w:val="ru-RU"/>
              </w:rPr>
              <w:t>в крайнем случае, снят</w:t>
            </w:r>
            <w:r w:rsidR="00C443C1" w:rsidRPr="001D684B">
              <w:rPr>
                <w:lang w:val="ru-RU"/>
              </w:rPr>
              <w:t>ь</w:t>
            </w:r>
            <w:r w:rsidR="005730DD" w:rsidRPr="001D684B">
              <w:rPr>
                <w:lang w:val="ru-RU"/>
              </w:rPr>
              <w:t xml:space="preserve"> средств</w:t>
            </w:r>
            <w:r w:rsidR="00C443C1" w:rsidRPr="001D684B">
              <w:rPr>
                <w:lang w:val="ru-RU"/>
              </w:rPr>
              <w:t>а</w:t>
            </w:r>
            <w:r w:rsidR="005730DD" w:rsidRPr="001D684B">
              <w:rPr>
                <w:lang w:val="ru-RU"/>
              </w:rPr>
              <w:t xml:space="preserve"> с Резервного счета</w:t>
            </w:r>
            <w:r w:rsidR="009A35F1" w:rsidRPr="001D684B">
              <w:rPr>
                <w:lang w:val="ru-RU"/>
              </w:rPr>
              <w:t xml:space="preserve"> </w:t>
            </w:r>
            <w:r w:rsidR="005730DD" w:rsidRPr="001D684B">
              <w:rPr>
                <w:lang w:val="ru-RU"/>
              </w:rPr>
              <w:t>в следующем бюджетном цикле</w:t>
            </w:r>
            <w:r w:rsidR="009A35F1" w:rsidRPr="001D684B">
              <w:rPr>
                <w:lang w:val="ru-RU"/>
              </w:rPr>
              <w:t>.</w:t>
            </w:r>
            <w:bookmarkEnd w:id="10"/>
          </w:p>
          <w:p w14:paraId="6F4429DF" w14:textId="77777777" w:rsidR="002D2F57" w:rsidRPr="001D684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D684B">
              <w:rPr>
                <w:caps/>
                <w:szCs w:val="22"/>
                <w:lang w:val="ru-RU"/>
              </w:rPr>
              <w:t>____________</w:t>
            </w:r>
          </w:p>
          <w:p w14:paraId="250737F0" w14:textId="77777777" w:rsidR="002D2F57" w:rsidRPr="001D684B" w:rsidRDefault="002D2F57">
            <w:pPr>
              <w:pStyle w:val="Headingb"/>
              <w:rPr>
                <w:szCs w:val="22"/>
                <w:lang w:val="ru-RU"/>
              </w:rPr>
            </w:pPr>
            <w:r w:rsidRPr="001D684B">
              <w:rPr>
                <w:szCs w:val="22"/>
                <w:lang w:val="ru-RU"/>
              </w:rPr>
              <w:t>Справочные материалы</w:t>
            </w:r>
          </w:p>
          <w:bookmarkStart w:id="11" w:name="lt_pId023"/>
          <w:p w14:paraId="20F9C9A2" w14:textId="0F80F2E8" w:rsidR="002D2F57" w:rsidRPr="001D684B" w:rsidRDefault="009A35F1" w:rsidP="009A35F1">
            <w:pPr>
              <w:spacing w:after="120"/>
              <w:rPr>
                <w:i/>
                <w:iCs/>
                <w:lang w:val="ru-RU"/>
              </w:rPr>
            </w:pPr>
            <w:r w:rsidRPr="001D684B">
              <w:rPr>
                <w:i/>
                <w:iCs/>
                <w:szCs w:val="22"/>
                <w:lang w:val="ru-RU"/>
              </w:rPr>
              <w:fldChar w:fldCharType="begin"/>
            </w:r>
            <w:r w:rsidRPr="001D684B">
              <w:rPr>
                <w:i/>
                <w:iCs/>
                <w:szCs w:val="22"/>
                <w:lang w:val="ru-RU"/>
              </w:rPr>
              <w:instrText xml:space="preserve"> HYPERLINK "https://www.itu.int/md/R16-WRC19-C-0337/en" </w:instrText>
            </w:r>
            <w:r w:rsidRPr="001D684B">
              <w:rPr>
                <w:i/>
                <w:iCs/>
                <w:szCs w:val="22"/>
                <w:lang w:val="ru-RU"/>
              </w:rPr>
              <w:fldChar w:fldCharType="separate"/>
            </w:r>
            <w:r w:rsidRPr="001D684B">
              <w:rPr>
                <w:rStyle w:val="Hyperlink"/>
                <w:i/>
                <w:iCs/>
                <w:szCs w:val="22"/>
                <w:lang w:val="ru-RU"/>
              </w:rPr>
              <w:t>Док. 337(Rev.2)</w:t>
            </w:r>
            <w:r w:rsidRPr="001D684B">
              <w:rPr>
                <w:i/>
                <w:iCs/>
                <w:szCs w:val="22"/>
                <w:lang w:val="ru-RU"/>
              </w:rPr>
              <w:fldChar w:fldCharType="end"/>
            </w:r>
            <w:r w:rsidRPr="001D684B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1D684B">
                <w:rPr>
                  <w:rStyle w:val="Hyperlink"/>
                  <w:i/>
                  <w:iCs/>
                  <w:szCs w:val="22"/>
                  <w:lang w:val="ru-RU"/>
                </w:rPr>
                <w:t>CWG-FHR-11/5</w:t>
              </w:r>
            </w:hyperlink>
            <w:bookmarkEnd w:id="11"/>
          </w:p>
        </w:tc>
      </w:tr>
    </w:tbl>
    <w:p w14:paraId="5746E574" w14:textId="2A656420" w:rsidR="009A35F1" w:rsidRPr="001D684B" w:rsidRDefault="002D2F57" w:rsidP="009A35F1">
      <w:pPr>
        <w:pStyle w:val="Heading1"/>
        <w:rPr>
          <w:lang w:val="ru-RU"/>
        </w:rPr>
      </w:pPr>
      <w:r w:rsidRPr="001D684B">
        <w:rPr>
          <w:lang w:val="ru-RU"/>
        </w:rPr>
        <w:br w:type="page"/>
      </w:r>
      <w:r w:rsidR="009A35F1" w:rsidRPr="001D684B">
        <w:rPr>
          <w:lang w:val="ru-RU"/>
        </w:rPr>
        <w:lastRenderedPageBreak/>
        <w:t>1</w:t>
      </w:r>
      <w:r w:rsidR="009A35F1" w:rsidRPr="001D684B">
        <w:rPr>
          <w:lang w:val="ru-RU"/>
        </w:rPr>
        <w:tab/>
        <w:t>Введение</w:t>
      </w:r>
    </w:p>
    <w:p w14:paraId="55DD7D3D" w14:textId="2EDBEEDF" w:rsidR="009A35F1" w:rsidRPr="001D684B" w:rsidRDefault="0085142A" w:rsidP="009A35F1">
      <w:pPr>
        <w:rPr>
          <w:lang w:val="ru-RU"/>
        </w:rPr>
      </w:pPr>
      <w:bookmarkStart w:id="12" w:name="lt_pId025"/>
      <w:r w:rsidRPr="001D684B">
        <w:rPr>
          <w:lang w:val="ru-RU"/>
        </w:rPr>
        <w:t>Всемирная конференция радиосвязи, проходившая в Шарм-эль-Шейхе, Египет, с 28 октября по 22</w:t>
      </w:r>
      <w:r w:rsidR="002A448F" w:rsidRPr="001D684B">
        <w:rPr>
          <w:lang w:val="ru-RU"/>
        </w:rPr>
        <w:t> </w:t>
      </w:r>
      <w:r w:rsidRPr="001D684B">
        <w:rPr>
          <w:lang w:val="ru-RU"/>
        </w:rPr>
        <w:t>ноября 2019 года, приняла ряд решений</w:t>
      </w:r>
      <w:r w:rsidR="006E7655" w:rsidRPr="001D684B">
        <w:rPr>
          <w:lang w:val="ru-RU"/>
        </w:rPr>
        <w:t>, касающихся</w:t>
      </w:r>
      <w:r w:rsidRPr="001D684B">
        <w:rPr>
          <w:lang w:val="ru-RU"/>
        </w:rPr>
        <w:t xml:space="preserve"> новых вид</w:t>
      </w:r>
      <w:r w:rsidR="006E7655" w:rsidRPr="001D684B">
        <w:rPr>
          <w:lang w:val="ru-RU"/>
        </w:rPr>
        <w:t>ов</w:t>
      </w:r>
      <w:r w:rsidRPr="001D684B">
        <w:rPr>
          <w:lang w:val="ru-RU"/>
        </w:rPr>
        <w:t xml:space="preserve"> деятельности</w:t>
      </w:r>
      <w:r w:rsidR="009A35F1" w:rsidRPr="001D684B">
        <w:rPr>
          <w:lang w:val="ru-RU"/>
        </w:rPr>
        <w:t xml:space="preserve">, </w:t>
      </w:r>
      <w:r w:rsidRPr="001D684B">
        <w:rPr>
          <w:lang w:val="ru-RU"/>
        </w:rPr>
        <w:t>исследовани</w:t>
      </w:r>
      <w:r w:rsidR="006E7655" w:rsidRPr="001D684B">
        <w:rPr>
          <w:lang w:val="ru-RU"/>
        </w:rPr>
        <w:t>й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и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совершенствовани</w:t>
      </w:r>
      <w:r w:rsidR="006E7655" w:rsidRPr="001D684B">
        <w:rPr>
          <w:lang w:val="ru-RU"/>
        </w:rPr>
        <w:t>я</w:t>
      </w:r>
      <w:r w:rsidRPr="001D684B">
        <w:rPr>
          <w:lang w:val="ru-RU"/>
        </w:rPr>
        <w:t xml:space="preserve"> существующих систем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и инфраструктуры с тем,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чтобы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Бюро радиосвязи могло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своевременно удовлетворять просьбы членов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и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определять стратегические вопросы,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которые будут требовать внимания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ВКР</w:t>
      </w:r>
      <w:r w:rsidR="009A35F1" w:rsidRPr="001D684B">
        <w:rPr>
          <w:lang w:val="ru-RU"/>
        </w:rPr>
        <w:t>-23.</w:t>
      </w:r>
      <w:bookmarkEnd w:id="12"/>
    </w:p>
    <w:p w14:paraId="2D1A6ECB" w14:textId="56A30A8D" w:rsidR="009A35F1" w:rsidRPr="001D684B" w:rsidRDefault="0085142A" w:rsidP="009A35F1">
      <w:pPr>
        <w:rPr>
          <w:lang w:val="ru-RU"/>
        </w:rPr>
      </w:pPr>
      <w:bookmarkStart w:id="13" w:name="lt_pId026"/>
      <w:r w:rsidRPr="001D684B">
        <w:rPr>
          <w:lang w:val="ru-RU"/>
        </w:rPr>
        <w:t>ВКР</w:t>
      </w:r>
      <w:r w:rsidR="009A35F1" w:rsidRPr="001D684B">
        <w:rPr>
          <w:lang w:val="ru-RU"/>
        </w:rPr>
        <w:t xml:space="preserve">-19 </w:t>
      </w:r>
      <w:r w:rsidRPr="001D684B">
        <w:rPr>
          <w:lang w:val="ru-RU"/>
        </w:rPr>
        <w:t xml:space="preserve">определила </w:t>
      </w:r>
      <w:r w:rsidR="00382DB1" w:rsidRPr="001D684B">
        <w:rPr>
          <w:lang w:val="ru-RU"/>
        </w:rPr>
        <w:t>эти виды деятельности в качестве приоритетных областей</w:t>
      </w:r>
      <w:r w:rsidR="009A35F1" w:rsidRPr="001D684B">
        <w:rPr>
          <w:lang w:val="ru-RU"/>
        </w:rPr>
        <w:t xml:space="preserve"> </w:t>
      </w:r>
      <w:r w:rsidR="00382DB1" w:rsidRPr="001D684B">
        <w:rPr>
          <w:lang w:val="ru-RU"/>
        </w:rPr>
        <w:t>для МСЭ</w:t>
      </w:r>
      <w:r w:rsidR="009A35F1" w:rsidRPr="001D684B">
        <w:rPr>
          <w:lang w:val="ru-RU"/>
        </w:rPr>
        <w:t>-R</w:t>
      </w:r>
      <w:r w:rsidR="00382DB1" w:rsidRPr="001D684B">
        <w:rPr>
          <w:lang w:val="ru-RU"/>
        </w:rPr>
        <w:t>,</w:t>
      </w:r>
      <w:r w:rsidR="009A35F1" w:rsidRPr="001D684B">
        <w:rPr>
          <w:lang w:val="ru-RU"/>
        </w:rPr>
        <w:t xml:space="preserve"> </w:t>
      </w:r>
      <w:r w:rsidR="00382DB1" w:rsidRPr="001D684B">
        <w:rPr>
          <w:lang w:val="ru-RU"/>
        </w:rPr>
        <w:t>и</w:t>
      </w:r>
      <w:r w:rsidR="009A35F1" w:rsidRPr="001D684B">
        <w:rPr>
          <w:lang w:val="ru-RU"/>
        </w:rPr>
        <w:t xml:space="preserve"> </w:t>
      </w:r>
      <w:r w:rsidR="00382DB1" w:rsidRPr="001D684B">
        <w:rPr>
          <w:lang w:val="ru-RU"/>
        </w:rPr>
        <w:t xml:space="preserve">Бюро радиосвязи </w:t>
      </w:r>
      <w:r w:rsidR="006E7655" w:rsidRPr="001D684B">
        <w:rPr>
          <w:lang w:val="ru-RU"/>
        </w:rPr>
        <w:t>поруч</w:t>
      </w:r>
      <w:r w:rsidR="00382DB1" w:rsidRPr="001D684B">
        <w:rPr>
          <w:lang w:val="ru-RU"/>
        </w:rPr>
        <w:t>ено выполнить эти виды деятельности</w:t>
      </w:r>
      <w:r w:rsidR="009A35F1" w:rsidRPr="001D684B">
        <w:rPr>
          <w:lang w:val="ru-RU"/>
        </w:rPr>
        <w:t xml:space="preserve"> </w:t>
      </w:r>
      <w:r w:rsidR="00382DB1" w:rsidRPr="001D684B">
        <w:rPr>
          <w:lang w:val="ru-RU"/>
        </w:rPr>
        <w:t>и</w:t>
      </w:r>
      <w:r w:rsidR="009A35F1" w:rsidRPr="001D684B">
        <w:rPr>
          <w:lang w:val="ru-RU"/>
        </w:rPr>
        <w:t xml:space="preserve"> </w:t>
      </w:r>
      <w:r w:rsidR="00382DB1" w:rsidRPr="001D684B">
        <w:rPr>
          <w:lang w:val="ru-RU"/>
        </w:rPr>
        <w:t xml:space="preserve">представить </w:t>
      </w:r>
      <w:r w:rsidR="006E7655" w:rsidRPr="001D684B">
        <w:rPr>
          <w:lang w:val="ru-RU"/>
        </w:rPr>
        <w:t xml:space="preserve">свой </w:t>
      </w:r>
      <w:r w:rsidR="00382DB1" w:rsidRPr="001D684B">
        <w:rPr>
          <w:lang w:val="ru-RU"/>
        </w:rPr>
        <w:t>отчет предстоящей Конференции</w:t>
      </w:r>
      <w:r w:rsidR="009A35F1" w:rsidRPr="001D684B">
        <w:rPr>
          <w:lang w:val="ru-RU"/>
        </w:rPr>
        <w:t xml:space="preserve"> (</w:t>
      </w:r>
      <w:r w:rsidR="00382DB1" w:rsidRPr="001D684B">
        <w:rPr>
          <w:lang w:val="ru-RU"/>
        </w:rPr>
        <w:t>ВКР</w:t>
      </w:r>
      <w:r w:rsidR="009A35F1" w:rsidRPr="001D684B">
        <w:rPr>
          <w:lang w:val="ru-RU"/>
        </w:rPr>
        <w:noBreakHyphen/>
        <w:t>23).</w:t>
      </w:r>
      <w:bookmarkEnd w:id="13"/>
      <w:r w:rsidR="009A35F1" w:rsidRPr="001D684B">
        <w:rPr>
          <w:lang w:val="ru-RU"/>
        </w:rPr>
        <w:t xml:space="preserve"> </w:t>
      </w:r>
    </w:p>
    <w:p w14:paraId="6A192F38" w14:textId="5752BDAF" w:rsidR="009A35F1" w:rsidRPr="001D684B" w:rsidRDefault="00382DB1" w:rsidP="009A35F1">
      <w:pPr>
        <w:rPr>
          <w:lang w:val="ru-RU"/>
        </w:rPr>
      </w:pPr>
      <w:bookmarkStart w:id="14" w:name="lt_pId027"/>
      <w:r w:rsidRPr="001D684B">
        <w:rPr>
          <w:lang w:val="ru-RU"/>
        </w:rPr>
        <w:t>Поскольку эт</w:t>
      </w:r>
      <w:r w:rsidR="006E7655" w:rsidRPr="001D684B">
        <w:rPr>
          <w:lang w:val="ru-RU"/>
        </w:rPr>
        <w:t>а деятельность</w:t>
      </w:r>
      <w:r w:rsidRPr="001D684B">
        <w:rPr>
          <w:lang w:val="ru-RU"/>
        </w:rPr>
        <w:t xml:space="preserve"> выходит за рамки бюджета, выделенного Бюро,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то предлагается, чтобы Совет рассмотрел</w:t>
      </w:r>
      <w:r w:rsidR="009A35F1" w:rsidRPr="001D684B">
        <w:rPr>
          <w:lang w:val="ru-RU"/>
        </w:rPr>
        <w:t xml:space="preserve"> </w:t>
      </w:r>
      <w:r w:rsidRPr="001D684B">
        <w:rPr>
          <w:lang w:val="ru-RU"/>
        </w:rPr>
        <w:t>этот вопрос в первоочередном порядке</w:t>
      </w:r>
      <w:r w:rsidR="009A35F1" w:rsidRPr="001D684B">
        <w:rPr>
          <w:lang w:val="ru-RU"/>
        </w:rPr>
        <w:t xml:space="preserve"> </w:t>
      </w:r>
      <w:r w:rsidR="001000FF" w:rsidRPr="001D684B">
        <w:rPr>
          <w:lang w:val="ru-RU"/>
        </w:rPr>
        <w:t>и определил источники финансирования</w:t>
      </w:r>
      <w:r w:rsidR="009A35F1" w:rsidRPr="001D684B">
        <w:rPr>
          <w:lang w:val="ru-RU"/>
        </w:rPr>
        <w:t xml:space="preserve"> </w:t>
      </w:r>
      <w:r w:rsidR="001000FF" w:rsidRPr="001D684B">
        <w:rPr>
          <w:lang w:val="ru-RU"/>
        </w:rPr>
        <w:t>этих видов деятельности</w:t>
      </w:r>
      <w:r w:rsidR="009A35F1" w:rsidRPr="001D684B">
        <w:rPr>
          <w:lang w:val="ru-RU"/>
        </w:rPr>
        <w:t xml:space="preserve">, </w:t>
      </w:r>
      <w:r w:rsidR="001000FF" w:rsidRPr="001D684B">
        <w:rPr>
          <w:lang w:val="ru-RU"/>
        </w:rPr>
        <w:t>принимая во внимание тот факт, они должны быть выполнены в сжатые сроки и поэтому требуют немедленных действий</w:t>
      </w:r>
      <w:r w:rsidR="009A35F1" w:rsidRPr="001D684B">
        <w:rPr>
          <w:lang w:val="ru-RU"/>
        </w:rPr>
        <w:t>.</w:t>
      </w:r>
      <w:bookmarkEnd w:id="14"/>
      <w:r w:rsidR="009A35F1" w:rsidRPr="001D684B">
        <w:rPr>
          <w:lang w:val="ru-RU"/>
        </w:rPr>
        <w:t xml:space="preserve"> </w:t>
      </w:r>
      <w:bookmarkStart w:id="15" w:name="lt_pId028"/>
      <w:r w:rsidR="001000FF" w:rsidRPr="001D684B">
        <w:rPr>
          <w:lang w:val="ru-RU"/>
        </w:rPr>
        <w:t>Ниже представлены предлагаемые варианты</w:t>
      </w:r>
      <w:r w:rsidR="009A35F1" w:rsidRPr="001D684B">
        <w:rPr>
          <w:lang w:val="ru-RU"/>
        </w:rPr>
        <w:t xml:space="preserve"> </w:t>
      </w:r>
      <w:r w:rsidR="001000FF" w:rsidRPr="001D684B">
        <w:rPr>
          <w:lang w:val="ru-RU"/>
        </w:rPr>
        <w:t>для рассмотрения Советом</w:t>
      </w:r>
      <w:r w:rsidR="009A35F1" w:rsidRPr="001D684B">
        <w:rPr>
          <w:lang w:val="ru-RU"/>
        </w:rPr>
        <w:t>:</w:t>
      </w:r>
      <w:bookmarkEnd w:id="15"/>
    </w:p>
    <w:p w14:paraId="63357080" w14:textId="10374443" w:rsidR="009A35F1" w:rsidRPr="001D684B" w:rsidRDefault="009A35F1" w:rsidP="009A35F1">
      <w:pPr>
        <w:pStyle w:val="enumlev1"/>
        <w:rPr>
          <w:b/>
          <w:lang w:val="ru-RU"/>
        </w:rPr>
      </w:pPr>
      <w:bookmarkStart w:id="16" w:name="lt_pId029"/>
      <w:r w:rsidRPr="001D684B">
        <w:rPr>
          <w:b/>
          <w:lang w:val="ru-RU"/>
        </w:rPr>
        <w:t>•</w:t>
      </w:r>
      <w:r w:rsidRPr="001D684B">
        <w:rPr>
          <w:b/>
          <w:lang w:val="ru-RU"/>
        </w:rPr>
        <w:tab/>
      </w:r>
      <w:r w:rsidR="001000FF" w:rsidRPr="001D684B">
        <w:rPr>
          <w:lang w:val="ru-RU"/>
        </w:rPr>
        <w:t xml:space="preserve">разрешить Генеральному секретарю использовать в первую очередь средства, полученные за счет экономии, </w:t>
      </w:r>
      <w:r w:rsidR="00335CBD" w:rsidRPr="001D684B">
        <w:rPr>
          <w:lang w:val="ru-RU"/>
        </w:rPr>
        <w:t>для реализации этих видов деятельности</w:t>
      </w:r>
      <w:r w:rsidRPr="001D684B">
        <w:rPr>
          <w:lang w:val="ru-RU"/>
        </w:rPr>
        <w:t>;</w:t>
      </w:r>
      <w:bookmarkEnd w:id="16"/>
    </w:p>
    <w:p w14:paraId="1429D3B1" w14:textId="405BC57A" w:rsidR="009A35F1" w:rsidRPr="001D684B" w:rsidRDefault="009A35F1" w:rsidP="009A35F1">
      <w:pPr>
        <w:pStyle w:val="enumlev1"/>
        <w:rPr>
          <w:b/>
          <w:lang w:val="ru-RU"/>
        </w:rPr>
      </w:pPr>
      <w:bookmarkStart w:id="17" w:name="lt_pId030"/>
      <w:r w:rsidRPr="001D684B">
        <w:rPr>
          <w:b/>
          <w:lang w:val="ru-RU"/>
        </w:rPr>
        <w:t>•</w:t>
      </w:r>
      <w:r w:rsidRPr="001D684B">
        <w:rPr>
          <w:b/>
          <w:lang w:val="ru-RU"/>
        </w:rPr>
        <w:tab/>
      </w:r>
      <w:r w:rsidR="00335CBD" w:rsidRPr="001D684B">
        <w:rPr>
          <w:lang w:val="ru-RU"/>
        </w:rPr>
        <w:t>разрешить Генеральному секретарю и Директору Бюро радиосвязи обратиться за финансовой поддержкой</w:t>
      </w:r>
      <w:r w:rsidRPr="001D684B">
        <w:rPr>
          <w:lang w:val="ru-RU"/>
        </w:rPr>
        <w:t xml:space="preserve"> </w:t>
      </w:r>
      <w:r w:rsidR="00335CBD" w:rsidRPr="001D684B">
        <w:rPr>
          <w:lang w:val="ru-RU"/>
        </w:rPr>
        <w:t>в отношении той части работы, которая</w:t>
      </w:r>
      <w:r w:rsidRPr="001D684B">
        <w:rPr>
          <w:lang w:val="ru-RU"/>
        </w:rPr>
        <w:t xml:space="preserve"> </w:t>
      </w:r>
      <w:r w:rsidR="00335CBD" w:rsidRPr="001D684B">
        <w:rPr>
          <w:lang w:val="ru-RU"/>
        </w:rPr>
        <w:t>связана с</w:t>
      </w:r>
      <w:r w:rsidRPr="001D684B">
        <w:rPr>
          <w:lang w:val="ru-RU"/>
        </w:rPr>
        <w:t xml:space="preserve"> </w:t>
      </w:r>
      <w:r w:rsidR="00335CBD" w:rsidRPr="001D684B">
        <w:rPr>
          <w:lang w:val="ru-RU"/>
        </w:rPr>
        <w:t xml:space="preserve">реализацией некоторых компонентов этих решений </w:t>
      </w:r>
      <w:r w:rsidR="00FC7BEF" w:rsidRPr="001D684B">
        <w:rPr>
          <w:lang w:val="ru-RU"/>
        </w:rPr>
        <w:t>на основе проектов</w:t>
      </w:r>
      <w:bookmarkEnd w:id="17"/>
      <w:r w:rsidR="00FC7BEF" w:rsidRPr="001D684B">
        <w:rPr>
          <w:lang w:val="ru-RU"/>
        </w:rPr>
        <w:t>;</w:t>
      </w:r>
    </w:p>
    <w:p w14:paraId="23AAE413" w14:textId="3A0992B2" w:rsidR="009A35F1" w:rsidRPr="001D684B" w:rsidRDefault="009A35F1" w:rsidP="009A35F1">
      <w:pPr>
        <w:pStyle w:val="enumlev1"/>
        <w:rPr>
          <w:b/>
          <w:lang w:val="ru-RU"/>
        </w:rPr>
      </w:pPr>
      <w:bookmarkStart w:id="18" w:name="lt_pId031"/>
      <w:r w:rsidRPr="001D684B">
        <w:rPr>
          <w:b/>
          <w:lang w:val="ru-RU"/>
        </w:rPr>
        <w:t>•</w:t>
      </w:r>
      <w:r w:rsidRPr="001D684B">
        <w:rPr>
          <w:b/>
          <w:lang w:val="ru-RU"/>
        </w:rPr>
        <w:tab/>
      </w:r>
      <w:r w:rsidR="00335CBD" w:rsidRPr="001D684B">
        <w:rPr>
          <w:lang w:val="ru-RU"/>
        </w:rPr>
        <w:t xml:space="preserve">разрешить Генеральному секретарю </w:t>
      </w:r>
      <w:r w:rsidR="00FC7BEF" w:rsidRPr="001D684B">
        <w:rPr>
          <w:lang w:val="ru-RU"/>
        </w:rPr>
        <w:t>включать любые повторяющиеся расходы в следующий цикл регулярного бюджета</w:t>
      </w:r>
      <w:bookmarkEnd w:id="18"/>
      <w:r w:rsidR="00FC7BEF" w:rsidRPr="001D684B">
        <w:rPr>
          <w:lang w:val="ru-RU"/>
        </w:rPr>
        <w:t>.</w:t>
      </w:r>
    </w:p>
    <w:p w14:paraId="492114E5" w14:textId="0D3CC609" w:rsidR="009A35F1" w:rsidRPr="001D684B" w:rsidRDefault="009A35F1" w:rsidP="009A35F1">
      <w:pPr>
        <w:pStyle w:val="Heading1"/>
        <w:rPr>
          <w:lang w:val="ru-RU"/>
        </w:rPr>
      </w:pPr>
      <w:r w:rsidRPr="001D684B">
        <w:rPr>
          <w:lang w:val="ru-RU"/>
        </w:rPr>
        <w:t>2</w:t>
      </w:r>
      <w:r w:rsidRPr="001D684B">
        <w:rPr>
          <w:lang w:val="ru-RU"/>
        </w:rPr>
        <w:tab/>
        <w:t>Финансовые последствия Решений или Резолюций Конференции (ВКР</w:t>
      </w:r>
      <w:r w:rsidRPr="001D684B">
        <w:rPr>
          <w:lang w:val="ru-RU"/>
        </w:rPr>
        <w:noBreakHyphen/>
        <w:t>19) (Документ 493)</w:t>
      </w:r>
    </w:p>
    <w:p w14:paraId="442982F7" w14:textId="3C560BEC" w:rsidR="009A35F1" w:rsidRPr="001D684B" w:rsidRDefault="009A35F1" w:rsidP="009A35F1">
      <w:pPr>
        <w:pStyle w:val="Headingb"/>
        <w:rPr>
          <w:rFonts w:cs="Calibri"/>
          <w:lang w:val="ru-RU"/>
        </w:rPr>
      </w:pPr>
      <w:r w:rsidRPr="001D684B">
        <w:rPr>
          <w:lang w:val="ru-RU"/>
        </w:rPr>
        <w:t>Резолюция 35 (ВКР-19) – Поэтапный подход к внедрению частотных присвоений космическим станциям негеостационарных спутниковых систем в конкретных полосах частот и службах</w:t>
      </w:r>
    </w:p>
    <w:p w14:paraId="07922835" w14:textId="6CBBEFD6" w:rsidR="009A35F1" w:rsidRPr="001D684B" w:rsidRDefault="009A35F1" w:rsidP="009A35F1">
      <w:pPr>
        <w:rPr>
          <w:lang w:val="ru-RU"/>
        </w:rPr>
      </w:pPr>
      <w:r w:rsidRPr="001D684B">
        <w:rPr>
          <w:lang w:val="ru-RU"/>
        </w:rPr>
        <w:t>Финансовые последствия, связанные с выполнением этого проекта новой Резолюции, оцениваются в 340 000 швейцарских франков. Данная оценка обусловлена разработкой программного обеспечения с привлечением внешних ресурсов (подробная информация содержится в Документе </w:t>
      </w:r>
      <w:hyperlink r:id="rId10" w:history="1">
        <w:r w:rsidRPr="001D684B">
          <w:rPr>
            <w:rStyle w:val="Hyperlink"/>
            <w:lang w:val="ru-RU"/>
          </w:rPr>
          <w:t>453</w:t>
        </w:r>
      </w:hyperlink>
      <w:r w:rsidRPr="001D684B">
        <w:rPr>
          <w:lang w:val="ru-RU"/>
        </w:rPr>
        <w:t xml:space="preserve"> и Таблице 1, ниже).</w:t>
      </w:r>
    </w:p>
    <w:p w14:paraId="0D1D3101" w14:textId="44843BCF" w:rsidR="009A35F1" w:rsidRPr="001D684B" w:rsidRDefault="009A35F1" w:rsidP="009A35F1">
      <w:pPr>
        <w:pStyle w:val="Headingb"/>
        <w:rPr>
          <w:lang w:val="ru-RU"/>
        </w:rPr>
      </w:pPr>
      <w:r w:rsidRPr="001D684B">
        <w:rPr>
          <w:lang w:val="ru-RU"/>
        </w:rPr>
        <w:t>Резолюция 169 (ВКР-19) – Использование полос частот 17,7−19,7 ГГц и 27,5−29,5 ГГц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33EDAC3C" w14:textId="11450C38" w:rsidR="009A35F1" w:rsidRPr="001D684B" w:rsidRDefault="009A35F1" w:rsidP="009A35F1">
      <w:pPr>
        <w:rPr>
          <w:lang w:val="ru-RU"/>
        </w:rPr>
      </w:pPr>
      <w:r w:rsidRPr="001D684B">
        <w:rPr>
          <w:lang w:val="ru-RU"/>
        </w:rPr>
        <w:t>Финансовые последствия, связанные с выполнением этого проекта новой Резолюции, оцениваются в 85 000 швейцарских франков (подробная информация содержится в Документе </w:t>
      </w:r>
      <w:hyperlink r:id="rId11" w:history="1">
        <w:r w:rsidRPr="001D684B">
          <w:rPr>
            <w:rStyle w:val="Hyperlink"/>
            <w:lang w:val="ru-RU"/>
          </w:rPr>
          <w:t>463</w:t>
        </w:r>
      </w:hyperlink>
      <w:r w:rsidRPr="001D684B">
        <w:rPr>
          <w:lang w:val="ru-RU"/>
        </w:rPr>
        <w:t xml:space="preserve"> и Таблице 1, ниже). Данная оценка обусловлена затратами на разработку программного обеспечения. </w:t>
      </w:r>
    </w:p>
    <w:p w14:paraId="3FF54E77" w14:textId="619E103C" w:rsidR="009A35F1" w:rsidRPr="001D684B" w:rsidRDefault="009A35F1" w:rsidP="009A35F1">
      <w:pPr>
        <w:pStyle w:val="Headingb"/>
        <w:rPr>
          <w:lang w:val="ru-RU"/>
        </w:rPr>
      </w:pPr>
      <w:r w:rsidRPr="001D684B">
        <w:rPr>
          <w:lang w:val="ru-RU"/>
        </w:rPr>
        <w:t xml:space="preserve">Изменения к </w:t>
      </w:r>
      <w:proofErr w:type="spellStart"/>
      <w:r w:rsidRPr="001D684B">
        <w:rPr>
          <w:lang w:val="ru-RU"/>
        </w:rPr>
        <w:t>пп</w:t>
      </w:r>
      <w:proofErr w:type="spellEnd"/>
      <w:r w:rsidRPr="001D684B">
        <w:rPr>
          <w:lang w:val="ru-RU"/>
        </w:rPr>
        <w:t>. 9.36, 9.53А РР</w:t>
      </w:r>
      <w:r w:rsidR="00791542" w:rsidRPr="001D684B">
        <w:rPr>
          <w:lang w:val="ru-RU"/>
        </w:rPr>
        <w:t xml:space="preserve"> и</w:t>
      </w:r>
      <w:r w:rsidRPr="001D684B">
        <w:rPr>
          <w:lang w:val="ru-RU"/>
        </w:rPr>
        <w:t xml:space="preserve"> Приложениям 30, 30A и 30B к РР</w:t>
      </w:r>
    </w:p>
    <w:p w14:paraId="40D00ECF" w14:textId="589DFCA4" w:rsidR="009A35F1" w:rsidRPr="001D684B" w:rsidRDefault="009A35F1" w:rsidP="009A35F1">
      <w:pPr>
        <w:rPr>
          <w:lang w:val="ru-RU"/>
        </w:rPr>
      </w:pPr>
      <w:r w:rsidRPr="001D684B">
        <w:rPr>
          <w:lang w:val="ru-RU"/>
        </w:rPr>
        <w:t xml:space="preserve">Финансовые последствия, связанные с внесением изменений в </w:t>
      </w:r>
      <w:proofErr w:type="spellStart"/>
      <w:r w:rsidRPr="001D684B">
        <w:rPr>
          <w:lang w:val="ru-RU"/>
        </w:rPr>
        <w:t>пп</w:t>
      </w:r>
      <w:proofErr w:type="spellEnd"/>
      <w:r w:rsidRPr="001D684B">
        <w:rPr>
          <w:lang w:val="ru-RU"/>
        </w:rPr>
        <w:t>. </w:t>
      </w:r>
      <w:r w:rsidRPr="001D684B">
        <w:rPr>
          <w:b/>
          <w:bCs/>
          <w:lang w:val="ru-RU"/>
        </w:rPr>
        <w:t>9.36</w:t>
      </w:r>
      <w:r w:rsidRPr="001D684B">
        <w:rPr>
          <w:lang w:val="ru-RU"/>
        </w:rPr>
        <w:t xml:space="preserve">, </w:t>
      </w:r>
      <w:r w:rsidRPr="001D684B">
        <w:rPr>
          <w:b/>
          <w:bCs/>
          <w:lang w:val="ru-RU"/>
        </w:rPr>
        <w:t>9.53A</w:t>
      </w:r>
      <w:r w:rsidRPr="001D684B">
        <w:rPr>
          <w:lang w:val="ru-RU"/>
        </w:rPr>
        <w:t xml:space="preserve"> РР, Приложения </w:t>
      </w:r>
      <w:r w:rsidRPr="001D684B">
        <w:rPr>
          <w:b/>
          <w:bCs/>
          <w:lang w:val="ru-RU"/>
        </w:rPr>
        <w:t>30</w:t>
      </w:r>
      <w:r w:rsidRPr="001D684B">
        <w:rPr>
          <w:lang w:val="ru-RU"/>
        </w:rPr>
        <w:t xml:space="preserve">, </w:t>
      </w:r>
      <w:r w:rsidRPr="001D684B">
        <w:rPr>
          <w:b/>
          <w:bCs/>
          <w:lang w:val="ru-RU"/>
        </w:rPr>
        <w:t>30A</w:t>
      </w:r>
      <w:r w:rsidRPr="001D684B">
        <w:rPr>
          <w:lang w:val="ru-RU"/>
        </w:rPr>
        <w:t xml:space="preserve"> и </w:t>
      </w:r>
      <w:r w:rsidRPr="001D684B">
        <w:rPr>
          <w:b/>
          <w:bCs/>
          <w:lang w:val="ru-RU"/>
        </w:rPr>
        <w:t>30B</w:t>
      </w:r>
      <w:r w:rsidRPr="001D684B">
        <w:rPr>
          <w:lang w:val="ru-RU"/>
        </w:rPr>
        <w:t xml:space="preserve"> к РР, оцениваются в 200 000 швейцарских франков (подробная информация содержится в Документах </w:t>
      </w:r>
      <w:hyperlink r:id="rId12" w:history="1">
        <w:r w:rsidRPr="001D684B">
          <w:rPr>
            <w:rStyle w:val="Hyperlink"/>
            <w:lang w:val="ru-RU"/>
          </w:rPr>
          <w:t>325</w:t>
        </w:r>
      </w:hyperlink>
      <w:r w:rsidRPr="001D684B">
        <w:rPr>
          <w:lang w:val="ru-RU"/>
        </w:rPr>
        <w:t xml:space="preserve">, </w:t>
      </w:r>
      <w:hyperlink r:id="rId13" w:history="1">
        <w:r w:rsidRPr="001D684B">
          <w:rPr>
            <w:rStyle w:val="Hyperlink"/>
            <w:lang w:val="ru-RU"/>
          </w:rPr>
          <w:t>190</w:t>
        </w:r>
      </w:hyperlink>
      <w:r w:rsidRPr="001D684B">
        <w:rPr>
          <w:lang w:val="ru-RU"/>
        </w:rPr>
        <w:t xml:space="preserve">, </w:t>
      </w:r>
      <w:hyperlink r:id="rId14" w:history="1">
        <w:r w:rsidRPr="001D684B">
          <w:rPr>
            <w:rStyle w:val="Hyperlink"/>
            <w:lang w:val="ru-RU"/>
          </w:rPr>
          <w:t>332</w:t>
        </w:r>
      </w:hyperlink>
      <w:r w:rsidRPr="001D684B">
        <w:rPr>
          <w:lang w:val="ru-RU"/>
        </w:rPr>
        <w:t xml:space="preserve">, </w:t>
      </w:r>
      <w:hyperlink r:id="rId15" w:history="1">
        <w:r w:rsidRPr="001D684B">
          <w:rPr>
            <w:rStyle w:val="Hyperlink"/>
            <w:lang w:val="ru-RU"/>
          </w:rPr>
          <w:t>491</w:t>
        </w:r>
      </w:hyperlink>
      <w:r w:rsidRPr="001D684B">
        <w:rPr>
          <w:lang w:val="ru-RU"/>
        </w:rPr>
        <w:t xml:space="preserve">, </w:t>
      </w:r>
      <w:hyperlink r:id="rId16" w:history="1">
        <w:r w:rsidRPr="001D684B">
          <w:rPr>
            <w:rStyle w:val="Hyperlink"/>
            <w:lang w:val="ru-RU"/>
          </w:rPr>
          <w:t>492</w:t>
        </w:r>
      </w:hyperlink>
      <w:r w:rsidRPr="001D684B">
        <w:rPr>
          <w:lang w:val="ru-RU"/>
        </w:rPr>
        <w:t xml:space="preserve"> и Таблице 1, ниже).</w:t>
      </w:r>
    </w:p>
    <w:p w14:paraId="08D50467" w14:textId="422DDE56" w:rsidR="009A35F1" w:rsidRPr="001D684B" w:rsidRDefault="009A35F1" w:rsidP="009A35F1">
      <w:pPr>
        <w:pStyle w:val="Headingb"/>
        <w:rPr>
          <w:bCs/>
          <w:lang w:val="ru-RU"/>
        </w:rPr>
      </w:pPr>
      <w:r w:rsidRPr="001D684B">
        <w:rPr>
          <w:bCs/>
          <w:lang w:val="ru-RU"/>
        </w:rPr>
        <w:lastRenderedPageBreak/>
        <w:t>Резолюция 245 (ВКР-19) – Исследования связанных с частотами вопросов в целях определения спектра для наземного сегмента Международной подвижной электросвязи (IMT) в полосах частот 3300−3400 МГц, 3600−3800 МГц, 6425−7025 МГц, 7025−7125 МГц и 10,0−10,5 ГГц</w:t>
      </w:r>
    </w:p>
    <w:p w14:paraId="6F1697CA" w14:textId="165AA569" w:rsidR="009A35F1" w:rsidRPr="001D684B" w:rsidRDefault="009A35F1" w:rsidP="009A35F1">
      <w:pPr>
        <w:rPr>
          <w:lang w:val="ru-RU"/>
        </w:rPr>
      </w:pPr>
      <w:r w:rsidRPr="001D684B">
        <w:rPr>
          <w:lang w:val="ru-RU"/>
        </w:rPr>
        <w:t xml:space="preserve">Финансовые последствия, связанные с выполнением </w:t>
      </w:r>
      <w:r w:rsidR="00791542" w:rsidRPr="001D684B">
        <w:rPr>
          <w:lang w:val="ru-RU"/>
        </w:rPr>
        <w:t>этой</w:t>
      </w:r>
      <w:r w:rsidRPr="001D684B">
        <w:rPr>
          <w:lang w:val="ru-RU"/>
        </w:rPr>
        <w:t xml:space="preserve"> новой Резолюции, оцениваются в 456 000 швейцарских франков</w:t>
      </w:r>
      <w:r w:rsidR="0092242C" w:rsidRPr="001D684B">
        <w:rPr>
          <w:lang w:val="ru-RU"/>
        </w:rPr>
        <w:t xml:space="preserve"> </w:t>
      </w:r>
      <w:r w:rsidR="002A448F" w:rsidRPr="001D684B">
        <w:rPr>
          <w:lang w:val="ru-RU"/>
        </w:rPr>
        <w:t>–</w:t>
      </w:r>
      <w:r w:rsidRPr="001D684B">
        <w:rPr>
          <w:lang w:val="ru-RU"/>
        </w:rPr>
        <w:t xml:space="preserve"> </w:t>
      </w:r>
      <w:r w:rsidR="0092242C" w:rsidRPr="001D684B">
        <w:rPr>
          <w:lang w:val="ru-RU"/>
        </w:rPr>
        <w:t>сумму, включающую затраты на</w:t>
      </w:r>
      <w:r w:rsidR="00791542" w:rsidRPr="001D684B">
        <w:rPr>
          <w:lang w:val="ru-RU"/>
        </w:rPr>
        <w:t xml:space="preserve"> дополнительны</w:t>
      </w:r>
      <w:r w:rsidR="0092242C" w:rsidRPr="001D684B">
        <w:rPr>
          <w:lang w:val="ru-RU"/>
        </w:rPr>
        <w:t>е</w:t>
      </w:r>
      <w:r w:rsidR="00791542" w:rsidRPr="001D684B">
        <w:rPr>
          <w:lang w:val="ru-RU"/>
        </w:rPr>
        <w:t xml:space="preserve"> дн</w:t>
      </w:r>
      <w:r w:rsidR="0092242C" w:rsidRPr="001D684B">
        <w:rPr>
          <w:lang w:val="ru-RU"/>
        </w:rPr>
        <w:t>и</w:t>
      </w:r>
      <w:r w:rsidR="00791542" w:rsidRPr="001D684B">
        <w:rPr>
          <w:lang w:val="ru-RU"/>
        </w:rPr>
        <w:t xml:space="preserve"> собраний</w:t>
      </w:r>
      <w:r w:rsidRPr="001D684B">
        <w:rPr>
          <w:lang w:val="ru-RU"/>
        </w:rPr>
        <w:t xml:space="preserve">, </w:t>
      </w:r>
      <w:r w:rsidR="0092242C" w:rsidRPr="001D684B">
        <w:rPr>
          <w:lang w:val="ru-RU"/>
        </w:rPr>
        <w:t>затраты на устный перевод</w:t>
      </w:r>
      <w:r w:rsidRPr="001D684B">
        <w:rPr>
          <w:lang w:val="ru-RU"/>
        </w:rPr>
        <w:t xml:space="preserve"> </w:t>
      </w:r>
      <w:r w:rsidR="0092242C" w:rsidRPr="001D684B">
        <w:rPr>
          <w:lang w:val="ru-RU"/>
        </w:rPr>
        <w:t>и</w:t>
      </w:r>
      <w:r w:rsidRPr="001D684B">
        <w:rPr>
          <w:lang w:val="ru-RU"/>
        </w:rPr>
        <w:t xml:space="preserve"> </w:t>
      </w:r>
      <w:r w:rsidR="0092242C" w:rsidRPr="001D684B">
        <w:rPr>
          <w:lang w:val="ru-RU"/>
        </w:rPr>
        <w:t>письменный перевод технической документации</w:t>
      </w:r>
      <w:r w:rsidRPr="001D684B">
        <w:rPr>
          <w:lang w:val="ru-RU"/>
        </w:rPr>
        <w:t>.</w:t>
      </w:r>
    </w:p>
    <w:p w14:paraId="45A10571" w14:textId="0959BC7F" w:rsidR="00C8187C" w:rsidRPr="001D684B" w:rsidRDefault="00C8187C" w:rsidP="00C8187C">
      <w:pPr>
        <w:pStyle w:val="Headingb"/>
        <w:rPr>
          <w:lang w:val="ru-RU"/>
        </w:rPr>
      </w:pPr>
      <w:r w:rsidRPr="001D684B">
        <w:rPr>
          <w:lang w:val="ru-RU"/>
        </w:rPr>
        <w:t xml:space="preserve">Резолюция 235 (ВКР-15) − Рассмотрение использования спектра в полосе частот 470−960 МГц в Районе 1, </w:t>
      </w:r>
      <w:r w:rsidR="0092242C" w:rsidRPr="001D684B">
        <w:rPr>
          <w:lang w:val="ru-RU"/>
        </w:rPr>
        <w:t xml:space="preserve">упоминаемой в пункте </w:t>
      </w:r>
      <w:r w:rsidRPr="001D684B">
        <w:rPr>
          <w:lang w:val="ru-RU"/>
        </w:rPr>
        <w:t xml:space="preserve">1.5 </w:t>
      </w:r>
      <w:r w:rsidR="0092242C" w:rsidRPr="001D684B">
        <w:rPr>
          <w:lang w:val="ru-RU"/>
        </w:rPr>
        <w:t>повестки дня для</w:t>
      </w:r>
      <w:r w:rsidRPr="001D684B">
        <w:rPr>
          <w:lang w:val="ru-RU"/>
        </w:rPr>
        <w:t xml:space="preserve"> </w:t>
      </w:r>
      <w:r w:rsidR="0092242C" w:rsidRPr="001D684B">
        <w:rPr>
          <w:lang w:val="ru-RU"/>
        </w:rPr>
        <w:t>ВКР</w:t>
      </w:r>
      <w:r w:rsidRPr="001D684B">
        <w:rPr>
          <w:lang w:val="ru-RU"/>
        </w:rPr>
        <w:noBreakHyphen/>
        <w:t xml:space="preserve">23 </w:t>
      </w:r>
      <w:r w:rsidR="0092242C" w:rsidRPr="001D684B">
        <w:rPr>
          <w:lang w:val="ru-RU"/>
        </w:rPr>
        <w:t xml:space="preserve">- Рассмотрение использования спектра в полосе частот 470−960 МГц в Районе 1 </w:t>
      </w:r>
    </w:p>
    <w:p w14:paraId="4D5A9ADD" w14:textId="46EFA33D" w:rsidR="00C8187C" w:rsidRPr="001D684B" w:rsidRDefault="00C8187C" w:rsidP="00F850C8">
      <w:pPr>
        <w:rPr>
          <w:lang w:val="ru-RU"/>
        </w:rPr>
      </w:pPr>
      <w:bookmarkStart w:id="19" w:name="lt_pId044"/>
      <w:r w:rsidRPr="001D684B">
        <w:rPr>
          <w:lang w:val="ru-RU"/>
        </w:rPr>
        <w:t>Финансовые последствия, связанные с выполнением настоящей Резолюции, оцениваются в 340 000 швейцарских франков</w:t>
      </w:r>
      <w:r w:rsidR="0092242C" w:rsidRPr="001D684B">
        <w:rPr>
          <w:lang w:val="ru-RU"/>
        </w:rPr>
        <w:t xml:space="preserve"> </w:t>
      </w:r>
      <w:r w:rsidR="002A448F" w:rsidRPr="001D684B">
        <w:rPr>
          <w:lang w:val="ru-RU"/>
        </w:rPr>
        <w:t>–</w:t>
      </w:r>
      <w:r w:rsidR="0092242C" w:rsidRPr="001D684B">
        <w:rPr>
          <w:lang w:val="ru-RU"/>
        </w:rPr>
        <w:t xml:space="preserve"> сумму, включающую затраты на дополнительные дни собраний, затраты на устный перевод и письменный перевод технической документации</w:t>
      </w:r>
      <w:r w:rsidRPr="001D684B">
        <w:rPr>
          <w:lang w:val="ru-RU"/>
        </w:rPr>
        <w:t>.</w:t>
      </w:r>
      <w:bookmarkEnd w:id="19"/>
      <w:r w:rsidRPr="001D684B">
        <w:rPr>
          <w:lang w:val="ru-RU"/>
        </w:rPr>
        <w:t xml:space="preserve"> </w:t>
      </w:r>
    </w:p>
    <w:p w14:paraId="27F3EFD2" w14:textId="5CD490E3" w:rsidR="00C8187C" w:rsidRPr="001D684B" w:rsidRDefault="00D75F4A" w:rsidP="00C8187C">
      <w:pPr>
        <w:pStyle w:val="Headingb"/>
        <w:rPr>
          <w:lang w:val="ru-RU"/>
        </w:rPr>
      </w:pPr>
      <w:bookmarkStart w:id="20" w:name="lt_pId045"/>
      <w:r w:rsidRPr="001D684B">
        <w:rPr>
          <w:lang w:val="ru-RU"/>
        </w:rPr>
        <w:t>Резолюции и положения, принятые ВКР</w:t>
      </w:r>
      <w:r w:rsidR="00C8187C" w:rsidRPr="001D684B">
        <w:rPr>
          <w:lang w:val="ru-RU"/>
        </w:rPr>
        <w:t xml:space="preserve">-19 </w:t>
      </w:r>
      <w:r w:rsidRPr="001D684B">
        <w:rPr>
          <w:lang w:val="ru-RU"/>
        </w:rPr>
        <w:t>и относящиеся к</w:t>
      </w:r>
      <w:r w:rsidR="00C8187C" w:rsidRPr="001D684B">
        <w:rPr>
          <w:lang w:val="ru-RU"/>
        </w:rPr>
        <w:t xml:space="preserve"> </w:t>
      </w:r>
      <w:r w:rsidRPr="001D684B">
        <w:rPr>
          <w:lang w:val="ru-RU"/>
        </w:rPr>
        <w:t>пункту</w:t>
      </w:r>
      <w:r w:rsidR="00C8187C" w:rsidRPr="001D684B">
        <w:rPr>
          <w:lang w:val="ru-RU"/>
        </w:rPr>
        <w:t xml:space="preserve"> 1.6 </w:t>
      </w:r>
      <w:r w:rsidRPr="001D684B">
        <w:rPr>
          <w:lang w:val="ru-RU"/>
        </w:rPr>
        <w:t xml:space="preserve">повестки дня ВКР-19 </w:t>
      </w:r>
      <w:r w:rsidR="00C8187C" w:rsidRPr="001D684B">
        <w:rPr>
          <w:lang w:val="ru-RU"/>
        </w:rPr>
        <w:t>(</w:t>
      </w:r>
      <w:r w:rsidRPr="001D684B">
        <w:rPr>
          <w:lang w:val="ru-RU"/>
        </w:rPr>
        <w:t>НГСО ФСС</w:t>
      </w:r>
      <w:r w:rsidR="00C8187C" w:rsidRPr="001D684B">
        <w:rPr>
          <w:lang w:val="ru-RU"/>
        </w:rPr>
        <w:t>)</w:t>
      </w:r>
      <w:r w:rsidR="00C8187C" w:rsidRPr="001D684B">
        <w:rPr>
          <w:b w:val="0"/>
          <w:bCs/>
          <w:lang w:val="ru-RU"/>
        </w:rPr>
        <w:t>:</w:t>
      </w:r>
      <w:bookmarkEnd w:id="20"/>
    </w:p>
    <w:p w14:paraId="54441578" w14:textId="5BA75440" w:rsidR="00C8187C" w:rsidRPr="001D684B" w:rsidRDefault="00C8187C" w:rsidP="00C8187C">
      <w:pPr>
        <w:pStyle w:val="enumlev1"/>
        <w:rPr>
          <w:lang w:val="ru-RU"/>
        </w:rPr>
      </w:pPr>
      <w:bookmarkStart w:id="21" w:name="lt_pId046"/>
      <w:r w:rsidRPr="001D684B">
        <w:rPr>
          <w:lang w:val="ru-RU"/>
        </w:rPr>
        <w:t>•</w:t>
      </w:r>
      <w:r w:rsidRPr="001D684B">
        <w:rPr>
          <w:lang w:val="ru-RU"/>
        </w:rPr>
        <w:tab/>
      </w:r>
      <w:r w:rsidR="00F850C8" w:rsidRPr="001D684B">
        <w:rPr>
          <w:b/>
          <w:bCs/>
          <w:lang w:val="ru-RU"/>
        </w:rPr>
        <w:t xml:space="preserve">Новые </w:t>
      </w:r>
      <w:r w:rsidRPr="001D684B">
        <w:rPr>
          <w:b/>
          <w:bCs/>
          <w:lang w:val="ru-RU"/>
        </w:rPr>
        <w:t xml:space="preserve">положения </w:t>
      </w:r>
      <w:proofErr w:type="spellStart"/>
      <w:r w:rsidRPr="001D684B">
        <w:rPr>
          <w:b/>
          <w:bCs/>
          <w:lang w:val="ru-RU"/>
        </w:rPr>
        <w:t>пп</w:t>
      </w:r>
      <w:proofErr w:type="spellEnd"/>
      <w:r w:rsidRPr="001D684B">
        <w:rPr>
          <w:b/>
          <w:bCs/>
          <w:lang w:val="ru-RU"/>
        </w:rPr>
        <w:t>. 5.550C, 5.550E, 22.5L, 22.5M</w:t>
      </w:r>
      <w:bookmarkEnd w:id="21"/>
      <w:r w:rsidRPr="001D684B">
        <w:rPr>
          <w:b/>
          <w:bCs/>
          <w:lang w:val="ru-RU"/>
        </w:rPr>
        <w:t xml:space="preserve"> РР</w:t>
      </w:r>
    </w:p>
    <w:p w14:paraId="36AEA940" w14:textId="58417401" w:rsidR="002D2F57" w:rsidRPr="001D684B" w:rsidRDefault="00C8187C" w:rsidP="00C8187C">
      <w:pPr>
        <w:pStyle w:val="enumlev1"/>
        <w:rPr>
          <w:lang w:val="ru-RU"/>
        </w:rPr>
      </w:pPr>
      <w:r w:rsidRPr="001D684B">
        <w:rPr>
          <w:lang w:val="ru-RU"/>
        </w:rPr>
        <w:t>•</w:t>
      </w:r>
      <w:r w:rsidRPr="001D684B">
        <w:rPr>
          <w:lang w:val="ru-RU"/>
        </w:rPr>
        <w:tab/>
      </w:r>
      <w:bookmarkStart w:id="22" w:name="_Toc327364511"/>
      <w:bookmarkStart w:id="23" w:name="_Toc450048777"/>
      <w:r w:rsidR="00D75F4A" w:rsidRPr="001D684B">
        <w:rPr>
          <w:b/>
          <w:bCs/>
          <w:lang w:val="ru-RU"/>
        </w:rPr>
        <w:t xml:space="preserve">Резолюция 769 (ВКР-19) </w:t>
      </w:r>
      <w:r w:rsidR="005B1F81" w:rsidRPr="001D684B">
        <w:rPr>
          <w:b/>
          <w:bCs/>
          <w:lang w:val="ru-RU"/>
        </w:rPr>
        <w:t>−</w:t>
      </w:r>
      <w:r w:rsidR="00D75F4A" w:rsidRPr="001D684B">
        <w:rPr>
          <w:b/>
          <w:bCs/>
          <w:lang w:val="ru-RU"/>
        </w:rPr>
        <w:t xml:space="preserve"> </w:t>
      </w:r>
      <w:r w:rsidRPr="001D684B">
        <w:rPr>
          <w:b/>
          <w:bCs/>
          <w:lang w:val="ru-RU"/>
        </w:rPr>
        <w:t xml:space="preserve">Защита геостационарных сетей </w:t>
      </w:r>
      <w:r w:rsidR="002A448F" w:rsidRPr="001D684B">
        <w:rPr>
          <w:b/>
          <w:bCs/>
          <w:lang w:val="ru-RU"/>
        </w:rPr>
        <w:t>фиксированной спутниковой службы</w:t>
      </w:r>
      <w:r w:rsidRPr="001D684B">
        <w:rPr>
          <w:b/>
          <w:bCs/>
          <w:lang w:val="ru-RU"/>
        </w:rPr>
        <w:t xml:space="preserve">, </w:t>
      </w:r>
      <w:r w:rsidR="002A448F" w:rsidRPr="001D684B">
        <w:rPr>
          <w:b/>
          <w:bCs/>
          <w:lang w:val="ru-RU"/>
        </w:rPr>
        <w:t xml:space="preserve">радиовещательной спутниковой службы </w:t>
      </w:r>
      <w:r w:rsidRPr="001D684B">
        <w:rPr>
          <w:b/>
          <w:bCs/>
          <w:lang w:val="ru-RU"/>
        </w:rPr>
        <w:t xml:space="preserve">и </w:t>
      </w:r>
      <w:r w:rsidR="002A448F" w:rsidRPr="001D684B">
        <w:rPr>
          <w:b/>
          <w:bCs/>
          <w:lang w:val="ru-RU"/>
        </w:rPr>
        <w:t xml:space="preserve">подвижной спутниковой службы </w:t>
      </w:r>
      <w:r w:rsidRPr="001D684B">
        <w:rPr>
          <w:b/>
          <w:bCs/>
          <w:lang w:val="ru-RU"/>
        </w:rPr>
        <w:t>от суммарных помех, создаваемых многочисленными системами НГСО ФСС в полосах частот 37,5−39,5 ГГц, 39,5−42,5 ГГц, 47,2−50,2 ГГц и 50,4−51,4 </w:t>
      </w:r>
      <w:bookmarkEnd w:id="22"/>
      <w:bookmarkEnd w:id="23"/>
      <w:r w:rsidRPr="001D684B">
        <w:rPr>
          <w:b/>
          <w:bCs/>
          <w:lang w:val="ru-RU"/>
        </w:rPr>
        <w:t>ГГц</w:t>
      </w:r>
    </w:p>
    <w:p w14:paraId="454FE855" w14:textId="06C47158" w:rsidR="00C8187C" w:rsidRPr="001D684B" w:rsidRDefault="00C8187C" w:rsidP="00C8187C">
      <w:pPr>
        <w:pStyle w:val="enumlev1"/>
        <w:rPr>
          <w:lang w:val="ru-RU"/>
        </w:rPr>
      </w:pPr>
      <w:r w:rsidRPr="001D684B">
        <w:rPr>
          <w:b/>
          <w:bCs/>
          <w:lang w:val="ru-RU"/>
        </w:rPr>
        <w:t>•</w:t>
      </w:r>
      <w:r w:rsidRPr="001D684B">
        <w:rPr>
          <w:b/>
          <w:bCs/>
          <w:lang w:val="ru-RU"/>
        </w:rPr>
        <w:tab/>
      </w:r>
      <w:bookmarkStart w:id="24" w:name="_Toc327364338"/>
      <w:bookmarkStart w:id="25" w:name="_Toc450048611"/>
      <w:r w:rsidR="00D75F4A" w:rsidRPr="001D684B">
        <w:rPr>
          <w:b/>
          <w:bCs/>
          <w:lang w:val="ru-RU"/>
        </w:rPr>
        <w:t xml:space="preserve">Резолюция 770 (ВКР-19) </w:t>
      </w:r>
      <w:r w:rsidR="005B1F81" w:rsidRPr="001D684B">
        <w:rPr>
          <w:b/>
          <w:bCs/>
          <w:lang w:val="ru-RU"/>
        </w:rPr>
        <w:t>−</w:t>
      </w:r>
      <w:r w:rsidR="00D75F4A" w:rsidRPr="001D684B">
        <w:rPr>
          <w:b/>
          <w:bCs/>
          <w:lang w:val="ru-RU"/>
        </w:rPr>
        <w:t xml:space="preserve"> </w:t>
      </w:r>
      <w:r w:rsidRPr="001D684B">
        <w:rPr>
          <w:b/>
          <w:bCs/>
          <w:lang w:val="ru-RU"/>
        </w:rPr>
        <w:t xml:space="preserve"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</w:t>
      </w:r>
      <w:bookmarkEnd w:id="24"/>
      <w:bookmarkEnd w:id="25"/>
      <w:r w:rsidRPr="001D684B">
        <w:rPr>
          <w:b/>
          <w:bCs/>
          <w:lang w:val="ru-RU"/>
        </w:rPr>
        <w:t>37,5−39,5 ГГц, 39,5−42,5 ГГц, 47,2−50,2 ГГц и 50,4−51,4 ГГц</w:t>
      </w:r>
    </w:p>
    <w:p w14:paraId="26CD6050" w14:textId="19B2ABBD" w:rsidR="00C8187C" w:rsidRPr="001D684B" w:rsidRDefault="00C8187C" w:rsidP="00C8187C">
      <w:pPr>
        <w:rPr>
          <w:lang w:val="ru-RU"/>
        </w:rPr>
      </w:pPr>
      <w:r w:rsidRPr="001D684B">
        <w:rPr>
          <w:lang w:val="ru-RU"/>
        </w:rPr>
        <w:t xml:space="preserve">Финансовые последствия, связанные с реализацией регламентарных положений во исполнение пункта 1.6 повестки дня ВКР-19, оцениваются в 150 000 швейцарских франков. Данная оценка обусловлена затратами на разработку программного обеспечения (подробная информация содержится в Документе </w:t>
      </w:r>
      <w:hyperlink r:id="rId17" w:history="1">
        <w:r w:rsidRPr="001D684B">
          <w:rPr>
            <w:rStyle w:val="Hyperlink"/>
            <w:bCs/>
            <w:lang w:val="ru-RU"/>
          </w:rPr>
          <w:t>493</w:t>
        </w:r>
      </w:hyperlink>
      <w:r w:rsidRPr="001D684B">
        <w:rPr>
          <w:lang w:val="ru-RU"/>
        </w:rPr>
        <w:t xml:space="preserve"> и Таблице 1, ниже).</w:t>
      </w:r>
    </w:p>
    <w:p w14:paraId="3EAB7092" w14:textId="4670F5B8" w:rsidR="00C8187C" w:rsidRPr="001D684B" w:rsidRDefault="00D75F4A" w:rsidP="00C8187C">
      <w:pPr>
        <w:pStyle w:val="Headingb"/>
        <w:rPr>
          <w:lang w:val="ru-RU"/>
        </w:rPr>
      </w:pPr>
      <w:bookmarkStart w:id="26" w:name="lt_pId051"/>
      <w:r w:rsidRPr="001D684B">
        <w:rPr>
          <w:lang w:val="ru-RU"/>
        </w:rPr>
        <w:t>Резолюции и положения, принятые ВКР-19 и относящиеся к пункту 1.14 повестки дня ВКР-19</w:t>
      </w:r>
      <w:r w:rsidR="00C8187C" w:rsidRPr="001D684B">
        <w:rPr>
          <w:lang w:val="ru-RU"/>
        </w:rPr>
        <w:t xml:space="preserve"> (HAPS)</w:t>
      </w:r>
      <w:r w:rsidR="00C8187C" w:rsidRPr="001D684B">
        <w:rPr>
          <w:b w:val="0"/>
          <w:bCs/>
          <w:lang w:val="ru-RU"/>
        </w:rPr>
        <w:t>:</w:t>
      </w:r>
      <w:bookmarkEnd w:id="26"/>
    </w:p>
    <w:p w14:paraId="2C2872EB" w14:textId="05593177" w:rsidR="00C8187C" w:rsidRPr="001D684B" w:rsidRDefault="00C8187C" w:rsidP="00C8187C">
      <w:pPr>
        <w:pStyle w:val="enumlev1"/>
        <w:rPr>
          <w:lang w:val="ru-RU"/>
        </w:rPr>
      </w:pPr>
      <w:r w:rsidRPr="001D684B">
        <w:rPr>
          <w:lang w:val="ru-RU"/>
        </w:rPr>
        <w:t>•</w:t>
      </w:r>
      <w:r w:rsidRPr="001D684B">
        <w:rPr>
          <w:lang w:val="ru-RU"/>
        </w:rPr>
        <w:tab/>
      </w:r>
      <w:r w:rsidRPr="001D684B">
        <w:rPr>
          <w:b/>
          <w:bCs/>
          <w:lang w:val="ru-RU"/>
        </w:rPr>
        <w:t xml:space="preserve">Резолюция </w:t>
      </w:r>
      <w:r w:rsidRPr="001D684B">
        <w:rPr>
          <w:rStyle w:val="href"/>
          <w:rFonts w:eastAsia="MS Mincho"/>
          <w:b/>
          <w:bCs/>
          <w:lang w:val="ru-RU"/>
        </w:rPr>
        <w:t>122</w:t>
      </w:r>
      <w:r w:rsidRPr="001D684B">
        <w:rPr>
          <w:b/>
          <w:bCs/>
          <w:lang w:val="ru-RU"/>
        </w:rPr>
        <w:t xml:space="preserve"> (Пересм. ВКР-19) −</w:t>
      </w:r>
      <w:bookmarkStart w:id="27" w:name="_Toc329089552"/>
      <w:bookmarkStart w:id="28" w:name="_Toc450292569"/>
      <w:r w:rsidRPr="001D684B">
        <w:rPr>
          <w:b/>
          <w:bCs/>
          <w:lang w:val="ru-RU"/>
        </w:rPr>
        <w:t xml:space="preserve"> Использование полос частот 47,2–47,5 ГГц и 47,9</w:t>
      </w:r>
      <w:r w:rsidR="00F850C8" w:rsidRPr="001D684B">
        <w:rPr>
          <w:b/>
          <w:bCs/>
          <w:lang w:val="ru-RU"/>
        </w:rPr>
        <w:t>−</w:t>
      </w:r>
      <w:r w:rsidRPr="001D684B">
        <w:rPr>
          <w:b/>
          <w:bCs/>
          <w:lang w:val="ru-RU"/>
        </w:rPr>
        <w:t>48,2</w:t>
      </w:r>
      <w:r w:rsidR="00F850C8" w:rsidRPr="001D684B">
        <w:rPr>
          <w:b/>
          <w:bCs/>
          <w:lang w:val="ru-RU"/>
        </w:rPr>
        <w:t> </w:t>
      </w:r>
      <w:r w:rsidRPr="001D684B">
        <w:rPr>
          <w:b/>
          <w:bCs/>
          <w:lang w:val="ru-RU"/>
        </w:rPr>
        <w:t>ГГц станциями на высотной платформе фиксированной службы</w:t>
      </w:r>
      <w:bookmarkEnd w:id="27"/>
      <w:bookmarkEnd w:id="28"/>
    </w:p>
    <w:p w14:paraId="06101A8A" w14:textId="2BA1C745" w:rsidR="00C8187C" w:rsidRPr="001D684B" w:rsidRDefault="00C8187C" w:rsidP="00C8187C">
      <w:pPr>
        <w:pStyle w:val="enumlev1"/>
        <w:rPr>
          <w:rFonts w:eastAsiaTheme="minorHAnsi"/>
          <w:lang w:val="ru-RU"/>
        </w:rPr>
      </w:pPr>
      <w:r w:rsidRPr="001D684B">
        <w:rPr>
          <w:lang w:val="ru-RU"/>
        </w:rPr>
        <w:t>•</w:t>
      </w:r>
      <w:r w:rsidRPr="001D684B">
        <w:rPr>
          <w:lang w:val="ru-RU"/>
        </w:rPr>
        <w:tab/>
      </w:r>
      <w:r w:rsidRPr="001D684B">
        <w:rPr>
          <w:b/>
          <w:bCs/>
          <w:lang w:val="ru-RU"/>
        </w:rPr>
        <w:t>Резолюция 165 (ВКР</w:t>
      </w:r>
      <w:r w:rsidRPr="001D684B">
        <w:rPr>
          <w:b/>
          <w:bCs/>
          <w:lang w:val="ru-RU"/>
        </w:rPr>
        <w:noBreakHyphen/>
        <w:t>19) − Использование полосы частот 21</w:t>
      </w:r>
      <w:r w:rsidRPr="001D684B">
        <w:rPr>
          <w:rFonts w:eastAsiaTheme="minorHAnsi"/>
          <w:b/>
          <w:bCs/>
          <w:lang w:val="ru-RU"/>
        </w:rPr>
        <w:t>,4−22 ГГц станциями на высотной платформе фиксированной службы в Районе 2</w:t>
      </w:r>
    </w:p>
    <w:p w14:paraId="0ED0FED4" w14:textId="207AD1CE" w:rsidR="00C8187C" w:rsidRPr="001D684B" w:rsidRDefault="00C8187C" w:rsidP="00C8187C">
      <w:pPr>
        <w:pStyle w:val="enumlev1"/>
        <w:rPr>
          <w:rFonts w:eastAsiaTheme="minorHAnsi"/>
          <w:lang w:val="ru-RU"/>
        </w:rPr>
      </w:pPr>
      <w:r w:rsidRPr="001D684B">
        <w:rPr>
          <w:lang w:val="ru-RU"/>
        </w:rPr>
        <w:t>•</w:t>
      </w:r>
      <w:r w:rsidRPr="001D684B">
        <w:rPr>
          <w:lang w:val="ru-RU"/>
        </w:rPr>
        <w:tab/>
      </w:r>
      <w:r w:rsidRPr="001D684B">
        <w:rPr>
          <w:b/>
          <w:bCs/>
          <w:lang w:val="ru-RU"/>
        </w:rPr>
        <w:t>Резолюция 166 (ВКР-19) − Использование полосы частот 2</w:t>
      </w:r>
      <w:r w:rsidRPr="001D684B">
        <w:rPr>
          <w:rFonts w:eastAsiaTheme="minorHAnsi"/>
          <w:b/>
          <w:bCs/>
          <w:lang w:val="ru-RU"/>
        </w:rPr>
        <w:t xml:space="preserve">4,25−27,5 ГГц </w:t>
      </w:r>
      <w:r w:rsidR="002A448F" w:rsidRPr="001D684B">
        <w:rPr>
          <w:rFonts w:eastAsiaTheme="minorHAnsi"/>
          <w:b/>
          <w:bCs/>
          <w:lang w:val="ru-RU"/>
        </w:rPr>
        <w:t xml:space="preserve">станциями на </w:t>
      </w:r>
      <w:r w:rsidRPr="001D684B">
        <w:rPr>
          <w:rFonts w:eastAsiaTheme="minorHAnsi"/>
          <w:b/>
          <w:bCs/>
          <w:lang w:val="ru-RU"/>
        </w:rPr>
        <w:t>высотн</w:t>
      </w:r>
      <w:r w:rsidR="002A448F" w:rsidRPr="001D684B">
        <w:rPr>
          <w:rFonts w:eastAsiaTheme="minorHAnsi"/>
          <w:b/>
          <w:bCs/>
          <w:lang w:val="ru-RU"/>
        </w:rPr>
        <w:t>ой</w:t>
      </w:r>
      <w:r w:rsidRPr="001D684B">
        <w:rPr>
          <w:rFonts w:eastAsiaTheme="minorHAnsi"/>
          <w:b/>
          <w:bCs/>
          <w:lang w:val="ru-RU"/>
        </w:rPr>
        <w:t xml:space="preserve"> платформ</w:t>
      </w:r>
      <w:r w:rsidR="002A448F" w:rsidRPr="001D684B">
        <w:rPr>
          <w:rFonts w:eastAsiaTheme="minorHAnsi"/>
          <w:b/>
          <w:bCs/>
          <w:lang w:val="ru-RU"/>
        </w:rPr>
        <w:t>е</w:t>
      </w:r>
      <w:r w:rsidRPr="001D684B">
        <w:rPr>
          <w:rFonts w:eastAsiaTheme="minorHAnsi"/>
          <w:b/>
          <w:bCs/>
          <w:lang w:val="ru-RU"/>
        </w:rPr>
        <w:t xml:space="preserve"> фиксированной службы в Районе 2</w:t>
      </w:r>
    </w:p>
    <w:p w14:paraId="755B8C7D" w14:textId="68148727" w:rsidR="00C8187C" w:rsidRPr="001D684B" w:rsidRDefault="00C8187C" w:rsidP="00C8187C">
      <w:pPr>
        <w:pStyle w:val="enumlev1"/>
        <w:rPr>
          <w:rFonts w:eastAsiaTheme="minorHAnsi"/>
          <w:lang w:val="ru-RU"/>
        </w:rPr>
      </w:pPr>
      <w:r w:rsidRPr="001D684B">
        <w:rPr>
          <w:lang w:val="ru-RU"/>
        </w:rPr>
        <w:t>•</w:t>
      </w:r>
      <w:r w:rsidRPr="001D684B">
        <w:rPr>
          <w:lang w:val="ru-RU"/>
        </w:rPr>
        <w:tab/>
      </w:r>
      <w:r w:rsidRPr="001D684B">
        <w:rPr>
          <w:b/>
          <w:bCs/>
          <w:lang w:val="ru-RU"/>
        </w:rPr>
        <w:t>Резолюция 167 (ВКР</w:t>
      </w:r>
      <w:r w:rsidRPr="001D684B">
        <w:rPr>
          <w:b/>
          <w:bCs/>
          <w:lang w:val="ru-RU"/>
        </w:rPr>
        <w:noBreakHyphen/>
        <w:t>19) − Использование полосы частот 31</w:t>
      </w:r>
      <w:r w:rsidRPr="001D684B">
        <w:rPr>
          <w:rFonts w:eastAsiaTheme="minorHAnsi"/>
          <w:b/>
          <w:bCs/>
          <w:lang w:val="ru-RU"/>
        </w:rPr>
        <w:t>−31,3 ГГц станциями на высотной платформе фиксированной службы</w:t>
      </w:r>
    </w:p>
    <w:p w14:paraId="03E468D8" w14:textId="76FF28E9" w:rsidR="00C8187C" w:rsidRPr="001D684B" w:rsidRDefault="00C8187C" w:rsidP="00C8187C">
      <w:pPr>
        <w:pStyle w:val="enumlev1"/>
        <w:rPr>
          <w:lang w:val="ru-RU"/>
        </w:rPr>
      </w:pPr>
      <w:r w:rsidRPr="001D684B">
        <w:rPr>
          <w:lang w:val="ru-RU"/>
        </w:rPr>
        <w:t>•</w:t>
      </w:r>
      <w:r w:rsidRPr="001D684B">
        <w:rPr>
          <w:lang w:val="ru-RU"/>
        </w:rPr>
        <w:tab/>
      </w:r>
      <w:r w:rsidRPr="001D684B">
        <w:rPr>
          <w:b/>
          <w:bCs/>
          <w:lang w:val="ru-RU"/>
        </w:rPr>
        <w:t>Резолюция 168 (ВКР</w:t>
      </w:r>
      <w:r w:rsidRPr="001D684B">
        <w:rPr>
          <w:b/>
          <w:bCs/>
          <w:lang w:val="ru-RU"/>
        </w:rPr>
        <w:noBreakHyphen/>
        <w:t>19) − Использование полосы</w:t>
      </w:r>
      <w:r w:rsidRPr="001D684B">
        <w:rPr>
          <w:rFonts w:eastAsiaTheme="minorHAnsi"/>
          <w:b/>
          <w:bCs/>
          <w:lang w:val="ru-RU"/>
        </w:rPr>
        <w:t xml:space="preserve"> </w:t>
      </w:r>
      <w:r w:rsidR="002A448F" w:rsidRPr="001D684B">
        <w:rPr>
          <w:rFonts w:eastAsiaTheme="minorHAnsi"/>
          <w:b/>
          <w:bCs/>
          <w:lang w:val="ru-RU"/>
        </w:rPr>
        <w:t xml:space="preserve">частот </w:t>
      </w:r>
      <w:r w:rsidRPr="001D684B">
        <w:rPr>
          <w:rFonts w:eastAsiaTheme="minorHAnsi"/>
          <w:b/>
          <w:bCs/>
          <w:lang w:val="ru-RU"/>
        </w:rPr>
        <w:t xml:space="preserve">38−39,5 ГГц </w:t>
      </w:r>
      <w:r w:rsidRPr="001D684B">
        <w:rPr>
          <w:b/>
          <w:bCs/>
          <w:lang w:val="ru-RU"/>
        </w:rPr>
        <w:t>станциями на высотной платформе фиксированной службы</w:t>
      </w:r>
    </w:p>
    <w:p w14:paraId="0BEC59BB" w14:textId="0AC961B7" w:rsidR="00C8187C" w:rsidRPr="001D684B" w:rsidRDefault="00C8187C" w:rsidP="00C8187C">
      <w:pPr>
        <w:rPr>
          <w:lang w:val="ru-RU"/>
        </w:rPr>
      </w:pPr>
      <w:r w:rsidRPr="001D684B">
        <w:rPr>
          <w:lang w:val="ru-RU"/>
        </w:rPr>
        <w:t xml:space="preserve">Финансовые последствия, связанные с реализацией регламентарных положений во исполнение пункта 1.14 повестки дня ВКР-19, оцениваются в 150 000 швейцарских франков. Данная оценка обусловлена затратами на разработку программного обеспечения (подробная информация содержится в Документе </w:t>
      </w:r>
      <w:hyperlink r:id="rId18" w:history="1">
        <w:r w:rsidRPr="001D684B">
          <w:rPr>
            <w:rStyle w:val="Hyperlink"/>
            <w:lang w:val="ru-RU"/>
          </w:rPr>
          <w:t>450</w:t>
        </w:r>
      </w:hyperlink>
      <w:r w:rsidRPr="001D684B">
        <w:rPr>
          <w:lang w:val="ru-RU"/>
        </w:rPr>
        <w:t xml:space="preserve"> и Таблице 1, ниже).</w:t>
      </w:r>
    </w:p>
    <w:p w14:paraId="456CAED3" w14:textId="3E102DF5" w:rsidR="00C8187C" w:rsidRPr="001D684B" w:rsidRDefault="00E80C7B" w:rsidP="00C8187C">
      <w:pPr>
        <w:jc w:val="both"/>
        <w:rPr>
          <w:color w:val="000000"/>
          <w:szCs w:val="22"/>
          <w:lang w:val="ru-RU"/>
        </w:rPr>
      </w:pPr>
      <w:bookmarkStart w:id="29" w:name="lt_pId059"/>
      <w:r w:rsidRPr="001D684B">
        <w:rPr>
          <w:color w:val="000000"/>
          <w:szCs w:val="22"/>
          <w:lang w:val="ru-RU"/>
        </w:rPr>
        <w:lastRenderedPageBreak/>
        <w:t>Следует отметить, что ряд положений РР и</w:t>
      </w:r>
      <w:r w:rsidR="00C8187C" w:rsidRPr="001D684B">
        <w:rPr>
          <w:color w:val="000000"/>
          <w:szCs w:val="22"/>
          <w:lang w:val="ru-RU"/>
        </w:rPr>
        <w:t xml:space="preserve"> </w:t>
      </w:r>
      <w:r w:rsidRPr="001D684B">
        <w:rPr>
          <w:color w:val="000000"/>
          <w:szCs w:val="22"/>
          <w:lang w:val="ru-RU"/>
        </w:rPr>
        <w:t>Резолюций, перечисленных выше,</w:t>
      </w:r>
      <w:r w:rsidR="00C8187C" w:rsidRPr="001D684B">
        <w:rPr>
          <w:color w:val="000000"/>
          <w:szCs w:val="22"/>
          <w:lang w:val="ru-RU"/>
        </w:rPr>
        <w:t xml:space="preserve"> </w:t>
      </w:r>
      <w:r w:rsidRPr="001D684B">
        <w:rPr>
          <w:color w:val="000000"/>
          <w:szCs w:val="22"/>
          <w:lang w:val="ru-RU"/>
        </w:rPr>
        <w:t>требуют разработки программного обеспечения в интересах всех Государств-Членов и поэтому не могут квалифицироваться как повторяющиеся расходы, связанные</w:t>
      </w:r>
      <w:r w:rsidR="00C8187C" w:rsidRPr="001D684B">
        <w:rPr>
          <w:color w:val="000000"/>
          <w:szCs w:val="22"/>
          <w:lang w:val="ru-RU"/>
        </w:rPr>
        <w:t xml:space="preserve"> </w:t>
      </w:r>
      <w:r w:rsidRPr="001D684B">
        <w:rPr>
          <w:color w:val="000000"/>
          <w:szCs w:val="22"/>
          <w:lang w:val="ru-RU"/>
        </w:rPr>
        <w:t xml:space="preserve">с </w:t>
      </w:r>
      <w:r w:rsidR="00223278" w:rsidRPr="001D684B">
        <w:rPr>
          <w:color w:val="000000"/>
          <w:szCs w:val="22"/>
          <w:lang w:val="ru-RU"/>
        </w:rPr>
        <w:t>представлением отдельных заявок для спутниковых сетей</w:t>
      </w:r>
      <w:r w:rsidR="00C8187C" w:rsidRPr="001D684B">
        <w:rPr>
          <w:color w:val="000000"/>
          <w:szCs w:val="22"/>
          <w:lang w:val="ru-RU"/>
        </w:rPr>
        <w:t>.</w:t>
      </w:r>
      <w:bookmarkEnd w:id="29"/>
      <w:r w:rsidR="00C8187C" w:rsidRPr="001D684B">
        <w:rPr>
          <w:color w:val="000000"/>
          <w:szCs w:val="22"/>
          <w:lang w:val="ru-RU"/>
        </w:rPr>
        <w:t xml:space="preserve"> </w:t>
      </w:r>
      <w:bookmarkStart w:id="30" w:name="lt_pId060"/>
      <w:r w:rsidR="00223278" w:rsidRPr="001D684B">
        <w:rPr>
          <w:color w:val="000000"/>
          <w:szCs w:val="22"/>
          <w:lang w:val="ru-RU"/>
        </w:rPr>
        <w:t>Поэтому</w:t>
      </w:r>
      <w:r w:rsidR="00C8187C" w:rsidRPr="001D684B">
        <w:rPr>
          <w:color w:val="000000"/>
          <w:szCs w:val="22"/>
          <w:lang w:val="ru-RU"/>
        </w:rPr>
        <w:t xml:space="preserve">, </w:t>
      </w:r>
      <w:r w:rsidR="00223278" w:rsidRPr="001D684B">
        <w:rPr>
          <w:color w:val="000000"/>
          <w:szCs w:val="22"/>
          <w:lang w:val="ru-RU"/>
        </w:rPr>
        <w:t>эти затраты не относятся к</w:t>
      </w:r>
      <w:r w:rsidR="00C8187C" w:rsidRPr="001D684B">
        <w:rPr>
          <w:color w:val="000000"/>
          <w:szCs w:val="22"/>
          <w:lang w:val="ru-RU"/>
        </w:rPr>
        <w:t xml:space="preserve"> </w:t>
      </w:r>
      <w:r w:rsidR="00223278" w:rsidRPr="001D684B">
        <w:rPr>
          <w:color w:val="000000"/>
          <w:szCs w:val="22"/>
          <w:lang w:val="ru-RU"/>
        </w:rPr>
        <w:t>системе возмещения затрат, установленной в Решении</w:t>
      </w:r>
      <w:r w:rsidR="00C8187C" w:rsidRPr="001D684B">
        <w:rPr>
          <w:color w:val="000000"/>
          <w:szCs w:val="22"/>
          <w:lang w:val="ru-RU"/>
        </w:rPr>
        <w:t xml:space="preserve"> 482 (</w:t>
      </w:r>
      <w:r w:rsidR="00223278" w:rsidRPr="001D684B">
        <w:rPr>
          <w:color w:val="000000"/>
          <w:szCs w:val="22"/>
          <w:lang w:val="ru-RU"/>
        </w:rPr>
        <w:t>Совет</w:t>
      </w:r>
      <w:r w:rsidR="00C8187C" w:rsidRPr="001D684B">
        <w:rPr>
          <w:color w:val="000000"/>
          <w:szCs w:val="22"/>
          <w:lang w:val="ru-RU"/>
        </w:rPr>
        <w:t xml:space="preserve"> 2019</w:t>
      </w:r>
      <w:r w:rsidR="00223278" w:rsidRPr="001D684B">
        <w:rPr>
          <w:color w:val="000000"/>
          <w:szCs w:val="22"/>
          <w:lang w:val="ru-RU"/>
        </w:rPr>
        <w:t xml:space="preserve"> г</w:t>
      </w:r>
      <w:r w:rsidR="005B1F81" w:rsidRPr="001D684B">
        <w:rPr>
          <w:color w:val="000000"/>
          <w:szCs w:val="22"/>
          <w:lang w:val="ru-RU"/>
        </w:rPr>
        <w:t>.</w:t>
      </w:r>
      <w:r w:rsidR="00C8187C" w:rsidRPr="001D684B">
        <w:rPr>
          <w:color w:val="000000"/>
          <w:szCs w:val="22"/>
          <w:lang w:val="ru-RU"/>
        </w:rPr>
        <w:t>).</w:t>
      </w:r>
      <w:bookmarkEnd w:id="30"/>
    </w:p>
    <w:p w14:paraId="5E4AD9C3" w14:textId="6E9F4FE7" w:rsidR="00C8187C" w:rsidRPr="001D684B" w:rsidRDefault="00223278" w:rsidP="00414003">
      <w:pPr>
        <w:pStyle w:val="TableNo"/>
        <w:rPr>
          <w:lang w:val="ru-RU"/>
        </w:rPr>
      </w:pPr>
      <w:bookmarkStart w:id="31" w:name="lt_pId061"/>
      <w:r w:rsidRPr="001D684B">
        <w:rPr>
          <w:lang w:val="ru-RU"/>
        </w:rPr>
        <w:t>ТАБЛИЦА</w:t>
      </w:r>
      <w:r w:rsidR="00C8187C" w:rsidRPr="001D684B">
        <w:rPr>
          <w:lang w:val="ru-RU"/>
        </w:rPr>
        <w:t xml:space="preserve"> 1</w:t>
      </w:r>
      <w:bookmarkEnd w:id="31"/>
    </w:p>
    <w:p w14:paraId="7890F8C2" w14:textId="470CAE9A" w:rsidR="00C8187C" w:rsidRPr="001D684B" w:rsidRDefault="00223278" w:rsidP="00414003">
      <w:pPr>
        <w:pStyle w:val="Tabletitle"/>
        <w:rPr>
          <w:lang w:val="ru-RU"/>
        </w:rPr>
      </w:pPr>
      <w:bookmarkStart w:id="32" w:name="lt_pId062"/>
      <w:r w:rsidRPr="001D684B">
        <w:rPr>
          <w:lang w:val="ru-RU"/>
        </w:rPr>
        <w:t>Краткое изложение</w:t>
      </w:r>
      <w:r w:rsidR="00C8187C" w:rsidRPr="001D684B">
        <w:rPr>
          <w:lang w:val="ru-RU"/>
        </w:rPr>
        <w:t xml:space="preserve"> </w:t>
      </w:r>
      <w:bookmarkEnd w:id="32"/>
      <w:r w:rsidRPr="001D684B">
        <w:rPr>
          <w:lang w:val="ru-RU"/>
        </w:rPr>
        <w:t>сметных затрат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399"/>
        <w:gridCol w:w="1276"/>
      </w:tblGrid>
      <w:tr w:rsidR="00C8187C" w:rsidRPr="001D684B" w14:paraId="3C67F99C" w14:textId="77777777" w:rsidTr="005B1F81">
        <w:trPr>
          <w:cantSplit/>
          <w:jc w:val="center"/>
        </w:trPr>
        <w:tc>
          <w:tcPr>
            <w:tcW w:w="3823" w:type="dxa"/>
            <w:vAlign w:val="center"/>
          </w:tcPr>
          <w:p w14:paraId="6CA43265" w14:textId="02A35F49" w:rsidR="00C8187C" w:rsidRPr="001D684B" w:rsidRDefault="00F850C8" w:rsidP="00414003">
            <w:pPr>
              <w:pStyle w:val="Tablehead"/>
              <w:rPr>
                <w:lang w:val="ru-RU"/>
              </w:rPr>
            </w:pPr>
            <w:bookmarkStart w:id="33" w:name="lt_pId063"/>
            <w:r w:rsidRPr="001D684B">
              <w:rPr>
                <w:lang w:val="ru-RU"/>
              </w:rPr>
              <w:t>Решения, относящ</w:t>
            </w:r>
            <w:r w:rsidR="007039C0" w:rsidRPr="001D684B">
              <w:rPr>
                <w:lang w:val="ru-RU"/>
              </w:rPr>
              <w:t>и</w:t>
            </w:r>
            <w:r w:rsidRPr="001D684B">
              <w:rPr>
                <w:lang w:val="ru-RU"/>
              </w:rPr>
              <w:t>еся к ВКР</w:t>
            </w:r>
            <w:bookmarkEnd w:id="33"/>
            <w:r w:rsidRPr="001D684B">
              <w:rPr>
                <w:lang w:val="ru-RU"/>
              </w:rPr>
              <w:t>-19</w:t>
            </w:r>
          </w:p>
        </w:tc>
        <w:tc>
          <w:tcPr>
            <w:tcW w:w="4399" w:type="dxa"/>
            <w:vAlign w:val="center"/>
          </w:tcPr>
          <w:p w14:paraId="722E39B6" w14:textId="76D6E87F" w:rsidR="00C8187C" w:rsidRPr="001D684B" w:rsidRDefault="007039C0" w:rsidP="00414003">
            <w:pPr>
              <w:pStyle w:val="Tablehead"/>
              <w:rPr>
                <w:lang w:val="ru-RU"/>
              </w:rPr>
            </w:pPr>
            <w:r w:rsidRPr="001D684B">
              <w:rPr>
                <w:lang w:val="ru-RU"/>
              </w:rPr>
              <w:t>Необходимая</w:t>
            </w:r>
            <w:r w:rsidR="008705AB" w:rsidRPr="001D684B">
              <w:rPr>
                <w:lang w:val="ru-RU"/>
              </w:rPr>
              <w:t xml:space="preserve"> поддержка</w:t>
            </w:r>
          </w:p>
        </w:tc>
        <w:tc>
          <w:tcPr>
            <w:tcW w:w="1276" w:type="dxa"/>
            <w:vAlign w:val="center"/>
          </w:tcPr>
          <w:p w14:paraId="7268E00B" w14:textId="7DC53E9F" w:rsidR="00C8187C" w:rsidRPr="001D684B" w:rsidRDefault="00414003" w:rsidP="00414003">
            <w:pPr>
              <w:pStyle w:val="Tablehead"/>
              <w:rPr>
                <w:lang w:val="ru-RU"/>
              </w:rPr>
            </w:pPr>
            <w:r w:rsidRPr="001D684B">
              <w:rPr>
                <w:lang w:val="ru-RU"/>
              </w:rPr>
              <w:t>Сумма в </w:t>
            </w:r>
            <w:proofErr w:type="spellStart"/>
            <w:r w:rsidRPr="001D684B">
              <w:rPr>
                <w:lang w:val="ru-RU"/>
              </w:rPr>
              <w:t>шв</w:t>
            </w:r>
            <w:proofErr w:type="spellEnd"/>
            <w:r w:rsidRPr="001D684B">
              <w:rPr>
                <w:lang w:val="ru-RU"/>
              </w:rPr>
              <w:t>. фр.</w:t>
            </w:r>
          </w:p>
        </w:tc>
      </w:tr>
      <w:tr w:rsidR="00C8187C" w:rsidRPr="001D684B" w14:paraId="1D649D4A" w14:textId="77777777" w:rsidTr="005B1F81">
        <w:trPr>
          <w:cantSplit/>
          <w:jc w:val="center"/>
        </w:trPr>
        <w:tc>
          <w:tcPr>
            <w:tcW w:w="3823" w:type="dxa"/>
          </w:tcPr>
          <w:p w14:paraId="7BDFB9FF" w14:textId="78F73044" w:rsidR="00C8187C" w:rsidRPr="001D684B" w:rsidRDefault="00414003" w:rsidP="00335CBD">
            <w:pPr>
              <w:pStyle w:val="Tabletext"/>
              <w:rPr>
                <w:lang w:val="ru-RU"/>
              </w:rPr>
            </w:pPr>
            <w:bookmarkStart w:id="34" w:name="lt_pId066"/>
            <w:r w:rsidRPr="001D684B">
              <w:rPr>
                <w:color w:val="000000"/>
                <w:szCs w:val="22"/>
                <w:lang w:val="ru-RU"/>
              </w:rPr>
              <w:t>Резолюция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35 (</w:t>
            </w:r>
            <w:r w:rsidRPr="001D684B">
              <w:rPr>
                <w:color w:val="000000"/>
                <w:szCs w:val="22"/>
                <w:lang w:val="ru-RU"/>
              </w:rPr>
              <w:t>ВКР</w:t>
            </w:r>
            <w:r w:rsidR="00C8187C" w:rsidRPr="001D684B">
              <w:rPr>
                <w:color w:val="000000"/>
                <w:szCs w:val="22"/>
                <w:lang w:val="ru-RU"/>
              </w:rPr>
              <w:t>-19)</w:t>
            </w:r>
            <w:bookmarkEnd w:id="34"/>
          </w:p>
        </w:tc>
        <w:tc>
          <w:tcPr>
            <w:tcW w:w="4399" w:type="dxa"/>
          </w:tcPr>
          <w:p w14:paraId="50EF7428" w14:textId="4A6FD737" w:rsidR="00C8187C" w:rsidRPr="001D684B" w:rsidRDefault="00F850C8" w:rsidP="00335CBD">
            <w:pPr>
              <w:pStyle w:val="Tabletext"/>
              <w:rPr>
                <w:lang w:val="ru-RU"/>
              </w:rPr>
            </w:pPr>
            <w:bookmarkStart w:id="35" w:name="lt_pId067"/>
            <w:r w:rsidRPr="001D684B">
              <w:rPr>
                <w:lang w:val="ru-RU"/>
              </w:rPr>
              <w:t>Затраты на разработку программного обеспечения</w:t>
            </w:r>
            <w:r w:rsidR="00C8187C" w:rsidRPr="001D684B">
              <w:rPr>
                <w:lang w:val="ru-RU"/>
              </w:rPr>
              <w:t xml:space="preserve"> </w:t>
            </w:r>
            <w:r w:rsidR="008705AB" w:rsidRPr="001D684B">
              <w:rPr>
                <w:lang w:val="ru-RU"/>
              </w:rPr>
              <w:t>с привлечением внешних ресурсов</w:t>
            </w:r>
            <w:r w:rsidR="00C8187C" w:rsidRPr="001D684B">
              <w:rPr>
                <w:lang w:val="ru-RU"/>
              </w:rPr>
              <w:t xml:space="preserve"> (</w:t>
            </w:r>
            <w:r w:rsidR="008705AB" w:rsidRPr="001D684B">
              <w:rPr>
                <w:lang w:val="ru-RU"/>
              </w:rPr>
              <w:t>новая база данных, чтобы</w:t>
            </w:r>
            <w:r w:rsidR="00C8187C" w:rsidRPr="001D684B">
              <w:rPr>
                <w:lang w:val="ru-RU"/>
              </w:rPr>
              <w:t xml:space="preserve"> </w:t>
            </w:r>
            <w:r w:rsidR="008705AB" w:rsidRPr="001D684B">
              <w:rPr>
                <w:lang w:val="ru-RU"/>
              </w:rPr>
              <w:t>следить за развертыванием систем НГСО,</w:t>
            </w:r>
            <w:r w:rsidR="00C8187C" w:rsidRPr="001D684B">
              <w:rPr>
                <w:lang w:val="ru-RU"/>
              </w:rPr>
              <w:t xml:space="preserve"> </w:t>
            </w:r>
            <w:r w:rsidR="008705AB" w:rsidRPr="001D684B">
              <w:rPr>
                <w:lang w:val="ru-RU"/>
              </w:rPr>
              <w:t>и программное обеспечение, чтобы обновлять МСРЧ соответствующим образом</w:t>
            </w:r>
            <w:r w:rsidR="00C8187C" w:rsidRPr="001D684B">
              <w:rPr>
                <w:lang w:val="ru-RU"/>
              </w:rPr>
              <w:t>)</w:t>
            </w:r>
            <w:bookmarkEnd w:id="35"/>
          </w:p>
        </w:tc>
        <w:tc>
          <w:tcPr>
            <w:tcW w:w="1276" w:type="dxa"/>
          </w:tcPr>
          <w:p w14:paraId="0D47FA93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340 000</w:t>
            </w:r>
          </w:p>
        </w:tc>
      </w:tr>
      <w:tr w:rsidR="00C8187C" w:rsidRPr="001D684B" w14:paraId="64521746" w14:textId="77777777" w:rsidTr="005B1F81">
        <w:trPr>
          <w:cantSplit/>
          <w:jc w:val="center"/>
        </w:trPr>
        <w:tc>
          <w:tcPr>
            <w:tcW w:w="3823" w:type="dxa"/>
          </w:tcPr>
          <w:p w14:paraId="37F2E917" w14:textId="105416EE" w:rsidR="00C8187C" w:rsidRPr="001D684B" w:rsidRDefault="00414003" w:rsidP="00335CBD">
            <w:pPr>
              <w:pStyle w:val="Tabletext"/>
              <w:rPr>
                <w:lang w:val="ru-RU"/>
              </w:rPr>
            </w:pPr>
            <w:bookmarkStart w:id="36" w:name="lt_pId069"/>
            <w:r w:rsidRPr="001D684B">
              <w:rPr>
                <w:color w:val="000000"/>
                <w:szCs w:val="22"/>
                <w:lang w:val="ru-RU"/>
              </w:rPr>
              <w:t>Резолюция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169 (</w:t>
            </w:r>
            <w:r w:rsidRPr="001D684B">
              <w:rPr>
                <w:color w:val="000000"/>
                <w:szCs w:val="22"/>
                <w:lang w:val="ru-RU"/>
              </w:rPr>
              <w:t>ВКР</w:t>
            </w:r>
            <w:r w:rsidR="00C8187C" w:rsidRPr="001D684B">
              <w:rPr>
                <w:color w:val="000000"/>
                <w:szCs w:val="22"/>
                <w:lang w:val="ru-RU"/>
              </w:rPr>
              <w:t>-19)</w:t>
            </w:r>
            <w:bookmarkEnd w:id="36"/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</w:p>
        </w:tc>
        <w:tc>
          <w:tcPr>
            <w:tcW w:w="4399" w:type="dxa"/>
          </w:tcPr>
          <w:p w14:paraId="7CE4DC96" w14:textId="4C76BE6B" w:rsidR="00C8187C" w:rsidRPr="001D684B" w:rsidRDefault="00414003" w:rsidP="00335CBD">
            <w:pPr>
              <w:pStyle w:val="Tabletext"/>
              <w:rPr>
                <w:lang w:val="ru-RU"/>
              </w:rPr>
            </w:pPr>
            <w:r w:rsidRPr="001D684B">
              <w:rPr>
                <w:lang w:val="ru-RU"/>
              </w:rPr>
              <w:t>Затраты на разработку программного обеспечения</w:t>
            </w:r>
          </w:p>
        </w:tc>
        <w:tc>
          <w:tcPr>
            <w:tcW w:w="1276" w:type="dxa"/>
          </w:tcPr>
          <w:p w14:paraId="72EF6066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85 000</w:t>
            </w:r>
          </w:p>
        </w:tc>
      </w:tr>
      <w:tr w:rsidR="00C8187C" w:rsidRPr="001D684B" w14:paraId="5BC3F34C" w14:textId="77777777" w:rsidTr="005B1F81">
        <w:trPr>
          <w:cantSplit/>
          <w:jc w:val="center"/>
        </w:trPr>
        <w:tc>
          <w:tcPr>
            <w:tcW w:w="3823" w:type="dxa"/>
          </w:tcPr>
          <w:p w14:paraId="3C53B9C3" w14:textId="428A801F" w:rsidR="00C8187C" w:rsidRPr="001D684B" w:rsidRDefault="00414003" w:rsidP="00335CBD">
            <w:pPr>
              <w:pStyle w:val="Tabletext"/>
              <w:rPr>
                <w:lang w:val="ru-RU"/>
              </w:rPr>
            </w:pPr>
            <w:bookmarkStart w:id="37" w:name="lt_pId072"/>
            <w:r w:rsidRPr="001D684B">
              <w:rPr>
                <w:color w:val="000000"/>
                <w:szCs w:val="22"/>
                <w:lang w:val="ru-RU"/>
              </w:rPr>
              <w:t xml:space="preserve">Изменения к </w:t>
            </w:r>
            <w:proofErr w:type="spellStart"/>
            <w:r w:rsidRPr="001D684B">
              <w:rPr>
                <w:color w:val="000000"/>
                <w:szCs w:val="22"/>
                <w:lang w:val="ru-RU"/>
              </w:rPr>
              <w:t>пп</w:t>
            </w:r>
            <w:proofErr w:type="spellEnd"/>
            <w:r w:rsidRPr="001D684B">
              <w:rPr>
                <w:color w:val="000000"/>
                <w:szCs w:val="22"/>
                <w:lang w:val="ru-RU"/>
              </w:rPr>
              <w:t>.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9.36, 9.53A</w:t>
            </w:r>
            <w:r w:rsidRPr="001D684B">
              <w:rPr>
                <w:color w:val="000000"/>
                <w:szCs w:val="22"/>
                <w:lang w:val="ru-RU"/>
              </w:rPr>
              <w:t xml:space="preserve"> РР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, </w:t>
            </w:r>
            <w:r w:rsidRPr="001D684B">
              <w:rPr>
                <w:color w:val="000000"/>
                <w:szCs w:val="22"/>
                <w:lang w:val="ru-RU"/>
              </w:rPr>
              <w:t>Приложениям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30, 30A </w:t>
            </w:r>
            <w:r w:rsidRPr="001D684B">
              <w:rPr>
                <w:color w:val="000000"/>
                <w:szCs w:val="22"/>
                <w:lang w:val="ru-RU"/>
              </w:rPr>
              <w:t>и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30B</w:t>
            </w:r>
            <w:bookmarkEnd w:id="37"/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Pr="001D684B">
              <w:rPr>
                <w:color w:val="000000"/>
                <w:szCs w:val="22"/>
                <w:lang w:val="ru-RU"/>
              </w:rPr>
              <w:t>к РР</w:t>
            </w:r>
          </w:p>
        </w:tc>
        <w:tc>
          <w:tcPr>
            <w:tcW w:w="4399" w:type="dxa"/>
          </w:tcPr>
          <w:p w14:paraId="730A45CE" w14:textId="72FDDB0A" w:rsidR="00C8187C" w:rsidRPr="001D684B" w:rsidRDefault="00414003" w:rsidP="00335CBD">
            <w:pPr>
              <w:pStyle w:val="Tabletext"/>
              <w:rPr>
                <w:lang w:val="ru-RU"/>
              </w:rPr>
            </w:pPr>
            <w:r w:rsidRPr="001D684B">
              <w:rPr>
                <w:lang w:val="ru-RU"/>
              </w:rPr>
              <w:t>Затраты на разработку программного обеспечения</w:t>
            </w:r>
          </w:p>
        </w:tc>
        <w:tc>
          <w:tcPr>
            <w:tcW w:w="1276" w:type="dxa"/>
          </w:tcPr>
          <w:p w14:paraId="6C24D31D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200 000</w:t>
            </w:r>
          </w:p>
        </w:tc>
      </w:tr>
      <w:tr w:rsidR="00C8187C" w:rsidRPr="001D684B" w14:paraId="2C5DCBF3" w14:textId="77777777" w:rsidTr="005B1F81">
        <w:trPr>
          <w:cantSplit/>
          <w:jc w:val="center"/>
        </w:trPr>
        <w:tc>
          <w:tcPr>
            <w:tcW w:w="3823" w:type="dxa"/>
          </w:tcPr>
          <w:p w14:paraId="07599CE1" w14:textId="1C8DC8AD" w:rsidR="00C8187C" w:rsidRPr="001D684B" w:rsidRDefault="00414003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38" w:name="lt_pId075"/>
            <w:r w:rsidRPr="001D684B">
              <w:rPr>
                <w:szCs w:val="22"/>
                <w:lang w:val="ru-RU"/>
              </w:rPr>
              <w:t>Резолюция</w:t>
            </w:r>
            <w:r w:rsidR="00C8187C" w:rsidRPr="001D684B">
              <w:rPr>
                <w:szCs w:val="22"/>
                <w:lang w:val="ru-RU"/>
              </w:rPr>
              <w:t> 245 (</w:t>
            </w:r>
            <w:r w:rsidRPr="001D684B">
              <w:rPr>
                <w:szCs w:val="22"/>
                <w:lang w:val="ru-RU"/>
              </w:rPr>
              <w:t>ВКР</w:t>
            </w:r>
            <w:r w:rsidR="00C8187C" w:rsidRPr="001D684B">
              <w:rPr>
                <w:szCs w:val="22"/>
                <w:lang w:val="ru-RU"/>
              </w:rPr>
              <w:t xml:space="preserve">-19) </w:t>
            </w:r>
            <w:r w:rsidRPr="001D684B">
              <w:rPr>
                <w:szCs w:val="22"/>
                <w:lang w:val="ru-RU"/>
              </w:rPr>
              <w:t>− исследования</w:t>
            </w:r>
            <w:bookmarkEnd w:id="38"/>
          </w:p>
        </w:tc>
        <w:tc>
          <w:tcPr>
            <w:tcW w:w="4399" w:type="dxa"/>
          </w:tcPr>
          <w:p w14:paraId="13E4174B" w14:textId="33A0B6B3" w:rsidR="00C8187C" w:rsidRPr="001D684B" w:rsidRDefault="008705AB" w:rsidP="00335CBD">
            <w:pPr>
              <w:pStyle w:val="Tabletext"/>
              <w:rPr>
                <w:lang w:val="ru-RU"/>
              </w:rPr>
            </w:pPr>
            <w:r w:rsidRPr="001D684B">
              <w:rPr>
                <w:lang w:val="ru-RU"/>
              </w:rPr>
              <w:t>Организационные затраты и вспомогательные затраты в связи с проведением собраний</w:t>
            </w:r>
            <w:r w:rsidR="00C8187C" w:rsidRPr="001D684B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305E4A86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456 000</w:t>
            </w:r>
          </w:p>
        </w:tc>
      </w:tr>
      <w:tr w:rsidR="00C8187C" w:rsidRPr="001D684B" w14:paraId="4E9DBCC5" w14:textId="77777777" w:rsidTr="005B1F81">
        <w:trPr>
          <w:cantSplit/>
          <w:jc w:val="center"/>
        </w:trPr>
        <w:tc>
          <w:tcPr>
            <w:tcW w:w="3823" w:type="dxa"/>
          </w:tcPr>
          <w:p w14:paraId="2565F7E1" w14:textId="3FAD7126" w:rsidR="00C8187C" w:rsidRPr="001D684B" w:rsidRDefault="00414003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39" w:name="lt_pId078"/>
            <w:r w:rsidRPr="001D684B">
              <w:rPr>
                <w:szCs w:val="22"/>
                <w:lang w:val="ru-RU"/>
              </w:rPr>
              <w:t>Резолюция</w:t>
            </w:r>
            <w:r w:rsidR="00C8187C" w:rsidRPr="001D684B">
              <w:rPr>
                <w:szCs w:val="22"/>
                <w:lang w:val="ru-RU"/>
              </w:rPr>
              <w:t> 235 (</w:t>
            </w:r>
            <w:r w:rsidRPr="001D684B">
              <w:rPr>
                <w:szCs w:val="22"/>
                <w:lang w:val="ru-RU"/>
              </w:rPr>
              <w:t>ВКР</w:t>
            </w:r>
            <w:r w:rsidR="00C8187C" w:rsidRPr="001D684B">
              <w:rPr>
                <w:szCs w:val="22"/>
                <w:lang w:val="ru-RU"/>
              </w:rPr>
              <w:t xml:space="preserve">-15) – </w:t>
            </w:r>
            <w:r w:rsidRPr="001D684B">
              <w:rPr>
                <w:szCs w:val="22"/>
                <w:lang w:val="ru-RU"/>
              </w:rPr>
              <w:t>исследования, относящиеся к пункту 1.5 повестки дня ВКР</w:t>
            </w:r>
            <w:r w:rsidR="00C8187C" w:rsidRPr="001D684B">
              <w:rPr>
                <w:szCs w:val="22"/>
                <w:lang w:val="ru-RU"/>
              </w:rPr>
              <w:noBreakHyphen/>
              <w:t>23</w:t>
            </w:r>
            <w:bookmarkEnd w:id="39"/>
          </w:p>
        </w:tc>
        <w:tc>
          <w:tcPr>
            <w:tcW w:w="4399" w:type="dxa"/>
          </w:tcPr>
          <w:p w14:paraId="53E33AF8" w14:textId="78C34584" w:rsidR="00C8187C" w:rsidRPr="001D684B" w:rsidRDefault="008705AB" w:rsidP="00335CBD">
            <w:pPr>
              <w:pStyle w:val="Tabletext"/>
              <w:rPr>
                <w:lang w:val="ru-RU"/>
              </w:rPr>
            </w:pPr>
            <w:r w:rsidRPr="001D684B">
              <w:rPr>
                <w:lang w:val="ru-RU"/>
              </w:rPr>
              <w:t>Организационные затраты и вспомогательные затраты в связи с проведением собраний</w:t>
            </w:r>
          </w:p>
        </w:tc>
        <w:tc>
          <w:tcPr>
            <w:tcW w:w="1276" w:type="dxa"/>
          </w:tcPr>
          <w:p w14:paraId="4F5A19D4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340 000</w:t>
            </w:r>
          </w:p>
        </w:tc>
      </w:tr>
      <w:tr w:rsidR="00C8187C" w:rsidRPr="001D684B" w14:paraId="26C7DB04" w14:textId="77777777" w:rsidTr="005B1F81">
        <w:trPr>
          <w:cantSplit/>
          <w:jc w:val="center"/>
        </w:trPr>
        <w:tc>
          <w:tcPr>
            <w:tcW w:w="3823" w:type="dxa"/>
          </w:tcPr>
          <w:p w14:paraId="145FBAD8" w14:textId="4B85E253" w:rsidR="00C8187C" w:rsidRPr="001D684B" w:rsidRDefault="00414003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40" w:name="lt_pId081"/>
            <w:r w:rsidRPr="001D684B">
              <w:rPr>
                <w:szCs w:val="22"/>
                <w:lang w:val="ru-RU"/>
              </w:rPr>
              <w:t>Различные положения РР и Резолюции, относящиеся к пункту 1.6 повестки дня ВКР</w:t>
            </w:r>
            <w:r w:rsidRPr="001D684B">
              <w:rPr>
                <w:szCs w:val="22"/>
                <w:lang w:val="ru-RU"/>
              </w:rPr>
              <w:noBreakHyphen/>
              <w:t>1</w:t>
            </w:r>
            <w:r w:rsidR="00C8187C" w:rsidRPr="001D684B">
              <w:rPr>
                <w:szCs w:val="22"/>
                <w:lang w:val="ru-RU"/>
              </w:rPr>
              <w:t>9 (</w:t>
            </w:r>
            <w:r w:rsidR="00F850C8" w:rsidRPr="001D684B">
              <w:rPr>
                <w:szCs w:val="22"/>
                <w:lang w:val="ru-RU"/>
              </w:rPr>
              <w:t>НГСО ФСС</w:t>
            </w:r>
            <w:r w:rsidR="00C8187C" w:rsidRPr="001D684B">
              <w:rPr>
                <w:szCs w:val="22"/>
                <w:lang w:val="ru-RU"/>
              </w:rPr>
              <w:t>)</w:t>
            </w:r>
            <w:bookmarkEnd w:id="40"/>
          </w:p>
          <w:p w14:paraId="378FABD0" w14:textId="6E8A37F6" w:rsidR="00C8187C" w:rsidRPr="001D684B" w:rsidRDefault="00414003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41" w:name="lt_pId082"/>
            <w:r w:rsidRPr="001D684B">
              <w:rPr>
                <w:szCs w:val="22"/>
                <w:lang w:val="ru-RU"/>
              </w:rPr>
              <w:t>П</w:t>
            </w:r>
            <w:r w:rsidR="007039C0" w:rsidRPr="001D684B">
              <w:rPr>
                <w:szCs w:val="22"/>
                <w:lang w:val="ru-RU"/>
              </w:rPr>
              <w:t xml:space="preserve">ункты </w:t>
            </w:r>
            <w:r w:rsidR="00C8187C" w:rsidRPr="001D684B">
              <w:rPr>
                <w:szCs w:val="22"/>
                <w:lang w:val="ru-RU"/>
              </w:rPr>
              <w:t>5.550C, 5.550E, 22.5L</w:t>
            </w:r>
            <w:r w:rsidR="007039C0" w:rsidRPr="001D684B">
              <w:rPr>
                <w:szCs w:val="22"/>
                <w:lang w:val="ru-RU"/>
              </w:rPr>
              <w:t xml:space="preserve"> и</w:t>
            </w:r>
            <w:r w:rsidR="00C8187C" w:rsidRPr="001D684B">
              <w:rPr>
                <w:szCs w:val="22"/>
                <w:lang w:val="ru-RU"/>
              </w:rPr>
              <w:t xml:space="preserve"> 22.5M </w:t>
            </w:r>
            <w:r w:rsidRPr="001D684B">
              <w:rPr>
                <w:szCs w:val="22"/>
                <w:lang w:val="ru-RU"/>
              </w:rPr>
              <w:t>РР и</w:t>
            </w:r>
            <w:r w:rsidR="00C8187C" w:rsidRPr="001D684B">
              <w:rPr>
                <w:szCs w:val="22"/>
                <w:lang w:val="ru-RU"/>
              </w:rPr>
              <w:t xml:space="preserve"> </w:t>
            </w:r>
            <w:r w:rsidRPr="001D684B">
              <w:rPr>
                <w:szCs w:val="22"/>
                <w:lang w:val="ru-RU"/>
              </w:rPr>
              <w:t>Резолюции </w:t>
            </w:r>
            <w:r w:rsidR="00C8187C" w:rsidRPr="001D684B">
              <w:rPr>
                <w:szCs w:val="22"/>
                <w:lang w:val="ru-RU"/>
              </w:rPr>
              <w:t>769 (</w:t>
            </w:r>
            <w:r w:rsidRPr="001D684B">
              <w:rPr>
                <w:szCs w:val="22"/>
                <w:lang w:val="ru-RU"/>
              </w:rPr>
              <w:t>ВКР</w:t>
            </w:r>
            <w:r w:rsidR="00C8187C" w:rsidRPr="001D684B">
              <w:rPr>
                <w:szCs w:val="22"/>
                <w:lang w:val="ru-RU"/>
              </w:rPr>
              <w:t>-19)</w:t>
            </w:r>
            <w:r w:rsidRPr="001D684B">
              <w:rPr>
                <w:szCs w:val="22"/>
                <w:lang w:val="ru-RU"/>
              </w:rPr>
              <w:t xml:space="preserve"> и </w:t>
            </w:r>
            <w:r w:rsidR="00C8187C" w:rsidRPr="001D684B">
              <w:rPr>
                <w:szCs w:val="22"/>
                <w:lang w:val="ru-RU"/>
              </w:rPr>
              <w:t>770 (</w:t>
            </w:r>
            <w:r w:rsidRPr="001D684B">
              <w:rPr>
                <w:szCs w:val="22"/>
                <w:lang w:val="ru-RU"/>
              </w:rPr>
              <w:t>ВКР</w:t>
            </w:r>
            <w:r w:rsidR="00C8187C" w:rsidRPr="001D684B">
              <w:rPr>
                <w:szCs w:val="22"/>
                <w:lang w:val="ru-RU"/>
              </w:rPr>
              <w:t>-19)</w:t>
            </w:r>
            <w:bookmarkEnd w:id="41"/>
          </w:p>
        </w:tc>
        <w:tc>
          <w:tcPr>
            <w:tcW w:w="4399" w:type="dxa"/>
          </w:tcPr>
          <w:p w14:paraId="48155E67" w14:textId="211FE604" w:rsidR="00C8187C" w:rsidRPr="001D684B" w:rsidRDefault="00414003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42" w:name="lt_pId083"/>
            <w:r w:rsidRPr="001D684B">
              <w:rPr>
                <w:lang w:val="ru-RU"/>
              </w:rPr>
              <w:t>Затраты на разработку программного обеспечения</w:t>
            </w:r>
            <w:r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C8187C" w:rsidRPr="001D684B">
              <w:rPr>
                <w:color w:val="000000"/>
                <w:szCs w:val="22"/>
                <w:lang w:val="ru-RU"/>
              </w:rPr>
              <w:t>(</w:t>
            </w:r>
            <w:r w:rsidR="008705AB" w:rsidRPr="001D684B">
              <w:rPr>
                <w:color w:val="000000"/>
                <w:szCs w:val="22"/>
                <w:lang w:val="ru-RU"/>
              </w:rPr>
              <w:t>внедрение новой методики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, </w:t>
            </w:r>
            <w:r w:rsidR="00D154EC" w:rsidRPr="001D684B">
              <w:rPr>
                <w:color w:val="000000"/>
                <w:szCs w:val="22"/>
                <w:lang w:val="ru-RU"/>
              </w:rPr>
              <w:t>используя преимущества</w:t>
            </w:r>
            <w:r w:rsidR="008705AB" w:rsidRPr="001D684B">
              <w:rPr>
                <w:color w:val="000000"/>
                <w:szCs w:val="22"/>
                <w:lang w:val="ru-RU"/>
              </w:rPr>
              <w:t xml:space="preserve"> повторного использования </w:t>
            </w:r>
            <w:r w:rsidR="00D154EC" w:rsidRPr="001D684B">
              <w:rPr>
                <w:color w:val="000000"/>
                <w:szCs w:val="22"/>
                <w:lang w:val="ru-RU"/>
              </w:rPr>
              <w:t>существующих разработок</w:t>
            </w:r>
            <w:r w:rsidR="00C8187C" w:rsidRPr="001D684B">
              <w:rPr>
                <w:color w:val="000000"/>
                <w:szCs w:val="22"/>
                <w:lang w:val="ru-RU"/>
              </w:rPr>
              <w:t>)</w:t>
            </w:r>
            <w:bookmarkEnd w:id="42"/>
          </w:p>
        </w:tc>
        <w:tc>
          <w:tcPr>
            <w:tcW w:w="1276" w:type="dxa"/>
          </w:tcPr>
          <w:p w14:paraId="76D3649D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150 000</w:t>
            </w:r>
          </w:p>
        </w:tc>
      </w:tr>
      <w:tr w:rsidR="00C8187C" w:rsidRPr="001D684B" w14:paraId="374DF5A4" w14:textId="77777777" w:rsidTr="005B1F81">
        <w:trPr>
          <w:cantSplit/>
          <w:jc w:val="center"/>
        </w:trPr>
        <w:tc>
          <w:tcPr>
            <w:tcW w:w="3823" w:type="dxa"/>
          </w:tcPr>
          <w:p w14:paraId="5C29E538" w14:textId="1D23AC9E" w:rsidR="00C8187C" w:rsidRPr="001D684B" w:rsidRDefault="00F850C8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43" w:name="lt_pId085"/>
            <w:r w:rsidRPr="001D684B">
              <w:rPr>
                <w:szCs w:val="22"/>
                <w:lang w:val="ru-RU"/>
              </w:rPr>
              <w:t>Различные Резолюции, относящиеся к пункту 1.14 повестки дня ВКР</w:t>
            </w:r>
            <w:r w:rsidRPr="001D684B">
              <w:rPr>
                <w:szCs w:val="22"/>
                <w:lang w:val="ru-RU"/>
              </w:rPr>
              <w:noBreakHyphen/>
              <w:t>19</w:t>
            </w:r>
            <w:r w:rsidR="00C8187C" w:rsidRPr="001D684B">
              <w:rPr>
                <w:szCs w:val="22"/>
                <w:lang w:val="ru-RU"/>
              </w:rPr>
              <w:t xml:space="preserve"> (</w:t>
            </w:r>
            <w:r w:rsidR="00C8187C" w:rsidRPr="001D684B">
              <w:rPr>
                <w:color w:val="000000"/>
                <w:szCs w:val="22"/>
                <w:lang w:val="ru-RU"/>
              </w:rPr>
              <w:t>HAPS)</w:t>
            </w:r>
            <w:bookmarkEnd w:id="43"/>
          </w:p>
          <w:p w14:paraId="40BE3B2F" w14:textId="2A624B6C" w:rsidR="00C8187C" w:rsidRPr="001D684B" w:rsidRDefault="00414003" w:rsidP="00335CBD">
            <w:pPr>
              <w:pStyle w:val="Tabletext"/>
              <w:rPr>
                <w:color w:val="000000"/>
                <w:szCs w:val="22"/>
                <w:lang w:val="ru-RU"/>
              </w:rPr>
            </w:pPr>
            <w:bookmarkStart w:id="44" w:name="lt_pId086"/>
            <w:r w:rsidRPr="001D684B">
              <w:rPr>
                <w:szCs w:val="22"/>
                <w:lang w:val="ru-RU"/>
              </w:rPr>
              <w:t>Резолюция</w:t>
            </w:r>
            <w:r w:rsidR="00C8187C" w:rsidRPr="001D684B">
              <w:rPr>
                <w:szCs w:val="22"/>
                <w:lang w:val="ru-RU"/>
              </w:rPr>
              <w:t xml:space="preserve"> 122 (</w:t>
            </w:r>
            <w:r w:rsidRPr="001D684B">
              <w:rPr>
                <w:szCs w:val="22"/>
                <w:lang w:val="ru-RU"/>
              </w:rPr>
              <w:t>Пересм. ВКР</w:t>
            </w:r>
            <w:r w:rsidR="00C8187C" w:rsidRPr="001D684B">
              <w:rPr>
                <w:szCs w:val="22"/>
                <w:lang w:val="ru-RU"/>
              </w:rPr>
              <w:t xml:space="preserve">-19) </w:t>
            </w:r>
            <w:r w:rsidRPr="001D684B">
              <w:rPr>
                <w:szCs w:val="22"/>
                <w:lang w:val="ru-RU"/>
              </w:rPr>
              <w:t>и Резолюции </w:t>
            </w:r>
            <w:r w:rsidR="00C8187C" w:rsidRPr="001D684B">
              <w:rPr>
                <w:szCs w:val="22"/>
                <w:lang w:val="ru-RU"/>
              </w:rPr>
              <w:t>165, 166, 167,168</w:t>
            </w:r>
            <w:r w:rsidRPr="001D684B">
              <w:rPr>
                <w:szCs w:val="22"/>
                <w:lang w:val="ru-RU"/>
              </w:rPr>
              <w:t xml:space="preserve"> (ВКР-19</w:t>
            </w:r>
            <w:r w:rsidR="00C8187C" w:rsidRPr="001D684B">
              <w:rPr>
                <w:szCs w:val="22"/>
                <w:lang w:val="ru-RU"/>
              </w:rPr>
              <w:t>)</w:t>
            </w:r>
            <w:bookmarkEnd w:id="44"/>
          </w:p>
        </w:tc>
        <w:tc>
          <w:tcPr>
            <w:tcW w:w="4399" w:type="dxa"/>
          </w:tcPr>
          <w:p w14:paraId="5CF15064" w14:textId="6FC4AF66" w:rsidR="00C8187C" w:rsidRPr="001D684B" w:rsidRDefault="00414003" w:rsidP="00335CBD">
            <w:pPr>
              <w:pStyle w:val="Tabletext"/>
              <w:rPr>
                <w:lang w:val="ru-RU"/>
              </w:rPr>
            </w:pPr>
            <w:bookmarkStart w:id="45" w:name="lt_pId087"/>
            <w:r w:rsidRPr="001D684B">
              <w:rPr>
                <w:lang w:val="ru-RU"/>
              </w:rPr>
              <w:t>Затраты на разработку программного обеспечения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, </w:t>
            </w:r>
            <w:r w:rsidR="00D154EC" w:rsidRPr="001D684B">
              <w:rPr>
                <w:color w:val="000000"/>
                <w:szCs w:val="22"/>
                <w:lang w:val="ru-RU"/>
              </w:rPr>
              <w:t>включая разработку вычислительных модулей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D154EC" w:rsidRPr="001D684B">
              <w:rPr>
                <w:color w:val="000000"/>
                <w:szCs w:val="22"/>
                <w:lang w:val="ru-RU"/>
              </w:rPr>
              <w:t>для более чем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30</w:t>
            </w:r>
            <w:r w:rsidR="005B1F81" w:rsidRPr="001D684B">
              <w:rPr>
                <w:color w:val="000000"/>
                <w:szCs w:val="22"/>
                <w:lang w:val="ru-RU"/>
              </w:rPr>
              <w:t> </w:t>
            </w:r>
            <w:r w:rsidR="00D154EC" w:rsidRPr="001D684B">
              <w:rPr>
                <w:color w:val="000000"/>
                <w:szCs w:val="22"/>
                <w:lang w:val="ru-RU"/>
              </w:rPr>
              <w:t>технических условий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, </w:t>
            </w:r>
            <w:r w:rsidR="003C21A2" w:rsidRPr="001D684B">
              <w:rPr>
                <w:color w:val="000000"/>
                <w:szCs w:val="22"/>
                <w:lang w:val="ru-RU"/>
              </w:rPr>
              <w:t xml:space="preserve">внесение </w:t>
            </w:r>
            <w:r w:rsidR="00D154EC" w:rsidRPr="001D684B">
              <w:rPr>
                <w:color w:val="000000"/>
                <w:szCs w:val="22"/>
                <w:lang w:val="ru-RU"/>
              </w:rPr>
              <w:t>изменени</w:t>
            </w:r>
            <w:r w:rsidR="003C21A2" w:rsidRPr="001D684B">
              <w:rPr>
                <w:color w:val="000000"/>
                <w:szCs w:val="22"/>
                <w:lang w:val="ru-RU"/>
              </w:rPr>
              <w:t>й</w:t>
            </w:r>
            <w:r w:rsidR="00D154EC" w:rsidRPr="001D684B">
              <w:rPr>
                <w:color w:val="000000"/>
                <w:szCs w:val="22"/>
                <w:lang w:val="ru-RU"/>
              </w:rPr>
              <w:t xml:space="preserve"> в баз</w:t>
            </w:r>
            <w:r w:rsidR="003C21A2" w:rsidRPr="001D684B">
              <w:rPr>
                <w:color w:val="000000"/>
                <w:szCs w:val="22"/>
                <w:lang w:val="ru-RU"/>
              </w:rPr>
              <w:t>у</w:t>
            </w:r>
            <w:r w:rsidR="00D154EC" w:rsidRPr="001D684B">
              <w:rPr>
                <w:color w:val="000000"/>
                <w:szCs w:val="22"/>
                <w:lang w:val="ru-RU"/>
              </w:rPr>
              <w:t xml:space="preserve"> данных Справочного регистра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D154EC" w:rsidRPr="001D684B">
              <w:rPr>
                <w:color w:val="000000"/>
                <w:szCs w:val="22"/>
                <w:lang w:val="ru-RU"/>
              </w:rPr>
              <w:t>и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D154EC" w:rsidRPr="001D684B">
              <w:rPr>
                <w:color w:val="000000"/>
                <w:szCs w:val="22"/>
                <w:lang w:val="ru-RU"/>
              </w:rPr>
              <w:t>структур</w:t>
            </w:r>
            <w:r w:rsidR="003C21A2" w:rsidRPr="001D684B">
              <w:rPr>
                <w:color w:val="000000"/>
                <w:szCs w:val="22"/>
                <w:lang w:val="ru-RU"/>
              </w:rPr>
              <w:t>у</w:t>
            </w:r>
            <w:r w:rsidR="00D154EC" w:rsidRPr="001D684B">
              <w:rPr>
                <w:color w:val="000000"/>
                <w:szCs w:val="22"/>
                <w:lang w:val="ru-RU"/>
              </w:rPr>
              <w:t xml:space="preserve"> заявок,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D154EC" w:rsidRPr="001D684B">
              <w:rPr>
                <w:color w:val="000000"/>
                <w:szCs w:val="22"/>
                <w:lang w:val="ru-RU"/>
              </w:rPr>
              <w:t>согласно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D154EC" w:rsidRPr="001D684B">
              <w:rPr>
                <w:color w:val="000000"/>
                <w:szCs w:val="22"/>
                <w:lang w:val="ru-RU"/>
              </w:rPr>
              <w:t xml:space="preserve">измененному Приложению 4 </w:t>
            </w:r>
            <w:r w:rsidR="003C21A2" w:rsidRPr="001D684B">
              <w:rPr>
                <w:color w:val="000000"/>
                <w:szCs w:val="22"/>
                <w:lang w:val="ru-RU"/>
              </w:rPr>
              <w:t>к РР,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3C21A2" w:rsidRPr="001D684B">
              <w:rPr>
                <w:color w:val="000000"/>
                <w:szCs w:val="22"/>
                <w:lang w:val="ru-RU"/>
              </w:rPr>
              <w:t>и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3C21A2" w:rsidRPr="001D684B">
              <w:rPr>
                <w:color w:val="000000"/>
                <w:szCs w:val="22"/>
                <w:lang w:val="ru-RU"/>
              </w:rPr>
              <w:t>проектирование</w:t>
            </w:r>
            <w:r w:rsidR="00C8187C" w:rsidRPr="001D684B">
              <w:rPr>
                <w:color w:val="000000"/>
                <w:szCs w:val="22"/>
                <w:lang w:val="ru-RU"/>
              </w:rPr>
              <w:t xml:space="preserve"> </w:t>
            </w:r>
            <w:r w:rsidR="003C21A2" w:rsidRPr="001D684B">
              <w:rPr>
                <w:color w:val="000000"/>
                <w:szCs w:val="22"/>
                <w:lang w:val="ru-RU"/>
              </w:rPr>
              <w:t>специализированного пользовательского интерфейса для заявлений</w:t>
            </w:r>
            <w:r w:rsidR="00C8187C" w:rsidRPr="001D684B">
              <w:rPr>
                <w:color w:val="000000"/>
                <w:szCs w:val="22"/>
                <w:lang w:val="ru-RU"/>
              </w:rPr>
              <w:t>.</w:t>
            </w:r>
            <w:bookmarkEnd w:id="45"/>
          </w:p>
        </w:tc>
        <w:tc>
          <w:tcPr>
            <w:tcW w:w="1276" w:type="dxa"/>
          </w:tcPr>
          <w:p w14:paraId="68EBC0BD" w14:textId="430BE0B6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lang w:val="ru-RU"/>
              </w:rPr>
            </w:pPr>
            <w:r w:rsidRPr="001D684B">
              <w:rPr>
                <w:lang w:val="ru-RU"/>
              </w:rPr>
              <w:t>150 000</w:t>
            </w:r>
          </w:p>
        </w:tc>
      </w:tr>
      <w:tr w:rsidR="00C8187C" w:rsidRPr="001D684B" w14:paraId="19C08638" w14:textId="77777777" w:rsidTr="005B1F81">
        <w:trPr>
          <w:cantSplit/>
          <w:jc w:val="center"/>
        </w:trPr>
        <w:tc>
          <w:tcPr>
            <w:tcW w:w="3823" w:type="dxa"/>
          </w:tcPr>
          <w:p w14:paraId="44D56C65" w14:textId="0F4EA7D7" w:rsidR="00C8187C" w:rsidRPr="001D684B" w:rsidRDefault="00414003" w:rsidP="00335CBD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 w:rsidRPr="001D684B">
              <w:rPr>
                <w:b/>
                <w:bCs/>
                <w:color w:val="000000"/>
                <w:szCs w:val="22"/>
                <w:lang w:val="ru-RU"/>
              </w:rPr>
              <w:t>Всего</w:t>
            </w:r>
          </w:p>
        </w:tc>
        <w:tc>
          <w:tcPr>
            <w:tcW w:w="4399" w:type="dxa"/>
          </w:tcPr>
          <w:p w14:paraId="4AAC3409" w14:textId="77777777" w:rsidR="00C8187C" w:rsidRPr="001D684B" w:rsidRDefault="00C8187C" w:rsidP="00335CBD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4B5512D6" w14:textId="77777777" w:rsidR="00C8187C" w:rsidRPr="001D684B" w:rsidRDefault="00C8187C" w:rsidP="0041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178"/>
              <w:jc w:val="right"/>
              <w:rPr>
                <w:b/>
                <w:bCs/>
                <w:lang w:val="ru-RU"/>
              </w:rPr>
            </w:pPr>
            <w:r w:rsidRPr="001D684B">
              <w:rPr>
                <w:b/>
                <w:bCs/>
                <w:lang w:val="ru-RU"/>
              </w:rPr>
              <w:t>1 721 000</w:t>
            </w:r>
          </w:p>
        </w:tc>
      </w:tr>
    </w:tbl>
    <w:p w14:paraId="72FF94CD" w14:textId="74C87C86" w:rsidR="00C8187C" w:rsidRPr="001D684B" w:rsidRDefault="00C8187C" w:rsidP="00C8187C">
      <w:pPr>
        <w:spacing w:before="480"/>
        <w:jc w:val="center"/>
        <w:rPr>
          <w:lang w:val="ru-RU"/>
        </w:rPr>
      </w:pPr>
      <w:r w:rsidRPr="001D684B">
        <w:rPr>
          <w:lang w:val="ru-RU"/>
        </w:rPr>
        <w:t>______________</w:t>
      </w:r>
    </w:p>
    <w:sectPr w:rsidR="00C8187C" w:rsidRPr="001D684B" w:rsidSect="00CF629C">
      <w:head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4500" w14:textId="77777777" w:rsidR="004371F1" w:rsidRDefault="004371F1">
      <w:r>
        <w:separator/>
      </w:r>
    </w:p>
  </w:endnote>
  <w:endnote w:type="continuationSeparator" w:id="0">
    <w:p w14:paraId="21C4CDA6" w14:textId="77777777" w:rsidR="004371F1" w:rsidRDefault="004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D890" w14:textId="77777777" w:rsidR="00335CBD" w:rsidRDefault="00335CB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4616" w14:textId="77777777" w:rsidR="004371F1" w:rsidRDefault="004371F1">
      <w:r>
        <w:t>____________________</w:t>
      </w:r>
    </w:p>
  </w:footnote>
  <w:footnote w:type="continuationSeparator" w:id="0">
    <w:p w14:paraId="4FDBEE53" w14:textId="77777777" w:rsidR="004371F1" w:rsidRDefault="0043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DF1D" w14:textId="77777777" w:rsidR="00335CBD" w:rsidRDefault="00335CBD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C2F4B68" w14:textId="23A73E8A" w:rsidR="00335CBD" w:rsidRDefault="00335CBD" w:rsidP="005B3DEC">
    <w:pPr>
      <w:pStyle w:val="Header"/>
      <w:spacing w:after="480"/>
    </w:pPr>
    <w:r>
      <w:t>C20/56-R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6368"/>
        </w:tabs>
        <w:ind w:left="6368" w:hanging="360"/>
      </w:pPr>
      <w:rPr>
        <w:rFonts w:ascii="Symbol" w:hAnsi="Symbol" w:hint="default"/>
      </w:rPr>
    </w:lvl>
  </w:abstractNum>
  <w:abstractNum w:abstractNumId="1" w15:restartNumberingAfterBreak="0">
    <w:nsid w:val="23B9357D"/>
    <w:multiLevelType w:val="hybridMultilevel"/>
    <w:tmpl w:val="06F09C7E"/>
    <w:lvl w:ilvl="0" w:tplc="54DE3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08520" w:tentative="1">
      <w:start w:val="1"/>
      <w:numFmt w:val="lowerLetter"/>
      <w:lvlText w:val="%2."/>
      <w:lvlJc w:val="left"/>
      <w:pPr>
        <w:ind w:left="1440" w:hanging="360"/>
      </w:pPr>
    </w:lvl>
    <w:lvl w:ilvl="2" w:tplc="BE58D9E4" w:tentative="1">
      <w:start w:val="1"/>
      <w:numFmt w:val="lowerRoman"/>
      <w:lvlText w:val="%3."/>
      <w:lvlJc w:val="right"/>
      <w:pPr>
        <w:ind w:left="2160" w:hanging="180"/>
      </w:pPr>
    </w:lvl>
    <w:lvl w:ilvl="3" w:tplc="C08AF50E" w:tentative="1">
      <w:start w:val="1"/>
      <w:numFmt w:val="decimal"/>
      <w:lvlText w:val="%4."/>
      <w:lvlJc w:val="left"/>
      <w:pPr>
        <w:ind w:left="2880" w:hanging="360"/>
      </w:pPr>
    </w:lvl>
    <w:lvl w:ilvl="4" w:tplc="AB2C6B3E" w:tentative="1">
      <w:start w:val="1"/>
      <w:numFmt w:val="lowerLetter"/>
      <w:lvlText w:val="%5."/>
      <w:lvlJc w:val="left"/>
      <w:pPr>
        <w:ind w:left="3600" w:hanging="360"/>
      </w:pPr>
    </w:lvl>
    <w:lvl w:ilvl="5" w:tplc="A930462E" w:tentative="1">
      <w:start w:val="1"/>
      <w:numFmt w:val="lowerRoman"/>
      <w:lvlText w:val="%6."/>
      <w:lvlJc w:val="right"/>
      <w:pPr>
        <w:ind w:left="4320" w:hanging="180"/>
      </w:pPr>
    </w:lvl>
    <w:lvl w:ilvl="6" w:tplc="B17081A2" w:tentative="1">
      <w:start w:val="1"/>
      <w:numFmt w:val="decimal"/>
      <w:lvlText w:val="%7."/>
      <w:lvlJc w:val="left"/>
      <w:pPr>
        <w:ind w:left="5040" w:hanging="360"/>
      </w:pPr>
    </w:lvl>
    <w:lvl w:ilvl="7" w:tplc="880CDEC4" w:tentative="1">
      <w:start w:val="1"/>
      <w:numFmt w:val="lowerLetter"/>
      <w:lvlText w:val="%8."/>
      <w:lvlJc w:val="left"/>
      <w:pPr>
        <w:ind w:left="5760" w:hanging="360"/>
      </w:pPr>
    </w:lvl>
    <w:lvl w:ilvl="8" w:tplc="C17C3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75A2"/>
    <w:multiLevelType w:val="hybridMultilevel"/>
    <w:tmpl w:val="3FD899C2"/>
    <w:lvl w:ilvl="0" w:tplc="E6B0B3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B260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9035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203A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6415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B20A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0074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A080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7E5B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5"/>
    <w:rsid w:val="0002183E"/>
    <w:rsid w:val="00025C7A"/>
    <w:rsid w:val="000569B4"/>
    <w:rsid w:val="00080E82"/>
    <w:rsid w:val="000E568E"/>
    <w:rsid w:val="001000FF"/>
    <w:rsid w:val="00114A40"/>
    <w:rsid w:val="0014734F"/>
    <w:rsid w:val="0015710D"/>
    <w:rsid w:val="00163A32"/>
    <w:rsid w:val="0018092B"/>
    <w:rsid w:val="00192B41"/>
    <w:rsid w:val="001B7B09"/>
    <w:rsid w:val="001D684B"/>
    <w:rsid w:val="001E6719"/>
    <w:rsid w:val="00223278"/>
    <w:rsid w:val="00225368"/>
    <w:rsid w:val="00227FF0"/>
    <w:rsid w:val="00291EB6"/>
    <w:rsid w:val="002A448F"/>
    <w:rsid w:val="002D2F57"/>
    <w:rsid w:val="002D48C5"/>
    <w:rsid w:val="00335CBD"/>
    <w:rsid w:val="00382DB1"/>
    <w:rsid w:val="003C21A2"/>
    <w:rsid w:val="003F00A9"/>
    <w:rsid w:val="003F099E"/>
    <w:rsid w:val="003F235E"/>
    <w:rsid w:val="003F5637"/>
    <w:rsid w:val="004023E0"/>
    <w:rsid w:val="00403DD8"/>
    <w:rsid w:val="00414003"/>
    <w:rsid w:val="004371F1"/>
    <w:rsid w:val="00442515"/>
    <w:rsid w:val="0045686C"/>
    <w:rsid w:val="004918C4"/>
    <w:rsid w:val="00497703"/>
    <w:rsid w:val="004A0374"/>
    <w:rsid w:val="004A45B5"/>
    <w:rsid w:val="004D0129"/>
    <w:rsid w:val="005730DD"/>
    <w:rsid w:val="005A64D5"/>
    <w:rsid w:val="005B1F81"/>
    <w:rsid w:val="005B3DEC"/>
    <w:rsid w:val="00601994"/>
    <w:rsid w:val="006E2D42"/>
    <w:rsid w:val="006E7655"/>
    <w:rsid w:val="00703676"/>
    <w:rsid w:val="007039C0"/>
    <w:rsid w:val="00707304"/>
    <w:rsid w:val="0071005A"/>
    <w:rsid w:val="00732269"/>
    <w:rsid w:val="00785ABD"/>
    <w:rsid w:val="00791542"/>
    <w:rsid w:val="00793F3A"/>
    <w:rsid w:val="007A2DD4"/>
    <w:rsid w:val="007B40DC"/>
    <w:rsid w:val="007D38B5"/>
    <w:rsid w:val="007E7EA0"/>
    <w:rsid w:val="00807255"/>
    <w:rsid w:val="0081023E"/>
    <w:rsid w:val="008173AA"/>
    <w:rsid w:val="00840A14"/>
    <w:rsid w:val="0085142A"/>
    <w:rsid w:val="00863E4D"/>
    <w:rsid w:val="008705AB"/>
    <w:rsid w:val="008B62B4"/>
    <w:rsid w:val="008D2D7B"/>
    <w:rsid w:val="008E0737"/>
    <w:rsid w:val="008F7C2C"/>
    <w:rsid w:val="0092242C"/>
    <w:rsid w:val="00940E96"/>
    <w:rsid w:val="009A35F1"/>
    <w:rsid w:val="009B0BAE"/>
    <w:rsid w:val="009C1C89"/>
    <w:rsid w:val="009F3448"/>
    <w:rsid w:val="00A01CF9"/>
    <w:rsid w:val="00A71773"/>
    <w:rsid w:val="00AE2C85"/>
    <w:rsid w:val="00B12A37"/>
    <w:rsid w:val="00B412F6"/>
    <w:rsid w:val="00B63EF2"/>
    <w:rsid w:val="00BA7D89"/>
    <w:rsid w:val="00BC0D39"/>
    <w:rsid w:val="00BC7BC0"/>
    <w:rsid w:val="00BD57B7"/>
    <w:rsid w:val="00BE63E2"/>
    <w:rsid w:val="00C443C1"/>
    <w:rsid w:val="00C8187C"/>
    <w:rsid w:val="00C81C74"/>
    <w:rsid w:val="00C94C55"/>
    <w:rsid w:val="00CD2009"/>
    <w:rsid w:val="00CD3ADF"/>
    <w:rsid w:val="00CF629C"/>
    <w:rsid w:val="00D154EC"/>
    <w:rsid w:val="00D33226"/>
    <w:rsid w:val="00D75F4A"/>
    <w:rsid w:val="00D92EEA"/>
    <w:rsid w:val="00DA5D4E"/>
    <w:rsid w:val="00E176BA"/>
    <w:rsid w:val="00E423EC"/>
    <w:rsid w:val="00E55121"/>
    <w:rsid w:val="00E80C7B"/>
    <w:rsid w:val="00EB4FCB"/>
    <w:rsid w:val="00EC6BC5"/>
    <w:rsid w:val="00F35898"/>
    <w:rsid w:val="00F5225B"/>
    <w:rsid w:val="00F850C8"/>
    <w:rsid w:val="00F8565B"/>
    <w:rsid w:val="00FC7BEF"/>
    <w:rsid w:val="00FD319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93853"/>
  <w15:docId w15:val="{3AA1ABE5-90B3-4DAF-B356-A374B895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qFormat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9A35F1"/>
    <w:rPr>
      <w:color w:val="605E5C"/>
      <w:shd w:val="clear" w:color="auto" w:fill="E1DFDD"/>
    </w:rPr>
  </w:style>
  <w:style w:type="character" w:customStyle="1" w:styleId="Artdef">
    <w:name w:val="Art_def"/>
    <w:basedOn w:val="DefaultParagraphFont"/>
    <w:rsid w:val="009A35F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ResNoChar">
    <w:name w:val="Res_No Char"/>
    <w:basedOn w:val="DefaultParagraphFont"/>
    <w:link w:val="ResNo"/>
    <w:locked/>
    <w:rsid w:val="00C8187C"/>
    <w:rPr>
      <w:rFonts w:ascii="Calibri" w:hAnsi="Calibri"/>
      <w:caps/>
      <w:sz w:val="26"/>
      <w:lang w:val="en-GB" w:eastAsia="en-US"/>
    </w:rPr>
  </w:style>
  <w:style w:type="character" w:customStyle="1" w:styleId="href">
    <w:name w:val="href"/>
    <w:basedOn w:val="DefaultParagraphFont"/>
    <w:rsid w:val="00C8187C"/>
  </w:style>
  <w:style w:type="table" w:styleId="TableGrid">
    <w:name w:val="Table Grid"/>
    <w:basedOn w:val="TableNormal"/>
    <w:rsid w:val="00C8187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337/en" TargetMode="External"/><Relationship Id="rId13" Type="http://schemas.openxmlformats.org/officeDocument/2006/relationships/hyperlink" Target="https://www.itu.int/md/R16-WRC19-C-0190/en" TargetMode="External"/><Relationship Id="rId18" Type="http://schemas.openxmlformats.org/officeDocument/2006/relationships/hyperlink" Target="https://www.itu.int/md/R16-WRC19-C-0450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6-WRC19-C-0325/en" TargetMode="External"/><Relationship Id="rId17" Type="http://schemas.openxmlformats.org/officeDocument/2006/relationships/hyperlink" Target="https://www.itu.int/md/R16-WRC19-C-049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R16-WRC19-C-049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6-WRC19-C-046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6-WRC19-C-0491/en" TargetMode="External"/><Relationship Id="rId10" Type="http://schemas.openxmlformats.org/officeDocument/2006/relationships/hyperlink" Target="https://www.itu.int/md/R16-WRC19-C-0453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WGFHR11-C-0005/en" TargetMode="External"/><Relationship Id="rId14" Type="http://schemas.openxmlformats.org/officeDocument/2006/relationships/hyperlink" Target="https://www.itu.int/md/R16-WRC19-C-0332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1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 C20</cp:keywords>
  <dc:description/>
  <cp:lastModifiedBy>Janin, Patricia</cp:lastModifiedBy>
  <cp:revision>3</cp:revision>
  <cp:lastPrinted>2020-03-10T12:16:00Z</cp:lastPrinted>
  <dcterms:created xsi:type="dcterms:W3CDTF">2020-03-26T13:05:00Z</dcterms:created>
  <dcterms:modified xsi:type="dcterms:W3CDTF">2020-03-26T13:05:00Z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