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6D38" w:rsidRPr="00B54D67" w14:paraId="48A37D91" w14:textId="77777777" w:rsidTr="009F66A3">
        <w:trPr>
          <w:cantSplit/>
          <w:trHeight w:val="1276"/>
        </w:trPr>
        <w:tc>
          <w:tcPr>
            <w:tcW w:w="6911" w:type="dxa"/>
          </w:tcPr>
          <w:p w14:paraId="1456FAA7" w14:textId="77777777" w:rsidR="00C76D38" w:rsidRPr="00B54D67" w:rsidRDefault="00C76D38" w:rsidP="009F66A3">
            <w:pPr>
              <w:spacing w:before="360" w:after="48" w:line="240" w:lineRule="atLeast"/>
              <w:rPr>
                <w:position w:val="6"/>
              </w:rPr>
            </w:pPr>
            <w:bookmarkStart w:id="0" w:name="dc06"/>
            <w:bookmarkEnd w:id="0"/>
            <w:r w:rsidRPr="00B54D67">
              <w:rPr>
                <w:b/>
                <w:bCs/>
                <w:position w:val="6"/>
                <w:sz w:val="30"/>
                <w:szCs w:val="30"/>
              </w:rPr>
              <w:t>Co</w:t>
            </w:r>
            <w:r>
              <w:rPr>
                <w:b/>
                <w:bCs/>
                <w:position w:val="6"/>
                <w:sz w:val="30"/>
                <w:szCs w:val="30"/>
              </w:rPr>
              <w:t>nsejo</w:t>
            </w:r>
            <w:r w:rsidRPr="00B54D67">
              <w:rPr>
                <w:b/>
                <w:bCs/>
                <w:position w:val="6"/>
                <w:sz w:val="30"/>
                <w:szCs w:val="30"/>
              </w:rPr>
              <w:t xml:space="preserve"> 2020</w:t>
            </w:r>
            <w:r w:rsidRPr="00B54D67">
              <w:rPr>
                <w:rFonts w:cs="Times"/>
                <w:b/>
                <w:position w:val="6"/>
                <w:sz w:val="26"/>
                <w:szCs w:val="26"/>
              </w:rPr>
              <w:br/>
            </w:r>
            <w:r w:rsidRPr="00B54D67">
              <w:rPr>
                <w:b/>
                <w:bCs/>
                <w:position w:val="6"/>
                <w:szCs w:val="24"/>
              </w:rPr>
              <w:t>G</w:t>
            </w:r>
            <w:r>
              <w:rPr>
                <w:b/>
                <w:bCs/>
                <w:position w:val="6"/>
                <w:szCs w:val="24"/>
              </w:rPr>
              <w:t>inebr</w:t>
            </w:r>
            <w:r w:rsidRPr="00B54D67">
              <w:rPr>
                <w:b/>
                <w:bCs/>
                <w:position w:val="6"/>
                <w:szCs w:val="24"/>
              </w:rPr>
              <w:t xml:space="preserve">a, 9-19 </w:t>
            </w:r>
            <w:r>
              <w:rPr>
                <w:b/>
                <w:bCs/>
                <w:position w:val="6"/>
                <w:szCs w:val="24"/>
              </w:rPr>
              <w:t>de junio de</w:t>
            </w:r>
            <w:r w:rsidRPr="00B54D67">
              <w:rPr>
                <w:b/>
                <w:bCs/>
                <w:position w:val="6"/>
                <w:szCs w:val="24"/>
              </w:rPr>
              <w:t xml:space="preserve"> 2020</w:t>
            </w:r>
          </w:p>
        </w:tc>
        <w:tc>
          <w:tcPr>
            <w:tcW w:w="3120" w:type="dxa"/>
            <w:vAlign w:val="center"/>
          </w:tcPr>
          <w:p w14:paraId="67DA9C1A" w14:textId="77777777" w:rsidR="00C76D38" w:rsidRPr="00B54D67" w:rsidRDefault="00C76D38" w:rsidP="009F66A3">
            <w:pPr>
              <w:spacing w:before="0" w:line="240" w:lineRule="atLeast"/>
            </w:pPr>
            <w:bookmarkStart w:id="1" w:name="ditulogo"/>
            <w:bookmarkEnd w:id="1"/>
            <w:r w:rsidRPr="00B54D67">
              <w:rPr>
                <w:noProof/>
                <w:lang w:eastAsia="zh-CN"/>
              </w:rPr>
              <w:drawing>
                <wp:inline distT="0" distB="0" distL="0" distR="0" wp14:anchorId="519F09D8" wp14:editId="5D498C8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6D38" w:rsidRPr="00B54D67" w14:paraId="6B16CD80" w14:textId="77777777" w:rsidTr="00464B6C">
        <w:trPr>
          <w:cantSplit/>
        </w:trPr>
        <w:tc>
          <w:tcPr>
            <w:tcW w:w="6911" w:type="dxa"/>
            <w:tcBorders>
              <w:bottom w:val="single" w:sz="12" w:space="0" w:color="auto"/>
            </w:tcBorders>
          </w:tcPr>
          <w:p w14:paraId="431501A3" w14:textId="77777777" w:rsidR="00C76D38" w:rsidRPr="00B54D67" w:rsidRDefault="00C76D38" w:rsidP="00464B6C">
            <w:pPr>
              <w:spacing w:before="0" w:after="48" w:line="240" w:lineRule="atLeast"/>
              <w:rPr>
                <w:b/>
                <w:smallCaps/>
                <w:szCs w:val="24"/>
              </w:rPr>
            </w:pPr>
          </w:p>
        </w:tc>
        <w:tc>
          <w:tcPr>
            <w:tcW w:w="3120" w:type="dxa"/>
            <w:tcBorders>
              <w:bottom w:val="single" w:sz="12" w:space="0" w:color="auto"/>
            </w:tcBorders>
          </w:tcPr>
          <w:p w14:paraId="17EC9B84" w14:textId="77777777" w:rsidR="00C76D38" w:rsidRPr="00B54D67" w:rsidRDefault="00C76D38" w:rsidP="00464B6C">
            <w:pPr>
              <w:spacing w:before="0" w:line="240" w:lineRule="atLeast"/>
              <w:rPr>
                <w:szCs w:val="24"/>
              </w:rPr>
            </w:pPr>
          </w:p>
        </w:tc>
      </w:tr>
      <w:tr w:rsidR="00C76D38" w:rsidRPr="00B54D67" w14:paraId="43AAD7EF" w14:textId="77777777" w:rsidTr="00464B6C">
        <w:trPr>
          <w:cantSplit/>
        </w:trPr>
        <w:tc>
          <w:tcPr>
            <w:tcW w:w="6911" w:type="dxa"/>
            <w:tcBorders>
              <w:top w:val="single" w:sz="12" w:space="0" w:color="auto"/>
            </w:tcBorders>
          </w:tcPr>
          <w:p w14:paraId="64D68A54" w14:textId="77777777" w:rsidR="00C76D38" w:rsidRPr="00B54D67" w:rsidRDefault="00C76D38" w:rsidP="00464B6C">
            <w:pPr>
              <w:spacing w:before="0" w:after="48" w:line="240" w:lineRule="atLeast"/>
              <w:rPr>
                <w:b/>
                <w:smallCaps/>
                <w:szCs w:val="24"/>
              </w:rPr>
            </w:pPr>
          </w:p>
        </w:tc>
        <w:tc>
          <w:tcPr>
            <w:tcW w:w="3120" w:type="dxa"/>
            <w:tcBorders>
              <w:top w:val="single" w:sz="12" w:space="0" w:color="auto"/>
            </w:tcBorders>
          </w:tcPr>
          <w:p w14:paraId="1585A8D6" w14:textId="77777777" w:rsidR="00C76D38" w:rsidRPr="00B54D67" w:rsidRDefault="00C76D38" w:rsidP="00464B6C">
            <w:pPr>
              <w:spacing w:before="0" w:line="240" w:lineRule="atLeast"/>
              <w:rPr>
                <w:szCs w:val="24"/>
              </w:rPr>
            </w:pPr>
          </w:p>
        </w:tc>
      </w:tr>
      <w:tr w:rsidR="00C76D38" w:rsidRPr="00B54D67" w14:paraId="359FCAB1" w14:textId="77777777" w:rsidTr="00464B6C">
        <w:trPr>
          <w:cantSplit/>
          <w:trHeight w:val="23"/>
        </w:trPr>
        <w:tc>
          <w:tcPr>
            <w:tcW w:w="6911" w:type="dxa"/>
            <w:vMerge w:val="restart"/>
          </w:tcPr>
          <w:p w14:paraId="0C2ABC87" w14:textId="77777777" w:rsidR="00C76D38" w:rsidRPr="00B54D67" w:rsidRDefault="00C76D38" w:rsidP="00464B6C">
            <w:pPr>
              <w:tabs>
                <w:tab w:val="left" w:pos="851"/>
              </w:tabs>
              <w:spacing w:line="240" w:lineRule="atLeast"/>
              <w:rPr>
                <w:b/>
              </w:rPr>
            </w:pPr>
            <w:bookmarkStart w:id="2" w:name="dmeeting" w:colFirst="0" w:colLast="0"/>
            <w:bookmarkStart w:id="3" w:name="dnum" w:colFirst="1" w:colLast="1"/>
            <w:r>
              <w:rPr>
                <w:b/>
              </w:rPr>
              <w:t>Punto del orden del día:</w:t>
            </w:r>
            <w:r w:rsidRPr="00B54D67">
              <w:rPr>
                <w:b/>
              </w:rPr>
              <w:t xml:space="preserve"> ADM 26</w:t>
            </w:r>
          </w:p>
        </w:tc>
        <w:tc>
          <w:tcPr>
            <w:tcW w:w="3120" w:type="dxa"/>
          </w:tcPr>
          <w:p w14:paraId="5E8F2C35" w14:textId="77777777" w:rsidR="00C76D38" w:rsidRPr="00B54D67" w:rsidRDefault="00C76D38" w:rsidP="009F66A3">
            <w:pPr>
              <w:tabs>
                <w:tab w:val="left" w:pos="851"/>
              </w:tabs>
              <w:spacing w:before="0" w:line="240" w:lineRule="atLeast"/>
              <w:rPr>
                <w:b/>
              </w:rPr>
            </w:pPr>
            <w:r w:rsidRPr="00B54D67">
              <w:rPr>
                <w:b/>
              </w:rPr>
              <w:t>Documento C20/56-</w:t>
            </w:r>
            <w:r>
              <w:rPr>
                <w:b/>
              </w:rPr>
              <w:t>S</w:t>
            </w:r>
          </w:p>
        </w:tc>
      </w:tr>
      <w:tr w:rsidR="00C76D38" w:rsidRPr="00B54D67" w14:paraId="0CEDE8CE" w14:textId="77777777" w:rsidTr="00464B6C">
        <w:trPr>
          <w:cantSplit/>
          <w:trHeight w:val="23"/>
        </w:trPr>
        <w:tc>
          <w:tcPr>
            <w:tcW w:w="6911" w:type="dxa"/>
            <w:vMerge/>
          </w:tcPr>
          <w:p w14:paraId="4E2FAF2F" w14:textId="77777777" w:rsidR="00C76D38" w:rsidRPr="00B54D67" w:rsidRDefault="00C76D38" w:rsidP="00464B6C">
            <w:pPr>
              <w:tabs>
                <w:tab w:val="left" w:pos="851"/>
              </w:tabs>
              <w:spacing w:line="240" w:lineRule="atLeast"/>
              <w:rPr>
                <w:b/>
              </w:rPr>
            </w:pPr>
            <w:bookmarkStart w:id="4" w:name="ddate" w:colFirst="1" w:colLast="1"/>
            <w:bookmarkEnd w:id="2"/>
            <w:bookmarkEnd w:id="3"/>
          </w:p>
        </w:tc>
        <w:tc>
          <w:tcPr>
            <w:tcW w:w="3120" w:type="dxa"/>
          </w:tcPr>
          <w:p w14:paraId="16607179" w14:textId="77777777" w:rsidR="00C76D38" w:rsidRPr="00B54D67" w:rsidRDefault="00C76D38" w:rsidP="009F66A3">
            <w:pPr>
              <w:tabs>
                <w:tab w:val="left" w:pos="993"/>
              </w:tabs>
              <w:spacing w:before="0"/>
              <w:rPr>
                <w:b/>
              </w:rPr>
            </w:pPr>
            <w:r w:rsidRPr="00B54D67">
              <w:rPr>
                <w:b/>
              </w:rPr>
              <w:t xml:space="preserve">3 </w:t>
            </w:r>
            <w:r>
              <w:rPr>
                <w:b/>
              </w:rPr>
              <w:t>de marzo de</w:t>
            </w:r>
            <w:r w:rsidRPr="00B54D67">
              <w:rPr>
                <w:b/>
              </w:rPr>
              <w:t xml:space="preserve"> 2020</w:t>
            </w:r>
          </w:p>
        </w:tc>
      </w:tr>
      <w:tr w:rsidR="00C76D38" w:rsidRPr="00B54D67" w14:paraId="5D8D0100" w14:textId="77777777" w:rsidTr="00464B6C">
        <w:trPr>
          <w:cantSplit/>
          <w:trHeight w:val="23"/>
        </w:trPr>
        <w:tc>
          <w:tcPr>
            <w:tcW w:w="6911" w:type="dxa"/>
            <w:vMerge/>
          </w:tcPr>
          <w:p w14:paraId="1E08E301" w14:textId="77777777" w:rsidR="00C76D38" w:rsidRPr="00B54D67" w:rsidRDefault="00C76D38" w:rsidP="00464B6C">
            <w:pPr>
              <w:tabs>
                <w:tab w:val="left" w:pos="851"/>
              </w:tabs>
              <w:spacing w:line="240" w:lineRule="atLeast"/>
              <w:rPr>
                <w:b/>
              </w:rPr>
            </w:pPr>
            <w:bookmarkStart w:id="5" w:name="dorlang" w:colFirst="1" w:colLast="1"/>
            <w:bookmarkEnd w:id="4"/>
          </w:p>
        </w:tc>
        <w:tc>
          <w:tcPr>
            <w:tcW w:w="3120" w:type="dxa"/>
          </w:tcPr>
          <w:p w14:paraId="55F971BB" w14:textId="77777777" w:rsidR="00C76D38" w:rsidRPr="00B54D67" w:rsidRDefault="00C76D38" w:rsidP="00464B6C">
            <w:pPr>
              <w:tabs>
                <w:tab w:val="left" w:pos="993"/>
              </w:tabs>
              <w:spacing w:before="0"/>
              <w:rPr>
                <w:b/>
              </w:rPr>
            </w:pPr>
            <w:r w:rsidRPr="00B54D67">
              <w:rPr>
                <w:b/>
              </w:rPr>
              <w:t xml:space="preserve">Original: </w:t>
            </w:r>
            <w:r>
              <w:rPr>
                <w:b/>
              </w:rPr>
              <w:t>inglés</w:t>
            </w:r>
          </w:p>
        </w:tc>
      </w:tr>
      <w:tr w:rsidR="00C76D38" w:rsidRPr="00B54D67" w14:paraId="284650D1" w14:textId="77777777" w:rsidTr="00464B6C">
        <w:trPr>
          <w:cantSplit/>
        </w:trPr>
        <w:tc>
          <w:tcPr>
            <w:tcW w:w="10031" w:type="dxa"/>
            <w:gridSpan w:val="2"/>
          </w:tcPr>
          <w:p w14:paraId="056C56B0" w14:textId="77777777" w:rsidR="00C76D38" w:rsidRPr="00B54D67" w:rsidRDefault="00C76D38" w:rsidP="00464B6C">
            <w:pPr>
              <w:pStyle w:val="Source"/>
            </w:pPr>
            <w:bookmarkStart w:id="6" w:name="dsource" w:colFirst="0" w:colLast="0"/>
            <w:bookmarkEnd w:id="5"/>
            <w:r>
              <w:t xml:space="preserve">Informe del Secretario General </w:t>
            </w:r>
          </w:p>
        </w:tc>
      </w:tr>
      <w:tr w:rsidR="00C76D38" w:rsidRPr="0070316E" w14:paraId="3D086BFA" w14:textId="77777777" w:rsidTr="00464B6C">
        <w:trPr>
          <w:cantSplit/>
        </w:trPr>
        <w:tc>
          <w:tcPr>
            <w:tcW w:w="10031" w:type="dxa"/>
            <w:gridSpan w:val="2"/>
          </w:tcPr>
          <w:p w14:paraId="2C972237" w14:textId="77777777" w:rsidR="00C76D38" w:rsidRPr="00B54D67" w:rsidRDefault="00C76D38" w:rsidP="00073635">
            <w:pPr>
              <w:pStyle w:val="Title1"/>
              <w:spacing w:after="240"/>
            </w:pPr>
            <w:bookmarkStart w:id="7" w:name="dtitle1" w:colFirst="0" w:colLast="0"/>
            <w:bookmarkEnd w:id="6"/>
            <w:r>
              <w:t>resultados de la cmr-19 con implicaciones financieras</w:t>
            </w:r>
            <w:r w:rsidRPr="00B54D67">
              <w:t xml:space="preserve"> </w:t>
            </w:r>
          </w:p>
        </w:tc>
      </w:tr>
    </w:tbl>
    <w:tbl>
      <w:tblPr>
        <w:tblW w:w="848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7"/>
      </w:tblGrid>
      <w:tr w:rsidR="00C76D38" w:rsidRPr="0070316E" w14:paraId="06BC0547" w14:textId="77777777" w:rsidTr="00F7583E">
        <w:trPr>
          <w:trHeight w:val="3372"/>
        </w:trPr>
        <w:tc>
          <w:tcPr>
            <w:tcW w:w="8487" w:type="dxa"/>
            <w:tcBorders>
              <w:top w:val="single" w:sz="12" w:space="0" w:color="auto"/>
              <w:left w:val="single" w:sz="12" w:space="0" w:color="auto"/>
              <w:bottom w:val="single" w:sz="12" w:space="0" w:color="auto"/>
              <w:right w:val="single" w:sz="12" w:space="0" w:color="auto"/>
            </w:tcBorders>
          </w:tcPr>
          <w:bookmarkEnd w:id="7"/>
          <w:p w14:paraId="0723210D" w14:textId="77777777" w:rsidR="00C76D38" w:rsidRPr="00B54D67" w:rsidRDefault="00C76D38" w:rsidP="00464B6C">
            <w:pPr>
              <w:pStyle w:val="Headingb"/>
            </w:pPr>
            <w:r>
              <w:t>Resumen</w:t>
            </w:r>
          </w:p>
          <w:p w14:paraId="69B7B148" w14:textId="5F767377" w:rsidR="00C76D38" w:rsidRPr="00B54D67" w:rsidRDefault="00C76D38" w:rsidP="008E7DF1">
            <w:r>
              <w:t xml:space="preserve">La Conferencia Mundial de Radiocomunicaciones (CMR-19), celebrada en </w:t>
            </w:r>
            <w:r w:rsidRPr="00B54D67">
              <w:t>Sharm</w:t>
            </w:r>
            <w:r w:rsidR="008E7DF1">
              <w:t> </w:t>
            </w:r>
            <w:r w:rsidRPr="00B54D67">
              <w:t>el</w:t>
            </w:r>
            <w:r w:rsidR="00894925">
              <w:noBreakHyphen/>
            </w:r>
            <w:proofErr w:type="spellStart"/>
            <w:r w:rsidRPr="00B54D67">
              <w:t>Sheikh</w:t>
            </w:r>
            <w:proofErr w:type="spellEnd"/>
            <w:r>
              <w:t xml:space="preserve"> (Egipto)</w:t>
            </w:r>
            <w:r w:rsidRPr="00B54D67">
              <w:t xml:space="preserve">, </w:t>
            </w:r>
            <w:r>
              <w:t>del</w:t>
            </w:r>
            <w:r w:rsidRPr="00B54D67">
              <w:t xml:space="preserve"> 28 </w:t>
            </w:r>
            <w:r>
              <w:t>de octubre al</w:t>
            </w:r>
            <w:r w:rsidRPr="00B54D67">
              <w:t xml:space="preserve"> 22 </w:t>
            </w:r>
            <w:r>
              <w:t>de noviembre de</w:t>
            </w:r>
            <w:r w:rsidRPr="00B54D67">
              <w:t xml:space="preserve"> 2019, adopt</w:t>
            </w:r>
            <w:r>
              <w:t>ó diversas decisiones, incluidos planes de trabajo, y creó algunas cuestiones de estudio adicionales para el nuevo ciclo de estudios.</w:t>
            </w:r>
          </w:p>
          <w:p w14:paraId="471914E3" w14:textId="0C9A024E" w:rsidR="00C76D38" w:rsidRPr="00B54D67" w:rsidRDefault="00C76D38" w:rsidP="00540F2D">
            <w:r>
              <w:t xml:space="preserve">Según figura en el Informe de la Comisión de Presupuesto </w:t>
            </w:r>
            <w:r w:rsidRPr="00B54D67">
              <w:t>(</w:t>
            </w:r>
            <w:hyperlink r:id="rId8" w:history="1">
              <w:r w:rsidR="000F099E" w:rsidRPr="00B54D67">
                <w:rPr>
                  <w:rStyle w:val="Hyperlink"/>
                </w:rPr>
                <w:t>Doc. 337(Rev.2)</w:t>
              </w:r>
            </w:hyperlink>
            <w:r w:rsidRPr="00683DD9">
              <w:t>,</w:t>
            </w:r>
            <w:r>
              <w:t xml:space="preserve"> </w:t>
            </w:r>
            <w:r w:rsidRPr="00B54D67">
              <w:t>COM</w:t>
            </w:r>
            <w:r w:rsidR="008E7DF1">
              <w:t> </w:t>
            </w:r>
            <w:r w:rsidRPr="00B54D67">
              <w:t>3</w:t>
            </w:r>
            <w:r w:rsidR="00540F2D">
              <w:rPr>
                <w:lang w:val="es-ES"/>
              </w:rPr>
              <w:t>)</w:t>
            </w:r>
            <w:r>
              <w:t xml:space="preserve"> de la Conferencia Mundial de Radiocomunicaciones (CMR-19), los trabajos de la Conferencia identificaron algunas áreas de trabajo, de estudio y de desarrollo adicionales para la implementación de las decisiones de la Conferencia</w:t>
            </w:r>
            <w:r w:rsidRPr="00540F2D">
              <w:t xml:space="preserve">. </w:t>
            </w:r>
            <w:r>
              <w:t>Los costes</w:t>
            </w:r>
            <w:r w:rsidR="00D80EC7">
              <w:t> </w:t>
            </w:r>
            <w:r>
              <w:t>estimados para completar las citadas nuevas tareas ascienden a unos</w:t>
            </w:r>
            <w:r w:rsidR="000F099E">
              <w:t xml:space="preserve"> </w:t>
            </w:r>
            <w:r>
              <w:t>1,721</w:t>
            </w:r>
            <w:r w:rsidR="000F099E">
              <w:t> </w:t>
            </w:r>
            <w:r>
              <w:t>millones CHF. La CMR-19 pidió al Secretario General que sometiera este extremo a la atención de la reunión del Consejo de 2020, para discutir acerca del método más efectivo para financiar las citadas actividades, dado que deben concluirse antes de la Conferencia Mundial de Radiocomunicaciones programada en2023 (CMR-23). En el cuerpo del presente documento se recogen las decisiones de la Conferencia que incluyen atribuciones estimadas y justificaciones</w:t>
            </w:r>
            <w:r w:rsidRPr="00B54D67">
              <w:t>.</w:t>
            </w:r>
          </w:p>
          <w:p w14:paraId="28431A5D" w14:textId="3392298E" w:rsidR="00C76D38" w:rsidRPr="00B54D67" w:rsidRDefault="00C76D38" w:rsidP="008E7DF1">
            <w:r>
              <w:t>La reunión d</w:t>
            </w:r>
            <w:r w:rsidRPr="00C912F0">
              <w:t>el Grupo de Trabajo del Consejo sobre recursos humanos y financieros (GTC-RHF)</w:t>
            </w:r>
            <w:r w:rsidRPr="00B54D67">
              <w:t xml:space="preserve">, </w:t>
            </w:r>
            <w:r>
              <w:t>que tuvo lugar en febrero de 2020, examinó esta cuestión y llegó a la conclusión de que la solicitud debía someterse a la reunión del Consejo-20.</w:t>
            </w:r>
          </w:p>
          <w:p w14:paraId="315729B8" w14:textId="77777777" w:rsidR="00C76D38" w:rsidRPr="00B54D67" w:rsidRDefault="00C76D38" w:rsidP="00567652">
            <w:pPr>
              <w:pStyle w:val="Headingb"/>
              <w:jc w:val="both"/>
            </w:pPr>
            <w:r w:rsidRPr="00B54D67">
              <w:t xml:space="preserve">Acción </w:t>
            </w:r>
            <w:r>
              <w:t>solicitada</w:t>
            </w:r>
          </w:p>
          <w:p w14:paraId="77E839B4" w14:textId="095101C8" w:rsidR="00C76D38" w:rsidRPr="00B54D67" w:rsidRDefault="00C76D38" w:rsidP="008E7DF1">
            <w:r>
              <w:t xml:space="preserve">Se invita al Consejo a </w:t>
            </w:r>
            <w:r w:rsidRPr="00C912F0">
              <w:rPr>
                <w:b/>
                <w:bCs/>
              </w:rPr>
              <w:t>autorizar</w:t>
            </w:r>
            <w:r>
              <w:t xml:space="preserve"> al Secretario General a adoptar las medidas pertinentes con carácter prioritario para atribuir fondos a partir de ahorros anuales generados durante la implementación del Presupuesto en 2020, o a </w:t>
            </w:r>
            <w:r w:rsidRPr="00C912F0">
              <w:rPr>
                <w:b/>
                <w:bCs/>
              </w:rPr>
              <w:t>solicitar</w:t>
            </w:r>
            <w:r>
              <w:t xml:space="preserve"> contribuciones voluntarias, o una </w:t>
            </w:r>
            <w:r w:rsidRPr="00C912F0">
              <w:t>retira</w:t>
            </w:r>
            <w:r>
              <w:t>da de</w:t>
            </w:r>
            <w:r w:rsidRPr="00C912F0">
              <w:t xml:space="preserve"> fondos de la Cuenta de Provisión</w:t>
            </w:r>
            <w:r>
              <w:t xml:space="preserve"> como última opción en el próximo ciclo presupuestario.</w:t>
            </w:r>
          </w:p>
          <w:p w14:paraId="22FAA1A2" w14:textId="77777777" w:rsidR="00C76D38" w:rsidRPr="00B54D67" w:rsidRDefault="00C76D38" w:rsidP="00464B6C">
            <w:pPr>
              <w:pStyle w:val="Table"/>
              <w:keepNext w:val="0"/>
              <w:spacing w:before="0" w:after="0"/>
              <w:rPr>
                <w:caps w:val="0"/>
                <w:sz w:val="22"/>
                <w:lang w:val="es-ES_tradnl"/>
              </w:rPr>
            </w:pPr>
            <w:r w:rsidRPr="00B54D67">
              <w:rPr>
                <w:caps w:val="0"/>
                <w:sz w:val="22"/>
                <w:lang w:val="es-ES_tradnl"/>
              </w:rPr>
              <w:t>____________</w:t>
            </w:r>
          </w:p>
          <w:p w14:paraId="0417856B" w14:textId="77777777" w:rsidR="00C76D38" w:rsidRPr="00B54D67" w:rsidRDefault="00C76D38" w:rsidP="00464B6C">
            <w:pPr>
              <w:pStyle w:val="Headingb"/>
            </w:pPr>
            <w:r>
              <w:t>Referencias</w:t>
            </w:r>
          </w:p>
          <w:p w14:paraId="15660AE1" w14:textId="2B634DEC" w:rsidR="00C76D38" w:rsidRPr="00B54D67" w:rsidRDefault="0049745A" w:rsidP="00540F2D">
            <w:pPr>
              <w:spacing w:before="0" w:after="120"/>
              <w:rPr>
                <w:i/>
                <w:iCs/>
              </w:rPr>
            </w:pPr>
            <w:hyperlink r:id="rId9" w:history="1">
              <w:r w:rsidR="00C76D38" w:rsidRPr="00B54D67">
                <w:rPr>
                  <w:rStyle w:val="Hyperlink"/>
                </w:rPr>
                <w:t>Doc. 337(Rev.2)</w:t>
              </w:r>
            </w:hyperlink>
            <w:r w:rsidR="00C76D38" w:rsidRPr="00373187">
              <w:rPr>
                <w:rStyle w:val="Hyperlink"/>
                <w:u w:val="none"/>
              </w:rPr>
              <w:t xml:space="preserve">, </w:t>
            </w:r>
            <w:hyperlink r:id="rId10" w:history="1">
              <w:r w:rsidR="00C76D38" w:rsidRPr="00B54D67">
                <w:rPr>
                  <w:rStyle w:val="Hyperlink"/>
                </w:rPr>
                <w:t>CWG-FHR-11</w:t>
              </w:r>
            </w:hyperlink>
            <w:r w:rsidR="00C76D38" w:rsidRPr="00B54D67">
              <w:rPr>
                <w:rStyle w:val="Hyperlink"/>
              </w:rPr>
              <w:t>/5</w:t>
            </w:r>
          </w:p>
        </w:tc>
      </w:tr>
    </w:tbl>
    <w:p w14:paraId="7623165C" w14:textId="77777777" w:rsidR="00C76D38" w:rsidRPr="00B54D67" w:rsidRDefault="00C76D38" w:rsidP="00DB384B">
      <w:bookmarkStart w:id="8" w:name="dstart"/>
      <w:bookmarkStart w:id="9" w:name="dbreak"/>
      <w:bookmarkEnd w:id="8"/>
      <w:bookmarkEnd w:id="9"/>
    </w:p>
    <w:p w14:paraId="3B1DAFA6" w14:textId="1D8C3F9A" w:rsidR="00C76D38" w:rsidRPr="00B54D67" w:rsidRDefault="006A79D5" w:rsidP="006A79D5">
      <w:pPr>
        <w:pStyle w:val="Heading1"/>
      </w:pPr>
      <w:r>
        <w:lastRenderedPageBreak/>
        <w:t>1</w:t>
      </w:r>
      <w:r>
        <w:tab/>
      </w:r>
      <w:proofErr w:type="gramStart"/>
      <w:r w:rsidR="00C76D38" w:rsidRPr="00B54D67">
        <w:t>Introducción</w:t>
      </w:r>
      <w:proofErr w:type="gramEnd"/>
    </w:p>
    <w:p w14:paraId="7CE84041" w14:textId="77777777" w:rsidR="00C76D38" w:rsidRPr="00E32320" w:rsidRDefault="00C76D38" w:rsidP="008E7DF1">
      <w:r w:rsidRPr="00E32320">
        <w:t>La Conferencia Mundial de Radiocomunicaciones, celebrada en Sharm el-</w:t>
      </w:r>
      <w:proofErr w:type="spellStart"/>
      <w:r w:rsidRPr="00E32320">
        <w:t>Sheikh</w:t>
      </w:r>
      <w:proofErr w:type="spellEnd"/>
      <w:r w:rsidRPr="00E32320">
        <w:t xml:space="preserve"> (Egipto) del 28 de octubre al 22 de noviembre de 2019, adoptó algunas decisiones sobre nuevas actividades, estudios y mejora de los sistemas e infraestructuras existentes para que la Oficina de Radiocomunicaciones pu</w:t>
      </w:r>
      <w:r>
        <w:t>dier</w:t>
      </w:r>
      <w:r w:rsidRPr="00E32320">
        <w:t>a responder de manera oportuna a las demandas de los miembros y abordar también cuestiones estratégicas que requerirán la atención de la CMR-23.</w:t>
      </w:r>
    </w:p>
    <w:p w14:paraId="74F5EC5B" w14:textId="2163E7FE" w:rsidR="00C76D38" w:rsidRDefault="00C76D38" w:rsidP="008E7DF1">
      <w:r w:rsidRPr="00E32320">
        <w:t>La CMR-19 identificó estas actividades como áreas prioritarias para el UIT-R</w:t>
      </w:r>
      <w:r>
        <w:t>,</w:t>
      </w:r>
      <w:r w:rsidRPr="00E32320">
        <w:t xml:space="preserve"> y la Oficina de Radiocomunicaciones tiene el mandato de </w:t>
      </w:r>
      <w:r>
        <w:t>implementar</w:t>
      </w:r>
      <w:r w:rsidRPr="00E32320">
        <w:t xml:space="preserve"> estas actividades e informar a la próxima Conferencia (CMR</w:t>
      </w:r>
      <w:r>
        <w:t>-</w:t>
      </w:r>
      <w:r w:rsidRPr="00E32320">
        <w:t>23).</w:t>
      </w:r>
    </w:p>
    <w:p w14:paraId="19794AE2" w14:textId="10C7B92B" w:rsidR="00C76D38" w:rsidRPr="00B54D67" w:rsidRDefault="00C76D38" w:rsidP="006A79D5">
      <w:r>
        <w:t>Dado que</w:t>
      </w:r>
      <w:r w:rsidRPr="00E32320">
        <w:t xml:space="preserve"> esto excede </w:t>
      </w:r>
      <w:r>
        <w:t>d</w:t>
      </w:r>
      <w:r w:rsidRPr="00E32320">
        <w:t xml:space="preserve">el presupuesto asignado a la </w:t>
      </w:r>
      <w:r>
        <w:t>Oficina</w:t>
      </w:r>
      <w:r w:rsidRPr="00E32320">
        <w:t xml:space="preserve">, se propone que el Consejo considere </w:t>
      </w:r>
      <w:r>
        <w:t>este</w:t>
      </w:r>
      <w:r w:rsidRPr="00E32320">
        <w:t xml:space="preserve"> asunto </w:t>
      </w:r>
      <w:r>
        <w:t xml:space="preserve">con carácter </w:t>
      </w:r>
      <w:r w:rsidRPr="00E32320">
        <w:t xml:space="preserve">prioritario, </w:t>
      </w:r>
      <w:r>
        <w:t>arbitrando</w:t>
      </w:r>
      <w:r w:rsidRPr="00E32320">
        <w:t xml:space="preserve"> medios para financiar estas actividades, observando que el plazo de </w:t>
      </w:r>
      <w:r>
        <w:t>implementación</w:t>
      </w:r>
      <w:r w:rsidRPr="00E32320">
        <w:t xml:space="preserve"> es corto y requiere una acción inmediata. A </w:t>
      </w:r>
      <w:r w:rsidR="006A79D5" w:rsidRPr="00E32320">
        <w:t>continuación,</w:t>
      </w:r>
      <w:r w:rsidRPr="00E32320">
        <w:t xml:space="preserve"> se exponen las opciones propuestas para que las examine el Consejo:</w:t>
      </w:r>
    </w:p>
    <w:p w14:paraId="5D3A8243" w14:textId="27959232" w:rsidR="00C76D38" w:rsidRPr="00B54D67" w:rsidRDefault="00373187" w:rsidP="00373187">
      <w:pPr>
        <w:pStyle w:val="enumlev1"/>
        <w:rPr>
          <w:b/>
        </w:rPr>
      </w:pPr>
      <w:bookmarkStart w:id="10" w:name="_Hlk34642833"/>
      <w:r>
        <w:t>•</w:t>
      </w:r>
      <w:r>
        <w:tab/>
      </w:r>
      <w:r w:rsidR="00C76D38" w:rsidRPr="00B54D67">
        <w:t>Aut</w:t>
      </w:r>
      <w:r w:rsidR="00C76D38">
        <w:t xml:space="preserve">orizar al Secretario General </w:t>
      </w:r>
      <w:bookmarkEnd w:id="10"/>
      <w:r w:rsidR="00C76D38">
        <w:t>destinar con carácter prioritario fondos procedentes de ahorros para estas actividades</w:t>
      </w:r>
      <w:r w:rsidR="00C76D38" w:rsidRPr="00B54D67">
        <w:t>;</w:t>
      </w:r>
    </w:p>
    <w:p w14:paraId="28A42D17" w14:textId="59175B72" w:rsidR="00C76D38" w:rsidRPr="00B54D67" w:rsidRDefault="00373187" w:rsidP="00373187">
      <w:pPr>
        <w:pStyle w:val="enumlev1"/>
        <w:rPr>
          <w:b/>
          <w:bCs/>
        </w:rPr>
      </w:pPr>
      <w:r w:rsidRPr="00373187">
        <w:rPr>
          <w:b/>
          <w:bCs/>
        </w:rPr>
        <w:t>•</w:t>
      </w:r>
      <w:r>
        <w:rPr>
          <w:b/>
          <w:bCs/>
        </w:rPr>
        <w:tab/>
      </w:r>
      <w:r w:rsidR="00C76D38" w:rsidRPr="00B54D67">
        <w:rPr>
          <w:bCs/>
        </w:rPr>
        <w:t>Aut</w:t>
      </w:r>
      <w:r w:rsidR="00C76D38">
        <w:rPr>
          <w:bCs/>
        </w:rPr>
        <w:t>orizar al Secretario General y al</w:t>
      </w:r>
      <w:r w:rsidR="00C76D38" w:rsidRPr="00B54D67">
        <w:rPr>
          <w:bCs/>
        </w:rPr>
        <w:t xml:space="preserve"> </w:t>
      </w:r>
      <w:proofErr w:type="gramStart"/>
      <w:r w:rsidR="00C76D38" w:rsidRPr="00B54D67">
        <w:rPr>
          <w:bCs/>
        </w:rPr>
        <w:t>Director</w:t>
      </w:r>
      <w:proofErr w:type="gramEnd"/>
      <w:r w:rsidR="00C76D38" w:rsidRPr="00B54D67">
        <w:rPr>
          <w:bCs/>
        </w:rPr>
        <w:t xml:space="preserve"> </w:t>
      </w:r>
      <w:r w:rsidR="00C76D38">
        <w:rPr>
          <w:bCs/>
        </w:rPr>
        <w:t>de la Oficina de Radiocomunicaciones a buscar subvenciones financieras para parte de las labores implicadas en la implementación de algunos de los componentes orientados a proyectos ligados a estas decisiones.</w:t>
      </w:r>
    </w:p>
    <w:p w14:paraId="3D62A2A6" w14:textId="01678D53" w:rsidR="00C76D38" w:rsidRPr="00B54D67" w:rsidRDefault="00373187" w:rsidP="00373187">
      <w:pPr>
        <w:pStyle w:val="enumlev1"/>
        <w:rPr>
          <w:b/>
          <w:bCs/>
        </w:rPr>
      </w:pPr>
      <w:r w:rsidRPr="00373187">
        <w:rPr>
          <w:b/>
          <w:bCs/>
        </w:rPr>
        <w:t>•</w:t>
      </w:r>
      <w:r>
        <w:rPr>
          <w:b/>
          <w:bCs/>
        </w:rPr>
        <w:tab/>
      </w:r>
      <w:r w:rsidR="00C76D38" w:rsidRPr="00373187">
        <w:t>Autorizar</w:t>
      </w:r>
      <w:r w:rsidR="00C76D38" w:rsidRPr="00E32320">
        <w:rPr>
          <w:bCs/>
        </w:rPr>
        <w:t xml:space="preserve"> al Secretario General a incluir cualquier gasto recurrente en el próximo ciclo del presupuesto ordinario</w:t>
      </w:r>
      <w:r w:rsidR="00C76D38">
        <w:rPr>
          <w:bCs/>
        </w:rPr>
        <w:t>.</w:t>
      </w:r>
    </w:p>
    <w:p w14:paraId="0C06853D" w14:textId="04C8489A" w:rsidR="00C76D38" w:rsidRPr="00B54D67" w:rsidRDefault="006A79D5" w:rsidP="006A79D5">
      <w:pPr>
        <w:pStyle w:val="Heading1"/>
      </w:pPr>
      <w:r>
        <w:t>2</w:t>
      </w:r>
      <w:r>
        <w:tab/>
      </w:r>
      <w:proofErr w:type="gramStart"/>
      <w:r w:rsidR="00C76D38">
        <w:t>Implicaciones</w:t>
      </w:r>
      <w:proofErr w:type="gramEnd"/>
      <w:r w:rsidR="00C76D38" w:rsidRPr="00E32320">
        <w:t xml:space="preserve"> financieras de las Decisiones o Resoluciones de la Conferencia </w:t>
      </w:r>
      <w:r w:rsidR="00C76D38" w:rsidRPr="00B54D67">
        <w:t>(</w:t>
      </w:r>
      <w:r w:rsidR="00C76D38">
        <w:t>CMR</w:t>
      </w:r>
      <w:r w:rsidR="00C76D38" w:rsidRPr="00B54D67">
        <w:t>-19) (Document</w:t>
      </w:r>
      <w:r w:rsidR="00C76D38">
        <w:t xml:space="preserve">o </w:t>
      </w:r>
      <w:r w:rsidR="00C76D38" w:rsidRPr="00B54D67">
        <w:t>493)</w:t>
      </w:r>
    </w:p>
    <w:p w14:paraId="71321AD9" w14:textId="77777777" w:rsidR="00C76D38"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Resolución 35 (CMR</w:t>
      </w:r>
      <w:r w:rsidRPr="0008347F">
        <w:rPr>
          <w:rFonts w:asciiTheme="minorHAnsi" w:hAnsiTheme="minorHAnsi"/>
        </w:rPr>
        <w:noBreakHyphen/>
        <w:t>19), Enfoque basado en objetivos intermedios para la implementación de asignaciones de frecuencia a estaciones espaciales de sistemas de satélites en una órbita de satélites no geoestacionarios en ciertas bandas de frecuencias y servicios.</w:t>
      </w:r>
    </w:p>
    <w:p w14:paraId="2A3CDEAF" w14:textId="77777777" w:rsidR="00C76D38" w:rsidRPr="00393FD7" w:rsidRDefault="00C76D38" w:rsidP="008E7DF1">
      <w:r w:rsidRPr="00393FD7">
        <w:rPr>
          <w:lang w:val="es-ES"/>
        </w:rPr>
        <w:t>Las consecuencias financieras de la puesta en práctica de este proyecto de Resolución se estiman en 340 000 CHF. Esta estimación concierne a</w:t>
      </w:r>
      <w:r>
        <w:rPr>
          <w:lang w:val="es-ES"/>
        </w:rPr>
        <w:t>l</w:t>
      </w:r>
      <w:r w:rsidRPr="00393FD7">
        <w:rPr>
          <w:lang w:val="es-ES"/>
        </w:rPr>
        <w:t xml:space="preserve"> desarrollo del </w:t>
      </w:r>
      <w:r w:rsidRPr="00393FD7">
        <w:rPr>
          <w:i/>
          <w:iCs/>
          <w:lang w:val="es-ES"/>
        </w:rPr>
        <w:t>software</w:t>
      </w:r>
      <w:r w:rsidRPr="00393FD7">
        <w:rPr>
          <w:lang w:val="es-ES"/>
        </w:rPr>
        <w:t xml:space="preserve"> con la ayuda de recursos externos (el Documento </w:t>
      </w:r>
      <w:hyperlink r:id="rId11" w:history="1">
        <w:r w:rsidRPr="00393FD7">
          <w:rPr>
            <w:color w:val="0000FF"/>
            <w:u w:val="single"/>
            <w:lang w:val="es-ES"/>
          </w:rPr>
          <w:t>453</w:t>
        </w:r>
      </w:hyperlink>
      <w:r w:rsidRPr="00393FD7">
        <w:rPr>
          <w:lang w:val="es-ES"/>
        </w:rPr>
        <w:t xml:space="preserve"> y el Cuadro 1 contienen información más detallada).</w:t>
      </w:r>
    </w:p>
    <w:p w14:paraId="7C37B01E" w14:textId="77777777" w:rsidR="00C76D38"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Resolución 169 (CMR-19), Utilización de las bandas de frecuencias 17,7-19,7 GHz y 27,5 29,5 GHz por estaciones terrenas en movimiento que se comunican con estaciones espaciales geoestacionarias en el servicio fijo por satélite</w:t>
      </w:r>
    </w:p>
    <w:p w14:paraId="7F6C7936" w14:textId="77777777" w:rsidR="00C76D38" w:rsidRPr="00393FD7" w:rsidRDefault="00C76D38" w:rsidP="008E7DF1">
      <w:bookmarkStart w:id="11" w:name="_Hlk34644167"/>
      <w:r w:rsidRPr="00393FD7">
        <w:rPr>
          <w:lang w:val="es-ES"/>
        </w:rPr>
        <w:t xml:space="preserve">Las consecuencias financieras de la puesta en práctica de este proyecto de Resolución se estiman en 85 000 CHF (el Documento </w:t>
      </w:r>
      <w:hyperlink r:id="rId12" w:history="1">
        <w:r w:rsidRPr="00393FD7">
          <w:rPr>
            <w:color w:val="0000FF"/>
            <w:u w:val="single"/>
            <w:lang w:val="es-ES"/>
          </w:rPr>
          <w:t>463</w:t>
        </w:r>
      </w:hyperlink>
      <w:r w:rsidRPr="00393FD7">
        <w:rPr>
          <w:lang w:val="es-ES"/>
        </w:rPr>
        <w:t xml:space="preserve"> y el Cuadro 1 contienen información más detallada). Esta estimación concierne a</w:t>
      </w:r>
      <w:r>
        <w:rPr>
          <w:lang w:val="es-ES"/>
        </w:rPr>
        <w:t>l</w:t>
      </w:r>
      <w:r w:rsidRPr="00393FD7">
        <w:rPr>
          <w:lang w:val="es-ES"/>
        </w:rPr>
        <w:t xml:space="preserve"> desarrollo del </w:t>
      </w:r>
      <w:r w:rsidRPr="00393FD7">
        <w:rPr>
          <w:i/>
          <w:iCs/>
          <w:lang w:val="es-ES"/>
        </w:rPr>
        <w:t>software</w:t>
      </w:r>
      <w:r w:rsidRPr="00393FD7">
        <w:rPr>
          <w:lang w:val="es-ES"/>
        </w:rPr>
        <w:t>.</w:t>
      </w:r>
      <w:bookmarkEnd w:id="11"/>
    </w:p>
    <w:p w14:paraId="7F7318CE" w14:textId="77777777" w:rsidR="00C76D38"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 xml:space="preserve">Modificaciones de los números 9.36 y 9.53A y de los Apéndices 30, 30A y 30B del RR </w:t>
      </w:r>
    </w:p>
    <w:p w14:paraId="7D8B9157" w14:textId="3F559518" w:rsidR="00C76D38" w:rsidRPr="00393FD7" w:rsidRDefault="00C76D38" w:rsidP="008E7DF1">
      <w:r w:rsidRPr="00393FD7">
        <w:rPr>
          <w:lang w:val="es-ES"/>
        </w:rPr>
        <w:t xml:space="preserve">Las consecuencias financieras de las modificaciones de los números </w:t>
      </w:r>
      <w:r w:rsidRPr="00393FD7">
        <w:rPr>
          <w:b/>
          <w:bCs/>
          <w:szCs w:val="24"/>
          <w:lang w:val="es-ES"/>
        </w:rPr>
        <w:t xml:space="preserve">9.36 </w:t>
      </w:r>
      <w:r w:rsidRPr="00393FD7">
        <w:rPr>
          <w:b/>
          <w:szCs w:val="24"/>
          <w:lang w:val="es-ES"/>
        </w:rPr>
        <w:t>y</w:t>
      </w:r>
      <w:r w:rsidRPr="00393FD7">
        <w:rPr>
          <w:b/>
          <w:bCs/>
          <w:szCs w:val="24"/>
          <w:lang w:val="es-ES"/>
        </w:rPr>
        <w:t xml:space="preserve"> 9.53A</w:t>
      </w:r>
      <w:r w:rsidRPr="00393FD7">
        <w:rPr>
          <w:lang w:val="es-ES"/>
        </w:rPr>
        <w:t xml:space="preserve"> y de los Apéndices</w:t>
      </w:r>
      <w:r w:rsidR="006A79D5">
        <w:rPr>
          <w:lang w:val="es-ES"/>
        </w:rPr>
        <w:t> </w:t>
      </w:r>
      <w:r w:rsidRPr="00393FD7">
        <w:rPr>
          <w:b/>
          <w:bCs/>
          <w:lang w:val="es-ES"/>
        </w:rPr>
        <w:t>30</w:t>
      </w:r>
      <w:r w:rsidRPr="00393FD7">
        <w:rPr>
          <w:lang w:val="es-ES"/>
        </w:rPr>
        <w:t xml:space="preserve">, </w:t>
      </w:r>
      <w:r w:rsidRPr="00393FD7">
        <w:rPr>
          <w:b/>
          <w:bCs/>
          <w:lang w:val="es-ES"/>
        </w:rPr>
        <w:t>30A</w:t>
      </w:r>
      <w:r w:rsidRPr="00393FD7">
        <w:rPr>
          <w:lang w:val="es-ES"/>
        </w:rPr>
        <w:t xml:space="preserve"> y </w:t>
      </w:r>
      <w:r w:rsidRPr="00393FD7">
        <w:rPr>
          <w:b/>
          <w:bCs/>
          <w:lang w:val="es-ES"/>
        </w:rPr>
        <w:t>30B</w:t>
      </w:r>
      <w:r w:rsidRPr="00393FD7">
        <w:rPr>
          <w:lang w:val="es-ES"/>
        </w:rPr>
        <w:t xml:space="preserve"> del RR se estiman en 200 000 CHF (los Documentos </w:t>
      </w:r>
      <w:hyperlink r:id="rId13" w:history="1">
        <w:r w:rsidRPr="00393FD7">
          <w:rPr>
            <w:color w:val="0000FF"/>
            <w:u w:val="single"/>
            <w:lang w:val="es-ES"/>
          </w:rPr>
          <w:t>325</w:t>
        </w:r>
      </w:hyperlink>
      <w:r w:rsidRPr="00393FD7">
        <w:rPr>
          <w:lang w:val="es-ES"/>
        </w:rPr>
        <w:t xml:space="preserve">, </w:t>
      </w:r>
      <w:hyperlink r:id="rId14" w:history="1">
        <w:r w:rsidRPr="00393FD7">
          <w:rPr>
            <w:color w:val="0000FF"/>
            <w:u w:val="single"/>
            <w:lang w:val="es-ES"/>
          </w:rPr>
          <w:t>190</w:t>
        </w:r>
      </w:hyperlink>
      <w:r w:rsidRPr="00393FD7">
        <w:rPr>
          <w:lang w:val="es-ES"/>
        </w:rPr>
        <w:t xml:space="preserve">, </w:t>
      </w:r>
      <w:hyperlink r:id="rId15" w:history="1">
        <w:r w:rsidRPr="00393FD7">
          <w:rPr>
            <w:color w:val="0000FF"/>
            <w:u w:val="single"/>
            <w:lang w:val="es-ES"/>
          </w:rPr>
          <w:t>332</w:t>
        </w:r>
      </w:hyperlink>
      <w:r w:rsidRPr="00393FD7">
        <w:rPr>
          <w:lang w:val="es-ES"/>
        </w:rPr>
        <w:t xml:space="preserve">, </w:t>
      </w:r>
      <w:hyperlink r:id="rId16" w:history="1">
        <w:r w:rsidRPr="00393FD7">
          <w:rPr>
            <w:color w:val="0000FF"/>
            <w:u w:val="single"/>
            <w:lang w:val="es-ES"/>
          </w:rPr>
          <w:t>491</w:t>
        </w:r>
      </w:hyperlink>
      <w:r w:rsidRPr="00393FD7">
        <w:rPr>
          <w:lang w:val="es-ES"/>
        </w:rPr>
        <w:t xml:space="preserve">, </w:t>
      </w:r>
      <w:hyperlink r:id="rId17" w:history="1">
        <w:r w:rsidRPr="00393FD7">
          <w:rPr>
            <w:color w:val="0000FF"/>
            <w:u w:val="single"/>
            <w:lang w:val="es-ES"/>
          </w:rPr>
          <w:t>492</w:t>
        </w:r>
      </w:hyperlink>
      <w:r w:rsidRPr="00393FD7">
        <w:rPr>
          <w:lang w:val="es-ES"/>
        </w:rPr>
        <w:t xml:space="preserve"> y el Cuadro</w:t>
      </w:r>
      <w:r w:rsidR="006A79D5">
        <w:rPr>
          <w:lang w:val="es-ES"/>
        </w:rPr>
        <w:t> </w:t>
      </w:r>
      <w:r w:rsidRPr="00393FD7">
        <w:rPr>
          <w:lang w:val="es-ES"/>
        </w:rPr>
        <w:t>1 contienen información más detallada).</w:t>
      </w:r>
    </w:p>
    <w:p w14:paraId="6E53B635" w14:textId="58C88A0A" w:rsidR="00C76D38" w:rsidRPr="0008347F" w:rsidRDefault="00C76D38" w:rsidP="0008347F">
      <w:pPr>
        <w:pStyle w:val="Headingb"/>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lastRenderedPageBreak/>
        <w:t>Resolución 245 (CMR-19), Estudios sobre asuntos relacionados con las frecuencias para la componente terrenal de la identificación de las telecomunicaciones móviles internacionales (IMT) en bandas de frecuencias específicas 3 300-3 400 MHz, 3 600</w:t>
      </w:r>
      <w:r w:rsidR="00373187" w:rsidRPr="0008347F">
        <w:rPr>
          <w:rFonts w:asciiTheme="minorHAnsi" w:hAnsiTheme="minorHAnsi"/>
        </w:rPr>
        <w:t>-</w:t>
      </w:r>
      <w:r w:rsidRPr="0008347F">
        <w:rPr>
          <w:rFonts w:asciiTheme="minorHAnsi" w:hAnsiTheme="minorHAnsi"/>
        </w:rPr>
        <w:t>3 800 MHz, 6 425-7 025 MHz, 7</w:t>
      </w:r>
      <w:r w:rsidR="00373187" w:rsidRPr="0008347F">
        <w:rPr>
          <w:rFonts w:asciiTheme="minorHAnsi" w:hAnsiTheme="minorHAnsi"/>
        </w:rPr>
        <w:t> </w:t>
      </w:r>
      <w:r w:rsidRPr="0008347F">
        <w:rPr>
          <w:rFonts w:asciiTheme="minorHAnsi" w:hAnsiTheme="minorHAnsi"/>
        </w:rPr>
        <w:t>025</w:t>
      </w:r>
      <w:r w:rsidR="00373187" w:rsidRPr="0008347F">
        <w:rPr>
          <w:rFonts w:asciiTheme="minorHAnsi" w:hAnsiTheme="minorHAnsi"/>
        </w:rPr>
        <w:noBreakHyphen/>
      </w:r>
      <w:r w:rsidRPr="0008347F">
        <w:rPr>
          <w:rFonts w:asciiTheme="minorHAnsi" w:hAnsiTheme="minorHAnsi"/>
        </w:rPr>
        <w:t>7</w:t>
      </w:r>
      <w:r w:rsidR="00373187" w:rsidRPr="0008347F">
        <w:rPr>
          <w:rFonts w:asciiTheme="minorHAnsi" w:hAnsiTheme="minorHAnsi"/>
        </w:rPr>
        <w:t> </w:t>
      </w:r>
      <w:r w:rsidRPr="0008347F">
        <w:rPr>
          <w:rFonts w:asciiTheme="minorHAnsi" w:hAnsiTheme="minorHAnsi"/>
        </w:rPr>
        <w:t>125 MHz, y 10,0-10,5 GHz</w:t>
      </w:r>
    </w:p>
    <w:p w14:paraId="1C81F5FC" w14:textId="3FF72727" w:rsidR="00C76D38" w:rsidRPr="00B54D67" w:rsidRDefault="00C76D38" w:rsidP="008E7DF1">
      <w:r w:rsidRPr="00393FD7">
        <w:t xml:space="preserve">Las consecuencias financieras de la </w:t>
      </w:r>
      <w:r>
        <w:t>implementación de esta nueva</w:t>
      </w:r>
      <w:r w:rsidRPr="00393FD7">
        <w:t xml:space="preserve"> Resolución se estiman en</w:t>
      </w:r>
      <w:r w:rsidR="0008347F">
        <w:t> </w:t>
      </w:r>
      <w:r w:rsidRPr="00393FD7">
        <w:t>456</w:t>
      </w:r>
      <w:r w:rsidR="00373187">
        <w:t> </w:t>
      </w:r>
      <w:r w:rsidRPr="00393FD7">
        <w:t>000 CHF</w:t>
      </w:r>
      <w:r>
        <w:t>, que incluyen días de reunión adicionales, costes de interpretación y de la traducción de la documentación técnica.</w:t>
      </w:r>
    </w:p>
    <w:p w14:paraId="40C67939" w14:textId="6B74AFEE" w:rsidR="00C76D38"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Resolución 235 (CMR-15), Revisión de la utilización del espectro de la banda de frecuencias</w:t>
      </w:r>
      <w:r w:rsidR="008E7DF1">
        <w:rPr>
          <w:rFonts w:asciiTheme="minorHAnsi" w:hAnsiTheme="minorHAnsi"/>
        </w:rPr>
        <w:t> </w:t>
      </w:r>
      <w:r w:rsidRPr="0008347F">
        <w:rPr>
          <w:rFonts w:asciiTheme="minorHAnsi" w:hAnsiTheme="minorHAnsi"/>
        </w:rPr>
        <w:t>470</w:t>
      </w:r>
      <w:r w:rsidR="00373187" w:rsidRPr="0008347F">
        <w:rPr>
          <w:rFonts w:asciiTheme="minorHAnsi" w:hAnsiTheme="minorHAnsi"/>
        </w:rPr>
        <w:noBreakHyphen/>
      </w:r>
      <w:r w:rsidRPr="0008347F">
        <w:rPr>
          <w:rFonts w:asciiTheme="minorHAnsi" w:hAnsiTheme="minorHAnsi"/>
        </w:rPr>
        <w:t>960 MHz en la Región 1, al que se hace referencia en el punto 1.5 del orden del día de la</w:t>
      </w:r>
      <w:r w:rsidR="00373187" w:rsidRPr="0008347F">
        <w:rPr>
          <w:rFonts w:asciiTheme="minorHAnsi" w:hAnsiTheme="minorHAnsi"/>
        </w:rPr>
        <w:t> </w:t>
      </w:r>
      <w:r w:rsidRPr="0008347F">
        <w:rPr>
          <w:rFonts w:asciiTheme="minorHAnsi" w:hAnsiTheme="minorHAnsi"/>
        </w:rPr>
        <w:t>CMR</w:t>
      </w:r>
      <w:r w:rsidR="00373187" w:rsidRPr="0008347F">
        <w:rPr>
          <w:rFonts w:asciiTheme="minorHAnsi" w:hAnsiTheme="minorHAnsi"/>
        </w:rPr>
        <w:noBreakHyphen/>
      </w:r>
      <w:r w:rsidRPr="0008347F">
        <w:rPr>
          <w:rFonts w:asciiTheme="minorHAnsi" w:hAnsiTheme="minorHAnsi"/>
        </w:rPr>
        <w:t>23 en relación con la revisión de la utilización del espectro de la banda de frecuencias</w:t>
      </w:r>
      <w:r w:rsidR="008E7DF1">
        <w:rPr>
          <w:rFonts w:asciiTheme="minorHAnsi" w:hAnsiTheme="minorHAnsi"/>
        </w:rPr>
        <w:t xml:space="preserve"> </w:t>
      </w:r>
      <w:r w:rsidRPr="0008347F">
        <w:rPr>
          <w:rFonts w:asciiTheme="minorHAnsi" w:hAnsiTheme="minorHAnsi"/>
        </w:rPr>
        <w:t>470</w:t>
      </w:r>
      <w:r w:rsidR="00373187" w:rsidRPr="0008347F">
        <w:rPr>
          <w:rFonts w:asciiTheme="minorHAnsi" w:hAnsiTheme="minorHAnsi"/>
        </w:rPr>
        <w:noBreakHyphen/>
      </w:r>
      <w:r w:rsidRPr="0008347F">
        <w:rPr>
          <w:rFonts w:asciiTheme="minorHAnsi" w:hAnsiTheme="minorHAnsi"/>
        </w:rPr>
        <w:t>960 MHz en la Región 1</w:t>
      </w:r>
    </w:p>
    <w:p w14:paraId="19254DC9" w14:textId="768E22FC" w:rsidR="00C76D38" w:rsidRPr="00B54D67" w:rsidRDefault="00C76D38" w:rsidP="008E7DF1">
      <w:r w:rsidRPr="00393FD7">
        <w:t>Las consecuencias financieras de la puesta en práctica de este proyecto de Resolución se estiman en 340 000 CHF</w:t>
      </w:r>
      <w:r w:rsidRPr="00B54D67">
        <w:t xml:space="preserve">, </w:t>
      </w:r>
      <w:r w:rsidRPr="00393FD7">
        <w:t>que incluyen días de reunión adicionales, costes de interpretación y de la traducción de la documentación técnica.</w:t>
      </w:r>
    </w:p>
    <w:p w14:paraId="4725D5D6" w14:textId="77777777" w:rsidR="00C76D38"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Resoluciones y disposiciones adoptadas por la CMR-19 en relación con el punto 1.6 del orden del día de la CMR-19 (SFS no OSG):</w:t>
      </w:r>
    </w:p>
    <w:p w14:paraId="118946F7" w14:textId="68F71838" w:rsidR="00C76D38" w:rsidRPr="00373187" w:rsidRDefault="00373187" w:rsidP="00373187">
      <w:pPr>
        <w:pStyle w:val="enumlev1"/>
        <w:rPr>
          <w:b/>
          <w:bCs/>
        </w:rPr>
      </w:pPr>
      <w:r>
        <w:t>•</w:t>
      </w:r>
      <w:r>
        <w:tab/>
      </w:r>
      <w:r w:rsidR="00C76D38" w:rsidRPr="00373187">
        <w:rPr>
          <w:b/>
          <w:bCs/>
        </w:rPr>
        <w:t>Nuevas disposiciones número 5.550C, 5.550E, 22.5L, 22.5M del RR</w:t>
      </w:r>
      <w:r w:rsidR="008E7DF1">
        <w:rPr>
          <w:b/>
          <w:bCs/>
        </w:rPr>
        <w:t>.</w:t>
      </w:r>
    </w:p>
    <w:p w14:paraId="5A742B80" w14:textId="61B150D3" w:rsidR="00C76D38" w:rsidRPr="00373187" w:rsidRDefault="00373187" w:rsidP="00373187">
      <w:pPr>
        <w:pStyle w:val="enumlev1"/>
        <w:rPr>
          <w:b/>
          <w:bCs/>
        </w:rPr>
      </w:pPr>
      <w:r w:rsidRPr="00373187">
        <w:t>•</w:t>
      </w:r>
      <w:r w:rsidRPr="00373187">
        <w:rPr>
          <w:b/>
          <w:bCs/>
        </w:rPr>
        <w:tab/>
      </w:r>
      <w:r w:rsidR="00C76D38" w:rsidRPr="00373187">
        <w:rPr>
          <w:b/>
          <w:bCs/>
        </w:rPr>
        <w:t>Resolución 769 (WRC-19), Protección de las redes geoestacionarias del SFS, del SRS y del SMS contra la interferencia combinada producida por múltiples sistemas no geoestacionarios del SFS en las bandas de frecuencias 37,5-39,5 GHz, 39,5-42,5 GHz, 47,2</w:t>
      </w:r>
      <w:r w:rsidR="003719CC">
        <w:rPr>
          <w:b/>
          <w:bCs/>
        </w:rPr>
        <w:noBreakHyphen/>
      </w:r>
      <w:r w:rsidR="00C76D38" w:rsidRPr="00373187">
        <w:rPr>
          <w:b/>
          <w:bCs/>
        </w:rPr>
        <w:t>50,2 GHz y 50,4-51,4 GHz.</w:t>
      </w:r>
    </w:p>
    <w:p w14:paraId="35B5A910" w14:textId="6A69017F" w:rsidR="00C76D38" w:rsidRDefault="00373187" w:rsidP="00373187">
      <w:pPr>
        <w:pStyle w:val="enumlev1"/>
        <w:tabs>
          <w:tab w:val="clear" w:pos="567"/>
          <w:tab w:val="clear" w:pos="1134"/>
          <w:tab w:val="clear" w:pos="1701"/>
          <w:tab w:val="clear" w:pos="2268"/>
          <w:tab w:val="clear" w:pos="2835"/>
        </w:tabs>
      </w:pPr>
      <w:r w:rsidRPr="00373187">
        <w:t>•</w:t>
      </w:r>
      <w:r w:rsidRPr="00373187">
        <w:rPr>
          <w:b/>
          <w:bCs/>
        </w:rPr>
        <w:tab/>
      </w:r>
      <w:r w:rsidR="00C76D38" w:rsidRPr="00373187">
        <w:rPr>
          <w:b/>
          <w:bCs/>
        </w:rPr>
        <w:t>Resolución 770 (WRC-19), Aplicación del Artículo 22 del Reglamento de Radiocomunicaciones para la protección de redes del servicio fijo por satélite geoestacionario y del servicio de radiodifusión por satélite de los sistemas del servicio fijo por satélite no geoestacionario en las bandas de frecuencias 37,5-39,5 GHz, 39,5-42,5 GHz, 47,2-50,2 GHz y 50,4-51,4 GHz</w:t>
      </w:r>
      <w:r w:rsidR="008E7DF1">
        <w:rPr>
          <w:b/>
          <w:bCs/>
        </w:rPr>
        <w:t>.</w:t>
      </w:r>
    </w:p>
    <w:p w14:paraId="1523A34E" w14:textId="4E42DDEE" w:rsidR="00C76D38" w:rsidRDefault="00C76D38" w:rsidP="008E7DF1">
      <w:pPr>
        <w:rPr>
          <w:b/>
        </w:rPr>
      </w:pPr>
      <w:r w:rsidRPr="00E22C48">
        <w:t xml:space="preserve">Las consecuencias financieras de la puesta en práctica de </w:t>
      </w:r>
      <w:r>
        <w:t xml:space="preserve">las disposiciones reglamentarias en respuesta al punto 1.6 del orden del día de la CMR-19 </w:t>
      </w:r>
      <w:r w:rsidRPr="00E22C48">
        <w:t xml:space="preserve">se estiman en </w:t>
      </w:r>
      <w:r>
        <w:t>150</w:t>
      </w:r>
      <w:r w:rsidRPr="00E22C48">
        <w:t xml:space="preserve"> 000 CHF. </w:t>
      </w:r>
      <w:r>
        <w:t>Los costes corresponden</w:t>
      </w:r>
      <w:r w:rsidRPr="00E22C48">
        <w:t xml:space="preserve"> al desarrollo del software</w:t>
      </w:r>
      <w:r>
        <w:t xml:space="preserve"> </w:t>
      </w:r>
      <w:r w:rsidRPr="00E22C48">
        <w:t xml:space="preserve">(el Documento </w:t>
      </w:r>
      <w:hyperlink r:id="rId18" w:history="1">
        <w:r w:rsidRPr="00E22C48">
          <w:rPr>
            <w:rStyle w:val="Hyperlink"/>
            <w:bCs/>
          </w:rPr>
          <w:t>493</w:t>
        </w:r>
      </w:hyperlink>
      <w:r w:rsidRPr="00E22C48">
        <w:t xml:space="preserve"> y el Cuadro 1 contienen información más detallada).</w:t>
      </w:r>
    </w:p>
    <w:p w14:paraId="29ECAF45" w14:textId="77777777" w:rsidR="00373187" w:rsidRPr="0008347F" w:rsidRDefault="00C76D38" w:rsidP="0008347F">
      <w:pPr>
        <w:pStyle w:val="Headingb"/>
        <w:keepLines w:val="0"/>
        <w:tabs>
          <w:tab w:val="clear" w:pos="567"/>
          <w:tab w:val="clear" w:pos="1134"/>
          <w:tab w:val="clear" w:pos="1701"/>
          <w:tab w:val="clear" w:pos="2268"/>
          <w:tab w:val="clear" w:pos="2835"/>
          <w:tab w:val="left" w:pos="794"/>
          <w:tab w:val="left" w:pos="1191"/>
          <w:tab w:val="left" w:pos="1588"/>
          <w:tab w:val="left" w:pos="1985"/>
        </w:tabs>
        <w:ind w:left="0" w:firstLine="0"/>
        <w:outlineLvl w:val="9"/>
        <w:rPr>
          <w:rFonts w:asciiTheme="minorHAnsi" w:hAnsiTheme="minorHAnsi"/>
        </w:rPr>
      </w:pPr>
      <w:r w:rsidRPr="0008347F">
        <w:rPr>
          <w:rFonts w:asciiTheme="minorHAnsi" w:hAnsiTheme="minorHAnsi"/>
        </w:rPr>
        <w:t>Resoluciones y disposiciones adoptadas por la CMR-19 en relación con el punto 1.14 del orden del día de la CMR-19 (HAPS):</w:t>
      </w:r>
    </w:p>
    <w:p w14:paraId="1A05ACF7" w14:textId="596B4737" w:rsidR="00C76D38" w:rsidRPr="00373187" w:rsidRDefault="00373187" w:rsidP="00373187">
      <w:pPr>
        <w:pStyle w:val="enumlev1"/>
        <w:tabs>
          <w:tab w:val="clear" w:pos="567"/>
          <w:tab w:val="clear" w:pos="1134"/>
          <w:tab w:val="clear" w:pos="1701"/>
          <w:tab w:val="clear" w:pos="2268"/>
          <w:tab w:val="clear" w:pos="2835"/>
        </w:tabs>
        <w:rPr>
          <w:b/>
          <w:bCs/>
        </w:rPr>
      </w:pPr>
      <w:r>
        <w:t>•</w:t>
      </w:r>
      <w:r w:rsidRPr="00373187">
        <w:rPr>
          <w:b/>
          <w:bCs/>
        </w:rPr>
        <w:tab/>
      </w:r>
      <w:r w:rsidR="00C76D38" w:rsidRPr="00373187">
        <w:rPr>
          <w:b/>
          <w:bCs/>
        </w:rPr>
        <w:t>Resolución 122 (Rev. CMR-19) Utilización de las bandas 47,2-47,5 GHz y 47,9-48,2 GHz por estaciones en plataformas a gran altitud del servicio fijo</w:t>
      </w:r>
      <w:r w:rsidR="008E7DF1">
        <w:rPr>
          <w:b/>
          <w:bCs/>
        </w:rPr>
        <w:t>.</w:t>
      </w:r>
    </w:p>
    <w:p w14:paraId="66C94736" w14:textId="03980045" w:rsidR="00C76D38" w:rsidRPr="00373187" w:rsidRDefault="00373187" w:rsidP="00373187">
      <w:pPr>
        <w:pStyle w:val="enumlev1"/>
        <w:tabs>
          <w:tab w:val="clear" w:pos="567"/>
          <w:tab w:val="clear" w:pos="1134"/>
          <w:tab w:val="clear" w:pos="1701"/>
          <w:tab w:val="clear" w:pos="2268"/>
          <w:tab w:val="clear" w:pos="2835"/>
        </w:tabs>
        <w:rPr>
          <w:b/>
          <w:bCs/>
        </w:rPr>
      </w:pPr>
      <w:r w:rsidRPr="00373187">
        <w:rPr>
          <w:b/>
          <w:bCs/>
        </w:rPr>
        <w:t>•</w:t>
      </w:r>
      <w:r>
        <w:rPr>
          <w:b/>
          <w:bCs/>
        </w:rPr>
        <w:tab/>
      </w:r>
      <w:r w:rsidR="00C76D38" w:rsidRPr="00373187">
        <w:rPr>
          <w:b/>
          <w:bCs/>
        </w:rPr>
        <w:t>Resolución 165 (CMR</w:t>
      </w:r>
      <w:r w:rsidR="00C76D38" w:rsidRPr="00373187">
        <w:rPr>
          <w:b/>
          <w:bCs/>
        </w:rPr>
        <w:noBreakHyphen/>
        <w:t>19), Utilización de la banda de frecuencias 21,4-22 GHz por estaciones en plataformas a gran altitud del servicio fijo en la Región 2</w:t>
      </w:r>
      <w:r w:rsidR="008E7DF1">
        <w:rPr>
          <w:b/>
          <w:bCs/>
        </w:rPr>
        <w:t>.</w:t>
      </w:r>
    </w:p>
    <w:p w14:paraId="52BDC765" w14:textId="794F1122" w:rsidR="00C76D38" w:rsidRPr="00373187" w:rsidRDefault="00373187" w:rsidP="00373187">
      <w:pPr>
        <w:pStyle w:val="enumlev1"/>
        <w:tabs>
          <w:tab w:val="clear" w:pos="567"/>
          <w:tab w:val="clear" w:pos="1134"/>
          <w:tab w:val="clear" w:pos="1701"/>
          <w:tab w:val="clear" w:pos="2268"/>
          <w:tab w:val="clear" w:pos="2835"/>
        </w:tabs>
        <w:rPr>
          <w:b/>
          <w:bCs/>
        </w:rPr>
      </w:pPr>
      <w:r w:rsidRPr="00373187">
        <w:rPr>
          <w:b/>
          <w:bCs/>
        </w:rPr>
        <w:t>•</w:t>
      </w:r>
      <w:r>
        <w:rPr>
          <w:b/>
          <w:bCs/>
        </w:rPr>
        <w:tab/>
      </w:r>
      <w:r w:rsidR="00C76D38" w:rsidRPr="00373187">
        <w:rPr>
          <w:b/>
          <w:bCs/>
        </w:rPr>
        <w:t>Resolución 166 (CMR</w:t>
      </w:r>
      <w:r w:rsidR="00C76D38" w:rsidRPr="00373187">
        <w:rPr>
          <w:b/>
          <w:bCs/>
        </w:rPr>
        <w:noBreakHyphen/>
        <w:t>19), Utilización de la banda de frecuencias 24,25-27,5 GHz por estaciones en plataformas a gran altitud del servicio fijo en la Región 2</w:t>
      </w:r>
      <w:r w:rsidR="008E7DF1">
        <w:rPr>
          <w:b/>
          <w:bCs/>
        </w:rPr>
        <w:t>.</w:t>
      </w:r>
    </w:p>
    <w:p w14:paraId="5597534B" w14:textId="69513CC9" w:rsidR="00C76D38" w:rsidRPr="00373187" w:rsidRDefault="00373187" w:rsidP="00373187">
      <w:pPr>
        <w:pStyle w:val="enumlev1"/>
        <w:tabs>
          <w:tab w:val="clear" w:pos="567"/>
          <w:tab w:val="clear" w:pos="1134"/>
          <w:tab w:val="clear" w:pos="1701"/>
          <w:tab w:val="clear" w:pos="2268"/>
          <w:tab w:val="clear" w:pos="2835"/>
        </w:tabs>
        <w:rPr>
          <w:b/>
          <w:bCs/>
        </w:rPr>
      </w:pPr>
      <w:r w:rsidRPr="00373187">
        <w:rPr>
          <w:b/>
          <w:bCs/>
        </w:rPr>
        <w:t>•</w:t>
      </w:r>
      <w:r>
        <w:rPr>
          <w:b/>
          <w:bCs/>
        </w:rPr>
        <w:tab/>
      </w:r>
      <w:r w:rsidR="00C76D38" w:rsidRPr="00373187">
        <w:rPr>
          <w:b/>
          <w:bCs/>
        </w:rPr>
        <w:t>Resolución 167 (CMR</w:t>
      </w:r>
      <w:r w:rsidR="00C76D38" w:rsidRPr="00373187">
        <w:rPr>
          <w:b/>
          <w:bCs/>
        </w:rPr>
        <w:noBreakHyphen/>
        <w:t>19), Utilización de la banda de frecuencias 31-31,3 GHz por estaciones en plataformas a gran altitud del servicio fijo</w:t>
      </w:r>
      <w:r w:rsidR="008E7DF1">
        <w:rPr>
          <w:b/>
          <w:bCs/>
        </w:rPr>
        <w:t>.</w:t>
      </w:r>
    </w:p>
    <w:p w14:paraId="296349C7" w14:textId="4BC759E6" w:rsidR="00C76D38" w:rsidRPr="00B54D67" w:rsidRDefault="00373187" w:rsidP="00373187">
      <w:pPr>
        <w:pStyle w:val="enumlev1"/>
        <w:tabs>
          <w:tab w:val="clear" w:pos="567"/>
          <w:tab w:val="clear" w:pos="1134"/>
          <w:tab w:val="clear" w:pos="1701"/>
          <w:tab w:val="clear" w:pos="2268"/>
          <w:tab w:val="clear" w:pos="2835"/>
        </w:tabs>
      </w:pPr>
      <w:r w:rsidRPr="00373187">
        <w:rPr>
          <w:b/>
          <w:bCs/>
        </w:rPr>
        <w:t>•</w:t>
      </w:r>
      <w:r>
        <w:rPr>
          <w:b/>
          <w:bCs/>
        </w:rPr>
        <w:tab/>
      </w:r>
      <w:r w:rsidR="00C76D38" w:rsidRPr="00373187">
        <w:rPr>
          <w:b/>
          <w:bCs/>
        </w:rPr>
        <w:t>Resolución 168 (CMR</w:t>
      </w:r>
      <w:r w:rsidR="00C76D38" w:rsidRPr="00373187">
        <w:rPr>
          <w:b/>
          <w:bCs/>
        </w:rPr>
        <w:noBreakHyphen/>
        <w:t>19), Utilización de la banda de frecuencias 38-39,5 GHz por estaciones en plataformas a gran altitud del servicio fijo</w:t>
      </w:r>
      <w:r w:rsidR="008E7DF1">
        <w:t>.</w:t>
      </w:r>
    </w:p>
    <w:p w14:paraId="61120F7D" w14:textId="0B89A868" w:rsidR="00C76D38" w:rsidRDefault="00C76D38" w:rsidP="00567652">
      <w:pPr>
        <w:jc w:val="both"/>
      </w:pPr>
      <w:r w:rsidRPr="00093DE8">
        <w:lastRenderedPageBreak/>
        <w:t>Las consecuencias financieras de la puesta en práctica de las disposiciones reglamentarias en respuesta al punto 1.</w:t>
      </w:r>
      <w:r>
        <w:t>14</w:t>
      </w:r>
      <w:r w:rsidRPr="00093DE8">
        <w:t xml:space="preserve"> del orden del día de la CMR-19 se estiman en 150 000 CHF. Los costes corresponden al desarrollo del software (el Documento </w:t>
      </w:r>
      <w:hyperlink r:id="rId19" w:history="1">
        <w:r w:rsidRPr="00093DE8">
          <w:rPr>
            <w:rStyle w:val="Hyperlink"/>
          </w:rPr>
          <w:t>450</w:t>
        </w:r>
      </w:hyperlink>
      <w:r>
        <w:t xml:space="preserve"> </w:t>
      </w:r>
      <w:r w:rsidRPr="00093DE8">
        <w:t>y el Cuadro 1 contienen información más detallada).</w:t>
      </w:r>
    </w:p>
    <w:p w14:paraId="0CE91118" w14:textId="01212E68" w:rsidR="00C76D38" w:rsidRPr="00093DE8" w:rsidRDefault="00C76D38" w:rsidP="00373187">
      <w:pPr>
        <w:ind w:right="-48"/>
        <w:rPr>
          <w:color w:val="000000"/>
          <w:szCs w:val="22"/>
        </w:rPr>
      </w:pPr>
      <w:r w:rsidRPr="00373187">
        <w:rPr>
          <w:color w:val="000000"/>
          <w:spacing w:val="-2"/>
          <w:szCs w:val="22"/>
        </w:rPr>
        <w:t>Cabe señalar que varias de las disposiciones del RR y de las Resoluciones enumeradas anteriormente</w:t>
      </w:r>
      <w:r w:rsidRPr="00093DE8">
        <w:rPr>
          <w:color w:val="000000"/>
          <w:szCs w:val="22"/>
        </w:rPr>
        <w:t xml:space="preserve"> requieren la elaboración de programas informáticos en beneficio de todos los Estados Miembros y, por consiguiente, no pueden calificarse como gastos recurrentes relacionados con la presentación de notificaciones de redes de satélites individuales. Como tales, estos gastos no se ajustan al marco de recuperación de cost</w:t>
      </w:r>
      <w:r>
        <w:rPr>
          <w:color w:val="000000"/>
          <w:szCs w:val="22"/>
        </w:rPr>
        <w:t>e</w:t>
      </w:r>
      <w:r w:rsidRPr="00093DE8">
        <w:rPr>
          <w:color w:val="000000"/>
          <w:szCs w:val="22"/>
        </w:rPr>
        <w:t xml:space="preserve">s </w:t>
      </w:r>
      <w:r>
        <w:rPr>
          <w:color w:val="000000"/>
          <w:szCs w:val="22"/>
        </w:rPr>
        <w:t>creado</w:t>
      </w:r>
      <w:r w:rsidRPr="00093DE8">
        <w:rPr>
          <w:color w:val="000000"/>
          <w:szCs w:val="22"/>
        </w:rPr>
        <w:t xml:space="preserve"> </w:t>
      </w:r>
      <w:r>
        <w:rPr>
          <w:color w:val="000000"/>
          <w:szCs w:val="22"/>
        </w:rPr>
        <w:t>por</w:t>
      </w:r>
      <w:r w:rsidRPr="00093DE8">
        <w:rPr>
          <w:color w:val="000000"/>
          <w:szCs w:val="22"/>
        </w:rPr>
        <w:t xml:space="preserve"> </w:t>
      </w:r>
      <w:r>
        <w:rPr>
          <w:color w:val="000000"/>
          <w:szCs w:val="22"/>
        </w:rPr>
        <w:t>el Acuerdo</w:t>
      </w:r>
      <w:r w:rsidRPr="00093DE8">
        <w:rPr>
          <w:color w:val="000000"/>
          <w:szCs w:val="22"/>
        </w:rPr>
        <w:t xml:space="preserve"> 482 (Consejo</w:t>
      </w:r>
      <w:r w:rsidR="00373187">
        <w:rPr>
          <w:color w:val="000000"/>
          <w:szCs w:val="22"/>
        </w:rPr>
        <w:t> </w:t>
      </w:r>
      <w:r w:rsidRPr="00093DE8">
        <w:rPr>
          <w:color w:val="000000"/>
          <w:szCs w:val="22"/>
        </w:rPr>
        <w:t>2019).</w:t>
      </w:r>
    </w:p>
    <w:p w14:paraId="00F42CAD" w14:textId="77777777" w:rsidR="00373187" w:rsidRDefault="00C76D38" w:rsidP="00373187">
      <w:pPr>
        <w:pStyle w:val="TableNo"/>
      </w:pPr>
      <w:r w:rsidRPr="00373187">
        <w:t>CUADRO 1</w:t>
      </w:r>
    </w:p>
    <w:p w14:paraId="2309107E" w14:textId="4D0CD92B" w:rsidR="00C76D38" w:rsidRPr="00B54D67" w:rsidRDefault="00C76D38" w:rsidP="00373187">
      <w:pPr>
        <w:pStyle w:val="Tabletitle"/>
      </w:pPr>
      <w:r>
        <w:t>Resumen de las estimaciones de costes</w:t>
      </w:r>
      <w:r w:rsidRPr="00B54D67">
        <w:t xml:space="preserve"> </w:t>
      </w:r>
    </w:p>
    <w:tbl>
      <w:tblPr>
        <w:tblStyle w:val="TableGrid"/>
        <w:tblW w:w="0" w:type="auto"/>
        <w:jc w:val="center"/>
        <w:tblLook w:val="04A0" w:firstRow="1" w:lastRow="0" w:firstColumn="1" w:lastColumn="0" w:noHBand="0" w:noVBand="1"/>
      </w:tblPr>
      <w:tblGrid>
        <w:gridCol w:w="4531"/>
        <w:gridCol w:w="3691"/>
        <w:gridCol w:w="1276"/>
      </w:tblGrid>
      <w:tr w:rsidR="00C76D38" w:rsidRPr="00373187" w14:paraId="07ED3106" w14:textId="77777777" w:rsidTr="00373187">
        <w:trPr>
          <w:jc w:val="center"/>
        </w:trPr>
        <w:tc>
          <w:tcPr>
            <w:tcW w:w="4531" w:type="dxa"/>
          </w:tcPr>
          <w:p w14:paraId="2DCA6F4A" w14:textId="77777777" w:rsidR="00C76D38" w:rsidRPr="00373187" w:rsidRDefault="00C76D38" w:rsidP="00373187">
            <w:pPr>
              <w:pStyle w:val="Tablehead"/>
              <w:rPr>
                <w:sz w:val="20"/>
              </w:rPr>
            </w:pPr>
            <w:r w:rsidRPr="00373187">
              <w:rPr>
                <w:sz w:val="20"/>
              </w:rPr>
              <w:t xml:space="preserve">Decisión(es) de la CMR-19 relacionadas </w:t>
            </w:r>
          </w:p>
        </w:tc>
        <w:tc>
          <w:tcPr>
            <w:tcW w:w="3691" w:type="dxa"/>
          </w:tcPr>
          <w:p w14:paraId="4A1C4898" w14:textId="3262AB76" w:rsidR="00C76D38" w:rsidRPr="00373187" w:rsidRDefault="00C76D38" w:rsidP="00373187">
            <w:pPr>
              <w:pStyle w:val="Tablehead"/>
              <w:rPr>
                <w:sz w:val="20"/>
              </w:rPr>
            </w:pPr>
            <w:r w:rsidRPr="00373187">
              <w:rPr>
                <w:sz w:val="20"/>
              </w:rPr>
              <w:t>Apoyo necesario</w:t>
            </w:r>
          </w:p>
        </w:tc>
        <w:tc>
          <w:tcPr>
            <w:tcW w:w="1276" w:type="dxa"/>
          </w:tcPr>
          <w:p w14:paraId="3A19B979" w14:textId="3629904C" w:rsidR="00C76D38" w:rsidRPr="00373187" w:rsidRDefault="00C76D38" w:rsidP="00373187">
            <w:pPr>
              <w:pStyle w:val="Tablehead"/>
              <w:rPr>
                <w:sz w:val="20"/>
              </w:rPr>
            </w:pPr>
            <w:r w:rsidRPr="00373187">
              <w:rPr>
                <w:sz w:val="20"/>
              </w:rPr>
              <w:t xml:space="preserve">Importe </w:t>
            </w:r>
            <w:r w:rsidR="00AB4EDA">
              <w:rPr>
                <w:sz w:val="20"/>
              </w:rPr>
              <w:br/>
            </w:r>
            <w:r w:rsidRPr="00373187">
              <w:rPr>
                <w:sz w:val="20"/>
              </w:rPr>
              <w:t>CHF</w:t>
            </w:r>
          </w:p>
        </w:tc>
      </w:tr>
      <w:tr w:rsidR="00C76D38" w:rsidRPr="00373187" w14:paraId="3AFDBF5A" w14:textId="77777777" w:rsidTr="00373187">
        <w:trPr>
          <w:jc w:val="center"/>
        </w:trPr>
        <w:tc>
          <w:tcPr>
            <w:tcW w:w="4531" w:type="dxa"/>
          </w:tcPr>
          <w:p w14:paraId="317E7365" w14:textId="006DC274" w:rsidR="00C76D38" w:rsidRPr="00373187" w:rsidRDefault="00C76D38" w:rsidP="00F37197">
            <w:pPr>
              <w:pStyle w:val="Tabletext"/>
              <w:rPr>
                <w:sz w:val="20"/>
              </w:rPr>
            </w:pPr>
            <w:r w:rsidRPr="00373187">
              <w:rPr>
                <w:color w:val="000000"/>
                <w:sz w:val="20"/>
              </w:rPr>
              <w:t>Resolución 35 (CMR-19)</w:t>
            </w:r>
          </w:p>
        </w:tc>
        <w:tc>
          <w:tcPr>
            <w:tcW w:w="3691" w:type="dxa"/>
          </w:tcPr>
          <w:p w14:paraId="5B1DB6B7" w14:textId="77777777" w:rsidR="00C76D38" w:rsidRPr="00373187" w:rsidRDefault="00C76D38" w:rsidP="00B03877">
            <w:pPr>
              <w:pStyle w:val="Tabletext"/>
              <w:rPr>
                <w:sz w:val="20"/>
              </w:rPr>
            </w:pPr>
            <w:r w:rsidRPr="00373187">
              <w:rPr>
                <w:sz w:val="20"/>
              </w:rPr>
              <w:t>Costes de desarrollo de software, con la ayuda de recursos externos (nueva base de datos para seguir el despliegue no OSG y software correspondiente para actualizar el Registro Internacional de Frecuencias)</w:t>
            </w:r>
          </w:p>
        </w:tc>
        <w:tc>
          <w:tcPr>
            <w:tcW w:w="1276" w:type="dxa"/>
          </w:tcPr>
          <w:p w14:paraId="1DF78032" w14:textId="77777777" w:rsidR="00C76D38" w:rsidRPr="00373187" w:rsidRDefault="00C76D38" w:rsidP="008E7DF1">
            <w:pPr>
              <w:pStyle w:val="Tabletext"/>
              <w:jc w:val="center"/>
              <w:rPr>
                <w:sz w:val="20"/>
              </w:rPr>
            </w:pPr>
            <w:r w:rsidRPr="00373187">
              <w:rPr>
                <w:sz w:val="20"/>
              </w:rPr>
              <w:t>340 000</w:t>
            </w:r>
          </w:p>
        </w:tc>
      </w:tr>
      <w:tr w:rsidR="00C76D38" w:rsidRPr="00373187" w14:paraId="7F65461C" w14:textId="77777777" w:rsidTr="00373187">
        <w:trPr>
          <w:jc w:val="center"/>
        </w:trPr>
        <w:tc>
          <w:tcPr>
            <w:tcW w:w="4531" w:type="dxa"/>
          </w:tcPr>
          <w:p w14:paraId="33A2BA96" w14:textId="584594E4" w:rsidR="00C76D38" w:rsidRPr="00373187" w:rsidRDefault="00C76D38" w:rsidP="00F37197">
            <w:pPr>
              <w:pStyle w:val="Tabletext"/>
              <w:rPr>
                <w:sz w:val="20"/>
              </w:rPr>
            </w:pPr>
            <w:r w:rsidRPr="00373187">
              <w:rPr>
                <w:color w:val="000000"/>
                <w:sz w:val="20"/>
              </w:rPr>
              <w:t>Resolución 169 (CMR-19)</w:t>
            </w:r>
          </w:p>
        </w:tc>
        <w:tc>
          <w:tcPr>
            <w:tcW w:w="3691" w:type="dxa"/>
          </w:tcPr>
          <w:p w14:paraId="04DCCCA2" w14:textId="77777777" w:rsidR="00C76D38" w:rsidRPr="00373187" w:rsidRDefault="00C76D38" w:rsidP="007A38F0">
            <w:pPr>
              <w:pStyle w:val="Tabletext"/>
              <w:rPr>
                <w:sz w:val="20"/>
              </w:rPr>
            </w:pPr>
            <w:r w:rsidRPr="00373187">
              <w:rPr>
                <w:sz w:val="20"/>
              </w:rPr>
              <w:t>Costes de desarrollo de software</w:t>
            </w:r>
          </w:p>
        </w:tc>
        <w:tc>
          <w:tcPr>
            <w:tcW w:w="1276" w:type="dxa"/>
          </w:tcPr>
          <w:p w14:paraId="25A328E9" w14:textId="77777777" w:rsidR="00C76D38" w:rsidRPr="00373187" w:rsidRDefault="00C76D38" w:rsidP="008E7DF1">
            <w:pPr>
              <w:pStyle w:val="Tabletext"/>
              <w:jc w:val="center"/>
              <w:rPr>
                <w:sz w:val="20"/>
              </w:rPr>
            </w:pPr>
            <w:r w:rsidRPr="00373187">
              <w:rPr>
                <w:sz w:val="20"/>
              </w:rPr>
              <w:t>85 000</w:t>
            </w:r>
          </w:p>
        </w:tc>
      </w:tr>
      <w:tr w:rsidR="00C76D38" w:rsidRPr="00373187" w14:paraId="0C2F6B55" w14:textId="77777777" w:rsidTr="00373187">
        <w:trPr>
          <w:jc w:val="center"/>
        </w:trPr>
        <w:tc>
          <w:tcPr>
            <w:tcW w:w="4531" w:type="dxa"/>
          </w:tcPr>
          <w:p w14:paraId="6B3FADB6" w14:textId="62FCF733" w:rsidR="00C76D38" w:rsidRPr="00373187" w:rsidRDefault="00C76D38" w:rsidP="00F37197">
            <w:pPr>
              <w:pStyle w:val="Tabletext"/>
              <w:rPr>
                <w:sz w:val="20"/>
              </w:rPr>
            </w:pPr>
            <w:r w:rsidRPr="00373187">
              <w:rPr>
                <w:color w:val="000000"/>
                <w:sz w:val="20"/>
              </w:rPr>
              <w:t>Modificaciones a los núm</w:t>
            </w:r>
            <w:r w:rsidR="00AB4EDA">
              <w:rPr>
                <w:color w:val="000000"/>
                <w:sz w:val="20"/>
              </w:rPr>
              <w:t>eros</w:t>
            </w:r>
            <w:r w:rsidRPr="00373187">
              <w:rPr>
                <w:color w:val="000000"/>
                <w:sz w:val="20"/>
              </w:rPr>
              <w:t xml:space="preserve"> 9.36, 9.53A, Apéndices 30, 30A y 30B del RR</w:t>
            </w:r>
          </w:p>
        </w:tc>
        <w:tc>
          <w:tcPr>
            <w:tcW w:w="3691" w:type="dxa"/>
          </w:tcPr>
          <w:p w14:paraId="04F7FD9B" w14:textId="77777777" w:rsidR="00C76D38" w:rsidRPr="00373187" w:rsidRDefault="00C76D38" w:rsidP="007A38F0">
            <w:pPr>
              <w:pStyle w:val="Tabletext"/>
              <w:rPr>
                <w:sz w:val="20"/>
              </w:rPr>
            </w:pPr>
            <w:r w:rsidRPr="00373187">
              <w:rPr>
                <w:sz w:val="20"/>
              </w:rPr>
              <w:t>Costes de desarrollo de software</w:t>
            </w:r>
          </w:p>
        </w:tc>
        <w:tc>
          <w:tcPr>
            <w:tcW w:w="1276" w:type="dxa"/>
          </w:tcPr>
          <w:p w14:paraId="38C8D8BC" w14:textId="77777777" w:rsidR="00C76D38" w:rsidRPr="00373187" w:rsidRDefault="00C76D38" w:rsidP="008E7DF1">
            <w:pPr>
              <w:pStyle w:val="Tabletext"/>
              <w:jc w:val="center"/>
              <w:rPr>
                <w:sz w:val="20"/>
              </w:rPr>
            </w:pPr>
            <w:r w:rsidRPr="00373187">
              <w:rPr>
                <w:sz w:val="20"/>
              </w:rPr>
              <w:t>200 000</w:t>
            </w:r>
          </w:p>
        </w:tc>
      </w:tr>
      <w:tr w:rsidR="00C76D38" w:rsidRPr="00373187" w14:paraId="4D0734A7" w14:textId="77777777" w:rsidTr="00373187">
        <w:trPr>
          <w:jc w:val="center"/>
        </w:trPr>
        <w:tc>
          <w:tcPr>
            <w:tcW w:w="4531" w:type="dxa"/>
          </w:tcPr>
          <w:p w14:paraId="123556DA" w14:textId="4074B4B7" w:rsidR="00C76D38" w:rsidRPr="00373187" w:rsidRDefault="00C76D38" w:rsidP="00F37197">
            <w:pPr>
              <w:pStyle w:val="Tabletext"/>
              <w:rPr>
                <w:color w:val="000000"/>
                <w:sz w:val="20"/>
              </w:rPr>
            </w:pPr>
            <w:r w:rsidRPr="00373187">
              <w:rPr>
                <w:sz w:val="20"/>
              </w:rPr>
              <w:t>Resolución 245 (CMR-19) – Estudios</w:t>
            </w:r>
          </w:p>
        </w:tc>
        <w:tc>
          <w:tcPr>
            <w:tcW w:w="3691" w:type="dxa"/>
          </w:tcPr>
          <w:p w14:paraId="23519ACD" w14:textId="77777777" w:rsidR="00C76D38" w:rsidRPr="00373187" w:rsidRDefault="00C76D38" w:rsidP="00B03877">
            <w:pPr>
              <w:pStyle w:val="Tabletext"/>
              <w:rPr>
                <w:sz w:val="20"/>
              </w:rPr>
            </w:pPr>
            <w:r w:rsidRPr="00373187">
              <w:rPr>
                <w:sz w:val="20"/>
              </w:rPr>
              <w:t xml:space="preserve">Apoyo para la organización y las reuniones </w:t>
            </w:r>
          </w:p>
        </w:tc>
        <w:tc>
          <w:tcPr>
            <w:tcW w:w="1276" w:type="dxa"/>
          </w:tcPr>
          <w:p w14:paraId="0CAC6765" w14:textId="77777777" w:rsidR="00C76D38" w:rsidRPr="00373187" w:rsidRDefault="00C76D38" w:rsidP="008E7DF1">
            <w:pPr>
              <w:pStyle w:val="Tabletext"/>
              <w:jc w:val="center"/>
              <w:rPr>
                <w:sz w:val="20"/>
              </w:rPr>
            </w:pPr>
            <w:r w:rsidRPr="00373187">
              <w:rPr>
                <w:sz w:val="20"/>
              </w:rPr>
              <w:t>456 000</w:t>
            </w:r>
          </w:p>
        </w:tc>
      </w:tr>
      <w:tr w:rsidR="00C76D38" w:rsidRPr="00373187" w14:paraId="5E6C512E" w14:textId="77777777" w:rsidTr="00373187">
        <w:trPr>
          <w:jc w:val="center"/>
        </w:trPr>
        <w:tc>
          <w:tcPr>
            <w:tcW w:w="4531" w:type="dxa"/>
          </w:tcPr>
          <w:p w14:paraId="287BD5E4" w14:textId="0DC98488" w:rsidR="00C76D38" w:rsidRPr="00373187" w:rsidRDefault="00C76D38" w:rsidP="00F37197">
            <w:pPr>
              <w:pStyle w:val="Tabletext"/>
              <w:rPr>
                <w:color w:val="000000"/>
                <w:sz w:val="20"/>
              </w:rPr>
            </w:pPr>
            <w:r w:rsidRPr="00373187">
              <w:rPr>
                <w:sz w:val="20"/>
              </w:rPr>
              <w:t>Resolución 235 (CMR-15) – Estudios relacionados con el punto 1.5 para la CMR-23</w:t>
            </w:r>
          </w:p>
        </w:tc>
        <w:tc>
          <w:tcPr>
            <w:tcW w:w="3691" w:type="dxa"/>
          </w:tcPr>
          <w:p w14:paraId="31C962E5" w14:textId="77777777" w:rsidR="00C76D38" w:rsidRPr="00373187" w:rsidRDefault="00C76D38" w:rsidP="00B03877">
            <w:pPr>
              <w:pStyle w:val="Tabletext"/>
              <w:rPr>
                <w:sz w:val="20"/>
              </w:rPr>
            </w:pPr>
            <w:r w:rsidRPr="00373187">
              <w:rPr>
                <w:sz w:val="20"/>
              </w:rPr>
              <w:t>Apoyo para la organización y las reuniones</w:t>
            </w:r>
          </w:p>
        </w:tc>
        <w:tc>
          <w:tcPr>
            <w:tcW w:w="1276" w:type="dxa"/>
          </w:tcPr>
          <w:p w14:paraId="15E3C795" w14:textId="77777777" w:rsidR="00C76D38" w:rsidRPr="00373187" w:rsidRDefault="00C76D38" w:rsidP="008E7DF1">
            <w:pPr>
              <w:pStyle w:val="Tabletext"/>
              <w:jc w:val="center"/>
              <w:rPr>
                <w:sz w:val="20"/>
              </w:rPr>
            </w:pPr>
            <w:r w:rsidRPr="00373187">
              <w:rPr>
                <w:sz w:val="20"/>
              </w:rPr>
              <w:t>340 000</w:t>
            </w:r>
          </w:p>
        </w:tc>
      </w:tr>
      <w:tr w:rsidR="00C76D38" w:rsidRPr="00373187" w14:paraId="51A0FEEE" w14:textId="77777777" w:rsidTr="00373187">
        <w:trPr>
          <w:jc w:val="center"/>
        </w:trPr>
        <w:tc>
          <w:tcPr>
            <w:tcW w:w="4531" w:type="dxa"/>
          </w:tcPr>
          <w:p w14:paraId="7C73386F" w14:textId="25046A9A" w:rsidR="00C76D38" w:rsidRPr="00373187" w:rsidRDefault="00C76D38">
            <w:pPr>
              <w:pStyle w:val="Tabletext"/>
              <w:rPr>
                <w:color w:val="000000"/>
                <w:sz w:val="20"/>
              </w:rPr>
            </w:pPr>
            <w:r w:rsidRPr="00373187">
              <w:rPr>
                <w:sz w:val="20"/>
              </w:rPr>
              <w:t>Varias disposiciones y Resoluciones del RR relacionadas con el punto 1.6 del orden del día de la</w:t>
            </w:r>
            <w:r w:rsidR="00AB4EDA">
              <w:rPr>
                <w:sz w:val="20"/>
              </w:rPr>
              <w:t> </w:t>
            </w:r>
            <w:r w:rsidRPr="00373187">
              <w:rPr>
                <w:sz w:val="20"/>
              </w:rPr>
              <w:t>CMR-19 (SFS no OSG)</w:t>
            </w:r>
          </w:p>
          <w:p w14:paraId="6B48FBA6" w14:textId="6D7C1DA6" w:rsidR="00C76D38" w:rsidRPr="00373187" w:rsidRDefault="00C76D38">
            <w:pPr>
              <w:pStyle w:val="Tabletext"/>
              <w:rPr>
                <w:color w:val="000000"/>
                <w:sz w:val="20"/>
                <w:highlight w:val="green"/>
              </w:rPr>
            </w:pPr>
            <w:r w:rsidRPr="00373187">
              <w:rPr>
                <w:sz w:val="20"/>
              </w:rPr>
              <w:t>Núm</w:t>
            </w:r>
            <w:r w:rsidR="00AB4EDA">
              <w:rPr>
                <w:sz w:val="20"/>
              </w:rPr>
              <w:t>ero</w:t>
            </w:r>
            <w:r w:rsidRPr="00373187">
              <w:rPr>
                <w:sz w:val="20"/>
              </w:rPr>
              <w:t>s 5.550C, 5.550E, 22.5L, 22.5M del RR y Resoluciones 769 (CMR-19) y 770 (CMR-19)</w:t>
            </w:r>
          </w:p>
        </w:tc>
        <w:tc>
          <w:tcPr>
            <w:tcW w:w="3691" w:type="dxa"/>
          </w:tcPr>
          <w:p w14:paraId="69EAFCEC" w14:textId="77777777" w:rsidR="00C76D38" w:rsidRPr="00373187" w:rsidRDefault="00C76D38" w:rsidP="007A38F0">
            <w:pPr>
              <w:pStyle w:val="Tabletext"/>
              <w:rPr>
                <w:sz w:val="20"/>
              </w:rPr>
            </w:pPr>
            <w:r w:rsidRPr="00373187">
              <w:rPr>
                <w:sz w:val="20"/>
              </w:rPr>
              <w:t>Costes de desarrollo de software</w:t>
            </w:r>
            <w:r w:rsidRPr="00373187">
              <w:rPr>
                <w:color w:val="000000"/>
                <w:sz w:val="20"/>
              </w:rPr>
              <w:t xml:space="preserve"> (implementación de la nueva metodología, aprovechando cualquier posible reutilización de los desarrollos existentes)</w:t>
            </w:r>
          </w:p>
        </w:tc>
        <w:tc>
          <w:tcPr>
            <w:tcW w:w="1276" w:type="dxa"/>
          </w:tcPr>
          <w:p w14:paraId="76F5E00B" w14:textId="77777777" w:rsidR="00C76D38" w:rsidRPr="00373187" w:rsidRDefault="00C76D38" w:rsidP="008E7DF1">
            <w:pPr>
              <w:pStyle w:val="Tabletext"/>
              <w:jc w:val="center"/>
              <w:rPr>
                <w:sz w:val="20"/>
              </w:rPr>
            </w:pPr>
            <w:r w:rsidRPr="00373187">
              <w:rPr>
                <w:sz w:val="20"/>
              </w:rPr>
              <w:t>150 000</w:t>
            </w:r>
          </w:p>
        </w:tc>
      </w:tr>
      <w:tr w:rsidR="00C76D38" w:rsidRPr="00373187" w14:paraId="06C86783" w14:textId="77777777" w:rsidTr="00373187">
        <w:trPr>
          <w:jc w:val="center"/>
        </w:trPr>
        <w:tc>
          <w:tcPr>
            <w:tcW w:w="4531" w:type="dxa"/>
          </w:tcPr>
          <w:p w14:paraId="253AB244" w14:textId="0EC8C4D1" w:rsidR="00C76D38" w:rsidRPr="00373187" w:rsidRDefault="00C76D38" w:rsidP="00C46F8A">
            <w:pPr>
              <w:pStyle w:val="Tabletext"/>
              <w:rPr>
                <w:color w:val="000000"/>
                <w:sz w:val="20"/>
              </w:rPr>
            </w:pPr>
            <w:r w:rsidRPr="00373187">
              <w:rPr>
                <w:sz w:val="20"/>
              </w:rPr>
              <w:t>Varias Resoluciones relacionadas con el punto 1.14 del</w:t>
            </w:r>
            <w:r w:rsidR="00373187">
              <w:rPr>
                <w:sz w:val="20"/>
              </w:rPr>
              <w:t> </w:t>
            </w:r>
            <w:r w:rsidRPr="00373187">
              <w:rPr>
                <w:sz w:val="20"/>
              </w:rPr>
              <w:t>orden del día de la CMR-19 (HAPS)</w:t>
            </w:r>
          </w:p>
          <w:p w14:paraId="57D5A2B5" w14:textId="6A884050" w:rsidR="00C76D38" w:rsidRPr="00373187" w:rsidRDefault="00C76D38" w:rsidP="007103A1">
            <w:pPr>
              <w:pStyle w:val="Tabletext"/>
              <w:spacing w:before="240" w:after="240"/>
              <w:rPr>
                <w:color w:val="000000"/>
                <w:sz w:val="20"/>
              </w:rPr>
            </w:pPr>
            <w:r w:rsidRPr="00373187">
              <w:rPr>
                <w:sz w:val="20"/>
              </w:rPr>
              <w:t xml:space="preserve">Resolución 122 (Rev.CMR-19) y </w:t>
            </w:r>
            <w:r w:rsidR="00373187">
              <w:rPr>
                <w:sz w:val="20"/>
              </w:rPr>
              <w:br/>
            </w:r>
            <w:r w:rsidRPr="00373187">
              <w:rPr>
                <w:sz w:val="20"/>
              </w:rPr>
              <w:t>(Resoluciones CMR-19</w:t>
            </w:r>
            <w:r w:rsidR="007103A1">
              <w:rPr>
                <w:sz w:val="20"/>
              </w:rPr>
              <w:t>,</w:t>
            </w:r>
            <w:r w:rsidRPr="00373187">
              <w:rPr>
                <w:sz w:val="20"/>
              </w:rPr>
              <w:t xml:space="preserve"> 165, 166, 167,168)</w:t>
            </w:r>
          </w:p>
        </w:tc>
        <w:tc>
          <w:tcPr>
            <w:tcW w:w="3691" w:type="dxa"/>
          </w:tcPr>
          <w:p w14:paraId="39CFE8F3" w14:textId="77777777" w:rsidR="00C76D38" w:rsidRPr="00373187" w:rsidRDefault="00C76D38" w:rsidP="00B03877">
            <w:pPr>
              <w:pStyle w:val="Tabletext"/>
              <w:rPr>
                <w:sz w:val="20"/>
              </w:rPr>
            </w:pPr>
            <w:r w:rsidRPr="00373187">
              <w:rPr>
                <w:sz w:val="20"/>
              </w:rPr>
              <w:t>Costes de desarrollo de software</w:t>
            </w:r>
            <w:r w:rsidRPr="00373187">
              <w:rPr>
                <w:color w:val="000000"/>
                <w:sz w:val="20"/>
              </w:rPr>
              <w:t>, incluido el desarrollo de módulos de cálculo para más de 30 condiciones técnicas, cambios en la base de datos del Registro Internacional de Frecuencias y estructura de notificación con arreglo al Apéndice 4 modificado del RR y diseño de una interfaz de usuario específica para la notificación.</w:t>
            </w:r>
          </w:p>
        </w:tc>
        <w:tc>
          <w:tcPr>
            <w:tcW w:w="1276" w:type="dxa"/>
          </w:tcPr>
          <w:p w14:paraId="78287B08" w14:textId="77777777" w:rsidR="00C76D38" w:rsidRPr="00373187" w:rsidRDefault="00C76D38" w:rsidP="008E7DF1">
            <w:pPr>
              <w:pStyle w:val="Tabletext"/>
              <w:jc w:val="center"/>
              <w:rPr>
                <w:sz w:val="20"/>
              </w:rPr>
            </w:pPr>
            <w:r w:rsidRPr="00373187">
              <w:rPr>
                <w:sz w:val="20"/>
              </w:rPr>
              <w:t>150 000</w:t>
            </w:r>
          </w:p>
          <w:p w14:paraId="4404CA0F" w14:textId="77777777" w:rsidR="00C76D38" w:rsidRPr="00373187" w:rsidDel="009E61CB" w:rsidRDefault="00C76D38" w:rsidP="008E7DF1">
            <w:pPr>
              <w:pStyle w:val="Tabletext"/>
              <w:jc w:val="center"/>
              <w:rPr>
                <w:sz w:val="20"/>
              </w:rPr>
            </w:pPr>
          </w:p>
        </w:tc>
      </w:tr>
      <w:tr w:rsidR="00C76D38" w:rsidRPr="00373187" w14:paraId="7BFDA2B2" w14:textId="77777777" w:rsidTr="00373187">
        <w:trPr>
          <w:jc w:val="center"/>
        </w:trPr>
        <w:tc>
          <w:tcPr>
            <w:tcW w:w="4531" w:type="dxa"/>
          </w:tcPr>
          <w:p w14:paraId="5137B9B2" w14:textId="77777777" w:rsidR="00C76D38" w:rsidRPr="00373187" w:rsidRDefault="00C76D38" w:rsidP="001424A3">
            <w:pPr>
              <w:pStyle w:val="Tabletext"/>
              <w:rPr>
                <w:b/>
                <w:bCs/>
                <w:color w:val="000000"/>
                <w:sz w:val="20"/>
              </w:rPr>
            </w:pPr>
            <w:r w:rsidRPr="00373187">
              <w:rPr>
                <w:b/>
                <w:bCs/>
                <w:color w:val="000000"/>
                <w:sz w:val="20"/>
              </w:rPr>
              <w:t>Total</w:t>
            </w:r>
          </w:p>
        </w:tc>
        <w:tc>
          <w:tcPr>
            <w:tcW w:w="3691" w:type="dxa"/>
          </w:tcPr>
          <w:p w14:paraId="61DBC8D7" w14:textId="77777777" w:rsidR="00C76D38" w:rsidRPr="00373187" w:rsidRDefault="00C76D38" w:rsidP="001424A3">
            <w:pPr>
              <w:pStyle w:val="Tabletext"/>
              <w:jc w:val="right"/>
              <w:rPr>
                <w:b/>
                <w:bCs/>
                <w:sz w:val="20"/>
              </w:rPr>
            </w:pPr>
          </w:p>
        </w:tc>
        <w:tc>
          <w:tcPr>
            <w:tcW w:w="1276" w:type="dxa"/>
          </w:tcPr>
          <w:p w14:paraId="47B4BE84" w14:textId="77777777" w:rsidR="00C76D38" w:rsidRPr="00373187" w:rsidRDefault="00C76D38" w:rsidP="008E7DF1">
            <w:pPr>
              <w:pStyle w:val="Tabletext"/>
              <w:jc w:val="center"/>
              <w:rPr>
                <w:b/>
                <w:bCs/>
                <w:sz w:val="20"/>
              </w:rPr>
            </w:pPr>
            <w:r w:rsidRPr="00373187">
              <w:rPr>
                <w:b/>
                <w:bCs/>
                <w:sz w:val="20"/>
              </w:rPr>
              <w:t>1 721 000</w:t>
            </w:r>
          </w:p>
        </w:tc>
      </w:tr>
    </w:tbl>
    <w:p w14:paraId="5D7D5BCF" w14:textId="77777777" w:rsidR="00373187" w:rsidRDefault="00373187" w:rsidP="00411C49">
      <w:pPr>
        <w:pStyle w:val="Reasons"/>
      </w:pPr>
    </w:p>
    <w:p w14:paraId="32F5859F" w14:textId="58D5C339" w:rsidR="00C2727F" w:rsidRDefault="00373187" w:rsidP="00373187">
      <w:pPr>
        <w:jc w:val="center"/>
      </w:pPr>
      <w:r>
        <w:t>______________</w:t>
      </w:r>
    </w:p>
    <w:sectPr w:rsidR="00C2727F" w:rsidSect="006710F6">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5476" w14:textId="77777777" w:rsidR="0049745A" w:rsidRDefault="0049745A">
      <w:r>
        <w:separator/>
      </w:r>
    </w:p>
  </w:endnote>
  <w:endnote w:type="continuationSeparator" w:id="0">
    <w:p w14:paraId="494B1360" w14:textId="77777777" w:rsidR="0049745A" w:rsidRDefault="004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E471" w14:textId="77777777" w:rsidR="00F9639D" w:rsidRDefault="00F96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4EE1" w14:textId="60490869" w:rsidR="00760F1C" w:rsidRPr="00F9639D" w:rsidRDefault="00760F1C" w:rsidP="00F9639D">
    <w:pPr>
      <w:pStyle w:val="Footer"/>
    </w:pPr>
    <w:bookmarkStart w:id="12" w:name="_GoBack"/>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C303" w14:textId="77777777" w:rsidR="00760F1C" w:rsidRDefault="00760F1C">
    <w:pPr>
      <w:spacing w:after="120"/>
      <w:jc w:val="center"/>
    </w:pPr>
    <w:r>
      <w:t xml:space="preserve">• </w:t>
    </w:r>
    <w:hyperlink r:id="rId1" w:history="1">
      <w:r>
        <w:rPr>
          <w:rStyle w:val="Hyperlink"/>
        </w:rPr>
        <w:t>http://www.itu.int/council</w:t>
      </w:r>
    </w:hyperlink>
    <w:r>
      <w:t xml:space="preserve"> •</w:t>
    </w:r>
  </w:p>
  <w:p w14:paraId="1EF70CDA" w14:textId="43FBA57D" w:rsidR="00760F1C" w:rsidRPr="00650A0E" w:rsidRDefault="00760F1C" w:rsidP="00650A0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933DD" w14:textId="77777777" w:rsidR="0049745A" w:rsidRDefault="0049745A">
      <w:r>
        <w:t>____________________</w:t>
      </w:r>
    </w:p>
  </w:footnote>
  <w:footnote w:type="continuationSeparator" w:id="0">
    <w:p w14:paraId="0D48D93E" w14:textId="77777777" w:rsidR="0049745A" w:rsidRDefault="0049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71E" w14:textId="77777777" w:rsidR="00F9639D" w:rsidRDefault="00F96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A83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856474E" w14:textId="0E1E7412" w:rsidR="00760F1C" w:rsidRDefault="00760F1C" w:rsidP="00C2727F">
    <w:pPr>
      <w:pStyle w:val="Header"/>
    </w:pPr>
    <w:r>
      <w:t>C</w:t>
    </w:r>
    <w:r w:rsidR="007955DA">
      <w:t>20</w:t>
    </w:r>
    <w:r>
      <w:t>/</w:t>
    </w:r>
    <w:r w:rsidR="0046264B">
      <w:t>5</w:t>
    </w:r>
    <w:r w:rsidR="00C76D38">
      <w:t>6</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2A0D" w14:textId="77777777" w:rsidR="00F9639D" w:rsidRDefault="00F9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9A1"/>
    <w:multiLevelType w:val="hybridMultilevel"/>
    <w:tmpl w:val="F71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9357D"/>
    <w:multiLevelType w:val="hybridMultilevel"/>
    <w:tmpl w:val="06F09C7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4AC7130"/>
    <w:multiLevelType w:val="hybridMultilevel"/>
    <w:tmpl w:val="10D0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B4765"/>
    <w:multiLevelType w:val="hybridMultilevel"/>
    <w:tmpl w:val="65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375A2"/>
    <w:multiLevelType w:val="hybridMultilevel"/>
    <w:tmpl w:val="3FD89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A2D00B7"/>
    <w:multiLevelType w:val="hybridMultilevel"/>
    <w:tmpl w:val="137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B"/>
    <w:rsid w:val="00064F57"/>
    <w:rsid w:val="00073635"/>
    <w:rsid w:val="0008347F"/>
    <w:rsid w:val="00093EEB"/>
    <w:rsid w:val="000B0D00"/>
    <w:rsid w:val="000B7C15"/>
    <w:rsid w:val="000D1D0F"/>
    <w:rsid w:val="000F099E"/>
    <w:rsid w:val="000F5290"/>
    <w:rsid w:val="0010165C"/>
    <w:rsid w:val="00146BFB"/>
    <w:rsid w:val="00193618"/>
    <w:rsid w:val="001F14A2"/>
    <w:rsid w:val="002801AA"/>
    <w:rsid w:val="002817D6"/>
    <w:rsid w:val="002C4676"/>
    <w:rsid w:val="002C70B0"/>
    <w:rsid w:val="002F3CC4"/>
    <w:rsid w:val="002F516A"/>
    <w:rsid w:val="003719CC"/>
    <w:rsid w:val="00373187"/>
    <w:rsid w:val="004453B3"/>
    <w:rsid w:val="0046264B"/>
    <w:rsid w:val="0049745A"/>
    <w:rsid w:val="00513630"/>
    <w:rsid w:val="00524AC5"/>
    <w:rsid w:val="00540F2D"/>
    <w:rsid w:val="00560125"/>
    <w:rsid w:val="00585553"/>
    <w:rsid w:val="005B34D9"/>
    <w:rsid w:val="005D0CCF"/>
    <w:rsid w:val="005F3BCB"/>
    <w:rsid w:val="005F410F"/>
    <w:rsid w:val="0060149A"/>
    <w:rsid w:val="00601924"/>
    <w:rsid w:val="00606A95"/>
    <w:rsid w:val="006367AB"/>
    <w:rsid w:val="006447EA"/>
    <w:rsid w:val="0064731F"/>
    <w:rsid w:val="00650A0E"/>
    <w:rsid w:val="00664572"/>
    <w:rsid w:val="006710F6"/>
    <w:rsid w:val="00683DD9"/>
    <w:rsid w:val="006A79D5"/>
    <w:rsid w:val="006C1B56"/>
    <w:rsid w:val="006D4761"/>
    <w:rsid w:val="007103A1"/>
    <w:rsid w:val="00726872"/>
    <w:rsid w:val="00760F1C"/>
    <w:rsid w:val="007657F0"/>
    <w:rsid w:val="0077252D"/>
    <w:rsid w:val="007955DA"/>
    <w:rsid w:val="007E5DD3"/>
    <w:rsid w:val="007F350B"/>
    <w:rsid w:val="00820BE4"/>
    <w:rsid w:val="008451E8"/>
    <w:rsid w:val="00876184"/>
    <w:rsid w:val="00894925"/>
    <w:rsid w:val="008E7DF1"/>
    <w:rsid w:val="00913B9C"/>
    <w:rsid w:val="00956E77"/>
    <w:rsid w:val="009F4811"/>
    <w:rsid w:val="00A83776"/>
    <w:rsid w:val="00AA390C"/>
    <w:rsid w:val="00AB4EDA"/>
    <w:rsid w:val="00AD087B"/>
    <w:rsid w:val="00B0200A"/>
    <w:rsid w:val="00B574DB"/>
    <w:rsid w:val="00B826C2"/>
    <w:rsid w:val="00B8298E"/>
    <w:rsid w:val="00BD0723"/>
    <w:rsid w:val="00BD2518"/>
    <w:rsid w:val="00BF1D1C"/>
    <w:rsid w:val="00C20C59"/>
    <w:rsid w:val="00C2727F"/>
    <w:rsid w:val="00C35ED7"/>
    <w:rsid w:val="00C55B1F"/>
    <w:rsid w:val="00C76D38"/>
    <w:rsid w:val="00CF1A67"/>
    <w:rsid w:val="00D2750E"/>
    <w:rsid w:val="00D62446"/>
    <w:rsid w:val="00D80EC7"/>
    <w:rsid w:val="00DA4EA2"/>
    <w:rsid w:val="00DC3D3E"/>
    <w:rsid w:val="00DE2C90"/>
    <w:rsid w:val="00DE3B24"/>
    <w:rsid w:val="00E06947"/>
    <w:rsid w:val="00E3592D"/>
    <w:rsid w:val="00E92DE8"/>
    <w:rsid w:val="00EB1212"/>
    <w:rsid w:val="00ED65AB"/>
    <w:rsid w:val="00EF183C"/>
    <w:rsid w:val="00F12850"/>
    <w:rsid w:val="00F33BF4"/>
    <w:rsid w:val="00F7105E"/>
    <w:rsid w:val="00F75F57"/>
    <w:rsid w:val="00F82FEE"/>
    <w:rsid w:val="00F9639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A485B"/>
  <w15:docId w15:val="{12EF3D22-94F2-4092-8535-D19171B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qFormat/>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46264B"/>
    <w:rPr>
      <w:rFonts w:ascii="Calibri" w:hAnsi="Calibri"/>
      <w:b/>
      <w:sz w:val="28"/>
      <w:lang w:val="es-ES_tradnl" w:eastAsia="en-US"/>
    </w:rPr>
  </w:style>
  <w:style w:type="paragraph" w:styleId="ListParagraph">
    <w:name w:val="List Paragraph"/>
    <w:basedOn w:val="Normal"/>
    <w:uiPriority w:val="34"/>
    <w:qFormat/>
    <w:rsid w:val="0046264B"/>
    <w:pPr>
      <w:ind w:left="720"/>
      <w:contextualSpacing/>
    </w:pPr>
  </w:style>
  <w:style w:type="table" w:styleId="TableGrid">
    <w:name w:val="Table Grid"/>
    <w:basedOn w:val="TableNormal"/>
    <w:rsid w:val="00C76D3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337/es" TargetMode="External"/><Relationship Id="rId13" Type="http://schemas.openxmlformats.org/officeDocument/2006/relationships/hyperlink" Target="https://www.itu.int/md/R16-WRC19-C-0325/es" TargetMode="External"/><Relationship Id="rId18" Type="http://schemas.openxmlformats.org/officeDocument/2006/relationships/hyperlink" Target="https://www.itu.int/md/R16-WRC19-C-0493/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R16-WRC19-C-0463/es" TargetMode="External"/><Relationship Id="rId17" Type="http://schemas.openxmlformats.org/officeDocument/2006/relationships/hyperlink" Target="https://www.itu.int/md/R16-WRC19-C-0492/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R16-WRC19-C-0491/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6-WRC19-C-0453/e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R16-WRC19-C-0332/es" TargetMode="External"/><Relationship Id="rId23" Type="http://schemas.openxmlformats.org/officeDocument/2006/relationships/footer" Target="footer2.xml"/><Relationship Id="rId10" Type="http://schemas.openxmlformats.org/officeDocument/2006/relationships/hyperlink" Target="https://www.itu.int/md/S20-CWGFHR11-C-0005/es" TargetMode="External"/><Relationship Id="rId19" Type="http://schemas.openxmlformats.org/officeDocument/2006/relationships/hyperlink" Target="https://www.itu.int/md/R16-WRC19-C-0450/es" TargetMode="External"/><Relationship Id="rId4" Type="http://schemas.openxmlformats.org/officeDocument/2006/relationships/webSettings" Target="webSettings.xml"/><Relationship Id="rId9" Type="http://schemas.openxmlformats.org/officeDocument/2006/relationships/hyperlink" Target="https://www.itu.int/md/R16-WRC19-C-0337/es" TargetMode="External"/><Relationship Id="rId14" Type="http://schemas.openxmlformats.org/officeDocument/2006/relationships/hyperlink" Target="https://www.itu.int/md/R16-WRC19-C-0190/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1</TotalTime>
  <Pages>4</Pages>
  <Words>1670</Words>
  <Characters>9520</Characters>
  <Application>Microsoft Office Word</Application>
  <DocSecurity>0</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11168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Janin, Patricia</cp:lastModifiedBy>
  <cp:revision>3</cp:revision>
  <cp:lastPrinted>2020-03-13T15:27:00Z</cp:lastPrinted>
  <dcterms:created xsi:type="dcterms:W3CDTF">2020-03-18T15:06:00Z</dcterms:created>
  <dcterms:modified xsi:type="dcterms:W3CDTF">2020-03-18T15:07:00Z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