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5985274" w14:textId="77777777" w:rsidTr="006C7CC0">
        <w:trPr>
          <w:cantSplit/>
          <w:trHeight w:val="20"/>
        </w:trPr>
        <w:tc>
          <w:tcPr>
            <w:tcW w:w="6620" w:type="dxa"/>
          </w:tcPr>
          <w:p w14:paraId="2D180E4C"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r w:rsidRPr="0026373E">
              <w:rPr>
                <w:rFonts w:hint="cs"/>
                <w:b/>
                <w:bCs/>
                <w:sz w:val="24"/>
                <w:szCs w:val="24"/>
                <w:rtl/>
                <w:lang w:bidi="ar-EG"/>
              </w:rPr>
              <w:t xml:space="preserve">جنيف، </w:t>
            </w:r>
            <w:r w:rsidR="002F71D8">
              <w:rPr>
                <w:b/>
                <w:bCs/>
                <w:sz w:val="24"/>
                <w:szCs w:val="24"/>
                <w:lang w:bidi="ar-SY"/>
              </w:rPr>
              <w:t>19-9</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6A793B">
              <w:rPr>
                <w:b/>
                <w:bCs/>
                <w:sz w:val="24"/>
                <w:szCs w:val="24"/>
                <w:lang w:bidi="ar-EG"/>
              </w:rPr>
              <w:t>2020</w:t>
            </w:r>
          </w:p>
        </w:tc>
        <w:tc>
          <w:tcPr>
            <w:tcW w:w="3052" w:type="dxa"/>
          </w:tcPr>
          <w:p w14:paraId="0EE94211"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3C0BDC22" wp14:editId="2E08DC1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1B8186FB" w14:textId="77777777" w:rsidTr="009F66A8">
        <w:trPr>
          <w:cantSplit/>
          <w:trHeight w:val="20"/>
        </w:trPr>
        <w:tc>
          <w:tcPr>
            <w:tcW w:w="6620" w:type="dxa"/>
            <w:tcBorders>
              <w:bottom w:val="single" w:sz="12" w:space="0" w:color="auto"/>
            </w:tcBorders>
          </w:tcPr>
          <w:p w14:paraId="5FA00288"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188E05CF" w14:textId="77777777" w:rsidR="00290728" w:rsidRPr="006A793B" w:rsidRDefault="00290728" w:rsidP="006A793B">
            <w:pPr>
              <w:spacing w:before="0" w:line="120" w:lineRule="auto"/>
              <w:rPr>
                <w:lang w:bidi="ar-EG"/>
              </w:rPr>
            </w:pPr>
          </w:p>
        </w:tc>
      </w:tr>
      <w:tr w:rsidR="00290728" w:rsidRPr="00290728" w14:paraId="321FCCAE" w14:textId="77777777" w:rsidTr="009F66A8">
        <w:trPr>
          <w:cantSplit/>
          <w:trHeight w:val="20"/>
        </w:trPr>
        <w:tc>
          <w:tcPr>
            <w:tcW w:w="6620" w:type="dxa"/>
            <w:tcBorders>
              <w:top w:val="single" w:sz="12" w:space="0" w:color="auto"/>
            </w:tcBorders>
          </w:tcPr>
          <w:p w14:paraId="5324082D"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85A7AA5" w14:textId="77777777" w:rsidR="00290728" w:rsidRPr="00290728" w:rsidRDefault="00290728" w:rsidP="00290728">
            <w:pPr>
              <w:spacing w:before="60" w:after="60" w:line="260" w:lineRule="exact"/>
              <w:rPr>
                <w:b/>
                <w:bCs/>
                <w:lang w:bidi="ar-SY"/>
              </w:rPr>
            </w:pPr>
          </w:p>
        </w:tc>
      </w:tr>
      <w:tr w:rsidR="00290728" w:rsidRPr="00290728" w14:paraId="2F4C0495" w14:textId="77777777" w:rsidTr="009F66A8">
        <w:trPr>
          <w:cantSplit/>
        </w:trPr>
        <w:tc>
          <w:tcPr>
            <w:tcW w:w="6620" w:type="dxa"/>
          </w:tcPr>
          <w:p w14:paraId="08FC06A8" w14:textId="0E059896" w:rsidR="00290728" w:rsidRPr="002F71D8" w:rsidRDefault="007A76D9" w:rsidP="007A76D9">
            <w:pPr>
              <w:spacing w:before="20" w:after="20" w:line="300" w:lineRule="exact"/>
              <w:rPr>
                <w:b/>
                <w:bCs/>
                <w:lang w:bidi="ar-EG"/>
              </w:rPr>
            </w:pPr>
            <w:r>
              <w:rPr>
                <w:rFonts w:hint="cs"/>
                <w:b/>
                <w:bCs/>
                <w:rtl/>
                <w:lang w:bidi="ar-EG"/>
              </w:rPr>
              <w:t xml:space="preserve">بند جدول الأعمال: </w:t>
            </w:r>
            <w:r w:rsidRPr="007A76D9">
              <w:rPr>
                <w:b/>
                <w:bCs/>
                <w:lang w:bidi="ar-EG"/>
              </w:rPr>
              <w:t>ADM 27</w:t>
            </w:r>
          </w:p>
        </w:tc>
        <w:tc>
          <w:tcPr>
            <w:tcW w:w="3052" w:type="dxa"/>
            <w:vAlign w:val="center"/>
          </w:tcPr>
          <w:p w14:paraId="47980D88" w14:textId="355EDEF1"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20</w:t>
            </w:r>
            <w:r w:rsidRPr="002F71D8">
              <w:rPr>
                <w:b/>
                <w:bCs/>
                <w:lang w:bidi="ar-SY"/>
              </w:rPr>
              <w:t>/</w:t>
            </w:r>
            <w:r w:rsidR="00830E98">
              <w:rPr>
                <w:b/>
                <w:bCs/>
                <w:lang w:bidi="ar-SY"/>
              </w:rPr>
              <w:t>60</w:t>
            </w:r>
            <w:r w:rsidRPr="002F71D8">
              <w:rPr>
                <w:b/>
                <w:bCs/>
                <w:lang w:bidi="ar-SY"/>
              </w:rPr>
              <w:t>-A</w:t>
            </w:r>
          </w:p>
        </w:tc>
      </w:tr>
      <w:tr w:rsidR="00290728" w:rsidRPr="00290728" w14:paraId="2C638509" w14:textId="77777777" w:rsidTr="009F66A8">
        <w:trPr>
          <w:cantSplit/>
        </w:trPr>
        <w:tc>
          <w:tcPr>
            <w:tcW w:w="6620" w:type="dxa"/>
          </w:tcPr>
          <w:p w14:paraId="12588A5E" w14:textId="77777777" w:rsidR="00290728" w:rsidRPr="002F71D8" w:rsidRDefault="00290728" w:rsidP="003C6B4F">
            <w:pPr>
              <w:spacing w:before="20" w:after="20" w:line="300" w:lineRule="exact"/>
              <w:rPr>
                <w:b/>
                <w:bCs/>
                <w:lang w:bidi="ar-SY"/>
              </w:rPr>
            </w:pPr>
          </w:p>
        </w:tc>
        <w:tc>
          <w:tcPr>
            <w:tcW w:w="3052" w:type="dxa"/>
            <w:vAlign w:val="center"/>
          </w:tcPr>
          <w:p w14:paraId="69C10180" w14:textId="709D52C5" w:rsidR="00290728" w:rsidRPr="002F71D8" w:rsidRDefault="00830E98" w:rsidP="003C6B4F">
            <w:pPr>
              <w:spacing w:before="20" w:after="20" w:line="300" w:lineRule="exact"/>
              <w:rPr>
                <w:b/>
                <w:bCs/>
                <w:rtl/>
                <w:lang w:bidi="ar-EG"/>
              </w:rPr>
            </w:pPr>
            <w:r>
              <w:rPr>
                <w:b/>
                <w:bCs/>
                <w:lang w:bidi="ar-SY"/>
              </w:rPr>
              <w:t>17</w:t>
            </w:r>
            <w:r w:rsidR="00290728" w:rsidRPr="002F71D8">
              <w:rPr>
                <w:rFonts w:hint="cs"/>
                <w:b/>
                <w:bCs/>
                <w:rtl/>
                <w:lang w:bidi="ar-EG"/>
              </w:rPr>
              <w:t xml:space="preserve"> </w:t>
            </w:r>
            <w:r>
              <w:rPr>
                <w:rFonts w:hint="cs"/>
                <w:b/>
                <w:bCs/>
                <w:rtl/>
                <w:lang w:bidi="ar-EG"/>
              </w:rPr>
              <w:t>أبريل</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6917B412" w14:textId="77777777" w:rsidTr="009F66A8">
        <w:trPr>
          <w:cantSplit/>
        </w:trPr>
        <w:tc>
          <w:tcPr>
            <w:tcW w:w="6620" w:type="dxa"/>
          </w:tcPr>
          <w:p w14:paraId="00F37594" w14:textId="77777777" w:rsidR="00290728" w:rsidRPr="002F71D8" w:rsidRDefault="00290728" w:rsidP="003C6B4F">
            <w:pPr>
              <w:spacing w:before="20" w:after="20" w:line="300" w:lineRule="exact"/>
              <w:rPr>
                <w:b/>
                <w:bCs/>
                <w:lang w:bidi="ar-EG"/>
              </w:rPr>
            </w:pPr>
          </w:p>
        </w:tc>
        <w:tc>
          <w:tcPr>
            <w:tcW w:w="3052" w:type="dxa"/>
            <w:vAlign w:val="center"/>
          </w:tcPr>
          <w:p w14:paraId="16F250F0" w14:textId="77777777" w:rsidR="00290728" w:rsidRPr="00830E98" w:rsidRDefault="00290728" w:rsidP="003C6B4F">
            <w:pPr>
              <w:spacing w:before="20" w:after="20" w:line="300" w:lineRule="exact"/>
              <w:rPr>
                <w:b/>
                <w:bCs/>
                <w:lang w:bidi="ar-SY"/>
              </w:rPr>
            </w:pPr>
            <w:r w:rsidRPr="00830E98">
              <w:rPr>
                <w:b/>
                <w:bCs/>
                <w:rtl/>
                <w:lang w:bidi="ar-EG"/>
              </w:rPr>
              <w:t xml:space="preserve">الأصل: </w:t>
            </w:r>
            <w:r w:rsidR="006A793B" w:rsidRPr="00830E98">
              <w:rPr>
                <w:rFonts w:hint="cs"/>
                <w:b/>
                <w:bCs/>
                <w:rtl/>
                <w:lang w:bidi="ar-EG"/>
              </w:rPr>
              <w:t>بالإنكليزية</w:t>
            </w:r>
          </w:p>
        </w:tc>
      </w:tr>
      <w:tr w:rsidR="00830E98" w:rsidRPr="00290728" w14:paraId="0EA07416" w14:textId="77777777" w:rsidTr="009F66A8">
        <w:trPr>
          <w:cantSplit/>
        </w:trPr>
        <w:tc>
          <w:tcPr>
            <w:tcW w:w="9672" w:type="dxa"/>
            <w:gridSpan w:val="2"/>
          </w:tcPr>
          <w:p w14:paraId="4D63F450" w14:textId="77777777" w:rsidR="00830E98" w:rsidRDefault="00830E98" w:rsidP="00830E98">
            <w:pPr>
              <w:pStyle w:val="Source"/>
              <w:rPr>
                <w:lang w:bidi="ar-EG"/>
              </w:rPr>
            </w:pPr>
            <w:r>
              <w:rPr>
                <w:rFonts w:hint="cs"/>
                <w:rtl/>
                <w:lang w:bidi="ar-SY"/>
              </w:rPr>
              <w:t>تقرير من الأمين العام</w:t>
            </w:r>
          </w:p>
        </w:tc>
      </w:tr>
      <w:tr w:rsidR="00830E98" w:rsidRPr="00290728" w14:paraId="4EE2F332" w14:textId="77777777" w:rsidTr="009F66A8">
        <w:trPr>
          <w:cantSplit/>
        </w:trPr>
        <w:tc>
          <w:tcPr>
            <w:tcW w:w="9672" w:type="dxa"/>
            <w:gridSpan w:val="2"/>
          </w:tcPr>
          <w:p w14:paraId="3C922D5C" w14:textId="77777777" w:rsidR="00830E98" w:rsidRDefault="00830E98" w:rsidP="00830E98">
            <w:pPr>
              <w:pStyle w:val="Title1"/>
              <w:rPr>
                <w:rtl/>
                <w:lang w:bidi="ar-EG"/>
              </w:rPr>
            </w:pPr>
            <w:r>
              <w:rPr>
                <w:rFonts w:hint="cs"/>
                <w:rtl/>
                <w:lang w:bidi="ar-EG"/>
              </w:rPr>
              <w:t>إنشاء وظيفة تحقيق جديدة وتمويلها</w:t>
            </w:r>
          </w:p>
        </w:tc>
      </w:tr>
      <w:tr w:rsidR="00DC5FB0" w:rsidRPr="00290728" w14:paraId="3FFF07B6" w14:textId="77777777" w:rsidTr="009F66A8">
        <w:trPr>
          <w:cantSplit/>
        </w:trPr>
        <w:tc>
          <w:tcPr>
            <w:tcW w:w="9672" w:type="dxa"/>
            <w:gridSpan w:val="2"/>
          </w:tcPr>
          <w:p w14:paraId="739897A8" w14:textId="77777777" w:rsidR="00DC5FB0" w:rsidRPr="00383829" w:rsidRDefault="00DC5FB0" w:rsidP="006A793B">
            <w:pPr>
              <w:rPr>
                <w:rtl/>
              </w:rPr>
            </w:pPr>
          </w:p>
        </w:tc>
      </w:tr>
    </w:tbl>
    <w:p w14:paraId="35D79860"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RPr="001170F4" w14:paraId="431A62A5" w14:textId="77777777" w:rsidTr="00952F86">
        <w:trPr>
          <w:jc w:val="center"/>
        </w:trPr>
        <w:tc>
          <w:tcPr>
            <w:tcW w:w="8080" w:type="dxa"/>
          </w:tcPr>
          <w:p w14:paraId="2AFD6AC0" w14:textId="77777777" w:rsidR="00290728" w:rsidRPr="00290728" w:rsidRDefault="00290728" w:rsidP="00706D7A">
            <w:pPr>
              <w:rPr>
                <w:b/>
                <w:bCs/>
                <w:rtl/>
                <w:lang w:bidi="ar-SY"/>
              </w:rPr>
            </w:pPr>
            <w:r w:rsidRPr="00290728">
              <w:rPr>
                <w:rFonts w:hint="cs"/>
                <w:b/>
                <w:bCs/>
                <w:rtl/>
                <w:lang w:bidi="ar-SY"/>
              </w:rPr>
              <w:t>ملخص</w:t>
            </w:r>
          </w:p>
          <w:p w14:paraId="2E5B7F71" w14:textId="0A7C1C4A" w:rsidR="00830E98" w:rsidRDefault="00830E98" w:rsidP="00830E98">
            <w:pPr>
              <w:rPr>
                <w:lang w:bidi="ar"/>
              </w:rPr>
            </w:pPr>
            <w:r>
              <w:rPr>
                <w:rFonts w:hint="cs"/>
                <w:rtl/>
                <w:lang w:bidi="ar"/>
              </w:rPr>
              <w:t xml:space="preserve">سلطت قضية الاحتيال </w:t>
            </w:r>
            <w:r>
              <w:rPr>
                <w:rFonts w:hint="cs"/>
                <w:rtl/>
                <w:lang w:bidi="ar-EG"/>
              </w:rPr>
              <w:t xml:space="preserve">التي وقعت </w:t>
            </w:r>
            <w:r>
              <w:rPr>
                <w:rFonts w:hint="cs"/>
                <w:rtl/>
                <w:lang w:bidi="ar"/>
              </w:rPr>
              <w:t>في أحد المكاتب الإقليمية الضوء على أهمية تعزيز الضوابط الداخلية في الاتحاد. وبالتوازي مع ذلك، شهد الاتحاد خلال الأشهر 18-20 الماضية زيادةً هائلةً في التقارير المقدمة عن سوء سلوك محتمل. والتحقيق في مثل هذه الحالات لا تفرضه مسألة الأخلاقيات والإدارة الرشيدة فحسب، وإنما هو في الواقع، التزام قانوني كلما كانت الادعاءات تتسم بمصداقية كافية. وعلاوة</w:t>
            </w:r>
            <w:r w:rsidR="00CE44B1">
              <w:rPr>
                <w:rFonts w:hint="cs"/>
                <w:rtl/>
                <w:lang w:bidi="ar"/>
              </w:rPr>
              <w:t>ً</w:t>
            </w:r>
            <w:r>
              <w:rPr>
                <w:rFonts w:hint="cs"/>
                <w:rtl/>
                <w:lang w:bidi="ar"/>
              </w:rPr>
              <w:t xml:space="preserve"> على ذلك، تتضمن مثل هذه الحالات </w:t>
            </w:r>
            <w:proofErr w:type="gramStart"/>
            <w:r>
              <w:rPr>
                <w:rFonts w:hint="cs"/>
                <w:rtl/>
                <w:lang w:bidi="ar-EG"/>
              </w:rPr>
              <w:t>م</w:t>
            </w:r>
            <w:r>
              <w:rPr>
                <w:rFonts w:hint="cs"/>
                <w:rtl/>
                <w:lang w:bidi="ar"/>
              </w:rPr>
              <w:t>خاطر</w:t>
            </w:r>
            <w:proofErr w:type="gramEnd"/>
            <w:r>
              <w:rPr>
                <w:rFonts w:hint="cs"/>
                <w:rtl/>
                <w:lang w:bidi="ar"/>
              </w:rPr>
              <w:t xml:space="preserve"> </w:t>
            </w:r>
            <w:r>
              <w:rPr>
                <w:rFonts w:hint="cs"/>
                <w:rtl/>
              </w:rPr>
              <w:t>مالية وماسة بالسمعة إلى حد كبير.</w:t>
            </w:r>
          </w:p>
          <w:p w14:paraId="56F5135A" w14:textId="7741B3C4" w:rsidR="00290728" w:rsidRDefault="00830E98" w:rsidP="00830E98">
            <w:pPr>
              <w:rPr>
                <w:rtl/>
                <w:lang w:bidi="ar-SY"/>
              </w:rPr>
            </w:pPr>
            <w:r>
              <w:rPr>
                <w:rFonts w:hint="cs"/>
                <w:rtl/>
                <w:lang w:bidi="ar"/>
              </w:rPr>
              <w:t>إن إنشاء وظيفة محقق مكرس بدوام كامل هو علامة لا لبس فيها على أن الاتحاد ينوي الضرب على سوء السلوك بيد من حديد. وبالمثل، فإنه يوضح تصميم الإدارة العليا على معالجة السلوك غير الأخلاقي والتمسك بالتزام الأمين العام بتطبيق سياسة عدم التسامح إطلاقاً إزاء بعض الأفعال مثل التحرش الجنسي والاحتيال. وإنشاء هذه الوظيفة أيضاً، يجعل الاتحاد مسايراً لأفضل الممارسات داخل النظام الموحد للأمم المتحدة.</w:t>
            </w:r>
          </w:p>
          <w:p w14:paraId="12F4481A" w14:textId="77777777" w:rsidR="00290728" w:rsidRPr="00290728" w:rsidRDefault="00290728" w:rsidP="00706D7A">
            <w:pPr>
              <w:rPr>
                <w:b/>
                <w:bCs/>
                <w:rtl/>
                <w:lang w:bidi="ar-SY"/>
              </w:rPr>
            </w:pPr>
            <w:r w:rsidRPr="00290728">
              <w:rPr>
                <w:rFonts w:hint="cs"/>
                <w:b/>
                <w:bCs/>
                <w:rtl/>
                <w:lang w:bidi="ar-SY"/>
              </w:rPr>
              <w:t>الإجراء المطلوب</w:t>
            </w:r>
          </w:p>
          <w:p w14:paraId="23C90C47" w14:textId="77777777" w:rsidR="00830E98" w:rsidRDefault="00830E98" w:rsidP="00830E98">
            <w:pPr>
              <w:rPr>
                <w:lang w:val="fr-FR" w:bidi="ar-SY"/>
              </w:rPr>
            </w:pPr>
            <w:r>
              <w:rPr>
                <w:rFonts w:hint="cs"/>
                <w:rtl/>
                <w:lang w:bidi="ar"/>
              </w:rPr>
              <w:t xml:space="preserve">يدعى المجلس </w:t>
            </w:r>
            <w:r w:rsidRPr="007A76D9">
              <w:rPr>
                <w:rFonts w:hint="cs"/>
                <w:rtl/>
                <w:lang w:bidi="ar"/>
              </w:rPr>
              <w:t>إلى</w:t>
            </w:r>
            <w:r>
              <w:rPr>
                <w:rFonts w:hint="cs"/>
                <w:b/>
                <w:bCs/>
                <w:rtl/>
                <w:lang w:bidi="ar"/>
              </w:rPr>
              <w:t xml:space="preserve"> إقرار</w:t>
            </w:r>
            <w:r>
              <w:rPr>
                <w:rFonts w:hint="cs"/>
                <w:rtl/>
                <w:lang w:bidi="ar"/>
              </w:rPr>
              <w:t xml:space="preserve"> تعزيز وظيفة التحقيق بالاتحاد، من خلال إنشاء وظيفة مكرسة برتبة فني-5 </w:t>
            </w:r>
            <w:r w:rsidRPr="0080397D">
              <w:rPr>
                <w:rFonts w:hint="cs"/>
                <w:spacing w:val="6"/>
                <w:rtl/>
                <w:lang w:bidi="ar"/>
              </w:rPr>
              <w:t>أو فني-4، يلحق بمكتب الأمين العام ويخضع لإشرافه، وتمول من خلال إجراء عملية سحب من حساب الاحتياطي.</w:t>
            </w:r>
          </w:p>
          <w:p w14:paraId="5C065506"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79F8A3DD" w14:textId="77777777" w:rsidR="00290728" w:rsidRPr="00290728" w:rsidRDefault="00290728" w:rsidP="00290728">
            <w:pPr>
              <w:rPr>
                <w:b/>
                <w:bCs/>
                <w:rtl/>
                <w:lang w:bidi="ar-SY"/>
              </w:rPr>
            </w:pPr>
            <w:r w:rsidRPr="00290728">
              <w:rPr>
                <w:rFonts w:hint="cs"/>
                <w:b/>
                <w:bCs/>
                <w:rtl/>
                <w:lang w:bidi="ar-SY"/>
              </w:rPr>
              <w:t>المراجع</w:t>
            </w:r>
          </w:p>
          <w:p w14:paraId="31500113" w14:textId="77777777" w:rsidR="00830E98" w:rsidRDefault="00830E98" w:rsidP="000865F2">
            <w:pPr>
              <w:spacing w:after="120"/>
              <w:rPr>
                <w:lang w:val="fr-FR" w:bidi="ar-SY"/>
              </w:rPr>
            </w:pPr>
            <w:r>
              <w:rPr>
                <w:rFonts w:hint="cs"/>
                <w:rtl/>
                <w:lang w:bidi="ar-SY"/>
              </w:rPr>
              <w:t xml:space="preserve">الوثيقة </w:t>
            </w:r>
            <w:hyperlink r:id="rId12" w:history="1">
              <w:r w:rsidRPr="001170F4">
                <w:rPr>
                  <w:rStyle w:val="Hyperlink"/>
                  <w:lang w:val="fr-FR" w:bidi="ar-SY"/>
                </w:rPr>
                <w:t>CWG-FHR-11/15</w:t>
              </w:r>
            </w:hyperlink>
            <w:r>
              <w:rPr>
                <w:rFonts w:hint="cs"/>
                <w:rtl/>
                <w:lang w:bidi="ar-SY"/>
              </w:rPr>
              <w:t xml:space="preserve">: </w:t>
            </w:r>
            <w:r>
              <w:rPr>
                <w:rFonts w:hint="cs"/>
                <w:rtl/>
                <w:lang w:bidi="ar"/>
              </w:rPr>
              <w:t xml:space="preserve">مساهمة </w:t>
            </w:r>
            <w:r>
              <w:rPr>
                <w:rFonts w:hint="cs"/>
                <w:rtl/>
                <w:lang w:bidi="ar-EG"/>
              </w:rPr>
              <w:t xml:space="preserve">مقدمة </w:t>
            </w:r>
            <w:r>
              <w:rPr>
                <w:rFonts w:hint="cs"/>
                <w:rtl/>
                <w:lang w:bidi="ar"/>
              </w:rPr>
              <w:t>من الولايات المتحدة - مقترح بشأن وظيفة وعملية تحقيق جديدة</w:t>
            </w:r>
            <w:r>
              <w:rPr>
                <w:rFonts w:hint="cs"/>
                <w:rtl/>
                <w:lang w:bidi="ar-SY"/>
              </w:rPr>
              <w:t>؛</w:t>
            </w:r>
          </w:p>
          <w:p w14:paraId="52B34993" w14:textId="13065110" w:rsidR="00290728" w:rsidRPr="000D4888" w:rsidRDefault="00830E98" w:rsidP="000D4888">
            <w:pPr>
              <w:spacing w:after="120"/>
              <w:jc w:val="left"/>
              <w:rPr>
                <w:i/>
                <w:iCs/>
                <w:spacing w:val="-6"/>
                <w:rtl/>
                <w:lang w:bidi="ar-SY"/>
              </w:rPr>
            </w:pPr>
            <w:r w:rsidRPr="000D4888">
              <w:rPr>
                <w:spacing w:val="-6"/>
                <w:rtl/>
                <w:lang w:bidi="ar-SY"/>
              </w:rPr>
              <w:t xml:space="preserve">الوثيقة </w:t>
            </w:r>
            <w:hyperlink r:id="rId13" w:history="1">
              <w:r w:rsidRPr="001170F4">
                <w:rPr>
                  <w:rStyle w:val="Hyperlink"/>
                  <w:spacing w:val="-6"/>
                  <w:lang w:val="fr-FR" w:bidi="ar-SY"/>
                </w:rPr>
                <w:t>C20/50</w:t>
              </w:r>
            </w:hyperlink>
            <w:r w:rsidRPr="000D4888">
              <w:rPr>
                <w:spacing w:val="-6"/>
                <w:rtl/>
                <w:lang w:bidi="ar-SY"/>
              </w:rPr>
              <w:t xml:space="preserve">: </w:t>
            </w:r>
            <w:r w:rsidRPr="000D4888">
              <w:rPr>
                <w:spacing w:val="-6"/>
                <w:rtl/>
              </w:rPr>
              <w:t>تقرير رئيس فريق العمل التابع للمجلس والمعني بالموارد المالية والبشرية</w:t>
            </w:r>
            <w:r w:rsidRPr="000D4888">
              <w:rPr>
                <w:spacing w:val="-6"/>
                <w:rtl/>
                <w:lang w:bidi="ar-SY"/>
              </w:rPr>
              <w:t xml:space="preserve"> </w:t>
            </w:r>
            <w:r w:rsidRPr="001170F4">
              <w:rPr>
                <w:spacing w:val="-6"/>
                <w:lang w:val="fr-FR" w:bidi="ar-SY"/>
              </w:rPr>
              <w:t>(CWG - FHR)</w:t>
            </w:r>
          </w:p>
        </w:tc>
      </w:tr>
    </w:tbl>
    <w:p w14:paraId="66473067" w14:textId="77777777" w:rsidR="004E11DC" w:rsidRPr="00F974C5" w:rsidRDefault="004E11DC" w:rsidP="0026373E">
      <w:pPr>
        <w:rPr>
          <w:rtl/>
        </w:rPr>
      </w:pPr>
    </w:p>
    <w:p w14:paraId="5418BECD" w14:textId="77777777" w:rsidR="00290728" w:rsidRDefault="00290728" w:rsidP="00290728">
      <w:pPr>
        <w:rPr>
          <w:rtl/>
          <w:lang w:bidi="ar-EG"/>
        </w:rPr>
      </w:pPr>
      <w:r>
        <w:rPr>
          <w:rtl/>
          <w:lang w:bidi="ar-SY"/>
        </w:rPr>
        <w:br w:type="page"/>
      </w:r>
    </w:p>
    <w:p w14:paraId="65FC54BC" w14:textId="77777777" w:rsidR="00830E98" w:rsidRDefault="00830E98" w:rsidP="00830E98">
      <w:pPr>
        <w:pStyle w:val="Annextitle"/>
      </w:pPr>
      <w:r>
        <w:rPr>
          <w:rFonts w:hint="cs"/>
          <w:rtl/>
        </w:rPr>
        <w:lastRenderedPageBreak/>
        <w:t xml:space="preserve">إنشاء </w:t>
      </w:r>
      <w:r>
        <w:rPr>
          <w:rFonts w:hint="cs"/>
          <w:rtl/>
          <w:lang w:bidi="ar-SA"/>
        </w:rPr>
        <w:t>وظيفة وعملية تحقيق جديدة وتمويلها</w:t>
      </w:r>
    </w:p>
    <w:p w14:paraId="1C4BA7F6" w14:textId="77777777" w:rsidR="00830E98" w:rsidRDefault="00830E98" w:rsidP="00830E98">
      <w:pPr>
        <w:pStyle w:val="Headingb"/>
        <w:rPr>
          <w:lang w:bidi="ar-EG"/>
        </w:rPr>
      </w:pPr>
      <w:r>
        <w:rPr>
          <w:rFonts w:hint="cs"/>
          <w:rtl/>
        </w:rPr>
        <w:t>خلفية</w:t>
      </w:r>
    </w:p>
    <w:p w14:paraId="1D773EEB" w14:textId="21D213AC" w:rsidR="00830E98" w:rsidRDefault="00830E98" w:rsidP="00830E98">
      <w:pPr>
        <w:rPr>
          <w:rtl/>
          <w:lang w:val="fr-FR" w:bidi="ar-EG"/>
        </w:rPr>
      </w:pPr>
      <w:r>
        <w:rPr>
          <w:lang w:bidi="ar-EG"/>
        </w:rPr>
        <w:t>1</w:t>
      </w:r>
      <w:r>
        <w:rPr>
          <w:lang w:bidi="ar-EG"/>
        </w:rPr>
        <w:tab/>
      </w:r>
      <w:r>
        <w:rPr>
          <w:rFonts w:hint="cs"/>
          <w:rtl/>
          <w:lang w:bidi="ar"/>
        </w:rPr>
        <w:t>ظلت قدرات واحتياجات التحقيق داخل الاتحاد منخفضة حتى عام 2018.</w:t>
      </w:r>
      <w:r>
        <w:rPr>
          <w:rFonts w:hint="cs"/>
          <w:rtl/>
          <w:lang w:bidi="ar-EG"/>
        </w:rPr>
        <w:t xml:space="preserve"> وفي هذا الصدد</w:t>
      </w:r>
      <w:r>
        <w:rPr>
          <w:rFonts w:hint="cs"/>
          <w:rtl/>
          <w:lang w:bidi="ar"/>
        </w:rPr>
        <w:t>، جدير بالذكر أنه لا يوجد موظف في الاتحاد له مسمى وظيفي يحمل اسم "محقق" أو أن التوصيف الوظيفي الخاص به/بها يتضمن مهمة إجراء تحقيقات كمهمة رئيسية. وتشمل ولاية وحدة المراجعة الداخلية (</w:t>
      </w:r>
      <w:r w:rsidRPr="001170F4">
        <w:rPr>
          <w:lang w:bidi="ar-EG"/>
        </w:rPr>
        <w:t>IAU</w:t>
      </w:r>
      <w:r>
        <w:rPr>
          <w:rFonts w:hint="cs"/>
          <w:rtl/>
          <w:lang w:bidi="ar"/>
        </w:rPr>
        <w:t>) التابعة للاتحاد عمليات التدقيق والتحقيق، ولكن حتى أوائل عام</w:t>
      </w:r>
      <w:r w:rsidR="007A76D9">
        <w:rPr>
          <w:rFonts w:hint="eastAsia"/>
          <w:rtl/>
          <w:lang w:bidi="ar"/>
        </w:rPr>
        <w:t> </w:t>
      </w:r>
      <w:r>
        <w:rPr>
          <w:rFonts w:hint="cs"/>
          <w:rtl/>
          <w:lang w:bidi="ar"/>
        </w:rPr>
        <w:t>2018، ظل التركيز منصباً على عمليات التدقيق.</w:t>
      </w:r>
    </w:p>
    <w:p w14:paraId="02B579D8" w14:textId="05B45D7C" w:rsidR="00830E98" w:rsidRDefault="00830E98" w:rsidP="00830E98">
      <w:pPr>
        <w:rPr>
          <w:lang w:val="fr-FR" w:bidi="ar-EG"/>
        </w:rPr>
      </w:pPr>
      <w:r>
        <w:rPr>
          <w:lang w:bidi="ar-EG"/>
        </w:rPr>
        <w:t>2</w:t>
      </w:r>
      <w:r>
        <w:rPr>
          <w:lang w:bidi="ar-EG"/>
        </w:rPr>
        <w:tab/>
      </w:r>
      <w:r>
        <w:rPr>
          <w:rFonts w:hint="cs"/>
          <w:rtl/>
          <w:lang w:bidi="ar-EG"/>
        </w:rPr>
        <w:t>و</w:t>
      </w:r>
      <w:r>
        <w:rPr>
          <w:rFonts w:hint="cs"/>
          <w:rtl/>
          <w:lang w:bidi="ar"/>
        </w:rPr>
        <w:t xml:space="preserve">يتعامل الاتحاد مع ادعاءات سوء السلوك على أساس </w:t>
      </w:r>
      <w:r w:rsidRPr="00A20095">
        <w:rPr>
          <w:rFonts w:hint="cs"/>
          <w:i/>
          <w:iCs/>
          <w:rtl/>
          <w:lang w:bidi="ar"/>
        </w:rPr>
        <w:t>مخصص</w:t>
      </w:r>
      <w:r>
        <w:rPr>
          <w:rFonts w:hint="cs"/>
          <w:rtl/>
          <w:lang w:bidi="ar"/>
        </w:rPr>
        <w:t xml:space="preserve">، بمشاركة دوائر/وحدات مختلفة (دائرة إدارة الموارد البشرية ، ووحدة المراجعة الداخلية، ومكتب الأخلاقيات، </w:t>
      </w:r>
      <w:proofErr w:type="gramStart"/>
      <w:r>
        <w:rPr>
          <w:rFonts w:hint="cs"/>
          <w:rtl/>
          <w:lang w:bidi="ar"/>
        </w:rPr>
        <w:t>وغيرها)،</w:t>
      </w:r>
      <w:proofErr w:type="gramEnd"/>
      <w:r>
        <w:rPr>
          <w:rFonts w:hint="cs"/>
          <w:rtl/>
          <w:lang w:bidi="ar"/>
        </w:rPr>
        <w:t xml:space="preserve"> ويوظف في كثير من الأحيان محققين خارجيين على أساس كل حالة على حدة.</w:t>
      </w:r>
    </w:p>
    <w:p w14:paraId="070FF6FD" w14:textId="021683AA" w:rsidR="00830E98" w:rsidRDefault="00830E98" w:rsidP="00830E98">
      <w:pPr>
        <w:rPr>
          <w:lang w:val="fr-FR" w:bidi="ar-EG"/>
        </w:rPr>
      </w:pPr>
      <w:r w:rsidRPr="001170F4">
        <w:rPr>
          <w:lang w:val="fr-FR" w:bidi="ar-EG"/>
        </w:rPr>
        <w:t>3</w:t>
      </w:r>
      <w:r w:rsidRPr="001170F4">
        <w:rPr>
          <w:lang w:val="fr-FR" w:bidi="ar-EG"/>
        </w:rPr>
        <w:tab/>
      </w:r>
      <w:r>
        <w:rPr>
          <w:rFonts w:hint="cs"/>
          <w:rtl/>
          <w:lang w:bidi="ar-EG"/>
        </w:rPr>
        <w:t>و</w:t>
      </w:r>
      <w:r>
        <w:rPr>
          <w:rFonts w:hint="cs"/>
          <w:rtl/>
          <w:lang w:bidi="ar"/>
        </w:rPr>
        <w:t xml:space="preserve">في عام 2019، أنفق الاتحاد ما يقرب من </w:t>
      </w:r>
      <w:r>
        <w:rPr>
          <w:lang w:val="fr-FR" w:bidi="ar"/>
        </w:rPr>
        <w:t>200</w:t>
      </w:r>
      <w:r w:rsidR="007A76D9">
        <w:rPr>
          <w:lang w:val="fr-FR" w:bidi="ar"/>
        </w:rPr>
        <w:t> </w:t>
      </w:r>
      <w:r>
        <w:rPr>
          <w:lang w:val="fr-FR" w:bidi="ar"/>
        </w:rPr>
        <w:t>000</w:t>
      </w:r>
      <w:r>
        <w:rPr>
          <w:rFonts w:hint="cs"/>
          <w:rtl/>
          <w:lang w:bidi="ar"/>
        </w:rPr>
        <w:t xml:space="preserve"> فرنك سويسري كرسوم توظيف للعديد من المحققين الخارجيين على أساس </w:t>
      </w:r>
      <w:r w:rsidRPr="00400220">
        <w:rPr>
          <w:rFonts w:hint="cs"/>
          <w:i/>
          <w:iCs/>
          <w:rtl/>
          <w:lang w:bidi="ar"/>
        </w:rPr>
        <w:t>مخصص</w:t>
      </w:r>
      <w:r>
        <w:rPr>
          <w:rFonts w:hint="cs"/>
          <w:rtl/>
          <w:lang w:bidi="ar"/>
        </w:rPr>
        <w:t xml:space="preserve"> من أجل استكمال القدرات الحالية للتحقيق الداخلي المذكورة أعلاه.</w:t>
      </w:r>
    </w:p>
    <w:p w14:paraId="0A82FF23" w14:textId="77777777" w:rsidR="00830E98" w:rsidRDefault="00830E98" w:rsidP="00830E98">
      <w:pPr>
        <w:rPr>
          <w:lang w:val="fr-FR" w:bidi="ar-EG"/>
        </w:rPr>
      </w:pPr>
      <w:r w:rsidRPr="001170F4">
        <w:rPr>
          <w:lang w:val="fr-FR" w:bidi="ar-EG"/>
        </w:rPr>
        <w:t>4</w:t>
      </w:r>
      <w:r w:rsidRPr="001170F4">
        <w:rPr>
          <w:lang w:val="fr-FR" w:bidi="ar-EG"/>
        </w:rPr>
        <w:tab/>
      </w:r>
      <w:r>
        <w:rPr>
          <w:rFonts w:hint="cs"/>
          <w:rtl/>
          <w:lang w:bidi="ar"/>
        </w:rPr>
        <w:t>وبناءً على ذلك، خلصت إدارة الاتحاد إلى ضرورة تعزيز وظيفة التحقيق، ليس فقط من حيث الموارد المخصصة لتلك الأنشطة، وإنما أيضاً من حيث الهيكل والإجراءات التي يتعين مواصلة تطويرها وتنفيذها.</w:t>
      </w:r>
    </w:p>
    <w:p w14:paraId="5E82A72A" w14:textId="77777777" w:rsidR="00830E98" w:rsidRPr="00EC5E4E" w:rsidRDefault="00830E98" w:rsidP="00830E98">
      <w:pPr>
        <w:rPr>
          <w:spacing w:val="-2"/>
          <w:lang w:val="fr-FR" w:bidi="ar-EG"/>
        </w:rPr>
      </w:pPr>
      <w:r w:rsidRPr="001170F4">
        <w:rPr>
          <w:spacing w:val="-2"/>
          <w:lang w:val="fr-FR" w:bidi="ar-EG"/>
        </w:rPr>
        <w:t>5</w:t>
      </w:r>
      <w:r w:rsidRPr="001170F4">
        <w:rPr>
          <w:spacing w:val="-2"/>
          <w:lang w:val="fr-FR" w:bidi="ar-EG"/>
        </w:rPr>
        <w:tab/>
      </w:r>
      <w:r w:rsidRPr="00EC5E4E">
        <w:rPr>
          <w:rFonts w:hint="cs"/>
          <w:spacing w:val="-2"/>
          <w:rtl/>
          <w:lang w:bidi="ar"/>
        </w:rPr>
        <w:t>وعليه، يُقترح على المجلس أن ينشئ الأمين العام وظيفة تحقيق مستقلة، من خلال إنشاء وظيفة مكرسة برتبة فني-5 أو فني-4، يلحق بمكتب الأمين العام ويخضع لإشرافه.</w:t>
      </w:r>
    </w:p>
    <w:p w14:paraId="5553CF73" w14:textId="77777777" w:rsidR="00830E98" w:rsidRPr="001170F4" w:rsidRDefault="00830E98" w:rsidP="007A76D9">
      <w:pPr>
        <w:pStyle w:val="Headingb"/>
        <w:rPr>
          <w:lang w:val="fr-FR"/>
        </w:rPr>
      </w:pPr>
      <w:r>
        <w:rPr>
          <w:rFonts w:hint="cs"/>
          <w:rtl/>
        </w:rPr>
        <w:t>الآثار المترتبة على الميزانية</w:t>
      </w:r>
    </w:p>
    <w:p w14:paraId="0B4A55E2" w14:textId="77777777" w:rsidR="00830E98" w:rsidRDefault="00830E98" w:rsidP="007A76D9">
      <w:pPr>
        <w:spacing w:after="120"/>
        <w:rPr>
          <w:rtl/>
          <w:lang w:val="fr-FR" w:bidi="ar-EG"/>
        </w:rPr>
      </w:pPr>
      <w:r w:rsidRPr="001170F4">
        <w:rPr>
          <w:lang w:val="fr-FR" w:bidi="ar-EG"/>
        </w:rPr>
        <w:t>6</w:t>
      </w:r>
      <w:r w:rsidRPr="001170F4">
        <w:rPr>
          <w:lang w:val="fr-FR" w:bidi="ar-EG"/>
        </w:rPr>
        <w:tab/>
      </w:r>
      <w:r>
        <w:rPr>
          <w:rFonts w:hint="cs"/>
          <w:rtl/>
          <w:lang w:bidi="ar-EG"/>
        </w:rPr>
        <w:t xml:space="preserve">ترد </w:t>
      </w:r>
      <w:r>
        <w:rPr>
          <w:rFonts w:hint="cs"/>
          <w:rtl/>
          <w:lang w:bidi="ar"/>
        </w:rPr>
        <w:t xml:space="preserve">التكاليف السنوية المقدرة للمقترح المقدم من أمانة الاتحاد (الخيار 1 في الجدول </w:t>
      </w:r>
      <w:proofErr w:type="gramStart"/>
      <w:r>
        <w:rPr>
          <w:rFonts w:hint="cs"/>
          <w:rtl/>
          <w:lang w:bidi="ar"/>
        </w:rPr>
        <w:t>أدناه)،</w:t>
      </w:r>
      <w:proofErr w:type="gramEnd"/>
      <w:r>
        <w:rPr>
          <w:rFonts w:hint="cs"/>
          <w:rtl/>
          <w:lang w:bidi="ar"/>
        </w:rPr>
        <w:t xml:space="preserve"> وكذلك لكل خيار من الخيارين المذكورين في المساهمة المقدمة من الولايات المتحدة الأمريكية (الوثيقة </w:t>
      </w:r>
      <w:r>
        <w:rPr>
          <w:lang w:val="fr-FR" w:bidi="ar-EG"/>
        </w:rPr>
        <w:t>CWG-FHR-11/15</w:t>
      </w:r>
      <w:r>
        <w:rPr>
          <w:rFonts w:hint="cs"/>
          <w:rtl/>
          <w:lang w:bidi="ar"/>
        </w:rPr>
        <w:t>) على النحو الآتي:</w:t>
      </w:r>
    </w:p>
    <w:tbl>
      <w:tblPr>
        <w:tblStyle w:val="TableGrid"/>
        <w:tblpPr w:leftFromText="180" w:rightFromText="180" w:vertAnchor="text" w:tblpXSpec="right" w:tblpY="1"/>
        <w:tblOverlap w:val="never"/>
        <w:bidiVisual/>
        <w:tblW w:w="9578" w:type="dxa"/>
        <w:tblLook w:val="04A0" w:firstRow="1" w:lastRow="0" w:firstColumn="1" w:lastColumn="0" w:noHBand="0" w:noVBand="1"/>
      </w:tblPr>
      <w:tblGrid>
        <w:gridCol w:w="872"/>
        <w:gridCol w:w="4111"/>
        <w:gridCol w:w="2268"/>
        <w:gridCol w:w="2327"/>
      </w:tblGrid>
      <w:tr w:rsidR="00EC5E4E" w14:paraId="36478AC3" w14:textId="77777777" w:rsidTr="00743A3D">
        <w:trPr>
          <w:trHeight w:val="558"/>
        </w:trPr>
        <w:tc>
          <w:tcPr>
            <w:tcW w:w="872" w:type="dxa"/>
            <w:vMerge w:val="restart"/>
            <w:tcBorders>
              <w:top w:val="single" w:sz="4" w:space="0" w:color="auto"/>
              <w:left w:val="single" w:sz="4" w:space="0" w:color="auto"/>
              <w:bottom w:val="single" w:sz="4" w:space="0" w:color="auto"/>
              <w:right w:val="single" w:sz="4" w:space="0" w:color="auto"/>
            </w:tcBorders>
            <w:hideMark/>
          </w:tcPr>
          <w:p w14:paraId="0D556D94" w14:textId="77777777" w:rsidR="00830E98" w:rsidRDefault="00830E98" w:rsidP="009D1962">
            <w:pPr>
              <w:spacing w:before="60" w:after="60" w:line="300" w:lineRule="exact"/>
              <w:jc w:val="left"/>
              <w:rPr>
                <w:lang w:bidi="ar-EG"/>
              </w:rPr>
            </w:pPr>
            <w:r>
              <w:rPr>
                <w:rFonts w:hint="cs"/>
                <w:rtl/>
                <w:lang w:bidi="ar-EG"/>
              </w:rPr>
              <w:t xml:space="preserve">الخيار </w:t>
            </w:r>
            <w:r>
              <w:rPr>
                <w:lang w:bidi="ar-EG"/>
              </w:rPr>
              <w:t>1</w:t>
            </w:r>
          </w:p>
        </w:tc>
        <w:tc>
          <w:tcPr>
            <w:tcW w:w="4111" w:type="dxa"/>
            <w:tcBorders>
              <w:top w:val="single" w:sz="4" w:space="0" w:color="auto"/>
              <w:left w:val="single" w:sz="4" w:space="0" w:color="auto"/>
              <w:bottom w:val="single" w:sz="4" w:space="0" w:color="auto"/>
              <w:right w:val="single" w:sz="4" w:space="0" w:color="auto"/>
            </w:tcBorders>
            <w:hideMark/>
          </w:tcPr>
          <w:p w14:paraId="21598A94" w14:textId="77777777" w:rsidR="00830E98" w:rsidRDefault="00830E98" w:rsidP="009D1962">
            <w:pPr>
              <w:spacing w:before="60" w:after="60" w:line="300" w:lineRule="exact"/>
              <w:jc w:val="left"/>
              <w:rPr>
                <w:lang w:bidi="ar-EG"/>
              </w:rPr>
            </w:pPr>
            <w:r>
              <w:rPr>
                <w:rFonts w:hint="cs"/>
                <w:rtl/>
                <w:lang w:bidi="ar-EG"/>
              </w:rPr>
              <w:t xml:space="preserve">وظيفة برتبة </w:t>
            </w:r>
            <w:r>
              <w:rPr>
                <w:rFonts w:hint="cs"/>
                <w:rtl/>
                <w:lang w:bidi="ar"/>
              </w:rPr>
              <w:t>فني-5</w:t>
            </w:r>
          </w:p>
        </w:tc>
        <w:tc>
          <w:tcPr>
            <w:tcW w:w="2268" w:type="dxa"/>
            <w:tcBorders>
              <w:top w:val="single" w:sz="4" w:space="0" w:color="auto"/>
              <w:left w:val="single" w:sz="4" w:space="0" w:color="auto"/>
              <w:bottom w:val="single" w:sz="4" w:space="0" w:color="auto"/>
              <w:right w:val="single" w:sz="4" w:space="0" w:color="auto"/>
            </w:tcBorders>
            <w:hideMark/>
          </w:tcPr>
          <w:p w14:paraId="03261202" w14:textId="77777777" w:rsidR="00830E98" w:rsidRDefault="00830E98" w:rsidP="009D1962">
            <w:pPr>
              <w:spacing w:before="60" w:after="60" w:line="300" w:lineRule="exact"/>
              <w:jc w:val="left"/>
              <w:rPr>
                <w:lang w:bidi="ar-EG"/>
              </w:rPr>
            </w:pPr>
            <w:r>
              <w:rPr>
                <w:lang w:bidi="ar-EG"/>
              </w:rPr>
              <w:t>244 292</w:t>
            </w:r>
            <w:r>
              <w:rPr>
                <w:rFonts w:hint="cs"/>
                <w:rtl/>
                <w:lang w:bidi="ar-EG"/>
              </w:rPr>
              <w:t xml:space="preserve"> فرنك سويسري</w:t>
            </w:r>
          </w:p>
        </w:tc>
        <w:tc>
          <w:tcPr>
            <w:tcW w:w="2327" w:type="dxa"/>
            <w:vMerge w:val="restart"/>
            <w:tcBorders>
              <w:top w:val="single" w:sz="4" w:space="0" w:color="auto"/>
              <w:left w:val="single" w:sz="4" w:space="0" w:color="auto"/>
              <w:bottom w:val="single" w:sz="4" w:space="0" w:color="auto"/>
              <w:right w:val="single" w:sz="4" w:space="0" w:color="auto"/>
            </w:tcBorders>
            <w:hideMark/>
          </w:tcPr>
          <w:p w14:paraId="668D79B7" w14:textId="160F08F2" w:rsidR="00830E98" w:rsidRDefault="00830E98" w:rsidP="009D1962">
            <w:pPr>
              <w:spacing w:before="60" w:after="60" w:line="300" w:lineRule="exact"/>
              <w:jc w:val="left"/>
              <w:rPr>
                <w:lang w:bidi="ar-EG"/>
              </w:rPr>
            </w:pPr>
            <w:r>
              <w:rPr>
                <w:rFonts w:hint="cs"/>
                <w:rtl/>
                <w:lang w:bidi="ar-EG"/>
              </w:rPr>
              <w:t xml:space="preserve">حد أقصى: </w:t>
            </w:r>
            <w:r w:rsidR="007A76D9">
              <w:rPr>
                <w:lang w:bidi="ar-EG"/>
              </w:rPr>
              <w:br/>
            </w:r>
            <w:r>
              <w:rPr>
                <w:lang w:bidi="ar-EG"/>
              </w:rPr>
              <w:t>244 292</w:t>
            </w:r>
            <w:r>
              <w:rPr>
                <w:rFonts w:hint="cs"/>
                <w:rtl/>
                <w:lang w:bidi="ar-EG"/>
              </w:rPr>
              <w:t xml:space="preserve"> فرنك سويسري</w:t>
            </w:r>
          </w:p>
          <w:p w14:paraId="5C835B04" w14:textId="6D546C55" w:rsidR="00830E98" w:rsidRDefault="00830E98" w:rsidP="009D1962">
            <w:pPr>
              <w:spacing w:before="60" w:after="60" w:line="300" w:lineRule="exact"/>
              <w:jc w:val="left"/>
              <w:rPr>
                <w:lang w:bidi="ar-EG"/>
              </w:rPr>
            </w:pPr>
            <w:r>
              <w:rPr>
                <w:rFonts w:hint="cs"/>
                <w:rtl/>
                <w:lang w:bidi="ar-EG"/>
              </w:rPr>
              <w:t xml:space="preserve">حد أدنى: </w:t>
            </w:r>
            <w:r w:rsidR="007A76D9">
              <w:rPr>
                <w:lang w:bidi="ar-EG"/>
              </w:rPr>
              <w:br/>
            </w:r>
            <w:r>
              <w:rPr>
                <w:lang w:val="en-GB" w:bidi="ar-EG"/>
              </w:rPr>
              <w:t>210 533</w:t>
            </w:r>
            <w:r w:rsidR="007A76D9">
              <w:rPr>
                <w:rFonts w:hint="cs"/>
                <w:rtl/>
                <w:lang w:val="en-GB" w:bidi="ar-EG"/>
              </w:rPr>
              <w:t xml:space="preserve"> </w:t>
            </w:r>
            <w:r>
              <w:rPr>
                <w:rFonts w:hint="cs"/>
                <w:rtl/>
                <w:lang w:bidi="ar-EG"/>
              </w:rPr>
              <w:t>فرنك سويسري</w:t>
            </w:r>
          </w:p>
        </w:tc>
      </w:tr>
      <w:tr w:rsidR="00EC5E4E" w14:paraId="0CE904A7" w14:textId="77777777" w:rsidTr="00743A3D">
        <w:tc>
          <w:tcPr>
            <w:tcW w:w="872" w:type="dxa"/>
            <w:vMerge/>
            <w:tcBorders>
              <w:top w:val="single" w:sz="4" w:space="0" w:color="auto"/>
              <w:left w:val="single" w:sz="4" w:space="0" w:color="auto"/>
              <w:bottom w:val="single" w:sz="4" w:space="0" w:color="auto"/>
              <w:right w:val="single" w:sz="4" w:space="0" w:color="auto"/>
            </w:tcBorders>
            <w:hideMark/>
          </w:tcPr>
          <w:p w14:paraId="71A31A4D" w14:textId="77777777" w:rsidR="00830E98" w:rsidRDefault="00830E98" w:rsidP="009D1962">
            <w:pPr>
              <w:tabs>
                <w:tab w:val="clear" w:pos="794"/>
              </w:tabs>
              <w:spacing w:before="60" w:after="60" w:line="300" w:lineRule="exact"/>
              <w:jc w:val="left"/>
              <w:rPr>
                <w:lang w:bidi="ar-EG"/>
              </w:rPr>
            </w:pPr>
          </w:p>
        </w:tc>
        <w:tc>
          <w:tcPr>
            <w:tcW w:w="4111" w:type="dxa"/>
            <w:tcBorders>
              <w:top w:val="single" w:sz="4" w:space="0" w:color="auto"/>
              <w:left w:val="single" w:sz="4" w:space="0" w:color="auto"/>
              <w:bottom w:val="single" w:sz="4" w:space="0" w:color="auto"/>
              <w:right w:val="single" w:sz="4" w:space="0" w:color="auto"/>
            </w:tcBorders>
            <w:hideMark/>
          </w:tcPr>
          <w:p w14:paraId="1934F668" w14:textId="77777777" w:rsidR="00830E98" w:rsidRDefault="00830E98" w:rsidP="009D1962">
            <w:pPr>
              <w:spacing w:before="60" w:after="60" w:line="300" w:lineRule="exact"/>
              <w:jc w:val="left"/>
              <w:rPr>
                <w:lang w:bidi="ar-EG"/>
              </w:rPr>
            </w:pPr>
            <w:r>
              <w:rPr>
                <w:rFonts w:hint="cs"/>
                <w:rtl/>
                <w:lang w:bidi="ar-EG"/>
              </w:rPr>
              <w:t xml:space="preserve">بدلاً من ذلك، وظيفة برتبة </w:t>
            </w:r>
            <w:r>
              <w:rPr>
                <w:rFonts w:hint="cs"/>
                <w:rtl/>
                <w:lang w:bidi="ar"/>
              </w:rPr>
              <w:t>فني-</w:t>
            </w:r>
            <w:r>
              <w:rPr>
                <w:lang w:bidi="ar"/>
              </w:rPr>
              <w:t>4</w:t>
            </w:r>
          </w:p>
        </w:tc>
        <w:tc>
          <w:tcPr>
            <w:tcW w:w="2268" w:type="dxa"/>
            <w:tcBorders>
              <w:top w:val="single" w:sz="4" w:space="0" w:color="auto"/>
              <w:left w:val="single" w:sz="4" w:space="0" w:color="auto"/>
              <w:bottom w:val="single" w:sz="4" w:space="0" w:color="auto"/>
              <w:right w:val="single" w:sz="4" w:space="0" w:color="auto"/>
            </w:tcBorders>
            <w:hideMark/>
          </w:tcPr>
          <w:p w14:paraId="1FDDC621" w14:textId="77777777" w:rsidR="00830E98" w:rsidRDefault="00830E98" w:rsidP="009D1962">
            <w:pPr>
              <w:spacing w:before="60" w:after="60" w:line="300" w:lineRule="exact"/>
              <w:jc w:val="left"/>
              <w:rPr>
                <w:lang w:bidi="ar-EG"/>
              </w:rPr>
            </w:pPr>
            <w:r>
              <w:rPr>
                <w:lang w:bidi="ar-EG"/>
              </w:rPr>
              <w:t>210 533</w:t>
            </w:r>
            <w:r>
              <w:rPr>
                <w:rFonts w:hint="cs"/>
                <w:rtl/>
                <w:lang w:bidi="ar-EG"/>
              </w:rPr>
              <w:t xml:space="preserve"> فرنك سويسري</w:t>
            </w:r>
          </w:p>
        </w:tc>
        <w:tc>
          <w:tcPr>
            <w:tcW w:w="2327" w:type="dxa"/>
            <w:vMerge/>
            <w:tcBorders>
              <w:top w:val="single" w:sz="4" w:space="0" w:color="auto"/>
              <w:left w:val="single" w:sz="4" w:space="0" w:color="auto"/>
              <w:bottom w:val="single" w:sz="4" w:space="0" w:color="auto"/>
              <w:right w:val="single" w:sz="4" w:space="0" w:color="auto"/>
            </w:tcBorders>
            <w:hideMark/>
          </w:tcPr>
          <w:p w14:paraId="1A06AB5E" w14:textId="77777777" w:rsidR="00830E98" w:rsidRDefault="00830E98" w:rsidP="009D1962">
            <w:pPr>
              <w:tabs>
                <w:tab w:val="clear" w:pos="794"/>
              </w:tabs>
              <w:spacing w:before="60" w:after="60" w:line="300" w:lineRule="exact"/>
              <w:jc w:val="left"/>
              <w:rPr>
                <w:lang w:bidi="ar-EG"/>
              </w:rPr>
            </w:pPr>
          </w:p>
        </w:tc>
      </w:tr>
      <w:tr w:rsidR="00EC5E4E" w14:paraId="570479A3" w14:textId="77777777" w:rsidTr="007141D4">
        <w:tc>
          <w:tcPr>
            <w:tcW w:w="872" w:type="dxa"/>
            <w:vMerge w:val="restart"/>
            <w:tcBorders>
              <w:top w:val="single" w:sz="4" w:space="0" w:color="auto"/>
              <w:left w:val="single" w:sz="4" w:space="0" w:color="auto"/>
              <w:bottom w:val="single" w:sz="4" w:space="0" w:color="auto"/>
              <w:right w:val="single" w:sz="4" w:space="0" w:color="auto"/>
            </w:tcBorders>
            <w:hideMark/>
          </w:tcPr>
          <w:p w14:paraId="6264236D" w14:textId="77777777" w:rsidR="00830E98" w:rsidRDefault="00830E98" w:rsidP="009D1962">
            <w:pPr>
              <w:spacing w:before="60" w:after="60" w:line="300" w:lineRule="exact"/>
              <w:jc w:val="left"/>
              <w:rPr>
                <w:lang w:bidi="ar-EG"/>
              </w:rPr>
            </w:pPr>
            <w:r>
              <w:rPr>
                <w:rFonts w:hint="cs"/>
                <w:rtl/>
                <w:lang w:bidi="ar-EG"/>
              </w:rPr>
              <w:t xml:space="preserve">الخيار </w:t>
            </w:r>
            <w:r>
              <w:rPr>
                <w:lang w:bidi="ar-EG"/>
              </w:rPr>
              <w:t>2</w:t>
            </w:r>
          </w:p>
        </w:tc>
        <w:tc>
          <w:tcPr>
            <w:tcW w:w="4111" w:type="dxa"/>
            <w:tcBorders>
              <w:top w:val="single" w:sz="4" w:space="0" w:color="auto"/>
              <w:left w:val="single" w:sz="4" w:space="0" w:color="auto"/>
              <w:bottom w:val="single" w:sz="4" w:space="0" w:color="auto"/>
              <w:right w:val="single" w:sz="4" w:space="0" w:color="auto"/>
            </w:tcBorders>
            <w:hideMark/>
          </w:tcPr>
          <w:p w14:paraId="36B0059C" w14:textId="77777777" w:rsidR="00830E98" w:rsidRDefault="00830E98" w:rsidP="009D1962">
            <w:pPr>
              <w:spacing w:before="60" w:after="60" w:line="300" w:lineRule="exact"/>
              <w:jc w:val="left"/>
              <w:rPr>
                <w:lang w:bidi="ar-EG"/>
              </w:rPr>
            </w:pPr>
            <w:r>
              <w:rPr>
                <w:rFonts w:hint="cs"/>
                <w:rtl/>
                <w:lang w:bidi="ar-EG"/>
              </w:rPr>
              <w:t xml:space="preserve">وظيفة برتبة </w:t>
            </w:r>
            <w:r>
              <w:rPr>
                <w:rFonts w:hint="cs"/>
                <w:rtl/>
                <w:lang w:bidi="ar"/>
              </w:rPr>
              <w:t>مدير-1</w:t>
            </w:r>
          </w:p>
        </w:tc>
        <w:tc>
          <w:tcPr>
            <w:tcW w:w="2268" w:type="dxa"/>
            <w:tcBorders>
              <w:top w:val="single" w:sz="4" w:space="0" w:color="auto"/>
              <w:left w:val="single" w:sz="4" w:space="0" w:color="auto"/>
              <w:bottom w:val="single" w:sz="4" w:space="0" w:color="auto"/>
              <w:right w:val="single" w:sz="4" w:space="0" w:color="auto"/>
            </w:tcBorders>
            <w:hideMark/>
          </w:tcPr>
          <w:p w14:paraId="19D3F290" w14:textId="77777777" w:rsidR="00830E98" w:rsidRDefault="00830E98" w:rsidP="009D1962">
            <w:pPr>
              <w:spacing w:before="60" w:after="60" w:line="300" w:lineRule="exact"/>
              <w:jc w:val="left"/>
              <w:rPr>
                <w:lang w:bidi="ar-EG"/>
              </w:rPr>
            </w:pPr>
            <w:r>
              <w:rPr>
                <w:lang w:bidi="ar-EG"/>
              </w:rPr>
              <w:t>278 362</w:t>
            </w:r>
            <w:r>
              <w:rPr>
                <w:rFonts w:hint="cs"/>
                <w:rtl/>
                <w:lang w:bidi="ar-EG"/>
              </w:rPr>
              <w:t xml:space="preserve"> فرنك سويسري</w:t>
            </w:r>
          </w:p>
        </w:tc>
        <w:tc>
          <w:tcPr>
            <w:tcW w:w="2327" w:type="dxa"/>
            <w:tcBorders>
              <w:top w:val="single" w:sz="4" w:space="0" w:color="auto"/>
              <w:left w:val="single" w:sz="4" w:space="0" w:color="auto"/>
              <w:bottom w:val="nil"/>
              <w:right w:val="single" w:sz="4" w:space="0" w:color="auto"/>
            </w:tcBorders>
            <w:hideMark/>
          </w:tcPr>
          <w:p w14:paraId="5DF69023" w14:textId="53B5FB00" w:rsidR="00830E98" w:rsidRDefault="00830E98" w:rsidP="009D1962">
            <w:pPr>
              <w:spacing w:before="60" w:after="60" w:line="300" w:lineRule="exact"/>
              <w:jc w:val="left"/>
              <w:rPr>
                <w:lang w:bidi="ar-EG"/>
              </w:rPr>
            </w:pPr>
          </w:p>
        </w:tc>
      </w:tr>
      <w:tr w:rsidR="00EC5E4E" w14:paraId="42D09F22" w14:textId="77777777" w:rsidTr="007141D4">
        <w:tc>
          <w:tcPr>
            <w:tcW w:w="872" w:type="dxa"/>
            <w:vMerge/>
            <w:tcBorders>
              <w:top w:val="single" w:sz="4" w:space="0" w:color="auto"/>
              <w:left w:val="single" w:sz="4" w:space="0" w:color="auto"/>
              <w:bottom w:val="single" w:sz="4" w:space="0" w:color="auto"/>
              <w:right w:val="single" w:sz="4" w:space="0" w:color="auto"/>
            </w:tcBorders>
            <w:hideMark/>
          </w:tcPr>
          <w:p w14:paraId="61BB43C5" w14:textId="77777777" w:rsidR="00830E98" w:rsidRDefault="00830E98" w:rsidP="009D1962">
            <w:pPr>
              <w:tabs>
                <w:tab w:val="clear" w:pos="794"/>
              </w:tabs>
              <w:spacing w:before="60" w:after="60" w:line="300" w:lineRule="exact"/>
              <w:jc w:val="left"/>
              <w:rPr>
                <w:lang w:bidi="ar-EG"/>
              </w:rPr>
            </w:pPr>
          </w:p>
        </w:tc>
        <w:tc>
          <w:tcPr>
            <w:tcW w:w="4111" w:type="dxa"/>
            <w:tcBorders>
              <w:top w:val="single" w:sz="4" w:space="0" w:color="auto"/>
              <w:left w:val="single" w:sz="4" w:space="0" w:color="auto"/>
              <w:bottom w:val="single" w:sz="4" w:space="0" w:color="auto"/>
              <w:right w:val="single" w:sz="4" w:space="0" w:color="auto"/>
            </w:tcBorders>
            <w:hideMark/>
          </w:tcPr>
          <w:p w14:paraId="6823C96F" w14:textId="77777777" w:rsidR="00830E98" w:rsidRDefault="00830E98" w:rsidP="009D1962">
            <w:pPr>
              <w:spacing w:before="60" w:after="60" w:line="300" w:lineRule="exact"/>
              <w:jc w:val="left"/>
              <w:rPr>
                <w:lang w:bidi="ar-EG"/>
              </w:rPr>
            </w:pPr>
            <w:r>
              <w:rPr>
                <w:rFonts w:hint="cs"/>
                <w:rtl/>
                <w:lang w:bidi="ar-EG"/>
              </w:rPr>
              <w:t xml:space="preserve">وظيفة برتبة </w:t>
            </w:r>
            <w:r>
              <w:rPr>
                <w:rFonts w:hint="cs"/>
                <w:rtl/>
                <w:lang w:bidi="ar"/>
              </w:rPr>
              <w:t>فني-</w:t>
            </w:r>
            <w:r>
              <w:rPr>
                <w:lang w:bidi="ar"/>
              </w:rPr>
              <w:t>4</w:t>
            </w:r>
          </w:p>
        </w:tc>
        <w:tc>
          <w:tcPr>
            <w:tcW w:w="2268" w:type="dxa"/>
            <w:tcBorders>
              <w:top w:val="single" w:sz="4" w:space="0" w:color="auto"/>
              <w:left w:val="single" w:sz="4" w:space="0" w:color="auto"/>
              <w:bottom w:val="single" w:sz="4" w:space="0" w:color="auto"/>
              <w:right w:val="single" w:sz="4" w:space="0" w:color="auto"/>
            </w:tcBorders>
            <w:hideMark/>
          </w:tcPr>
          <w:p w14:paraId="3FF3A49B" w14:textId="77777777" w:rsidR="00830E98" w:rsidRDefault="00830E98" w:rsidP="009D1962">
            <w:pPr>
              <w:spacing w:before="60" w:after="60" w:line="300" w:lineRule="exact"/>
              <w:jc w:val="left"/>
              <w:rPr>
                <w:lang w:bidi="ar-EG"/>
              </w:rPr>
            </w:pPr>
            <w:bookmarkStart w:id="1" w:name="_Hlk37913954"/>
            <w:r>
              <w:rPr>
                <w:lang w:bidi="ar-EG"/>
              </w:rPr>
              <w:t>210 533</w:t>
            </w:r>
            <w:bookmarkEnd w:id="1"/>
            <w:r>
              <w:rPr>
                <w:rFonts w:hint="cs"/>
                <w:rtl/>
                <w:lang w:bidi="ar-EG"/>
              </w:rPr>
              <w:t xml:space="preserve"> فرنك سويسري</w:t>
            </w:r>
          </w:p>
        </w:tc>
        <w:tc>
          <w:tcPr>
            <w:tcW w:w="2327" w:type="dxa"/>
            <w:tcBorders>
              <w:top w:val="nil"/>
              <w:left w:val="single" w:sz="4" w:space="0" w:color="auto"/>
              <w:bottom w:val="nil"/>
              <w:right w:val="single" w:sz="4" w:space="0" w:color="auto"/>
            </w:tcBorders>
            <w:hideMark/>
          </w:tcPr>
          <w:p w14:paraId="00FE9CC3" w14:textId="3E026973" w:rsidR="00830E98" w:rsidRDefault="007141D4" w:rsidP="007141D4">
            <w:pPr>
              <w:spacing w:before="60" w:after="60" w:line="300" w:lineRule="exact"/>
              <w:jc w:val="left"/>
              <w:rPr>
                <w:lang w:bidi="ar-EG"/>
              </w:rPr>
            </w:pPr>
            <w:r>
              <w:rPr>
                <w:rFonts w:hint="cs"/>
                <w:rtl/>
                <w:lang w:bidi="ar-EG"/>
              </w:rPr>
              <w:t xml:space="preserve">حد أقصى: </w:t>
            </w:r>
            <w:r>
              <w:rPr>
                <w:lang w:bidi="ar-EG"/>
              </w:rPr>
              <w:br/>
              <w:t>488 895</w:t>
            </w:r>
            <w:r>
              <w:rPr>
                <w:rFonts w:hint="cs"/>
                <w:rtl/>
                <w:lang w:bidi="ar-EG"/>
              </w:rPr>
              <w:t xml:space="preserve"> فرنك سويسري</w:t>
            </w:r>
          </w:p>
        </w:tc>
      </w:tr>
      <w:tr w:rsidR="00EC5E4E" w14:paraId="35582B81" w14:textId="77777777" w:rsidTr="007141D4">
        <w:tc>
          <w:tcPr>
            <w:tcW w:w="872" w:type="dxa"/>
            <w:vMerge/>
            <w:tcBorders>
              <w:top w:val="single" w:sz="4" w:space="0" w:color="auto"/>
              <w:left w:val="single" w:sz="4" w:space="0" w:color="auto"/>
              <w:bottom w:val="single" w:sz="4" w:space="0" w:color="auto"/>
              <w:right w:val="single" w:sz="4" w:space="0" w:color="auto"/>
            </w:tcBorders>
            <w:hideMark/>
          </w:tcPr>
          <w:p w14:paraId="5875C154" w14:textId="77777777" w:rsidR="00830E98" w:rsidRDefault="00830E98" w:rsidP="009D1962">
            <w:pPr>
              <w:tabs>
                <w:tab w:val="clear" w:pos="794"/>
              </w:tabs>
              <w:spacing w:before="60" w:after="60" w:line="300" w:lineRule="exact"/>
              <w:jc w:val="left"/>
              <w:rPr>
                <w:lang w:bidi="ar-EG"/>
              </w:rPr>
            </w:pPr>
          </w:p>
        </w:tc>
        <w:tc>
          <w:tcPr>
            <w:tcW w:w="4111" w:type="dxa"/>
            <w:tcBorders>
              <w:top w:val="single" w:sz="4" w:space="0" w:color="auto"/>
              <w:left w:val="single" w:sz="4" w:space="0" w:color="auto"/>
              <w:bottom w:val="single" w:sz="4" w:space="0" w:color="auto"/>
              <w:right w:val="single" w:sz="4" w:space="0" w:color="auto"/>
            </w:tcBorders>
            <w:hideMark/>
          </w:tcPr>
          <w:p w14:paraId="3886A0FD" w14:textId="77777777" w:rsidR="00830E98" w:rsidRDefault="00830E98" w:rsidP="009D1962">
            <w:pPr>
              <w:spacing w:before="60" w:after="60" w:line="300" w:lineRule="exact"/>
              <w:jc w:val="left"/>
              <w:rPr>
                <w:lang w:bidi="ar-EG"/>
              </w:rPr>
            </w:pPr>
            <w:r>
              <w:rPr>
                <w:rFonts w:hint="cs"/>
                <w:rtl/>
                <w:lang w:bidi="ar-EG"/>
              </w:rPr>
              <w:t xml:space="preserve">وظيفة برتبة </w:t>
            </w:r>
            <w:r>
              <w:rPr>
                <w:rFonts w:hint="cs"/>
                <w:rtl/>
                <w:lang w:bidi="ar"/>
              </w:rPr>
              <w:t>فني-</w:t>
            </w:r>
            <w:r>
              <w:rPr>
                <w:lang w:bidi="ar"/>
              </w:rPr>
              <w:t>3</w:t>
            </w:r>
            <w:r>
              <w:rPr>
                <w:rFonts w:hint="cs"/>
                <w:rtl/>
                <w:lang w:bidi="ar"/>
              </w:rPr>
              <w:t xml:space="preserve">، </w:t>
            </w:r>
            <w:r>
              <w:rPr>
                <w:rFonts w:hint="cs"/>
                <w:rtl/>
                <w:lang w:bidi="ar-EG"/>
              </w:rPr>
              <w:t xml:space="preserve">بدلاً من الوظيفة برتبة </w:t>
            </w:r>
            <w:r>
              <w:rPr>
                <w:rFonts w:hint="cs"/>
                <w:rtl/>
                <w:lang w:bidi="ar"/>
              </w:rPr>
              <w:t>فني-</w:t>
            </w:r>
            <w:r>
              <w:rPr>
                <w:lang w:bidi="ar"/>
              </w:rPr>
              <w:t>4</w:t>
            </w:r>
          </w:p>
        </w:tc>
        <w:tc>
          <w:tcPr>
            <w:tcW w:w="2268" w:type="dxa"/>
            <w:tcBorders>
              <w:top w:val="single" w:sz="4" w:space="0" w:color="auto"/>
              <w:left w:val="single" w:sz="4" w:space="0" w:color="auto"/>
              <w:bottom w:val="single" w:sz="4" w:space="0" w:color="auto"/>
              <w:right w:val="single" w:sz="4" w:space="0" w:color="auto"/>
            </w:tcBorders>
            <w:hideMark/>
          </w:tcPr>
          <w:p w14:paraId="1FDACBD9" w14:textId="77777777" w:rsidR="00830E98" w:rsidRDefault="00830E98" w:rsidP="009D1962">
            <w:pPr>
              <w:spacing w:before="60" w:after="60" w:line="300" w:lineRule="exact"/>
              <w:jc w:val="left"/>
              <w:rPr>
                <w:lang w:bidi="ar-EG"/>
              </w:rPr>
            </w:pPr>
            <w:r>
              <w:rPr>
                <w:lang w:bidi="ar-EG"/>
              </w:rPr>
              <w:t>181 090</w:t>
            </w:r>
            <w:r>
              <w:rPr>
                <w:rFonts w:hint="cs"/>
                <w:rtl/>
                <w:lang w:bidi="ar-EG"/>
              </w:rPr>
              <w:t xml:space="preserve"> فرنك سويسري</w:t>
            </w:r>
          </w:p>
        </w:tc>
        <w:tc>
          <w:tcPr>
            <w:tcW w:w="2327" w:type="dxa"/>
            <w:tcBorders>
              <w:top w:val="nil"/>
              <w:left w:val="single" w:sz="4" w:space="0" w:color="auto"/>
              <w:bottom w:val="single" w:sz="4" w:space="0" w:color="auto"/>
              <w:right w:val="single" w:sz="4" w:space="0" w:color="auto"/>
            </w:tcBorders>
            <w:hideMark/>
          </w:tcPr>
          <w:p w14:paraId="27CB17AE" w14:textId="70B72B3B" w:rsidR="00830E98" w:rsidRDefault="007141D4" w:rsidP="009D1962">
            <w:pPr>
              <w:tabs>
                <w:tab w:val="clear" w:pos="794"/>
              </w:tabs>
              <w:spacing w:before="60" w:after="60" w:line="300" w:lineRule="exact"/>
              <w:jc w:val="left"/>
              <w:rPr>
                <w:lang w:bidi="ar-EG"/>
              </w:rPr>
            </w:pPr>
            <w:r>
              <w:rPr>
                <w:rFonts w:hint="cs"/>
                <w:rtl/>
                <w:lang w:bidi="ar-EG"/>
              </w:rPr>
              <w:t xml:space="preserve">حد أدنى: </w:t>
            </w:r>
            <w:r>
              <w:rPr>
                <w:rtl/>
                <w:lang w:bidi="ar-EG"/>
              </w:rPr>
              <w:br/>
            </w:r>
            <w:r>
              <w:rPr>
                <w:lang w:val="en-GB" w:bidi="ar-EG"/>
              </w:rPr>
              <w:t>459 452</w:t>
            </w:r>
            <w:r>
              <w:rPr>
                <w:rFonts w:hint="cs"/>
                <w:rtl/>
                <w:lang w:val="en-GB" w:bidi="ar-EG"/>
              </w:rPr>
              <w:t xml:space="preserve"> </w:t>
            </w:r>
            <w:r>
              <w:rPr>
                <w:rFonts w:hint="cs"/>
                <w:rtl/>
                <w:lang w:bidi="ar-EG"/>
              </w:rPr>
              <w:t>فرنك سويسري</w:t>
            </w:r>
          </w:p>
        </w:tc>
      </w:tr>
    </w:tbl>
    <w:p w14:paraId="1289BDAC" w14:textId="37ED8BA3" w:rsidR="00830E98" w:rsidRPr="001170F4" w:rsidRDefault="00830E98" w:rsidP="00EC5E4E">
      <w:pPr>
        <w:rPr>
          <w:lang w:bidi="ar-EG"/>
        </w:rPr>
      </w:pPr>
      <w:r>
        <w:rPr>
          <w:rFonts w:hint="cs"/>
          <w:sz w:val="20"/>
          <w:szCs w:val="20"/>
          <w:rtl/>
          <w:lang w:bidi="ar"/>
        </w:rPr>
        <w:t>هذه الأرقام هي متوسط التكاليف السنوية المقدرة لكل رتبة معينة. وتختلف التكاليف الحقيقية اعتماداً على سنوات خبرة شاغل الوظيفة وحالة الأسرة ومكان التوظيف وعوامل أخرى متنوعة.</w:t>
      </w:r>
    </w:p>
    <w:p w14:paraId="493E1FBD" w14:textId="3170BC92" w:rsidR="00830E98" w:rsidRPr="001170F4" w:rsidRDefault="00830E98" w:rsidP="00CF5CBC">
      <w:pPr>
        <w:spacing w:before="240"/>
        <w:rPr>
          <w:lang w:bidi="ar-EG"/>
        </w:rPr>
      </w:pPr>
      <w:r>
        <w:rPr>
          <w:rFonts w:hint="cs"/>
          <w:rtl/>
          <w:lang w:bidi="ar-EG"/>
        </w:rPr>
        <w:t>7</w:t>
      </w:r>
      <w:r>
        <w:rPr>
          <w:rFonts w:hint="cs"/>
          <w:rtl/>
          <w:lang w:bidi="ar-EG"/>
        </w:rPr>
        <w:tab/>
        <w:t>و</w:t>
      </w:r>
      <w:r>
        <w:rPr>
          <w:rFonts w:hint="cs"/>
          <w:rtl/>
          <w:lang w:bidi="ar"/>
        </w:rPr>
        <w:t xml:space="preserve">قد تكون هناك تكاليف إضافية غير مباشرة، تتعلق بشكل أساسي بتزويد المحقق (المحققين) بالوسائل الهيكلية لأداء مهامهم، بما في ذلك مساحة ملائمة لمكتب/غرفة لإجراء المقابلات؛ وبنية تحتية أساسية (هاتف، معدات تكنولوجيا المعلومات)، وبرمجية متخصصة، وسفريات، وما إلى ذلك. وبالإضافة إلى ذلك، سيكون من الحكمة توقع توفير بعض الموارد الإضافية لأغراض الاستعانة باستشاريين أو طلب مساعدة على أساس كل حالة على حدة؛ وفي الواقع، سيُجري المحقق (المحققون)، بشكل تلقائي، أي تحقيق مطلوب في الاتحاد، ولكن يمكنهم أيضاً توظيف استشاريين خارجيين إذا اقتضت الحاجة، سواء لتقديم دعم محدد في حالة معينة (مثل خبراء الخطوط أو للتحقق من تسجيل </w:t>
      </w:r>
      <w:proofErr w:type="spellStart"/>
      <w:r>
        <w:rPr>
          <w:rFonts w:hint="cs"/>
          <w:rtl/>
          <w:lang w:bidi="ar"/>
        </w:rPr>
        <w:t>فيديوي</w:t>
      </w:r>
      <w:proofErr w:type="spellEnd"/>
      <w:r>
        <w:rPr>
          <w:rFonts w:hint="cs"/>
          <w:rtl/>
          <w:lang w:bidi="ar"/>
        </w:rPr>
        <w:t xml:space="preserve"> أو صوتي) أو لإجراء تحقيق برمته (خاصة في حالة تضارب المصالح، أو مسألة متخصصة للغاية، أو عند بلوغ العمل ذروته).</w:t>
      </w:r>
    </w:p>
    <w:p w14:paraId="6F546E99" w14:textId="77777777" w:rsidR="00830E98" w:rsidRDefault="00830E98" w:rsidP="00CF5CBC">
      <w:pPr>
        <w:pStyle w:val="Headingb"/>
        <w:keepLines/>
      </w:pPr>
      <w:r>
        <w:rPr>
          <w:rFonts w:hint="cs"/>
          <w:rtl/>
        </w:rPr>
        <w:lastRenderedPageBreak/>
        <w:t>تحليل التكاليف والمنافع </w:t>
      </w:r>
    </w:p>
    <w:p w14:paraId="1523D4BA" w14:textId="77777777" w:rsidR="00830E98" w:rsidRDefault="00830E98" w:rsidP="00CF5CBC">
      <w:pPr>
        <w:keepNext/>
        <w:keepLines/>
        <w:rPr>
          <w:u w:val="single"/>
          <w:rtl/>
          <w:lang w:bidi="ar-EG"/>
        </w:rPr>
      </w:pPr>
      <w:r>
        <w:rPr>
          <w:rFonts w:hint="cs"/>
          <w:u w:val="single"/>
          <w:rtl/>
          <w:lang w:bidi="ar-EG"/>
        </w:rPr>
        <w:t>الجوانب المالية</w:t>
      </w:r>
    </w:p>
    <w:p w14:paraId="1AA4A1D7" w14:textId="7280CC3A" w:rsidR="00830E98" w:rsidRDefault="00830E98" w:rsidP="00CF5CBC">
      <w:pPr>
        <w:keepNext/>
        <w:keepLines/>
        <w:rPr>
          <w:rtl/>
          <w:lang w:val="fr-FR" w:bidi="ar-EG"/>
        </w:rPr>
      </w:pPr>
      <w:r>
        <w:rPr>
          <w:rFonts w:hint="cs"/>
          <w:rtl/>
          <w:lang w:bidi="ar-EG"/>
        </w:rPr>
        <w:t>8</w:t>
      </w:r>
      <w:r>
        <w:rPr>
          <w:rFonts w:hint="cs"/>
          <w:rtl/>
          <w:lang w:bidi="ar-EG"/>
        </w:rPr>
        <w:tab/>
      </w:r>
      <w:r>
        <w:rPr>
          <w:rFonts w:hint="cs"/>
          <w:rtl/>
          <w:lang w:bidi="ar"/>
        </w:rPr>
        <w:t>في ضوء المبلغ المنفق لتوظيف المحققين الخارجيين، والتكاليف غير المباشرة الناتجة عن تعبئة الموارد الداخلية، على النحو المشار إليه في الفقرة 3 أعلاه، يمكن القول إن الخيار 1 أقل تكلفة من الممارسة الحالية، إذ أن الموظف المتفرغ في</w:t>
      </w:r>
      <w:r w:rsidR="00CF5CBC">
        <w:rPr>
          <w:rFonts w:hint="eastAsia"/>
          <w:rtl/>
          <w:lang w:bidi="ar"/>
        </w:rPr>
        <w:t> </w:t>
      </w:r>
      <w:r>
        <w:rPr>
          <w:rFonts w:hint="cs"/>
          <w:rtl/>
          <w:lang w:bidi="ar"/>
        </w:rPr>
        <w:t>الداخل سيُجري، إن لم يكن كل العمل، فعلى الأقل الجزء الأكبر منه في حدود المبلغ المحدد في الميزانية.</w:t>
      </w:r>
    </w:p>
    <w:p w14:paraId="38E16669" w14:textId="77777777" w:rsidR="00830E98" w:rsidRDefault="00830E98" w:rsidP="00830E98">
      <w:pPr>
        <w:rPr>
          <w:lang w:val="fr-FR" w:bidi="ar-EG"/>
        </w:rPr>
      </w:pPr>
      <w:r>
        <w:rPr>
          <w:rFonts w:hint="cs"/>
          <w:rtl/>
          <w:lang w:bidi="ar-EG"/>
        </w:rPr>
        <w:t>9</w:t>
      </w:r>
      <w:r>
        <w:rPr>
          <w:rFonts w:hint="cs"/>
          <w:rtl/>
          <w:lang w:bidi="ar-EG"/>
        </w:rPr>
        <w:tab/>
      </w:r>
      <w:r>
        <w:rPr>
          <w:rFonts w:hint="cs"/>
          <w:rtl/>
          <w:lang w:bidi="ar"/>
        </w:rPr>
        <w:t xml:space="preserve">ومع ذلك، فإن كفاءة التكلفة تتوقف على احتمال بقاء عدد التحقيقات ودرجة تعقيدها في مستويات مماثلة عما هو عليه حالياً. وفي هذا الصدد، كانت تقارير سوء السلوك نادرة في السنوات الماضية. وفي عام 2017، تلقى الاتحاد تقريراً واحداً، وهو التقرير المتعلق بالاحتيال في أحد المكاتب الإقليمية. وعلى النقيض من ذلك، ومنذ يونيو 2019، </w:t>
      </w:r>
      <w:proofErr w:type="gramStart"/>
      <w:r>
        <w:rPr>
          <w:rFonts w:hint="cs"/>
          <w:rtl/>
          <w:lang w:bidi="ar"/>
        </w:rPr>
        <w:t>استلم</w:t>
      </w:r>
      <w:proofErr w:type="gramEnd"/>
      <w:r>
        <w:rPr>
          <w:rFonts w:hint="cs"/>
          <w:rtl/>
          <w:lang w:bidi="ar"/>
        </w:rPr>
        <w:t xml:space="preserve"> مكتب الأخلاقيات ثلاثة عشر تقريراً/ شكوى على الأقل، اعتبر أن معظمها يستدعي إجراء تحقيق كامل.</w:t>
      </w:r>
    </w:p>
    <w:p w14:paraId="3A22918D" w14:textId="7143FD2B" w:rsidR="00830E98" w:rsidRDefault="00830E98" w:rsidP="00830E98">
      <w:pPr>
        <w:rPr>
          <w:lang w:val="fr-FR" w:bidi="ar-EG"/>
        </w:rPr>
      </w:pPr>
      <w:r>
        <w:rPr>
          <w:rFonts w:hint="cs"/>
          <w:rtl/>
          <w:lang w:bidi="ar-EG"/>
        </w:rPr>
        <w:t>10</w:t>
      </w:r>
      <w:r>
        <w:rPr>
          <w:rFonts w:hint="cs"/>
          <w:rtl/>
          <w:lang w:bidi="ar-EG"/>
        </w:rPr>
        <w:tab/>
        <w:t>و</w:t>
      </w:r>
      <w:r>
        <w:rPr>
          <w:rFonts w:hint="cs"/>
          <w:rtl/>
          <w:lang w:bidi="ar"/>
        </w:rPr>
        <w:t>تتعلق هذه التقارير/الشكاوى بسلوكيات</w:t>
      </w:r>
      <w:r w:rsidR="002B25A7">
        <w:rPr>
          <w:rFonts w:hint="cs"/>
          <w:rtl/>
          <w:lang w:bidi="ar"/>
        </w:rPr>
        <w:t xml:space="preserve"> </w:t>
      </w:r>
      <w:r>
        <w:rPr>
          <w:rFonts w:hint="cs"/>
          <w:rtl/>
          <w:lang w:bidi="ar"/>
        </w:rPr>
        <w:t>مختلفة، وبمختلف أنواع موظفي الاتحاد أو حتى الأفراد الخارجيين في</w:t>
      </w:r>
      <w:r w:rsidR="00CF5CBC">
        <w:rPr>
          <w:rFonts w:hint="eastAsia"/>
          <w:rtl/>
          <w:lang w:bidi="ar"/>
        </w:rPr>
        <w:t> </w:t>
      </w:r>
      <w:r>
        <w:rPr>
          <w:rFonts w:hint="cs"/>
          <w:rtl/>
          <w:lang w:bidi="ar"/>
        </w:rPr>
        <w:t>مختلف المكاتب/الدوائر/الأقسام/الوحدات، وبجمعها على تلك التي أُبلغ عنها قبل يونيو 2019، فقد انتشرت هذه التقارير/الشكاوى على مدار 18-20 شهراً الماضية مع زيادة تدريجية ولكن لم تبلغ الذروة، ولم ترتبط بشكل واضح بأحداث ظرفية. وعلاوة</w:t>
      </w:r>
      <w:r w:rsidR="00CF5CBC">
        <w:rPr>
          <w:rFonts w:hint="cs"/>
          <w:rtl/>
          <w:lang w:bidi="ar"/>
        </w:rPr>
        <w:t>ً</w:t>
      </w:r>
      <w:r>
        <w:rPr>
          <w:rFonts w:hint="cs"/>
          <w:rtl/>
          <w:lang w:bidi="ar"/>
        </w:rPr>
        <w:t xml:space="preserve"> على ذلك، ونظراً للعوامل التي قد تبدو منطقياً أنها شجعت على إعداد التقارير (على سبيل المثال، تقلد موظف الأخلاقيات لوظيفته، ومن ثم أعيد تنشيط دوره؛ والسماح بتقديم شكاوى مجهولة المصدر؛ وحركة "أنا أيضاً"؛ وإدراك الموظفون أن عدداً من التقارير أدى إلى إطلاق تحقيقات)، فإنه لا يوجد أي سبب لتوقع توقف صداها في المستقبل القريب.</w:t>
      </w:r>
    </w:p>
    <w:p w14:paraId="5B36AC08" w14:textId="7E87A006" w:rsidR="00830E98" w:rsidRDefault="00830E98" w:rsidP="00830E98">
      <w:pPr>
        <w:rPr>
          <w:lang w:val="fr-FR" w:bidi="ar-EG"/>
        </w:rPr>
      </w:pPr>
      <w:r>
        <w:rPr>
          <w:rFonts w:hint="cs"/>
          <w:rtl/>
          <w:lang w:bidi="ar-EG"/>
        </w:rPr>
        <w:t>11</w:t>
      </w:r>
      <w:r>
        <w:rPr>
          <w:rFonts w:hint="cs"/>
          <w:rtl/>
          <w:lang w:bidi="ar-EG"/>
        </w:rPr>
        <w:tab/>
        <w:t>و</w:t>
      </w:r>
      <w:r>
        <w:rPr>
          <w:rFonts w:hint="cs"/>
          <w:rtl/>
          <w:lang w:bidi="ar"/>
        </w:rPr>
        <w:t xml:space="preserve">أظهرت التجربة أن قيام مهني مؤهل بتحقيق كامل يستغرق حوالي شهري عمل. وعليه، فإن </w:t>
      </w:r>
      <w:proofErr w:type="gramStart"/>
      <w:r>
        <w:rPr>
          <w:rFonts w:hint="cs"/>
          <w:rtl/>
          <w:lang w:bidi="ar"/>
        </w:rPr>
        <w:t>ستة</w:t>
      </w:r>
      <w:proofErr w:type="gramEnd"/>
      <w:r>
        <w:rPr>
          <w:rFonts w:hint="cs"/>
          <w:rtl/>
          <w:lang w:bidi="ar"/>
        </w:rPr>
        <w:t xml:space="preserve"> تحقيقات في</w:t>
      </w:r>
      <w:r w:rsidR="00EC5E4E">
        <w:rPr>
          <w:rFonts w:hint="eastAsia"/>
          <w:rtl/>
          <w:lang w:bidi="ar"/>
        </w:rPr>
        <w:t> </w:t>
      </w:r>
      <w:r>
        <w:rPr>
          <w:rFonts w:hint="cs"/>
          <w:rtl/>
          <w:lang w:bidi="ar"/>
        </w:rPr>
        <w:t>السنة، ستمثل بالقياس عبء عمل كاملاً لموظف مكرس بشكل تامّ للتحقيقات. وبالنظر إلى كم الرسوم لكل تحقيق يجريه مستشارون خارجيون، والذي يعتمد على مجموعة من المعايير (تعقيد الحالة، ومدة التحقيق، وعدد المقابلات التي ستُجرى والسجلات التي ستُستحدث، وما إلى ذلك)، فإن تعيين موظف برتبة فني-5 أو فني-4 سيكون أمراً فع</w:t>
      </w:r>
      <w:r w:rsidR="00F406F0">
        <w:rPr>
          <w:rFonts w:hint="cs"/>
          <w:rtl/>
          <w:lang w:bidi="ar"/>
        </w:rPr>
        <w:t>ّ</w:t>
      </w:r>
      <w:r>
        <w:rPr>
          <w:rFonts w:hint="cs"/>
          <w:rtl/>
          <w:lang w:bidi="ar"/>
        </w:rPr>
        <w:t xml:space="preserve">الاً من حيث التكلفة بالفعل بالنسبة إلى ستة أو </w:t>
      </w:r>
      <w:proofErr w:type="gramStart"/>
      <w:r>
        <w:rPr>
          <w:rFonts w:hint="cs"/>
          <w:rtl/>
          <w:lang w:bidi="ar"/>
        </w:rPr>
        <w:t>سبعة</w:t>
      </w:r>
      <w:proofErr w:type="gramEnd"/>
      <w:r>
        <w:rPr>
          <w:rFonts w:hint="cs"/>
          <w:rtl/>
          <w:lang w:bidi="ar"/>
        </w:rPr>
        <w:t xml:space="preserve"> تحقيقات في السنة.</w:t>
      </w:r>
    </w:p>
    <w:p w14:paraId="5B7298A1" w14:textId="6123076F" w:rsidR="00830E98" w:rsidRPr="00CF5CBC" w:rsidRDefault="00830E98" w:rsidP="00830E98">
      <w:pPr>
        <w:rPr>
          <w:spacing w:val="2"/>
          <w:lang w:val="fr-FR" w:bidi="ar-EG"/>
        </w:rPr>
      </w:pPr>
      <w:r w:rsidRPr="00CF5CBC">
        <w:rPr>
          <w:rFonts w:hint="cs"/>
          <w:spacing w:val="2"/>
          <w:rtl/>
          <w:lang w:bidi="ar-EG"/>
        </w:rPr>
        <w:t>12</w:t>
      </w:r>
      <w:r w:rsidRPr="00CF5CBC">
        <w:rPr>
          <w:rFonts w:hint="cs"/>
          <w:spacing w:val="2"/>
          <w:rtl/>
          <w:lang w:bidi="ar-EG"/>
        </w:rPr>
        <w:tab/>
      </w:r>
      <w:r w:rsidRPr="00CF5CBC">
        <w:rPr>
          <w:rFonts w:hint="cs"/>
          <w:spacing w:val="2"/>
          <w:rtl/>
          <w:lang w:bidi="ar"/>
        </w:rPr>
        <w:t>ولا يقتصر عبء العمل الملقى على عاتق أي محقق على إجراء التحقيقات بدقة، لا سيما في السنوات الأولى. ومن المؤكد أنه سيحتاج إلى استثمار جزء كبير من الوقت لوضع أساليب عمل للتحقيق الشامل وإصدارها، ووضع نماذج وبروتوكولات ووثائق عمل قياسية أخرى؛ واستكشاف قواعد بيانات وأنظمة الإدارة وأدوات أخرى وإنشائها؛ وتحديد المسائل النظامية/القانونية وإثارتها ومعالجتها؛ وإعداد قائمة وتحديثها بشأن الخبراء المؤهلين في مجال التحقيق والاستشاريين وموردي الخدمات الذين يمكن تعيينهم عند الحاجة؛ وتقديم الإرشادات للخبراء والاستشاريين الخارجيين والتحقق من جودة خدماتهم؛ وإعداد الإحصاءات والمدخلات التي يطلبها الأمين العام وأصحاب المصلحة المعنيين.</w:t>
      </w:r>
    </w:p>
    <w:p w14:paraId="56563DA4" w14:textId="77777777" w:rsidR="00830E98" w:rsidRPr="001170F4" w:rsidRDefault="00830E98" w:rsidP="00830E98">
      <w:pPr>
        <w:rPr>
          <w:u w:val="single"/>
          <w:lang w:val="fr-FR" w:bidi="ar-EG"/>
        </w:rPr>
      </w:pPr>
      <w:r>
        <w:rPr>
          <w:rFonts w:hint="cs"/>
          <w:u w:val="single"/>
          <w:rtl/>
          <w:lang w:bidi="ar-EG"/>
        </w:rPr>
        <w:t>الجوانب غير المالية</w:t>
      </w:r>
    </w:p>
    <w:p w14:paraId="45879EA9" w14:textId="77777777" w:rsidR="00830E98" w:rsidRDefault="00830E98" w:rsidP="00830E98">
      <w:pPr>
        <w:rPr>
          <w:rtl/>
          <w:lang w:val="fr-FR" w:bidi="ar-EG"/>
        </w:rPr>
      </w:pPr>
      <w:r>
        <w:rPr>
          <w:rFonts w:hint="cs"/>
          <w:rtl/>
          <w:lang w:bidi="ar-EG"/>
        </w:rPr>
        <w:t>13</w:t>
      </w:r>
      <w:r>
        <w:rPr>
          <w:rFonts w:hint="cs"/>
          <w:rtl/>
          <w:lang w:bidi="ar-EG"/>
        </w:rPr>
        <w:tab/>
      </w:r>
      <w:r>
        <w:rPr>
          <w:rFonts w:hint="cs"/>
          <w:rtl/>
          <w:lang w:bidi="ar"/>
        </w:rPr>
        <w:t>إضافةً إلى الوفورات المحتملة، من المتوقع أن يساهم وجود محقق داخلي في إجراء تحسين كبير على إدارة الاتحاد برمتها، من خلال تحقيق قيمة مضافة للعمليات التالية:</w:t>
      </w:r>
    </w:p>
    <w:p w14:paraId="7EDE8A50" w14:textId="2554E92E" w:rsidR="00830E98" w:rsidRDefault="00830E98" w:rsidP="00CF5CBC">
      <w:pPr>
        <w:pStyle w:val="enumlev1"/>
        <w:rPr>
          <w:lang w:val="fr-FR" w:bidi="ar-SA"/>
        </w:rPr>
      </w:pPr>
      <w:bookmarkStart w:id="2" w:name="_Hlk38357263"/>
      <w:r>
        <w:rPr>
          <w:rFonts w:hint="cs"/>
          <w:rtl/>
        </w:rPr>
        <w:t>’1‘</w:t>
      </w:r>
      <w:r>
        <w:rPr>
          <w:rFonts w:hint="cs"/>
          <w:rtl/>
        </w:rPr>
        <w:tab/>
      </w:r>
      <w:r>
        <w:rPr>
          <w:rFonts w:hint="cs"/>
          <w:i/>
          <w:iCs/>
          <w:rtl/>
        </w:rPr>
        <w:t>تحسين جودة التحقيقات وتعزيز المساءلة المتعلقة بالتحقيق</w:t>
      </w:r>
      <w:r>
        <w:rPr>
          <w:rFonts w:hint="cs"/>
          <w:rtl/>
        </w:rPr>
        <w:t xml:space="preserve"> من خلال الاستفادة من الخبرات المهنية في مجالات تقنيات التحقيق وأفضل الممارسات والمعايير الدولية التي تتطلبها المحكمة الإدارية لمنظمـة العمل الدولية؛ وكذلك تطوير أدوات التحقيق وبرمجياته. وعلاوة</w:t>
      </w:r>
      <w:r w:rsidR="003C0BE6">
        <w:rPr>
          <w:rFonts w:hint="cs"/>
          <w:rtl/>
        </w:rPr>
        <w:t>ً</w:t>
      </w:r>
      <w:r>
        <w:rPr>
          <w:rFonts w:hint="cs"/>
          <w:rtl/>
        </w:rPr>
        <w:t xml:space="preserve"> على ذلك، سيكتسب المحقق الداخلي فهماً جيداً للاتحاد، بما في ذلك هيكله وعمله وإطاره القانوني.</w:t>
      </w:r>
    </w:p>
    <w:bookmarkEnd w:id="2"/>
    <w:p w14:paraId="3A6D25DC" w14:textId="177A26B9" w:rsidR="00830E98" w:rsidRDefault="00830E98" w:rsidP="00CF5CBC">
      <w:pPr>
        <w:pStyle w:val="enumlev1"/>
        <w:rPr>
          <w:i/>
          <w:iCs/>
          <w:lang w:val="fr-FR"/>
        </w:rPr>
      </w:pPr>
      <w:r>
        <w:rPr>
          <w:rFonts w:hint="cs"/>
          <w:rtl/>
        </w:rPr>
        <w:t>’</w:t>
      </w:r>
      <w:r w:rsidRPr="001170F4">
        <w:rPr>
          <w:lang w:val="fr-FR"/>
        </w:rPr>
        <w:t>2</w:t>
      </w:r>
      <w:r>
        <w:rPr>
          <w:rFonts w:hint="cs"/>
          <w:rtl/>
        </w:rPr>
        <w:t>‘</w:t>
      </w:r>
      <w:r>
        <w:rPr>
          <w:rFonts w:hint="cs"/>
          <w:rtl/>
        </w:rPr>
        <w:tab/>
      </w:r>
      <w:r>
        <w:rPr>
          <w:rFonts w:hint="cs"/>
          <w:i/>
          <w:iCs/>
          <w:rtl/>
        </w:rPr>
        <w:t xml:space="preserve">الكفاءة: </w:t>
      </w:r>
      <w:r>
        <w:rPr>
          <w:rFonts w:hint="cs"/>
          <w:rtl/>
        </w:rPr>
        <w:t>سيمنح وجود محقق داخلي يعمل حصرياً لحساب الاتحاد وغير مكلف بمهام متزامنة الأولوية للتحقيقات المتعلقة بالاتحاد. وقد أثّر عدم وجود محقق داخلي في العام أو العامين الماضيين بشكل كبير على بعض الوحدات (ولا سيما وحدة المراجعة الداخلية، لدرجة أنه أثّر بشكل خطير على تنفيذها لخطة عمل المراجعة السنوية). وعلى الرغم من أن بعض هذه التحديات ستبقى بشكل جزئيً في حال وجود محقق داخلي واحد فقط (على سبيل المثال، تدوين الملاحظات، وإجراء مقابلة مع شخصين، وتحديد أولويات التحقيقات، وإضافة عمل إلى الوحدات الأخرى، وما</w:t>
      </w:r>
      <w:r w:rsidR="00CF5CBC">
        <w:rPr>
          <w:rFonts w:hint="eastAsia"/>
          <w:rtl/>
        </w:rPr>
        <w:t> </w:t>
      </w:r>
      <w:r>
        <w:rPr>
          <w:rFonts w:hint="cs"/>
          <w:rtl/>
        </w:rPr>
        <w:t>إلى</w:t>
      </w:r>
      <w:r w:rsidR="00CF5CBC">
        <w:rPr>
          <w:rFonts w:hint="eastAsia"/>
          <w:rtl/>
        </w:rPr>
        <w:t> </w:t>
      </w:r>
      <w:r>
        <w:rPr>
          <w:rFonts w:hint="cs"/>
          <w:rtl/>
        </w:rPr>
        <w:t>ذلك)، فإن ذلك سيظل بمثابة تحسن كبير.</w:t>
      </w:r>
    </w:p>
    <w:p w14:paraId="08523A13" w14:textId="77777777" w:rsidR="00830E98" w:rsidRDefault="00830E98" w:rsidP="00CF5CBC">
      <w:pPr>
        <w:pStyle w:val="enumlev1"/>
        <w:rPr>
          <w:lang w:val="fr-FR"/>
        </w:rPr>
      </w:pPr>
      <w:r>
        <w:rPr>
          <w:rFonts w:hint="cs"/>
          <w:rtl/>
        </w:rPr>
        <w:t>’</w:t>
      </w:r>
      <w:r w:rsidRPr="001170F4">
        <w:rPr>
          <w:lang w:val="fr-FR"/>
        </w:rPr>
        <w:t>3</w:t>
      </w:r>
      <w:r>
        <w:rPr>
          <w:rFonts w:hint="cs"/>
          <w:rtl/>
        </w:rPr>
        <w:t>‘</w:t>
      </w:r>
      <w:r>
        <w:rPr>
          <w:rFonts w:hint="cs"/>
          <w:rtl/>
        </w:rPr>
        <w:tab/>
      </w:r>
      <w:r>
        <w:rPr>
          <w:rFonts w:hint="cs"/>
          <w:i/>
          <w:iCs/>
          <w:rtl/>
        </w:rPr>
        <w:t>الاتساق:</w:t>
      </w:r>
      <w:r>
        <w:rPr>
          <w:rFonts w:hint="cs"/>
          <w:rtl/>
        </w:rPr>
        <w:t xml:space="preserve"> يضمن المحقق الداخلي تطبيق نفس المعايير في جميع الحالات، وهو في وضع جيد لاكتشاف التناقضات ومعالجتها، ووضع إجراءات ونماذج وبروتوكولات قياسية، وتقديم إرشادات موحدة لأي استشاري خارجي قد تستمر الحاجة إلى تعيينه. وسيساعد المحقق أيضاً في الحد من </w:t>
      </w:r>
      <w:proofErr w:type="gramStart"/>
      <w:r>
        <w:rPr>
          <w:rFonts w:hint="cs"/>
          <w:rtl/>
        </w:rPr>
        <w:t>مخاطر</w:t>
      </w:r>
      <w:proofErr w:type="gramEnd"/>
      <w:r>
        <w:rPr>
          <w:rFonts w:hint="cs"/>
          <w:rtl/>
        </w:rPr>
        <w:t xml:space="preserve"> عدم كفاية الدعم الإداري واللوجستي والأساسي.</w:t>
      </w:r>
    </w:p>
    <w:p w14:paraId="558A9383" w14:textId="77777777" w:rsidR="00830E98" w:rsidRDefault="00830E98" w:rsidP="00CF5CBC">
      <w:pPr>
        <w:pStyle w:val="enumlev1"/>
        <w:rPr>
          <w:lang w:val="fr-FR"/>
        </w:rPr>
      </w:pPr>
      <w:r>
        <w:rPr>
          <w:rFonts w:hint="cs"/>
          <w:rtl/>
        </w:rPr>
        <w:lastRenderedPageBreak/>
        <w:t>’</w:t>
      </w:r>
      <w:r w:rsidRPr="001170F4">
        <w:rPr>
          <w:lang w:val="fr-FR"/>
        </w:rPr>
        <w:t>4</w:t>
      </w:r>
      <w:r>
        <w:rPr>
          <w:rFonts w:hint="cs"/>
          <w:rtl/>
        </w:rPr>
        <w:t>‘</w:t>
      </w:r>
      <w:r>
        <w:rPr>
          <w:rFonts w:hint="cs"/>
          <w:rtl/>
        </w:rPr>
        <w:tab/>
      </w:r>
      <w:r>
        <w:rPr>
          <w:rFonts w:hint="cs"/>
          <w:i/>
          <w:iCs/>
          <w:rtl/>
        </w:rPr>
        <w:t>سرية أكبر وتضارب محدود للمصالح</w:t>
      </w:r>
      <w:r>
        <w:rPr>
          <w:rFonts w:hint="cs"/>
          <w:rtl/>
        </w:rPr>
        <w:t>: من المرجح أن يُجنّب وجود محقق داخلي بصفته نقطة تجميع مركزية للتحقيقات، ظهور حالات يصبح فيها عدد من موظفي الوحدات الأخرى على دراية بتفاصيل التحقيق ما من شأنه تفادي تضارب المصالح (الحقيقي أو المتصور) فيما يتعلق بالمهام الأساسية لهذه الوحدات.</w:t>
      </w:r>
    </w:p>
    <w:p w14:paraId="4049F3AA" w14:textId="77777777" w:rsidR="00830E98" w:rsidRPr="001170F4" w:rsidRDefault="00830E98" w:rsidP="00CF5CBC">
      <w:pPr>
        <w:pStyle w:val="Headingb"/>
        <w:rPr>
          <w:lang w:val="fr-FR"/>
        </w:rPr>
      </w:pPr>
      <w:r>
        <w:rPr>
          <w:rFonts w:hint="cs"/>
          <w:rtl/>
        </w:rPr>
        <w:t>اعتبارات ختامية</w:t>
      </w:r>
      <w:r w:rsidRPr="001170F4">
        <w:rPr>
          <w:rFonts w:hint="cs"/>
          <w:lang w:val="fr-FR"/>
        </w:rPr>
        <w:t xml:space="preserve"> </w:t>
      </w:r>
    </w:p>
    <w:p w14:paraId="701589E3" w14:textId="77777777" w:rsidR="00830E98" w:rsidRDefault="00830E98" w:rsidP="00830E98">
      <w:pPr>
        <w:rPr>
          <w:rtl/>
          <w:lang w:val="fr-FR" w:bidi="ar-EG"/>
        </w:rPr>
      </w:pPr>
      <w:r w:rsidRPr="001170F4">
        <w:rPr>
          <w:lang w:val="fr-FR" w:bidi="ar-EG"/>
        </w:rPr>
        <w:t>14</w:t>
      </w:r>
      <w:r w:rsidRPr="001170F4">
        <w:rPr>
          <w:lang w:val="fr-FR" w:bidi="ar-EG"/>
        </w:rPr>
        <w:tab/>
      </w:r>
      <w:r>
        <w:rPr>
          <w:rFonts w:hint="cs"/>
          <w:rtl/>
          <w:lang w:bidi="ar"/>
        </w:rPr>
        <w:t xml:space="preserve">إن مقترح الأمين العام بشأن إنشاء وظيفة تحقيق مستقلة من خلال استحداث وظيفة مكرسة لذلك يتسق تماماً </w:t>
      </w:r>
      <w:proofErr w:type="gramStart"/>
      <w:r>
        <w:rPr>
          <w:rFonts w:hint="cs"/>
          <w:rtl/>
          <w:lang w:bidi="ar"/>
        </w:rPr>
        <w:t>مع:</w:t>
      </w:r>
      <w:proofErr w:type="gramEnd"/>
    </w:p>
    <w:p w14:paraId="0557AE19" w14:textId="1F7DCB50" w:rsidR="00830E98" w:rsidRDefault="00830E98" w:rsidP="00CF5CBC">
      <w:pPr>
        <w:pStyle w:val="enumlev1"/>
        <w:rPr>
          <w:lang w:bidi="ar-SA"/>
        </w:rPr>
      </w:pPr>
      <w:r>
        <w:rPr>
          <w:rFonts w:hint="cs"/>
          <w:rtl/>
        </w:rPr>
        <w:t> </w:t>
      </w:r>
      <w:proofErr w:type="gramStart"/>
      <w:r>
        <w:rPr>
          <w:rFonts w:hint="cs"/>
          <w:rtl/>
        </w:rPr>
        <w:t>أ</w:t>
      </w:r>
      <w:r w:rsidR="00EC5E4E">
        <w:rPr>
          <w:rFonts w:hint="eastAsia"/>
          <w:rtl/>
        </w:rPr>
        <w:t> </w:t>
      </w:r>
      <w:r>
        <w:rPr>
          <w:rFonts w:hint="cs"/>
          <w:rtl/>
        </w:rPr>
        <w:t>)</w:t>
      </w:r>
      <w:proofErr w:type="gramEnd"/>
      <w:r>
        <w:rPr>
          <w:rFonts w:hint="cs"/>
          <w:rtl/>
        </w:rPr>
        <w:tab/>
        <w:t>الاستنتاجات والتوصيات الصادرة عن وحدة التفتيش المشتركة للأمم المتحدة على النحو المحدد في سياق استعراضها لحالة وظيفة التحقيق والتقدم المحرز في منظمات منظومة الأمم المتحدة في تعزيز وظيفة التحقيق، ومن الاستنتاجات والتوصيات الأولية أنه ينبغي للمنظمات أن تستعرض مدى كفاية الموارد والموظفين فيما يتعلق بوظيفة التحقيق</w:t>
      </w:r>
      <w:r>
        <w:rPr>
          <w:rStyle w:val="FootnoteReference"/>
          <w:rtl/>
        </w:rPr>
        <w:footnoteReference w:id="1"/>
      </w:r>
      <w:r>
        <w:rPr>
          <w:rFonts w:hint="cs"/>
          <w:rtl/>
        </w:rPr>
        <w:t>؛</w:t>
      </w:r>
    </w:p>
    <w:p w14:paraId="0FBEA677" w14:textId="6DFBE2C4" w:rsidR="00830E98" w:rsidRDefault="00830E98" w:rsidP="00CF5CBC">
      <w:pPr>
        <w:pStyle w:val="enumlev1"/>
        <w:rPr>
          <w:rtl/>
          <w:lang w:val="fr-FR" w:bidi="ar-EG"/>
        </w:rPr>
      </w:pPr>
      <w:r>
        <w:rPr>
          <w:rFonts w:hint="cs"/>
          <w:rtl/>
        </w:rPr>
        <w:t>ب)</w:t>
      </w:r>
      <w:r>
        <w:rPr>
          <w:rFonts w:hint="cs"/>
          <w:rtl/>
        </w:rPr>
        <w:tab/>
        <w:t xml:space="preserve">المقترح الوارد في المساهمة المقدمة من الولايات المتحدة الأمريكية إلى فريق العمل التابع للمجلس والمعني بالموارد المالية والبشرية في دورته الحادية عشرة المعقودة في فبراير 2020، في الوثيقة </w:t>
      </w:r>
      <w:r>
        <w:t>CWG-FHR-11/15</w:t>
      </w:r>
      <w:r>
        <w:rPr>
          <w:rFonts w:hint="cs"/>
          <w:rtl/>
        </w:rPr>
        <w:t>. ويمكن الاطلاع على استنتاجات فريق العمل التابع للمجلس والمعني بالموارد المالية والبشرية بشأن هذا المقترح في التقرير الموجز للرئيس، في الفقرة 9.</w:t>
      </w:r>
      <w:r>
        <w:t>6</w:t>
      </w:r>
      <w:r>
        <w:rPr>
          <w:rtl/>
          <w:lang w:bidi="ar-EG"/>
        </w:rPr>
        <w:t xml:space="preserve"> </w:t>
      </w:r>
      <w:r>
        <w:rPr>
          <w:rFonts w:hint="cs"/>
          <w:rtl/>
        </w:rPr>
        <w:t xml:space="preserve">من الوثيقة </w:t>
      </w:r>
      <w:r w:rsidRPr="001170F4">
        <w:t>CWG-FHR/11-20</w:t>
      </w:r>
      <w:r w:rsidR="00CF5CBC">
        <w:rPr>
          <w:rFonts w:hint="cs"/>
          <w:rtl/>
          <w:lang w:bidi="ar-EG"/>
        </w:rPr>
        <w:t>؛</w:t>
      </w:r>
    </w:p>
    <w:p w14:paraId="2004CB3F" w14:textId="77777777" w:rsidR="00830E98" w:rsidRDefault="00830E98" w:rsidP="00CF5CBC">
      <w:pPr>
        <w:pStyle w:val="enumlev1"/>
        <w:rPr>
          <w:lang w:val="fr-FR"/>
        </w:rPr>
      </w:pPr>
      <w:r>
        <w:rPr>
          <w:rFonts w:hint="cs"/>
          <w:rtl/>
        </w:rPr>
        <w:t>ج)</w:t>
      </w:r>
      <w:r>
        <w:rPr>
          <w:rFonts w:hint="cs"/>
          <w:rtl/>
        </w:rPr>
        <w:tab/>
        <w:t>أفضل الممارسات داخل النظام الموحد للأمم المتحدة، كما هو مبين في الملحقات، من الملحق الأول إلى الملحق الثاني عشر، بتقرير وحدة التفتيش المشتركة.</w:t>
      </w:r>
    </w:p>
    <w:p w14:paraId="72F5E336" w14:textId="77777777" w:rsidR="00830E98" w:rsidRDefault="00830E98" w:rsidP="00830E98">
      <w:pPr>
        <w:rPr>
          <w:lang w:val="fr-FR" w:bidi="ar-EG"/>
        </w:rPr>
      </w:pPr>
      <w:r>
        <w:rPr>
          <w:rFonts w:hint="cs"/>
          <w:rtl/>
          <w:lang w:bidi="ar-EG"/>
        </w:rPr>
        <w:t>15</w:t>
      </w:r>
      <w:r>
        <w:rPr>
          <w:rFonts w:hint="cs"/>
          <w:rtl/>
          <w:lang w:bidi="ar-EG"/>
        </w:rPr>
        <w:tab/>
        <w:t>و</w:t>
      </w:r>
      <w:r>
        <w:rPr>
          <w:rFonts w:hint="cs"/>
          <w:rtl/>
          <w:lang w:bidi="ar"/>
        </w:rPr>
        <w:t>يُقترح تمويل إنشاء هذه الوظيفة من خلال إجراء عملية سحب من حساب الاحتياطي.</w:t>
      </w:r>
    </w:p>
    <w:p w14:paraId="2E6BA9E3" w14:textId="77777777" w:rsidR="00830E98" w:rsidRDefault="00830E98" w:rsidP="00CF5CBC">
      <w:pPr>
        <w:rPr>
          <w:rtl/>
          <w:lang w:bidi="ar-EG"/>
        </w:rPr>
      </w:pPr>
      <w:r>
        <w:rPr>
          <w:rtl/>
          <w:lang w:bidi="ar-EG"/>
        </w:rPr>
        <w:br w:type="page"/>
      </w:r>
    </w:p>
    <w:p w14:paraId="73613849" w14:textId="77777777" w:rsidR="00830E98" w:rsidRDefault="00830E98" w:rsidP="00830E98">
      <w:pPr>
        <w:pStyle w:val="AnnexNo"/>
        <w:rPr>
          <w:rtl/>
          <w:lang w:bidi="ar-SA"/>
        </w:rPr>
      </w:pPr>
      <w:r>
        <w:rPr>
          <w:rFonts w:hint="cs"/>
          <w:rtl/>
        </w:rPr>
        <w:lastRenderedPageBreak/>
        <w:t>الملحق</w:t>
      </w:r>
    </w:p>
    <w:p w14:paraId="73B94C04" w14:textId="77777777" w:rsidR="00830E98" w:rsidRDefault="00830E98" w:rsidP="00830E98">
      <w:pPr>
        <w:pStyle w:val="ResNo"/>
        <w:rPr>
          <w:lang w:bidi="ar-EG"/>
        </w:rPr>
      </w:pPr>
      <w:r>
        <w:rPr>
          <w:rFonts w:hint="cs"/>
          <w:rtl/>
          <w:lang w:bidi="ar-EG"/>
        </w:rPr>
        <w:t>مشروع مقرر</w:t>
      </w:r>
    </w:p>
    <w:p w14:paraId="26A62D44" w14:textId="77777777" w:rsidR="00830E98" w:rsidRDefault="00830E98" w:rsidP="00CF5CBC">
      <w:pPr>
        <w:pStyle w:val="Restitle"/>
      </w:pPr>
      <w:r>
        <w:rPr>
          <w:rFonts w:hint="cs"/>
          <w:rtl/>
        </w:rPr>
        <w:t>إنشاء وظيفة تحقيق جديدة وتمويلها</w:t>
      </w:r>
    </w:p>
    <w:p w14:paraId="50234E43" w14:textId="77777777" w:rsidR="00830E98" w:rsidRDefault="00830E98" w:rsidP="00830E98">
      <w:pPr>
        <w:pStyle w:val="Normalaftertitle"/>
      </w:pPr>
      <w:r>
        <w:rPr>
          <w:rFonts w:hint="cs"/>
          <w:rtl/>
        </w:rPr>
        <w:t>إن المجلس،</w:t>
      </w:r>
    </w:p>
    <w:p w14:paraId="757E41E5" w14:textId="77777777" w:rsidR="00830E98" w:rsidRDefault="00830E98" w:rsidP="00830E98">
      <w:pPr>
        <w:pStyle w:val="Call"/>
        <w:rPr>
          <w:rtl/>
          <w:lang w:bidi="ar-EG"/>
        </w:rPr>
      </w:pPr>
      <w:r>
        <w:rPr>
          <w:rFonts w:hint="cs"/>
          <w:rtl/>
          <w:lang w:bidi="ar-EG"/>
        </w:rPr>
        <w:t>في ضوء</w:t>
      </w:r>
    </w:p>
    <w:p w14:paraId="07B2DB11" w14:textId="77777777" w:rsidR="00830E98" w:rsidRDefault="00830E98" w:rsidP="00830E98">
      <w:pPr>
        <w:rPr>
          <w:lang w:val="en-GB" w:bidi="ar-EG"/>
        </w:rPr>
      </w:pPr>
      <w:r>
        <w:rPr>
          <w:rFonts w:hint="cs"/>
          <w:rtl/>
          <w:lang w:val="en-GB" w:bidi="ar-EG"/>
        </w:rPr>
        <w:t>المقرر 5 (المراجَع في دبي، 2018) الذي اعتمده مؤتمر المندوبين المفوضين،</w:t>
      </w:r>
    </w:p>
    <w:p w14:paraId="738ACBCD" w14:textId="77777777" w:rsidR="00830E98" w:rsidRDefault="00830E98" w:rsidP="00830E98">
      <w:pPr>
        <w:pStyle w:val="Call"/>
        <w:rPr>
          <w:rtl/>
          <w:lang w:val="en-GB" w:bidi="ar-EG"/>
        </w:rPr>
      </w:pPr>
      <w:r>
        <w:rPr>
          <w:rFonts w:hint="cs"/>
          <w:rtl/>
        </w:rPr>
        <w:t>وقد نظر في</w:t>
      </w:r>
    </w:p>
    <w:p w14:paraId="2EB97341" w14:textId="3216DE15" w:rsidR="00830E98" w:rsidRDefault="00830E98" w:rsidP="00830E98">
      <w:pPr>
        <w:rPr>
          <w:rtl/>
          <w:lang w:bidi="ar-EG"/>
        </w:rPr>
      </w:pPr>
      <w:r>
        <w:rPr>
          <w:rFonts w:hint="cs"/>
          <w:rtl/>
          <w:lang w:bidi="ar"/>
        </w:rPr>
        <w:t xml:space="preserve">الوثيقة </w:t>
      </w:r>
      <w:r w:rsidRPr="001170F4">
        <w:rPr>
          <w:lang w:val="en-GB" w:bidi="ar-EG"/>
        </w:rPr>
        <w:t>C20/60</w:t>
      </w:r>
      <w:r>
        <w:rPr>
          <w:rFonts w:hint="cs"/>
          <w:rtl/>
          <w:lang w:bidi="ar"/>
        </w:rPr>
        <w:t xml:space="preserve"> المقدمة من الأمين العام بشأن اقتراح إنشاء وظيفة تحقيق مستقلة</w:t>
      </w:r>
      <w:r w:rsidR="00CF5CBC">
        <w:rPr>
          <w:rFonts w:hint="cs"/>
          <w:rtl/>
          <w:lang w:bidi="ar-EG"/>
        </w:rPr>
        <w:t>،</w:t>
      </w:r>
    </w:p>
    <w:p w14:paraId="1B876127" w14:textId="77777777" w:rsidR="00830E98" w:rsidRDefault="00830E98" w:rsidP="00830E98">
      <w:pPr>
        <w:pStyle w:val="Call"/>
        <w:rPr>
          <w:rtl/>
          <w:lang w:val="fr-FR" w:bidi="ar-EG"/>
        </w:rPr>
      </w:pPr>
      <w:r>
        <w:rPr>
          <w:rFonts w:hint="cs"/>
          <w:rtl/>
          <w:lang w:bidi="ar-EG"/>
        </w:rPr>
        <w:t>يقرر</w:t>
      </w:r>
    </w:p>
    <w:p w14:paraId="33A6D528" w14:textId="4DB3783D" w:rsidR="00830E98" w:rsidRDefault="00830E98" w:rsidP="00830E98">
      <w:pPr>
        <w:rPr>
          <w:lang w:bidi="ar-EG"/>
        </w:rPr>
      </w:pPr>
      <w:r>
        <w:rPr>
          <w:rFonts w:hint="cs"/>
          <w:rtl/>
          <w:lang w:bidi="ar-EG"/>
        </w:rPr>
        <w:t>أن يوافق</w:t>
      </w:r>
      <w:r>
        <w:rPr>
          <w:rFonts w:hint="cs"/>
          <w:rtl/>
          <w:lang w:val="en-GB" w:bidi="ar"/>
        </w:rPr>
        <w:t xml:space="preserve"> على إنشاء وظيفة تحقيق مستقلة برتبة </w:t>
      </w:r>
      <w:r>
        <w:rPr>
          <w:rFonts w:hint="cs"/>
          <w:color w:val="FF0000"/>
          <w:rtl/>
          <w:lang w:val="fr-FR" w:bidi="ar-EG"/>
        </w:rPr>
        <w:t>فني-</w:t>
      </w:r>
      <w:r>
        <w:rPr>
          <w:color w:val="FF0000"/>
          <w:lang w:val="en-GB" w:bidi="ar-EG"/>
        </w:rPr>
        <w:t>5</w:t>
      </w:r>
      <w:r>
        <w:rPr>
          <w:rFonts w:hint="cs"/>
          <w:color w:val="FF0000"/>
          <w:rtl/>
          <w:lang w:bidi="ar-EG"/>
        </w:rPr>
        <w:t>/فني-</w:t>
      </w:r>
      <w:r>
        <w:rPr>
          <w:color w:val="FF0000"/>
          <w:lang w:val="en-GB" w:bidi="ar-EG"/>
        </w:rPr>
        <w:t>4</w:t>
      </w:r>
      <w:r>
        <w:rPr>
          <w:rFonts w:hint="cs"/>
          <w:rtl/>
          <w:lang w:val="en-GB" w:bidi="ar-EG"/>
        </w:rPr>
        <w:t xml:space="preserve">، وأن </w:t>
      </w:r>
      <w:r>
        <w:rPr>
          <w:rFonts w:hint="cs"/>
          <w:rtl/>
          <w:lang w:val="en-GB"/>
        </w:rPr>
        <w:t>يأذن للأمين العام، طبقاً للمادة 27 من اللوائح المالية والقواعد المالية، بسحب مبلغ {</w:t>
      </w:r>
      <w:r>
        <w:rPr>
          <w:color w:val="FF0000"/>
          <w:lang w:val="fr-FR" w:bidi="ar-EG"/>
        </w:rPr>
        <w:t>702</w:t>
      </w:r>
      <w:r w:rsidR="00CF5CBC">
        <w:rPr>
          <w:color w:val="FF0000"/>
          <w:lang w:val="fr-FR" w:bidi="ar-EG"/>
        </w:rPr>
        <w:t> </w:t>
      </w:r>
      <w:r>
        <w:rPr>
          <w:color w:val="FF0000"/>
          <w:lang w:val="fr-FR" w:bidi="ar-EG"/>
        </w:rPr>
        <w:t>000/815</w:t>
      </w:r>
      <w:r w:rsidR="00CF5CBC">
        <w:rPr>
          <w:color w:val="FF0000"/>
          <w:lang w:bidi="ar-EG"/>
        </w:rPr>
        <w:t> </w:t>
      </w:r>
      <w:r>
        <w:rPr>
          <w:color w:val="FF0000"/>
          <w:lang w:val="fr-FR" w:bidi="ar-EG"/>
        </w:rPr>
        <w:t>000</w:t>
      </w:r>
      <w:r>
        <w:rPr>
          <w:rFonts w:hint="cs"/>
          <w:color w:val="FF0000"/>
          <w:rtl/>
          <w:lang w:val="en-GB"/>
        </w:rPr>
        <w:t xml:space="preserve"> فرنك سويسري</w:t>
      </w:r>
      <w:r>
        <w:rPr>
          <w:rFonts w:hint="cs"/>
          <w:rtl/>
          <w:lang w:val="en-GB"/>
        </w:rPr>
        <w:t>}</w:t>
      </w:r>
      <w:proofErr w:type="spellStart"/>
      <w:r>
        <w:rPr>
          <w:rStyle w:val="FootnoteReference"/>
          <w:lang w:val="en-GB" w:bidi="ar-EG"/>
        </w:rPr>
        <w:footnoteReference w:customMarkFollows="1" w:id="2"/>
        <w:t>i</w:t>
      </w:r>
      <w:proofErr w:type="spellEnd"/>
      <w:r>
        <w:rPr>
          <w:rFonts w:hint="cs"/>
          <w:rtl/>
          <w:lang w:val="en-GB"/>
        </w:rPr>
        <w:t xml:space="preserve"> من حساب الاحتياطي من أجل تغطية تكاليف هذه الوظيفة للفترة الممتدة من </w:t>
      </w:r>
      <w:r>
        <w:rPr>
          <w:lang w:val="en-GB"/>
        </w:rPr>
        <w:t>2020</w:t>
      </w:r>
      <w:r>
        <w:rPr>
          <w:rFonts w:hint="cs"/>
          <w:rtl/>
          <w:lang w:bidi="ar-EG"/>
        </w:rPr>
        <w:t xml:space="preserve"> إلى </w:t>
      </w:r>
      <w:r>
        <w:rPr>
          <w:lang w:val="en-GB" w:bidi="ar-EG"/>
        </w:rPr>
        <w:t>2023</w:t>
      </w:r>
      <w:r w:rsidR="00CF5CBC">
        <w:rPr>
          <w:rFonts w:hint="cs"/>
          <w:rtl/>
          <w:lang w:bidi="ar-EG"/>
        </w:rPr>
        <w:t>،</w:t>
      </w:r>
    </w:p>
    <w:p w14:paraId="224C3E05" w14:textId="77777777" w:rsidR="00830E98" w:rsidRDefault="00830E98" w:rsidP="00830E98">
      <w:pPr>
        <w:pStyle w:val="Call"/>
        <w:rPr>
          <w:rtl/>
          <w:lang w:bidi="ar-EG"/>
        </w:rPr>
      </w:pPr>
      <w:r>
        <w:rPr>
          <w:rFonts w:hint="cs"/>
          <w:rtl/>
          <w:lang w:bidi="ar-EG"/>
        </w:rPr>
        <w:t>يكلف الأمين العام</w:t>
      </w:r>
    </w:p>
    <w:p w14:paraId="61F3FB2A" w14:textId="77777777" w:rsidR="00830E98" w:rsidRDefault="00830E98" w:rsidP="00830E98">
      <w:pPr>
        <w:rPr>
          <w:rtl/>
          <w:lang w:val="en-GB" w:bidi="ar-EG"/>
        </w:rPr>
      </w:pPr>
      <w:r>
        <w:rPr>
          <w:rFonts w:hint="cs"/>
          <w:rtl/>
          <w:lang w:val="en-GB"/>
        </w:rPr>
        <w:t xml:space="preserve">بتنفيذ المقرر المشار إليه أعلاه في عام </w:t>
      </w:r>
      <w:r>
        <w:rPr>
          <w:lang w:val="en-GB"/>
        </w:rPr>
        <w:t>2020</w:t>
      </w:r>
      <w:r>
        <w:rPr>
          <w:rFonts w:hint="cs"/>
          <w:rtl/>
          <w:lang w:val="en-GB"/>
        </w:rPr>
        <w:t xml:space="preserve">، حسب الاقتضاء، وتقديم تقرير إلى المجلس في دورته لعام </w:t>
      </w:r>
      <w:r>
        <w:rPr>
          <w:lang w:val="en-GB"/>
        </w:rPr>
        <w:t>2021</w:t>
      </w:r>
      <w:r>
        <w:rPr>
          <w:rFonts w:hint="cs"/>
          <w:rtl/>
          <w:lang w:bidi="ar-EG"/>
        </w:rPr>
        <w:t>.</w:t>
      </w:r>
    </w:p>
    <w:p w14:paraId="02EC3DCF"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CC7DC" w14:textId="77777777" w:rsidR="00830E98" w:rsidRDefault="00830E98" w:rsidP="006C3242">
      <w:pPr>
        <w:spacing w:before="0" w:line="240" w:lineRule="auto"/>
      </w:pPr>
      <w:r>
        <w:separator/>
      </w:r>
    </w:p>
  </w:endnote>
  <w:endnote w:type="continuationSeparator" w:id="0">
    <w:p w14:paraId="24EBC8AD" w14:textId="77777777" w:rsidR="00830E98" w:rsidRDefault="00830E9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9C0AB" w14:textId="0338593F" w:rsidR="006C3242" w:rsidRPr="001170F4" w:rsidRDefault="006C3242"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1170F4">
      <w:rPr>
        <w:color w:val="D9D9D9" w:themeColor="background1" w:themeShade="D9"/>
        <w:sz w:val="16"/>
        <w:szCs w:val="16"/>
        <w:lang w:val="fr-FR"/>
      </w:rPr>
      <w:fldChar w:fldCharType="begin"/>
    </w:r>
    <w:r w:rsidRPr="001170F4">
      <w:rPr>
        <w:color w:val="D9D9D9" w:themeColor="background1" w:themeShade="D9"/>
        <w:sz w:val="16"/>
        <w:szCs w:val="16"/>
        <w:lang w:val="fr-FR"/>
      </w:rPr>
      <w:instrText xml:space="preserve"> FILENAME \p \* MERGEFORMAT </w:instrText>
    </w:r>
    <w:r w:rsidRPr="001170F4">
      <w:rPr>
        <w:color w:val="D9D9D9" w:themeColor="background1" w:themeShade="D9"/>
        <w:sz w:val="16"/>
        <w:szCs w:val="16"/>
        <w:lang w:val="fr-FR"/>
      </w:rPr>
      <w:fldChar w:fldCharType="separate"/>
    </w:r>
    <w:r w:rsidR="00EC5E4E" w:rsidRPr="001170F4">
      <w:rPr>
        <w:noProof/>
        <w:color w:val="D9D9D9" w:themeColor="background1" w:themeShade="D9"/>
        <w:sz w:val="16"/>
        <w:szCs w:val="16"/>
        <w:lang w:val="fr-FR"/>
      </w:rPr>
      <w:t>P:\ARA\SG\CONSEIL\C20\000\060A.docx</w:t>
    </w:r>
    <w:r w:rsidRPr="001170F4">
      <w:rPr>
        <w:color w:val="D9D9D9" w:themeColor="background1" w:themeShade="D9"/>
        <w:sz w:val="16"/>
        <w:szCs w:val="16"/>
      </w:rPr>
      <w:fldChar w:fldCharType="end"/>
    </w:r>
    <w:r w:rsidRPr="001170F4">
      <w:rPr>
        <w:color w:val="D9D9D9" w:themeColor="background1" w:themeShade="D9"/>
        <w:sz w:val="16"/>
        <w:szCs w:val="16"/>
        <w:lang w:val="fr-CH"/>
      </w:rPr>
      <w:t xml:space="preserve"> </w:t>
    </w:r>
    <w:r w:rsidRPr="001170F4">
      <w:rPr>
        <w:color w:val="D9D9D9" w:themeColor="background1" w:themeShade="D9"/>
        <w:sz w:val="16"/>
        <w:szCs w:val="16"/>
        <w:lang w:val="fr-FR"/>
      </w:rPr>
      <w:t xml:space="preserve"> (</w:t>
    </w:r>
    <w:r w:rsidR="00EC5E4E" w:rsidRPr="001170F4">
      <w:rPr>
        <w:color w:val="D9D9D9" w:themeColor="background1" w:themeShade="D9"/>
        <w:sz w:val="16"/>
        <w:szCs w:val="16"/>
        <w:lang w:val="fr-FR"/>
      </w:rPr>
      <w:t>470446</w:t>
    </w:r>
    <w:r w:rsidRPr="001170F4">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D0F4" w14:textId="77777777" w:rsidR="006C3242" w:rsidRPr="00605F1E" w:rsidRDefault="006C3242" w:rsidP="006C3242">
    <w:pPr>
      <w:pStyle w:val="Footer"/>
      <w:spacing w:before="120" w:after="120"/>
      <w:jc w:val="center"/>
      <w:rPr>
        <w:sz w:val="22"/>
        <w:szCs w:val="22"/>
        <w:lang w:val="fr-FR"/>
      </w:rPr>
    </w:pPr>
    <w:r w:rsidRPr="00605F1E">
      <w:rPr>
        <w:sz w:val="22"/>
        <w:szCs w:val="22"/>
        <w:lang w:val="fr-FR"/>
      </w:rPr>
      <w:t xml:space="preserve">• </w:t>
    </w:r>
    <w:hyperlink r:id="rId1" w:history="1">
      <w:r w:rsidRPr="00605F1E">
        <w:rPr>
          <w:rStyle w:val="Hyperlink"/>
          <w:sz w:val="22"/>
          <w:szCs w:val="22"/>
          <w:lang w:val="fr-FR"/>
        </w:rPr>
        <w:t>http://www.itu.int/council</w:t>
      </w:r>
    </w:hyperlink>
    <w:r w:rsidRPr="00605F1E">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40E27" w14:textId="77777777" w:rsidR="00830E98" w:rsidRDefault="00830E98" w:rsidP="006C3242">
      <w:pPr>
        <w:spacing w:before="0" w:line="240" w:lineRule="auto"/>
      </w:pPr>
      <w:r>
        <w:separator/>
      </w:r>
    </w:p>
  </w:footnote>
  <w:footnote w:type="continuationSeparator" w:id="0">
    <w:p w14:paraId="595EF81D" w14:textId="77777777" w:rsidR="00830E98" w:rsidRDefault="00830E98" w:rsidP="006C3242">
      <w:pPr>
        <w:spacing w:before="0" w:line="240" w:lineRule="auto"/>
      </w:pPr>
      <w:r>
        <w:continuationSeparator/>
      </w:r>
    </w:p>
  </w:footnote>
  <w:footnote w:id="1">
    <w:p w14:paraId="45435C19" w14:textId="1B4BD442" w:rsidR="00830E98" w:rsidRDefault="00830E98" w:rsidP="00A8572A">
      <w:pPr>
        <w:pStyle w:val="FootnoteText"/>
        <w:tabs>
          <w:tab w:val="clear" w:pos="794"/>
          <w:tab w:val="left" w:pos="284"/>
        </w:tabs>
        <w:ind w:left="284" w:hanging="284"/>
        <w:rPr>
          <w:lang w:val="fr-FR" w:bidi="ar-EG"/>
        </w:rPr>
      </w:pPr>
      <w:r>
        <w:rPr>
          <w:rStyle w:val="FootnoteReference"/>
        </w:rPr>
        <w:footnoteRef/>
      </w:r>
      <w:r w:rsidR="00A8572A">
        <w:rPr>
          <w:rtl/>
        </w:rPr>
        <w:tab/>
      </w:r>
      <w:r>
        <w:rPr>
          <w:rFonts w:hint="cs"/>
          <w:rtl/>
          <w:lang w:bidi="ar"/>
        </w:rPr>
        <w:t xml:space="preserve">يمكن الاطلاع على التقرير الكامل </w:t>
      </w:r>
      <w:r>
        <w:rPr>
          <w:rFonts w:hint="cs"/>
          <w:i/>
          <w:iCs/>
          <w:rtl/>
          <w:lang w:bidi="ar"/>
        </w:rPr>
        <w:t>لاستعراض وحدة التفتيش المشتركة لحالة وظيفة التحقيق</w:t>
      </w:r>
      <w:r>
        <w:rPr>
          <w:rFonts w:hint="cs"/>
          <w:rtl/>
          <w:lang w:bidi="ar"/>
        </w:rPr>
        <w:t xml:space="preserve"> </w:t>
      </w:r>
      <w:r w:rsidR="008000FB">
        <w:rPr>
          <w:rFonts w:hint="cs"/>
          <w:rtl/>
          <w:lang w:bidi="ar"/>
        </w:rPr>
        <w:t>في</w:t>
      </w:r>
      <w:r>
        <w:rPr>
          <w:rFonts w:hint="cs"/>
          <w:rtl/>
        </w:rPr>
        <w:t xml:space="preserve"> </w:t>
      </w:r>
      <w:hyperlink r:id="rId1" w:history="1">
        <w:r>
          <w:rPr>
            <w:rStyle w:val="Hyperlink"/>
          </w:rPr>
          <w:t>https://www.unjiu.org/content/reports</w:t>
        </w:r>
      </w:hyperlink>
      <w:r>
        <w:rPr>
          <w:rtl/>
        </w:rPr>
        <w:t xml:space="preserve"> </w:t>
      </w:r>
      <w:r>
        <w:rPr>
          <w:rFonts w:hint="cs"/>
          <w:rtl/>
        </w:rPr>
        <w:t>- و</w:t>
      </w:r>
      <w:r>
        <w:rPr>
          <w:rFonts w:hint="cs"/>
          <w:rtl/>
          <w:lang w:bidi="ar"/>
        </w:rPr>
        <w:t>لم</w:t>
      </w:r>
      <w:r w:rsidR="008000FB">
        <w:rPr>
          <w:rFonts w:hint="eastAsia"/>
          <w:rtl/>
          <w:lang w:bidi="ar"/>
        </w:rPr>
        <w:t> </w:t>
      </w:r>
      <w:r>
        <w:rPr>
          <w:rFonts w:hint="cs"/>
          <w:rtl/>
          <w:lang w:bidi="ar"/>
        </w:rPr>
        <w:t xml:space="preserve">يكن </w:t>
      </w:r>
      <w:r w:rsidR="00A64C72">
        <w:rPr>
          <w:rFonts w:hint="cs"/>
          <w:rtl/>
          <w:lang w:bidi="ar"/>
        </w:rPr>
        <w:t>التقرير متاحاً</w:t>
      </w:r>
      <w:r>
        <w:rPr>
          <w:rFonts w:hint="cs"/>
          <w:rtl/>
          <w:lang w:bidi="ar"/>
        </w:rPr>
        <w:t xml:space="preserve"> بعد في نسخته النهائية وقت صياغة وثيقة المجلس الحالية.</w:t>
      </w:r>
    </w:p>
  </w:footnote>
  <w:footnote w:id="2">
    <w:p w14:paraId="29E9A8A3" w14:textId="02E71938" w:rsidR="00830E98" w:rsidRDefault="00830E98" w:rsidP="00CF5CBC">
      <w:pPr>
        <w:pStyle w:val="FootnoteText"/>
        <w:rPr>
          <w:lang w:val="fr-FR" w:bidi="ar-EG"/>
        </w:rPr>
      </w:pPr>
      <w:r w:rsidRPr="001170F4">
        <w:rPr>
          <w:rStyle w:val="FootnoteReference"/>
          <w:lang w:val="fr-FR"/>
        </w:rPr>
        <w:t>i</w:t>
      </w:r>
      <w:r>
        <w:rPr>
          <w:rFonts w:hint="cs"/>
          <w:rtl/>
        </w:rPr>
        <w:t xml:space="preserve"> لم تتضمن الخطة المالية الحالية، المواف</w:t>
      </w:r>
      <w:r w:rsidR="00CF5CBC">
        <w:rPr>
          <w:rFonts w:hint="cs"/>
          <w:rtl/>
        </w:rPr>
        <w:t>َ</w:t>
      </w:r>
      <w:r>
        <w:rPr>
          <w:rFonts w:hint="cs"/>
          <w:rtl/>
        </w:rPr>
        <w:t xml:space="preserve">ق عليها في دبي </w:t>
      </w:r>
      <w:r w:rsidRPr="001170F4">
        <w:rPr>
          <w:lang w:val="fr-FR"/>
        </w:rPr>
        <w:t>2018</w:t>
      </w:r>
      <w:r>
        <w:rPr>
          <w:rFonts w:hint="cs"/>
          <w:rtl/>
          <w:lang w:bidi="ar-EG"/>
        </w:rPr>
        <w:t>، هذه التكلفة. و</w:t>
      </w:r>
      <w:r>
        <w:rPr>
          <w:rFonts w:hint="cs"/>
          <w:rtl/>
          <w:lang w:bidi="ar"/>
        </w:rPr>
        <w:t>ستتضمن الخطة المالية التالية للفترة 2024-2027 هذه التكلفة.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0A91A" w14:textId="0A63433F" w:rsidR="00447F32" w:rsidRPr="00447F32" w:rsidRDefault="001170F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7A76D9">
          <w:rPr>
            <w:rFonts w:cs="Calibri"/>
            <w:noProof/>
            <w:sz w:val="20"/>
            <w:szCs w:val="20"/>
          </w:rPr>
          <w:t>60</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98"/>
    <w:rsid w:val="000865F2"/>
    <w:rsid w:val="00090574"/>
    <w:rsid w:val="000C1C0E"/>
    <w:rsid w:val="000C548A"/>
    <w:rsid w:val="000D4888"/>
    <w:rsid w:val="001170F4"/>
    <w:rsid w:val="001C0169"/>
    <w:rsid w:val="001D1D50"/>
    <w:rsid w:val="001D6745"/>
    <w:rsid w:val="001E446E"/>
    <w:rsid w:val="002154EE"/>
    <w:rsid w:val="002276D2"/>
    <w:rsid w:val="0023283D"/>
    <w:rsid w:val="0026373E"/>
    <w:rsid w:val="00271C43"/>
    <w:rsid w:val="00290728"/>
    <w:rsid w:val="002978F4"/>
    <w:rsid w:val="002B028D"/>
    <w:rsid w:val="002B25A7"/>
    <w:rsid w:val="002E6541"/>
    <w:rsid w:val="002F71D8"/>
    <w:rsid w:val="00334924"/>
    <w:rsid w:val="003409BC"/>
    <w:rsid w:val="00357185"/>
    <w:rsid w:val="00383829"/>
    <w:rsid w:val="003C0BE6"/>
    <w:rsid w:val="003C6B4F"/>
    <w:rsid w:val="003F4B29"/>
    <w:rsid w:val="00400220"/>
    <w:rsid w:val="0042686F"/>
    <w:rsid w:val="004317D8"/>
    <w:rsid w:val="00434183"/>
    <w:rsid w:val="00443869"/>
    <w:rsid w:val="00447F32"/>
    <w:rsid w:val="004E11DC"/>
    <w:rsid w:val="005409AC"/>
    <w:rsid w:val="0055516A"/>
    <w:rsid w:val="0058491B"/>
    <w:rsid w:val="00592EA5"/>
    <w:rsid w:val="005A3170"/>
    <w:rsid w:val="00605F1E"/>
    <w:rsid w:val="00614855"/>
    <w:rsid w:val="00677396"/>
    <w:rsid w:val="0069200F"/>
    <w:rsid w:val="006A65CB"/>
    <w:rsid w:val="006A793B"/>
    <w:rsid w:val="006C3242"/>
    <w:rsid w:val="006C7B27"/>
    <w:rsid w:val="006C7CC0"/>
    <w:rsid w:val="006F63F7"/>
    <w:rsid w:val="007025C7"/>
    <w:rsid w:val="00706D7A"/>
    <w:rsid w:val="007141D4"/>
    <w:rsid w:val="00722F0D"/>
    <w:rsid w:val="00743A3D"/>
    <w:rsid w:val="0074420E"/>
    <w:rsid w:val="00783E26"/>
    <w:rsid w:val="00791882"/>
    <w:rsid w:val="007A76D9"/>
    <w:rsid w:val="007C3BC7"/>
    <w:rsid w:val="007C3BCD"/>
    <w:rsid w:val="007D4ACF"/>
    <w:rsid w:val="007F0787"/>
    <w:rsid w:val="008000FB"/>
    <w:rsid w:val="0080397D"/>
    <w:rsid w:val="00804C49"/>
    <w:rsid w:val="00810B7B"/>
    <w:rsid w:val="0082358A"/>
    <w:rsid w:val="008235CD"/>
    <w:rsid w:val="008247DE"/>
    <w:rsid w:val="00830E98"/>
    <w:rsid w:val="00840B10"/>
    <w:rsid w:val="008513CB"/>
    <w:rsid w:val="008A7F84"/>
    <w:rsid w:val="0091702E"/>
    <w:rsid w:val="00923B0C"/>
    <w:rsid w:val="0094021C"/>
    <w:rsid w:val="009445D0"/>
    <w:rsid w:val="00952F86"/>
    <w:rsid w:val="00982B28"/>
    <w:rsid w:val="009D1962"/>
    <w:rsid w:val="009D313F"/>
    <w:rsid w:val="00A20095"/>
    <w:rsid w:val="00A47A5A"/>
    <w:rsid w:val="00A64C72"/>
    <w:rsid w:val="00A6683B"/>
    <w:rsid w:val="00A8572A"/>
    <w:rsid w:val="00A97F94"/>
    <w:rsid w:val="00B03099"/>
    <w:rsid w:val="00B05BC8"/>
    <w:rsid w:val="00B64B47"/>
    <w:rsid w:val="00BB7213"/>
    <w:rsid w:val="00C002DE"/>
    <w:rsid w:val="00C53BF8"/>
    <w:rsid w:val="00C66157"/>
    <w:rsid w:val="00C66669"/>
    <w:rsid w:val="00C674FE"/>
    <w:rsid w:val="00C67501"/>
    <w:rsid w:val="00C75633"/>
    <w:rsid w:val="00CE2EE1"/>
    <w:rsid w:val="00CE3349"/>
    <w:rsid w:val="00CE36E5"/>
    <w:rsid w:val="00CE44B1"/>
    <w:rsid w:val="00CF1959"/>
    <w:rsid w:val="00CF27F5"/>
    <w:rsid w:val="00CF3FFD"/>
    <w:rsid w:val="00CF5CBC"/>
    <w:rsid w:val="00D10CCF"/>
    <w:rsid w:val="00D72998"/>
    <w:rsid w:val="00D77D0F"/>
    <w:rsid w:val="00DA1CF0"/>
    <w:rsid w:val="00DC1E02"/>
    <w:rsid w:val="00DC24B4"/>
    <w:rsid w:val="00DC5FB0"/>
    <w:rsid w:val="00DF16DC"/>
    <w:rsid w:val="00E45211"/>
    <w:rsid w:val="00E473C5"/>
    <w:rsid w:val="00E52FD0"/>
    <w:rsid w:val="00E92863"/>
    <w:rsid w:val="00EB796D"/>
    <w:rsid w:val="00EC5E4E"/>
    <w:rsid w:val="00F058DC"/>
    <w:rsid w:val="00F24FC4"/>
    <w:rsid w:val="00F2676C"/>
    <w:rsid w:val="00F406F0"/>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EC81CB"/>
  <w15:chartTrackingRefBased/>
  <w15:docId w15:val="{58DD5DAA-13D5-4BA6-B2AB-4C784F46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98472">
      <w:bodyDiv w:val="1"/>
      <w:marLeft w:val="0"/>
      <w:marRight w:val="0"/>
      <w:marTop w:val="0"/>
      <w:marBottom w:val="0"/>
      <w:divBdr>
        <w:top w:val="none" w:sz="0" w:space="0" w:color="auto"/>
        <w:left w:val="none" w:sz="0" w:space="0" w:color="auto"/>
        <w:bottom w:val="none" w:sz="0" w:space="0" w:color="auto"/>
        <w:right w:val="none" w:sz="0" w:space="0" w:color="auto"/>
      </w:divBdr>
    </w:div>
    <w:div w:id="743800755">
      <w:bodyDiv w:val="1"/>
      <w:marLeft w:val="0"/>
      <w:marRight w:val="0"/>
      <w:marTop w:val="0"/>
      <w:marBottom w:val="0"/>
      <w:divBdr>
        <w:top w:val="none" w:sz="0" w:space="0" w:color="auto"/>
        <w:left w:val="none" w:sz="0" w:space="0" w:color="auto"/>
        <w:bottom w:val="none" w:sz="0" w:space="0" w:color="auto"/>
        <w:right w:val="none" w:sz="0" w:space="0" w:color="auto"/>
      </w:divBdr>
    </w:div>
    <w:div w:id="1056128824">
      <w:bodyDiv w:val="1"/>
      <w:marLeft w:val="0"/>
      <w:marRight w:val="0"/>
      <w:marTop w:val="0"/>
      <w:marBottom w:val="0"/>
      <w:divBdr>
        <w:top w:val="none" w:sz="0" w:space="0" w:color="auto"/>
        <w:left w:val="none" w:sz="0" w:space="0" w:color="auto"/>
        <w:bottom w:val="none" w:sz="0" w:space="0" w:color="auto"/>
        <w:right w:val="none" w:sz="0" w:space="0" w:color="auto"/>
      </w:divBdr>
    </w:div>
    <w:div w:id="108333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S20-CL-C-005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0-CWGFHR11-C-0015/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content/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42D99-1EF1-43E3-B282-444189055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AA78A-3F27-4B61-BBC7-3B40F44BCD86}">
  <ds:schemaRefs>
    <ds:schemaRef ds:uri="http://schemas.microsoft.com/sharepoint/v3/contenttype/forms"/>
  </ds:schemaRefs>
</ds:datastoreItem>
</file>

<file path=customXml/itemProps3.xml><?xml version="1.0" encoding="utf-8"?>
<ds:datastoreItem xmlns:ds="http://schemas.openxmlformats.org/officeDocument/2006/customXml" ds:itemID="{37B84D97-D620-4365-83ED-76D889736B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15B56A-2288-4A4A-8A7D-2590C758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1517</Words>
  <Characters>8649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and funding of a new investigation function</dc:title>
  <dc:subject>Council 2020</dc:subject>
  <dc:creator>Tahawi, Hiba</dc:creator>
  <cp:keywords>C2020, C20</cp:keywords>
  <dc:description/>
  <cp:lastModifiedBy>Brouard, Ricarda</cp:lastModifiedBy>
  <cp:revision>2</cp:revision>
  <dcterms:created xsi:type="dcterms:W3CDTF">2020-05-01T07:06:00Z</dcterms:created>
  <dcterms:modified xsi:type="dcterms:W3CDTF">2020-05-01T07:06:00Z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