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1616C4" w:rsidRPr="00290728" w14:paraId="24DFAB1B" w14:textId="77777777" w:rsidTr="00B25C28">
        <w:trPr>
          <w:cantSplit/>
          <w:trHeight w:val="20"/>
        </w:trPr>
        <w:tc>
          <w:tcPr>
            <w:tcW w:w="6620" w:type="dxa"/>
          </w:tcPr>
          <w:p w14:paraId="0B9D7DFD" w14:textId="77777777" w:rsidR="001616C4" w:rsidRPr="00290728" w:rsidRDefault="001616C4" w:rsidP="00B25C28">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Pr="006A793B">
              <w:rPr>
                <w:b/>
                <w:bCs/>
                <w:w w:val="110"/>
                <w:sz w:val="30"/>
                <w:szCs w:val="30"/>
                <w:lang w:bidi="ar-SY"/>
              </w:rPr>
              <w:t>2020</w:t>
            </w:r>
            <w:r w:rsidRPr="006A793B">
              <w:rPr>
                <w:b/>
                <w:bCs/>
                <w:w w:val="110"/>
                <w:sz w:val="30"/>
                <w:szCs w:val="30"/>
                <w:rtl/>
                <w:lang w:bidi="ar-SY"/>
              </w:rPr>
              <w:br/>
            </w:r>
            <w:r w:rsidRPr="0026373E">
              <w:rPr>
                <w:rFonts w:hint="cs"/>
                <w:b/>
                <w:bCs/>
                <w:sz w:val="24"/>
                <w:szCs w:val="24"/>
                <w:rtl/>
                <w:lang w:bidi="ar-EG"/>
              </w:rPr>
              <w:t xml:space="preserve">جنيف، </w:t>
            </w:r>
            <w:r>
              <w:rPr>
                <w:b/>
                <w:bCs/>
                <w:sz w:val="24"/>
                <w:szCs w:val="24"/>
                <w:lang w:bidi="ar-SY"/>
              </w:rPr>
              <w:t>19-9</w:t>
            </w:r>
            <w:r w:rsidRPr="0026373E">
              <w:rPr>
                <w:rFonts w:hint="cs"/>
                <w:b/>
                <w:bCs/>
                <w:sz w:val="24"/>
                <w:szCs w:val="24"/>
                <w:rtl/>
                <w:lang w:bidi="ar-EG"/>
              </w:rPr>
              <w:t xml:space="preserve"> يونيو </w:t>
            </w:r>
            <w:r>
              <w:rPr>
                <w:b/>
                <w:bCs/>
                <w:sz w:val="24"/>
                <w:szCs w:val="24"/>
                <w:lang w:bidi="ar-EG"/>
              </w:rPr>
              <w:t>2020</w:t>
            </w:r>
          </w:p>
        </w:tc>
        <w:tc>
          <w:tcPr>
            <w:tcW w:w="3052" w:type="dxa"/>
          </w:tcPr>
          <w:p w14:paraId="33F6F9F3" w14:textId="77777777" w:rsidR="001616C4" w:rsidRPr="00290728" w:rsidRDefault="001616C4" w:rsidP="00B25C28">
            <w:pPr>
              <w:spacing w:before="0" w:line="240" w:lineRule="auto"/>
              <w:jc w:val="right"/>
              <w:rPr>
                <w:rtl/>
                <w:lang w:bidi="ar-EG"/>
              </w:rPr>
            </w:pPr>
            <w:bookmarkStart w:id="0" w:name="ditulogo"/>
            <w:bookmarkEnd w:id="0"/>
            <w:r>
              <w:rPr>
                <w:noProof/>
              </w:rPr>
              <w:drawing>
                <wp:inline distT="0" distB="0" distL="0" distR="0" wp14:anchorId="074AAAAF" wp14:editId="5682A6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616C4" w:rsidRPr="00290728" w14:paraId="6A26B344" w14:textId="77777777" w:rsidTr="00B25C28">
        <w:trPr>
          <w:cantSplit/>
          <w:trHeight w:val="20"/>
        </w:trPr>
        <w:tc>
          <w:tcPr>
            <w:tcW w:w="6620" w:type="dxa"/>
            <w:tcBorders>
              <w:bottom w:val="single" w:sz="12" w:space="0" w:color="auto"/>
            </w:tcBorders>
          </w:tcPr>
          <w:p w14:paraId="33B3FDC1" w14:textId="77777777" w:rsidR="001616C4" w:rsidRPr="006A793B" w:rsidRDefault="001616C4" w:rsidP="00B25C28">
            <w:pPr>
              <w:spacing w:before="0" w:line="120" w:lineRule="auto"/>
              <w:rPr>
                <w:rtl/>
                <w:lang w:bidi="ar-EG"/>
              </w:rPr>
            </w:pPr>
          </w:p>
        </w:tc>
        <w:tc>
          <w:tcPr>
            <w:tcW w:w="3052" w:type="dxa"/>
            <w:tcBorders>
              <w:bottom w:val="single" w:sz="12" w:space="0" w:color="auto"/>
            </w:tcBorders>
          </w:tcPr>
          <w:p w14:paraId="1B1AB1E1" w14:textId="77777777" w:rsidR="001616C4" w:rsidRPr="006A793B" w:rsidRDefault="001616C4" w:rsidP="00B25C28">
            <w:pPr>
              <w:spacing w:before="0" w:line="120" w:lineRule="auto"/>
              <w:rPr>
                <w:lang w:bidi="ar-EG"/>
              </w:rPr>
            </w:pPr>
          </w:p>
        </w:tc>
      </w:tr>
      <w:tr w:rsidR="001616C4" w:rsidRPr="00290728" w14:paraId="38821F4B" w14:textId="77777777" w:rsidTr="00B25C28">
        <w:trPr>
          <w:cantSplit/>
          <w:trHeight w:val="20"/>
        </w:trPr>
        <w:tc>
          <w:tcPr>
            <w:tcW w:w="6620" w:type="dxa"/>
            <w:tcBorders>
              <w:top w:val="single" w:sz="12" w:space="0" w:color="auto"/>
            </w:tcBorders>
          </w:tcPr>
          <w:p w14:paraId="69B83030" w14:textId="77777777" w:rsidR="001616C4" w:rsidRPr="00290728" w:rsidRDefault="001616C4" w:rsidP="00B25C28">
            <w:pPr>
              <w:spacing w:before="60" w:after="60" w:line="260" w:lineRule="exact"/>
              <w:rPr>
                <w:b/>
                <w:bCs/>
                <w:rtl/>
                <w:lang w:bidi="ar-EG"/>
              </w:rPr>
            </w:pPr>
          </w:p>
        </w:tc>
        <w:tc>
          <w:tcPr>
            <w:tcW w:w="3052" w:type="dxa"/>
            <w:tcBorders>
              <w:top w:val="single" w:sz="12" w:space="0" w:color="auto"/>
            </w:tcBorders>
          </w:tcPr>
          <w:p w14:paraId="5A1D7E46" w14:textId="77777777" w:rsidR="001616C4" w:rsidRPr="00290728" w:rsidRDefault="001616C4" w:rsidP="00B25C28">
            <w:pPr>
              <w:spacing w:before="60" w:after="60" w:line="260" w:lineRule="exact"/>
              <w:rPr>
                <w:b/>
                <w:bCs/>
                <w:lang w:bidi="ar-SY"/>
              </w:rPr>
            </w:pPr>
          </w:p>
        </w:tc>
      </w:tr>
      <w:tr w:rsidR="001616C4" w:rsidRPr="00290728" w14:paraId="4C812B6C" w14:textId="77777777" w:rsidTr="00B25C28">
        <w:trPr>
          <w:cantSplit/>
        </w:trPr>
        <w:tc>
          <w:tcPr>
            <w:tcW w:w="6620" w:type="dxa"/>
          </w:tcPr>
          <w:p w14:paraId="72F74E3E" w14:textId="77777777" w:rsidR="001616C4" w:rsidRPr="002F71D8" w:rsidRDefault="001616C4" w:rsidP="00B25C28">
            <w:pPr>
              <w:spacing w:before="20" w:after="20" w:line="300" w:lineRule="exact"/>
              <w:rPr>
                <w:b/>
                <w:bCs/>
                <w:lang w:bidi="ar-EG"/>
              </w:rPr>
            </w:pPr>
            <w:r>
              <w:rPr>
                <w:rFonts w:hint="cs"/>
                <w:b/>
                <w:bCs/>
                <w:rtl/>
                <w:lang w:bidi="ar-EG"/>
              </w:rPr>
              <w:t xml:space="preserve">بند جدول الأعمال: </w:t>
            </w:r>
            <w:r>
              <w:rPr>
                <w:b/>
                <w:bCs/>
                <w:lang w:bidi="ar-EG"/>
              </w:rPr>
              <w:t>ADM 24</w:t>
            </w:r>
          </w:p>
        </w:tc>
        <w:tc>
          <w:tcPr>
            <w:tcW w:w="3052" w:type="dxa"/>
            <w:vAlign w:val="center"/>
          </w:tcPr>
          <w:p w14:paraId="1481A41A" w14:textId="77777777" w:rsidR="001616C4" w:rsidRPr="002F71D8" w:rsidRDefault="001616C4" w:rsidP="00B25C28">
            <w:pPr>
              <w:spacing w:before="20" w:after="20" w:line="300" w:lineRule="exact"/>
              <w:rPr>
                <w:b/>
                <w:bCs/>
                <w:lang w:bidi="ar-SY"/>
              </w:rPr>
            </w:pPr>
            <w:r w:rsidRPr="002F71D8">
              <w:rPr>
                <w:rFonts w:hint="cs"/>
                <w:b/>
                <w:bCs/>
                <w:rtl/>
                <w:lang w:bidi="ar-EG"/>
              </w:rPr>
              <w:t xml:space="preserve">الوثيقة </w:t>
            </w:r>
            <w:r w:rsidRPr="002F71D8">
              <w:rPr>
                <w:b/>
                <w:bCs/>
                <w:lang w:bidi="ar-SY"/>
              </w:rPr>
              <w:t>C20/</w:t>
            </w:r>
            <w:r>
              <w:rPr>
                <w:b/>
                <w:bCs/>
                <w:lang w:bidi="ar-SY"/>
              </w:rPr>
              <w:t>64</w:t>
            </w:r>
            <w:r w:rsidRPr="002F71D8">
              <w:rPr>
                <w:b/>
                <w:bCs/>
                <w:lang w:bidi="ar-SY"/>
              </w:rPr>
              <w:t>-A</w:t>
            </w:r>
          </w:p>
        </w:tc>
      </w:tr>
      <w:tr w:rsidR="001616C4" w:rsidRPr="00290728" w14:paraId="14593828" w14:textId="77777777" w:rsidTr="00B25C28">
        <w:trPr>
          <w:cantSplit/>
        </w:trPr>
        <w:tc>
          <w:tcPr>
            <w:tcW w:w="6620" w:type="dxa"/>
          </w:tcPr>
          <w:p w14:paraId="126BADFF" w14:textId="77777777" w:rsidR="001616C4" w:rsidRPr="002F71D8" w:rsidRDefault="001616C4" w:rsidP="00B25C28">
            <w:pPr>
              <w:spacing w:before="20" w:after="20" w:line="300" w:lineRule="exact"/>
              <w:rPr>
                <w:b/>
                <w:bCs/>
                <w:lang w:bidi="ar-SY"/>
              </w:rPr>
            </w:pPr>
          </w:p>
        </w:tc>
        <w:tc>
          <w:tcPr>
            <w:tcW w:w="3052" w:type="dxa"/>
            <w:vAlign w:val="center"/>
          </w:tcPr>
          <w:p w14:paraId="47FEC85B" w14:textId="77777777" w:rsidR="001616C4" w:rsidRPr="002F71D8" w:rsidRDefault="001616C4" w:rsidP="00B25C28">
            <w:pPr>
              <w:spacing w:before="20" w:after="20" w:line="300" w:lineRule="exact"/>
              <w:rPr>
                <w:b/>
                <w:bCs/>
                <w:rtl/>
                <w:lang w:bidi="ar-EG"/>
              </w:rPr>
            </w:pPr>
            <w:r>
              <w:rPr>
                <w:b/>
                <w:bCs/>
                <w:lang w:bidi="ar-SY"/>
              </w:rPr>
              <w:t>18</w:t>
            </w:r>
            <w:r w:rsidRPr="002F71D8">
              <w:rPr>
                <w:rFonts w:hint="cs"/>
                <w:b/>
                <w:bCs/>
                <w:rtl/>
                <w:lang w:bidi="ar-EG"/>
              </w:rPr>
              <w:t xml:space="preserve"> </w:t>
            </w:r>
            <w:r>
              <w:rPr>
                <w:rFonts w:hint="cs"/>
                <w:b/>
                <w:bCs/>
                <w:rtl/>
                <w:lang w:bidi="ar-EG"/>
              </w:rPr>
              <w:t>مايو</w:t>
            </w:r>
            <w:r w:rsidRPr="002F71D8">
              <w:rPr>
                <w:rFonts w:hint="cs"/>
                <w:b/>
                <w:bCs/>
                <w:rtl/>
                <w:lang w:bidi="ar-EG"/>
              </w:rPr>
              <w:t xml:space="preserve"> </w:t>
            </w:r>
            <w:r w:rsidRPr="002F71D8">
              <w:rPr>
                <w:b/>
                <w:bCs/>
                <w:lang w:bidi="ar-SY"/>
              </w:rPr>
              <w:t>2020</w:t>
            </w:r>
          </w:p>
        </w:tc>
      </w:tr>
      <w:tr w:rsidR="001616C4" w:rsidRPr="00290728" w14:paraId="61ED2834" w14:textId="77777777" w:rsidTr="00B25C28">
        <w:trPr>
          <w:cantSplit/>
        </w:trPr>
        <w:tc>
          <w:tcPr>
            <w:tcW w:w="6620" w:type="dxa"/>
          </w:tcPr>
          <w:p w14:paraId="3DCC1BFE" w14:textId="77777777" w:rsidR="001616C4" w:rsidRPr="002F71D8" w:rsidRDefault="001616C4" w:rsidP="00B25C28">
            <w:pPr>
              <w:spacing w:before="20" w:after="20" w:line="300" w:lineRule="exact"/>
              <w:rPr>
                <w:b/>
                <w:bCs/>
                <w:lang w:bidi="ar-EG"/>
              </w:rPr>
            </w:pPr>
          </w:p>
        </w:tc>
        <w:tc>
          <w:tcPr>
            <w:tcW w:w="3052" w:type="dxa"/>
            <w:vAlign w:val="center"/>
          </w:tcPr>
          <w:p w14:paraId="5A5AA15C" w14:textId="77777777" w:rsidR="001616C4" w:rsidRPr="004C659E" w:rsidRDefault="001616C4" w:rsidP="00B25C28">
            <w:pPr>
              <w:spacing w:before="20" w:after="20" w:line="300" w:lineRule="exact"/>
              <w:rPr>
                <w:b/>
                <w:bCs/>
                <w:lang w:bidi="ar-SY"/>
              </w:rPr>
            </w:pPr>
            <w:r w:rsidRPr="004C659E">
              <w:rPr>
                <w:b/>
                <w:bCs/>
                <w:rtl/>
                <w:lang w:bidi="ar-EG"/>
              </w:rPr>
              <w:t xml:space="preserve">الأصل: </w:t>
            </w:r>
            <w:r w:rsidRPr="004C659E">
              <w:rPr>
                <w:rFonts w:hint="cs"/>
                <w:b/>
                <w:bCs/>
                <w:rtl/>
                <w:lang w:bidi="ar-EG"/>
              </w:rPr>
              <w:t>بالإنكليزية</w:t>
            </w:r>
          </w:p>
        </w:tc>
      </w:tr>
      <w:tr w:rsidR="001616C4" w:rsidRPr="00290728" w14:paraId="53F930E4" w14:textId="77777777" w:rsidTr="00B25C28">
        <w:trPr>
          <w:cantSplit/>
        </w:trPr>
        <w:tc>
          <w:tcPr>
            <w:tcW w:w="9672" w:type="dxa"/>
            <w:gridSpan w:val="2"/>
          </w:tcPr>
          <w:p w14:paraId="622C2E4D" w14:textId="77777777" w:rsidR="001616C4" w:rsidRPr="00290728" w:rsidRDefault="001616C4" w:rsidP="00B25C28">
            <w:pPr>
              <w:pStyle w:val="Source"/>
              <w:rPr>
                <w:rtl/>
                <w:lang w:bidi="ar-EG"/>
              </w:rPr>
            </w:pPr>
            <w:r>
              <w:rPr>
                <w:rFonts w:hint="cs"/>
                <w:rtl/>
                <w:lang w:bidi="ar-SY"/>
              </w:rPr>
              <w:t>تقرير من الأمين العام</w:t>
            </w:r>
          </w:p>
        </w:tc>
      </w:tr>
      <w:tr w:rsidR="001616C4" w:rsidRPr="00290728" w14:paraId="2B5FC783" w14:textId="77777777" w:rsidTr="00B25C28">
        <w:trPr>
          <w:cantSplit/>
        </w:trPr>
        <w:tc>
          <w:tcPr>
            <w:tcW w:w="9672" w:type="dxa"/>
            <w:gridSpan w:val="2"/>
          </w:tcPr>
          <w:p w14:paraId="19D56A68" w14:textId="77777777" w:rsidR="001616C4" w:rsidRPr="00383829" w:rsidRDefault="001616C4" w:rsidP="00B25C28">
            <w:pPr>
              <w:pStyle w:val="Title1"/>
              <w:rPr>
                <w:rtl/>
              </w:rPr>
            </w:pPr>
            <w:r w:rsidRPr="004C659E">
              <w:rPr>
                <w:rFonts w:hint="cs"/>
                <w:rtl/>
                <w:lang w:bidi="ar-EG"/>
              </w:rPr>
              <w:t>استعراض الحضور الإقليمي للاتحاد</w:t>
            </w:r>
          </w:p>
        </w:tc>
      </w:tr>
      <w:tr w:rsidR="001616C4" w:rsidRPr="00290728" w14:paraId="03982F2A" w14:textId="77777777" w:rsidTr="00B25C28">
        <w:trPr>
          <w:cantSplit/>
        </w:trPr>
        <w:tc>
          <w:tcPr>
            <w:tcW w:w="9672" w:type="dxa"/>
            <w:gridSpan w:val="2"/>
          </w:tcPr>
          <w:p w14:paraId="1475BB1E" w14:textId="77777777" w:rsidR="001616C4" w:rsidRPr="00383829" w:rsidRDefault="001616C4" w:rsidP="00B25C28">
            <w:pPr>
              <w:rPr>
                <w:rtl/>
              </w:rPr>
            </w:pPr>
          </w:p>
        </w:tc>
      </w:tr>
    </w:tbl>
    <w:p w14:paraId="005619C1" w14:textId="77777777" w:rsidR="001616C4" w:rsidRDefault="001616C4" w:rsidP="001616C4"/>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1616C4" w14:paraId="3043AA3D" w14:textId="77777777" w:rsidTr="00B25C28">
        <w:trPr>
          <w:jc w:val="center"/>
        </w:trPr>
        <w:tc>
          <w:tcPr>
            <w:tcW w:w="8080" w:type="dxa"/>
          </w:tcPr>
          <w:p w14:paraId="0226BD23" w14:textId="77777777" w:rsidR="001616C4" w:rsidRPr="00290728" w:rsidRDefault="001616C4" w:rsidP="00B25C28">
            <w:pPr>
              <w:rPr>
                <w:b/>
                <w:bCs/>
                <w:rtl/>
                <w:lang w:bidi="ar-SY"/>
              </w:rPr>
            </w:pPr>
            <w:r w:rsidRPr="00290728">
              <w:rPr>
                <w:rFonts w:hint="cs"/>
                <w:b/>
                <w:bCs/>
                <w:rtl/>
                <w:lang w:bidi="ar-SY"/>
              </w:rPr>
              <w:t>ملخص</w:t>
            </w:r>
          </w:p>
          <w:p w14:paraId="233287CA" w14:textId="77777777" w:rsidR="001616C4" w:rsidRPr="004C659E" w:rsidRDefault="001616C4" w:rsidP="00B25C28">
            <w:pPr>
              <w:rPr>
                <w:rtl/>
                <w:lang w:val="fr-FR" w:bidi="ar-SY"/>
              </w:rPr>
            </w:pPr>
            <w:r w:rsidRPr="004C659E">
              <w:rPr>
                <w:rFonts w:hint="cs"/>
                <w:rtl/>
                <w:lang w:bidi="ar"/>
              </w:rPr>
              <w:t>تقدم هذه الوثيقة تقريراً عن حالة تنفيذ القرار 25 (المراجَع في دبي، 2018) لمؤتمر المندوبين المفوضين، و</w:t>
            </w:r>
            <w:r>
              <w:rPr>
                <w:rFonts w:hint="cs"/>
                <w:rtl/>
              </w:rPr>
              <w:t>ال</w:t>
            </w:r>
            <w:r w:rsidRPr="004C659E">
              <w:rPr>
                <w:rFonts w:hint="cs"/>
                <w:rtl/>
                <w:lang w:bidi="ar"/>
              </w:rPr>
              <w:t>مقرر 616 (2019)</w:t>
            </w:r>
            <w:r>
              <w:rPr>
                <w:rFonts w:hint="cs"/>
                <w:rtl/>
                <w:lang w:bidi="ar"/>
              </w:rPr>
              <w:t xml:space="preserve"> للمجلس</w:t>
            </w:r>
            <w:r w:rsidRPr="004C659E">
              <w:rPr>
                <w:rFonts w:hint="cs"/>
                <w:rtl/>
                <w:lang w:bidi="ar"/>
              </w:rPr>
              <w:t>.</w:t>
            </w:r>
          </w:p>
          <w:p w14:paraId="64900857" w14:textId="77777777" w:rsidR="001616C4" w:rsidRPr="00290728" w:rsidRDefault="001616C4" w:rsidP="00B25C28">
            <w:pPr>
              <w:rPr>
                <w:b/>
                <w:bCs/>
                <w:rtl/>
                <w:lang w:bidi="ar-SY"/>
              </w:rPr>
            </w:pPr>
            <w:r w:rsidRPr="00290728">
              <w:rPr>
                <w:rFonts w:hint="cs"/>
                <w:b/>
                <w:bCs/>
                <w:rtl/>
                <w:lang w:bidi="ar-SY"/>
              </w:rPr>
              <w:t>الإجراء المطلوب</w:t>
            </w:r>
          </w:p>
          <w:p w14:paraId="049CE5DC" w14:textId="77777777" w:rsidR="001616C4" w:rsidRDefault="001616C4" w:rsidP="00B25C28">
            <w:pPr>
              <w:rPr>
                <w:rtl/>
                <w:lang w:bidi="ar-EG"/>
              </w:rPr>
            </w:pPr>
            <w:r w:rsidRPr="004C659E">
              <w:rPr>
                <w:rFonts w:hint="cs"/>
                <w:rtl/>
              </w:rPr>
              <w:t xml:space="preserve">يُدعى </w:t>
            </w:r>
            <w:r>
              <w:rPr>
                <w:rFonts w:hint="cs"/>
                <w:rtl/>
              </w:rPr>
              <w:t>المجلس</w:t>
            </w:r>
            <w:r w:rsidRPr="004C659E">
              <w:rPr>
                <w:rtl/>
              </w:rPr>
              <w:t xml:space="preserve"> </w:t>
            </w:r>
            <w:r w:rsidRPr="004C659E">
              <w:rPr>
                <w:rFonts w:hint="cs"/>
                <w:rtl/>
                <w:lang w:bidi="ar-EG"/>
              </w:rPr>
              <w:t xml:space="preserve">إلى </w:t>
            </w:r>
            <w:r w:rsidRPr="00894EF6">
              <w:rPr>
                <w:rFonts w:hint="cs"/>
                <w:b/>
                <w:bCs/>
                <w:rtl/>
                <w:lang w:bidi="ar-EG"/>
              </w:rPr>
              <w:t>الإحاطة علماً</w:t>
            </w:r>
            <w:r w:rsidRPr="004C659E">
              <w:rPr>
                <w:rtl/>
              </w:rPr>
              <w:t xml:space="preserve"> </w:t>
            </w:r>
            <w:r w:rsidRPr="004C659E">
              <w:rPr>
                <w:rFonts w:hint="eastAsia"/>
                <w:rtl/>
              </w:rPr>
              <w:t>بهذ</w:t>
            </w:r>
            <w:r w:rsidRPr="004C659E">
              <w:rPr>
                <w:rFonts w:hint="cs"/>
                <w:rtl/>
              </w:rPr>
              <w:t>ه الوثيقة</w:t>
            </w:r>
            <w:r w:rsidRPr="004C659E">
              <w:rPr>
                <w:rFonts w:hint="cs"/>
                <w:rtl/>
                <w:lang w:bidi="ar-SY"/>
              </w:rPr>
              <w:t>.</w:t>
            </w:r>
          </w:p>
          <w:p w14:paraId="122AE877" w14:textId="77777777" w:rsidR="001616C4" w:rsidRPr="0026373E" w:rsidRDefault="001616C4" w:rsidP="00B25C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1324D1E8" w14:textId="77777777" w:rsidR="001616C4" w:rsidRPr="00290728" w:rsidRDefault="001616C4" w:rsidP="00B25C28">
            <w:pPr>
              <w:rPr>
                <w:b/>
                <w:bCs/>
                <w:rtl/>
                <w:lang w:bidi="ar-SY"/>
              </w:rPr>
            </w:pPr>
            <w:r w:rsidRPr="00290728">
              <w:rPr>
                <w:rFonts w:hint="cs"/>
                <w:b/>
                <w:bCs/>
                <w:rtl/>
                <w:lang w:bidi="ar-SY"/>
              </w:rPr>
              <w:t>المراجع</w:t>
            </w:r>
          </w:p>
          <w:p w14:paraId="06957F5C" w14:textId="777DCD20" w:rsidR="001616C4" w:rsidRPr="00290728" w:rsidRDefault="00CF1263" w:rsidP="00B25C28">
            <w:pPr>
              <w:spacing w:after="120"/>
              <w:jc w:val="left"/>
              <w:rPr>
                <w:i/>
                <w:iCs/>
                <w:rtl/>
                <w:lang w:bidi="ar-SY"/>
              </w:rPr>
            </w:pPr>
            <w:hyperlink r:id="rId12" w:history="1">
              <w:r w:rsidR="001616C4" w:rsidRPr="004C659E">
                <w:rPr>
                  <w:rStyle w:val="Hyperlink"/>
                  <w:rFonts w:hint="cs"/>
                  <w:i/>
                  <w:iCs/>
                  <w:rtl/>
                  <w:lang w:bidi="ar-EG"/>
                </w:rPr>
                <w:t xml:space="preserve">القرار </w:t>
              </w:r>
              <w:r w:rsidR="001616C4" w:rsidRPr="004C659E">
                <w:rPr>
                  <w:rStyle w:val="Hyperlink"/>
                  <w:i/>
                  <w:iCs/>
                  <w:lang w:bidi="ar-SY"/>
                </w:rPr>
                <w:t>25</w:t>
              </w:r>
              <w:r w:rsidR="001616C4" w:rsidRPr="004C659E">
                <w:rPr>
                  <w:rStyle w:val="Hyperlink"/>
                  <w:rFonts w:hint="cs"/>
                  <w:i/>
                  <w:iCs/>
                  <w:rtl/>
                  <w:lang w:bidi="ar-EG"/>
                </w:rPr>
                <w:t xml:space="preserve"> (المراجَع في دبي، </w:t>
              </w:r>
              <w:r w:rsidR="001616C4" w:rsidRPr="004C659E">
                <w:rPr>
                  <w:rStyle w:val="Hyperlink"/>
                  <w:i/>
                  <w:iCs/>
                  <w:lang w:bidi="ar-SY"/>
                </w:rPr>
                <w:t>2018</w:t>
              </w:r>
              <w:r w:rsidR="001616C4" w:rsidRPr="004C659E">
                <w:rPr>
                  <w:rStyle w:val="Hyperlink"/>
                  <w:rFonts w:hint="cs"/>
                  <w:i/>
                  <w:iCs/>
                  <w:rtl/>
                  <w:lang w:bidi="ar-EG"/>
                </w:rPr>
                <w:t>)</w:t>
              </w:r>
            </w:hyperlink>
            <w:r w:rsidR="001616C4" w:rsidRPr="004C659E">
              <w:rPr>
                <w:rFonts w:hint="cs"/>
                <w:i/>
                <w:iCs/>
                <w:rtl/>
                <w:lang w:bidi="ar-EG"/>
              </w:rPr>
              <w:t>،</w:t>
            </w:r>
            <w:r w:rsidR="001616C4" w:rsidRPr="004C659E">
              <w:rPr>
                <w:rFonts w:hint="cs"/>
                <w:i/>
                <w:iCs/>
                <w:rtl/>
              </w:rPr>
              <w:t xml:space="preserve"> </w:t>
            </w:r>
            <w:hyperlink r:id="rId13" w:history="1">
              <w:r w:rsidR="001616C4" w:rsidRPr="004C659E">
                <w:rPr>
                  <w:rStyle w:val="Hyperlink"/>
                  <w:rFonts w:hint="cs"/>
                  <w:i/>
                  <w:iCs/>
                  <w:rtl/>
                </w:rPr>
                <w:t xml:space="preserve">المقـرر </w:t>
              </w:r>
              <w:r w:rsidR="001616C4" w:rsidRPr="004C659E">
                <w:rPr>
                  <w:rStyle w:val="Hyperlink"/>
                  <w:i/>
                  <w:iCs/>
                  <w:lang w:val="fr-CH" w:bidi="ar-SY"/>
                </w:rPr>
                <w:t>616</w:t>
              </w:r>
              <w:r w:rsidR="001616C4" w:rsidRPr="004C659E">
                <w:rPr>
                  <w:rStyle w:val="Hyperlink"/>
                  <w:rFonts w:hint="cs"/>
                  <w:i/>
                  <w:iCs/>
                  <w:rtl/>
                  <w:lang w:bidi="ar-EG"/>
                </w:rPr>
                <w:t xml:space="preserve"> </w:t>
              </w:r>
              <w:r w:rsidR="001616C4" w:rsidRPr="004C659E">
                <w:rPr>
                  <w:rStyle w:val="Hyperlink"/>
                  <w:i/>
                  <w:iCs/>
                  <w:lang w:val="fr-FR" w:bidi="ar-SY"/>
                </w:rPr>
                <w:t>(2019)</w:t>
              </w:r>
            </w:hyperlink>
          </w:p>
        </w:tc>
      </w:tr>
    </w:tbl>
    <w:p w14:paraId="2EE6BA62" w14:textId="23223325" w:rsidR="001616C4" w:rsidRPr="004C659E" w:rsidRDefault="001616C4" w:rsidP="001616C4">
      <w:pPr>
        <w:pStyle w:val="Heading1"/>
        <w:rPr>
          <w:rtl/>
        </w:rPr>
      </w:pPr>
      <w:r w:rsidRPr="004C659E">
        <w:t>1</w:t>
      </w:r>
      <w:r w:rsidRPr="004C659E">
        <w:rPr>
          <w:rtl/>
          <w:lang w:bidi="ar-EG"/>
        </w:rPr>
        <w:tab/>
      </w:r>
      <w:r w:rsidRPr="004C659E">
        <w:rPr>
          <w:rFonts w:hint="cs"/>
          <w:rtl/>
        </w:rPr>
        <w:t>خلفية</w:t>
      </w:r>
    </w:p>
    <w:p w14:paraId="6488FB5F" w14:textId="0A863FEE" w:rsidR="001616C4" w:rsidRPr="004C659E" w:rsidRDefault="001616C4" w:rsidP="001616C4">
      <w:pPr>
        <w:rPr>
          <w:rtl/>
          <w:lang w:bidi="ar"/>
        </w:rPr>
      </w:pPr>
      <w:r w:rsidRPr="004C659E">
        <w:rPr>
          <w:rFonts w:hint="cs"/>
          <w:rtl/>
          <w:lang w:bidi="ar"/>
        </w:rPr>
        <w:t xml:space="preserve">خضع </w:t>
      </w:r>
      <w:r w:rsidRPr="004C659E">
        <w:rPr>
          <w:rFonts w:hint="cs"/>
          <w:rtl/>
          <w:lang w:bidi="ar-EG"/>
        </w:rPr>
        <w:t>الحضور</w:t>
      </w:r>
      <w:r w:rsidRPr="004C659E">
        <w:rPr>
          <w:rFonts w:hint="cs"/>
          <w:rtl/>
          <w:lang w:bidi="ar"/>
        </w:rPr>
        <w:t xml:space="preserve"> الإقليمي للاتحاد لعدة استعراضات وتحسينات وتغييرات منذ أوائل التسعينيات. </w:t>
      </w:r>
      <w:r>
        <w:rPr>
          <w:rFonts w:hint="cs"/>
          <w:rtl/>
          <w:lang w:bidi="ar"/>
        </w:rPr>
        <w:t>وكان</w:t>
      </w:r>
      <w:r w:rsidRPr="004C659E">
        <w:rPr>
          <w:rFonts w:hint="cs"/>
          <w:rtl/>
          <w:lang w:bidi="ar"/>
        </w:rPr>
        <w:t xml:space="preserve"> أول استعراض </w:t>
      </w:r>
      <w:r w:rsidRPr="004C659E">
        <w:rPr>
          <w:rFonts w:hint="cs"/>
          <w:rtl/>
          <w:lang w:bidi="ar-EG"/>
        </w:rPr>
        <w:t>دقيق</w:t>
      </w:r>
      <w:r w:rsidRPr="004C659E">
        <w:rPr>
          <w:rFonts w:hint="cs"/>
          <w:rtl/>
          <w:lang w:bidi="ar"/>
        </w:rPr>
        <w:t xml:space="preserve"> للحضور الإقليمي للاتحاد</w:t>
      </w:r>
      <w:r>
        <w:rPr>
          <w:rFonts w:hint="cs"/>
          <w:rtl/>
          <w:lang w:bidi="ar"/>
        </w:rPr>
        <w:t xml:space="preserve"> بناءً على تكليف من </w:t>
      </w:r>
      <w:r w:rsidRPr="004C659E">
        <w:rPr>
          <w:rFonts w:hint="cs"/>
          <w:rtl/>
          <w:lang w:bidi="ar"/>
        </w:rPr>
        <w:t>مؤتمر المندوبين المفوضين (</w:t>
      </w:r>
      <w:r>
        <w:rPr>
          <w:rFonts w:hint="cs"/>
          <w:rtl/>
          <w:lang w:bidi="ar"/>
        </w:rPr>
        <w:t>نيس، 1989</w:t>
      </w:r>
      <w:r w:rsidRPr="004C659E">
        <w:rPr>
          <w:rFonts w:hint="cs"/>
          <w:rtl/>
          <w:lang w:bidi="ar"/>
        </w:rPr>
        <w:t xml:space="preserve">)، </w:t>
      </w:r>
      <w:r>
        <w:rPr>
          <w:rFonts w:hint="cs"/>
          <w:rtl/>
          <w:lang w:bidi="ar"/>
        </w:rPr>
        <w:t xml:space="preserve">الذي </w:t>
      </w:r>
      <w:r w:rsidRPr="004C659E">
        <w:rPr>
          <w:rFonts w:hint="cs"/>
          <w:rtl/>
          <w:lang w:bidi="ar"/>
        </w:rPr>
        <w:t>كلف الأمين العام بإجراء دراسة الهدف منها تعزيز الحضور الإقليمي للاتحاد وزيادة كفاءته.</w:t>
      </w:r>
    </w:p>
    <w:p w14:paraId="76204712" w14:textId="77777777" w:rsidR="001616C4" w:rsidRPr="004C659E" w:rsidRDefault="001616C4" w:rsidP="001616C4">
      <w:pPr>
        <w:rPr>
          <w:rtl/>
          <w:lang w:val="fr-FR"/>
        </w:rPr>
      </w:pPr>
      <w:r w:rsidRPr="004C659E">
        <w:rPr>
          <w:rFonts w:hint="cs"/>
          <w:rtl/>
          <w:lang w:bidi="ar"/>
        </w:rPr>
        <w:t xml:space="preserve">وفي مؤتمر المندوبين المفوضين لعام 2018 الذي عُقد في دبي، نُوقش موضوع الحضور الإقليمي على نحو مستفيض، واعتمد الأعضاء </w:t>
      </w:r>
      <w:r w:rsidRPr="004C659E">
        <w:rPr>
          <w:rtl/>
        </w:rPr>
        <w:t>القـرار المراجـع 25</w:t>
      </w:r>
      <w:r w:rsidRPr="004C659E">
        <w:rPr>
          <w:rFonts w:hint="cs"/>
          <w:rtl/>
          <w:lang w:val="fr-FR"/>
        </w:rPr>
        <w:t xml:space="preserve"> </w:t>
      </w:r>
      <w:r w:rsidRPr="004C659E">
        <w:rPr>
          <w:rFonts w:hint="cs"/>
          <w:rtl/>
        </w:rPr>
        <w:t>("تقوية</w:t>
      </w:r>
      <w:r w:rsidRPr="004C659E">
        <w:rPr>
          <w:rtl/>
        </w:rPr>
        <w:t xml:space="preserve"> </w:t>
      </w:r>
      <w:r w:rsidRPr="004C659E">
        <w:rPr>
          <w:rFonts w:hint="cs"/>
          <w:rtl/>
        </w:rPr>
        <w:t>الحضور</w:t>
      </w:r>
      <w:r w:rsidRPr="004C659E">
        <w:rPr>
          <w:rtl/>
        </w:rPr>
        <w:t xml:space="preserve"> </w:t>
      </w:r>
      <w:r w:rsidRPr="004C659E">
        <w:rPr>
          <w:rFonts w:hint="cs"/>
          <w:rtl/>
        </w:rPr>
        <w:t>الإقليمي").</w:t>
      </w:r>
    </w:p>
    <w:p w14:paraId="4F537C64" w14:textId="77777777" w:rsidR="001616C4" w:rsidRPr="004C659E" w:rsidRDefault="001616C4" w:rsidP="001616C4">
      <w:pPr>
        <w:rPr>
          <w:rtl/>
          <w:lang w:bidi="ar-EG"/>
        </w:rPr>
      </w:pPr>
      <w:r w:rsidRPr="004C659E">
        <w:rPr>
          <w:rFonts w:hint="cs"/>
          <w:rtl/>
          <w:lang w:bidi="ar"/>
        </w:rPr>
        <w:t xml:space="preserve">ونصّ القرار 25 (المراجَع في دبي، 2018) على </w:t>
      </w:r>
      <w:r w:rsidRPr="004C659E">
        <w:rPr>
          <w:rtl/>
          <w:lang w:bidi="ar-EG"/>
        </w:rPr>
        <w:t>تقوية وظائف المكاتب الإقليمية</w:t>
      </w:r>
      <w:r w:rsidRPr="004C659E">
        <w:rPr>
          <w:rFonts w:hint="cs"/>
          <w:rtl/>
          <w:lang w:bidi="ar-EG"/>
        </w:rPr>
        <w:t>، و</w:t>
      </w:r>
      <w:r w:rsidRPr="004C659E">
        <w:rPr>
          <w:rtl/>
        </w:rPr>
        <w:t>كلّف</w:t>
      </w:r>
      <w:r>
        <w:rPr>
          <w:rFonts w:hint="cs"/>
          <w:rtl/>
        </w:rPr>
        <w:t xml:space="preserve"> كذلك</w:t>
      </w:r>
      <w:r w:rsidRPr="004C659E">
        <w:rPr>
          <w:rtl/>
        </w:rPr>
        <w:t xml:space="preserve"> الأمين العام بإجراء استعراض شامل للحضور الإقليمي للاتحاد </w:t>
      </w:r>
      <w:r w:rsidRPr="004C659E">
        <w:rPr>
          <w:rtl/>
          <w:lang w:bidi="ar-EG"/>
        </w:rPr>
        <w:t xml:space="preserve">وتقديم تقرير إلى المجلس في دورته لعام </w:t>
      </w:r>
      <w:r w:rsidRPr="004C659E">
        <w:rPr>
          <w:lang w:bidi="ar"/>
        </w:rPr>
        <w:t>2020</w:t>
      </w:r>
      <w:r w:rsidRPr="004C659E">
        <w:rPr>
          <w:rtl/>
          <w:lang w:bidi="ar-EG"/>
        </w:rPr>
        <w:t xml:space="preserve"> يشمل اقتراح تدابير مناسبة لضمان استمرار فعالية وكفاءة الحضور الإقليمي للاتحاد</w:t>
      </w:r>
      <w:r w:rsidRPr="004C659E">
        <w:rPr>
          <w:rFonts w:hint="cs"/>
          <w:rtl/>
          <w:lang w:bidi="ar-EG"/>
        </w:rPr>
        <w:t>.</w:t>
      </w:r>
    </w:p>
    <w:p w14:paraId="50D7F619" w14:textId="5B4F3D0A" w:rsidR="001616C4" w:rsidRPr="004C659E" w:rsidRDefault="001616C4" w:rsidP="001616C4">
      <w:pPr>
        <w:rPr>
          <w:lang w:val="fr-FR"/>
        </w:rPr>
      </w:pPr>
      <w:r w:rsidRPr="004C659E">
        <w:rPr>
          <w:rFonts w:hint="cs"/>
          <w:rtl/>
          <w:lang w:bidi="ar"/>
        </w:rPr>
        <w:t xml:space="preserve">واعتمد المجلس في دورته لعام 2019 المقرر 616 الذي كلّف الأمين العام بتعيين </w:t>
      </w:r>
      <w:r w:rsidRPr="004C659E">
        <w:rPr>
          <w:rtl/>
        </w:rPr>
        <w:t>مكتب استشاري خارجي مستقل للإدارة </w:t>
      </w:r>
      <w:r w:rsidRPr="004C659E">
        <w:rPr>
          <w:rFonts w:hint="cs"/>
          <w:rtl/>
          <w:lang w:bidi="ar-EG"/>
        </w:rPr>
        <w:t xml:space="preserve">وتكليفه بإجراء </w:t>
      </w:r>
      <w:r w:rsidRPr="004C659E">
        <w:rPr>
          <w:rtl/>
        </w:rPr>
        <w:t xml:space="preserve">تقييم واستعراض </w:t>
      </w:r>
      <w:proofErr w:type="spellStart"/>
      <w:r w:rsidRPr="004C659E">
        <w:rPr>
          <w:rtl/>
        </w:rPr>
        <w:t>برنامجيين</w:t>
      </w:r>
      <w:proofErr w:type="spellEnd"/>
      <w:r w:rsidRPr="004C659E">
        <w:rPr>
          <w:rtl/>
        </w:rPr>
        <w:t xml:space="preserve"> واستراتيجيين وماليين شاملين ل</w:t>
      </w:r>
      <w:r w:rsidRPr="004C659E">
        <w:rPr>
          <w:rFonts w:hint="cs"/>
          <w:rtl/>
        </w:rPr>
        <w:t>ل</w:t>
      </w:r>
      <w:r w:rsidRPr="004C659E">
        <w:rPr>
          <w:rtl/>
        </w:rPr>
        <w:t>حضور الإقليمي للاتحاد</w:t>
      </w:r>
      <w:r w:rsidRPr="004C659E">
        <w:rPr>
          <w:rFonts w:hint="cs"/>
          <w:rtl/>
        </w:rPr>
        <w:t>.</w:t>
      </w:r>
    </w:p>
    <w:p w14:paraId="0808FAE5" w14:textId="77777777" w:rsidR="001616C4" w:rsidRPr="004C659E" w:rsidRDefault="001616C4" w:rsidP="001616C4">
      <w:pPr>
        <w:pStyle w:val="Heading1"/>
        <w:rPr>
          <w:rtl/>
        </w:rPr>
      </w:pPr>
      <w:r w:rsidRPr="00CF1263">
        <w:rPr>
          <w:lang w:val="fr-FR"/>
        </w:rPr>
        <w:lastRenderedPageBreak/>
        <w:t>2</w:t>
      </w:r>
      <w:r w:rsidRPr="004C659E">
        <w:rPr>
          <w:rtl/>
        </w:rPr>
        <w:tab/>
      </w:r>
      <w:r w:rsidRPr="004C659E">
        <w:rPr>
          <w:rFonts w:hint="cs"/>
          <w:rtl/>
        </w:rPr>
        <w:t>حالة التنفيذ</w:t>
      </w:r>
    </w:p>
    <w:p w14:paraId="5B8DE68D" w14:textId="77777777" w:rsidR="001616C4" w:rsidRPr="004C659E" w:rsidRDefault="001616C4" w:rsidP="001616C4">
      <w:pPr>
        <w:rPr>
          <w:rtl/>
          <w:lang w:bidi="ar"/>
        </w:rPr>
      </w:pPr>
      <w:r w:rsidRPr="004C659E">
        <w:rPr>
          <w:rFonts w:hint="cs"/>
          <w:rtl/>
          <w:lang w:bidi="ar"/>
        </w:rPr>
        <w:t xml:space="preserve">بعد عملية تقديم عطاءات تنافسية، عُيّنت مؤسسة </w:t>
      </w:r>
      <w:r w:rsidRPr="004C659E">
        <w:rPr>
          <w:rFonts w:hint="cs"/>
          <w:lang w:val="fr-FR"/>
        </w:rPr>
        <w:t>PricewaterhouseCoopers</w:t>
      </w:r>
      <w:r w:rsidRPr="004C659E">
        <w:rPr>
          <w:rFonts w:hint="cs"/>
          <w:rtl/>
          <w:lang w:bidi="ar"/>
        </w:rPr>
        <w:t xml:space="preserve"> </w:t>
      </w:r>
      <w:r w:rsidRPr="004C659E">
        <w:rPr>
          <w:rFonts w:hint="cs"/>
          <w:lang w:val="fr-FR"/>
        </w:rPr>
        <w:t>("PwC")</w:t>
      </w:r>
      <w:r w:rsidRPr="004C659E">
        <w:rPr>
          <w:rFonts w:hint="cs"/>
          <w:rtl/>
          <w:lang w:bidi="ar"/>
        </w:rPr>
        <w:t xml:space="preserve"> لإجراء هذا الاستعراض. وأُطلق المشروع في 4 نوفمبر 2019 تحت مسؤولية مديرة مكتب تنمية الاتصالات، ويجري تنفيذه بالتعاون الوثيق مع المكاتب الإقليمية وغيرها من دوائر/مكاتب الاتحاد ذات الصلة.</w:t>
      </w:r>
    </w:p>
    <w:p w14:paraId="6DD29460" w14:textId="77777777" w:rsidR="001616C4" w:rsidRPr="004C659E" w:rsidRDefault="001616C4" w:rsidP="001616C4">
      <w:pPr>
        <w:rPr>
          <w:rtl/>
          <w:lang w:val="fr-FR"/>
        </w:rPr>
      </w:pPr>
      <w:r w:rsidRPr="004C659E">
        <w:rPr>
          <w:rFonts w:hint="cs"/>
          <w:rtl/>
          <w:lang w:bidi="ar"/>
        </w:rPr>
        <w:t>ويمكن تلخيص النواتج الرئيسية للمشروع على النحو التالي</w:t>
      </w:r>
      <w:r w:rsidRPr="004C659E">
        <w:rPr>
          <w:position w:val="6"/>
          <w:sz w:val="18"/>
          <w:szCs w:val="18"/>
          <w:rtl/>
        </w:rPr>
        <w:footnoteReference w:id="1"/>
      </w:r>
      <w:r w:rsidRPr="004C659E">
        <w:rPr>
          <w:rFonts w:hint="cs"/>
          <w:rtl/>
        </w:rPr>
        <w:t>:</w:t>
      </w:r>
    </w:p>
    <w:p w14:paraId="429308F5" w14:textId="77777777" w:rsidR="001616C4" w:rsidRPr="004C659E" w:rsidRDefault="001616C4" w:rsidP="001616C4">
      <w:pPr>
        <w:pStyle w:val="enumlev1"/>
        <w:rPr>
          <w:rtl/>
        </w:rPr>
      </w:pPr>
      <w:r w:rsidRPr="004C659E">
        <w:rPr>
          <w:rFonts w:hint="cs"/>
          <w:rtl/>
        </w:rPr>
        <w:t>-</w:t>
      </w:r>
      <w:r w:rsidRPr="004C659E">
        <w:rPr>
          <w:rtl/>
        </w:rPr>
        <w:tab/>
      </w:r>
      <w:r w:rsidRPr="004C659E">
        <w:rPr>
          <w:rFonts w:hint="cs"/>
          <w:rtl/>
        </w:rPr>
        <w:t>بيان لحالة الهيكل الحالي للحضور الإقليمي، بما</w:t>
      </w:r>
      <w:r w:rsidRPr="004C659E">
        <w:rPr>
          <w:rFonts w:hint="eastAsia"/>
          <w:rtl/>
        </w:rPr>
        <w:t> </w:t>
      </w:r>
      <w:r w:rsidRPr="004C659E">
        <w:rPr>
          <w:rFonts w:hint="cs"/>
          <w:rtl/>
        </w:rPr>
        <w:t>في</w:t>
      </w:r>
      <w:r w:rsidRPr="004C659E">
        <w:rPr>
          <w:rFonts w:hint="eastAsia"/>
          <w:rtl/>
        </w:rPr>
        <w:t> </w:t>
      </w:r>
      <w:r w:rsidRPr="004C659E">
        <w:rPr>
          <w:rFonts w:hint="cs"/>
          <w:rtl/>
        </w:rPr>
        <w:t>ذلك الإجراءات ومؤشرات الأداء؛</w:t>
      </w:r>
    </w:p>
    <w:p w14:paraId="1DCB7001" w14:textId="77777777" w:rsidR="001616C4" w:rsidRPr="004C659E" w:rsidRDefault="001616C4" w:rsidP="001616C4">
      <w:pPr>
        <w:pStyle w:val="enumlev1"/>
        <w:rPr>
          <w:rtl/>
        </w:rPr>
      </w:pPr>
      <w:r w:rsidRPr="004C659E">
        <w:rPr>
          <w:rFonts w:hint="cs"/>
          <w:rtl/>
        </w:rPr>
        <w:t>-</w:t>
      </w:r>
      <w:r w:rsidRPr="004C659E">
        <w:rPr>
          <w:rtl/>
        </w:rPr>
        <w:tab/>
      </w:r>
      <w:r w:rsidRPr="004C659E">
        <w:rPr>
          <w:rFonts w:hint="cs"/>
          <w:rtl/>
        </w:rPr>
        <w:t>تحديد مَعلمات الكفاءة/الأداء؛</w:t>
      </w:r>
    </w:p>
    <w:p w14:paraId="20949767" w14:textId="4C7D2372" w:rsidR="001616C4" w:rsidRPr="004C659E" w:rsidRDefault="001616C4" w:rsidP="001616C4">
      <w:pPr>
        <w:pStyle w:val="enumlev1"/>
        <w:rPr>
          <w:rtl/>
        </w:rPr>
      </w:pPr>
      <w:r w:rsidRPr="004C659E">
        <w:rPr>
          <w:rFonts w:hint="cs"/>
          <w:rtl/>
        </w:rPr>
        <w:t>-</w:t>
      </w:r>
      <w:r w:rsidRPr="004C659E">
        <w:rPr>
          <w:rtl/>
        </w:rPr>
        <w:tab/>
      </w:r>
      <w:r w:rsidRPr="004C659E">
        <w:rPr>
          <w:rFonts w:hint="cs"/>
          <w:rtl/>
        </w:rPr>
        <w:t xml:space="preserve">بيان </w:t>
      </w:r>
      <w:r>
        <w:rPr>
          <w:rFonts w:hint="cs"/>
          <w:rtl/>
        </w:rPr>
        <w:t>ل</w:t>
      </w:r>
      <w:r w:rsidRPr="004C659E">
        <w:rPr>
          <w:rFonts w:hint="cs"/>
          <w:rtl/>
        </w:rPr>
        <w:t xml:space="preserve">حالة </w:t>
      </w:r>
      <w:r>
        <w:rPr>
          <w:rFonts w:hint="cs"/>
          <w:rtl/>
        </w:rPr>
        <w:t>الهيكل</w:t>
      </w:r>
      <w:r w:rsidRPr="004C659E">
        <w:rPr>
          <w:rFonts w:hint="cs"/>
          <w:rtl/>
        </w:rPr>
        <w:t xml:space="preserve"> </w:t>
      </w:r>
      <w:r>
        <w:rPr>
          <w:rFonts w:hint="cs"/>
          <w:rtl/>
        </w:rPr>
        <w:t>المنشود</w:t>
      </w:r>
      <w:r w:rsidRPr="004C659E">
        <w:rPr>
          <w:rFonts w:hint="cs"/>
          <w:rtl/>
        </w:rPr>
        <w:t xml:space="preserve"> للحضور الإقليمي، ووضع الأهداف الإدارية التي تخدم التوجّه الاستراتيجي للمنظمة وتحديد مهارات الموظفين اللازمة لتنفيذها؛</w:t>
      </w:r>
    </w:p>
    <w:p w14:paraId="7F81175E" w14:textId="754B712A" w:rsidR="001616C4" w:rsidRPr="004C659E" w:rsidRDefault="001616C4" w:rsidP="001616C4">
      <w:pPr>
        <w:pStyle w:val="enumlev1"/>
        <w:rPr>
          <w:rtl/>
        </w:rPr>
      </w:pPr>
      <w:r w:rsidRPr="004C659E">
        <w:rPr>
          <w:rFonts w:hint="cs"/>
          <w:rtl/>
        </w:rPr>
        <w:t>-</w:t>
      </w:r>
      <w:r w:rsidRPr="004C659E">
        <w:rPr>
          <w:rtl/>
        </w:rPr>
        <w:tab/>
      </w:r>
      <w:r w:rsidRPr="004C659E">
        <w:rPr>
          <w:rFonts w:hint="cs"/>
          <w:rtl/>
        </w:rPr>
        <w:t>وضع خطة عمل للتغيير، تتناول جميع التوصيات ذات</w:t>
      </w:r>
      <w:r w:rsidRPr="004C659E">
        <w:rPr>
          <w:rFonts w:hint="eastAsia"/>
          <w:rtl/>
        </w:rPr>
        <w:t> </w:t>
      </w:r>
      <w:r w:rsidRPr="004C659E">
        <w:rPr>
          <w:rFonts w:hint="cs"/>
          <w:rtl/>
        </w:rPr>
        <w:t>الصلة المقدمة من المراجع</w:t>
      </w:r>
      <w:r w:rsidRPr="004C659E">
        <w:rPr>
          <w:rFonts w:hint="cs"/>
          <w:rtl/>
          <w:lang w:bidi="ar-EG"/>
        </w:rPr>
        <w:t xml:space="preserve"> الخارجي </w:t>
      </w:r>
      <w:r w:rsidRPr="004C659E">
        <w:rPr>
          <w:rFonts w:hint="cs"/>
          <w:rtl/>
        </w:rPr>
        <w:t>والمراجع الداخلي واللجنة الاستشارية المستقلة للإدارة.</w:t>
      </w:r>
    </w:p>
    <w:p w14:paraId="166A5FE5" w14:textId="00837B2E" w:rsidR="001616C4" w:rsidRPr="00A05E27" w:rsidRDefault="001616C4" w:rsidP="001616C4">
      <w:pPr>
        <w:rPr>
          <w:spacing w:val="2"/>
          <w:rtl/>
          <w:lang w:val="fr-FR" w:bidi="ar-EG"/>
        </w:rPr>
      </w:pPr>
      <w:r w:rsidRPr="00A05E27">
        <w:rPr>
          <w:rFonts w:hint="cs"/>
          <w:spacing w:val="2"/>
          <w:rtl/>
          <w:lang w:bidi="ar-EG"/>
        </w:rPr>
        <w:t>و</w:t>
      </w:r>
      <w:r w:rsidRPr="00A05E27">
        <w:rPr>
          <w:rFonts w:hint="cs"/>
          <w:spacing w:val="2"/>
          <w:rtl/>
          <w:lang w:bidi="ar"/>
        </w:rPr>
        <w:t xml:space="preserve">في إطار المشروع، عُقدت جلسة معلومات على هامش اجتماع فريق العمل التابع المجلس مع إتاحة المشاركة عن بُعد </w:t>
      </w:r>
      <w:r w:rsidR="00A05E27">
        <w:rPr>
          <w:spacing w:val="2"/>
          <w:rtl/>
          <w:lang w:bidi="ar"/>
        </w:rPr>
        <w:br/>
      </w:r>
      <w:r w:rsidRPr="00A05E27">
        <w:rPr>
          <w:rFonts w:hint="cs"/>
          <w:spacing w:val="2"/>
          <w:rtl/>
          <w:lang w:bidi="ar"/>
        </w:rPr>
        <w:t>في</w:t>
      </w:r>
      <w:r w:rsidR="00A05E27">
        <w:rPr>
          <w:rFonts w:hint="eastAsia"/>
          <w:spacing w:val="2"/>
          <w:rtl/>
          <w:lang w:bidi="ar"/>
        </w:rPr>
        <w:t> </w:t>
      </w:r>
      <w:r w:rsidRPr="00A05E27">
        <w:rPr>
          <w:rFonts w:hint="cs"/>
          <w:spacing w:val="2"/>
          <w:rtl/>
          <w:lang w:bidi="ar"/>
        </w:rPr>
        <w:t xml:space="preserve">3 فبراير 2020، قدمت فيها مؤسسة </w:t>
      </w:r>
      <w:r w:rsidRPr="00A05E27">
        <w:rPr>
          <w:rFonts w:hint="cs"/>
          <w:spacing w:val="2"/>
          <w:lang w:val="fr-FR"/>
        </w:rPr>
        <w:t>PricewaterhouseCoopers</w:t>
      </w:r>
      <w:r w:rsidRPr="00A05E27">
        <w:rPr>
          <w:rFonts w:hint="cs"/>
          <w:spacing w:val="2"/>
          <w:rtl/>
          <w:lang w:bidi="ar"/>
        </w:rPr>
        <w:t xml:space="preserve"> لمحة عامة عن عملها.</w:t>
      </w:r>
      <w:r w:rsidRPr="00A05E27">
        <w:rPr>
          <w:rFonts w:hint="cs"/>
          <w:spacing w:val="2"/>
          <w:rtl/>
          <w:lang w:val="fr-FR" w:bidi="ar-EG"/>
        </w:rPr>
        <w:t xml:space="preserve"> </w:t>
      </w:r>
      <w:r w:rsidRPr="00A05E27">
        <w:rPr>
          <w:rFonts w:hint="cs"/>
          <w:spacing w:val="2"/>
          <w:rtl/>
          <w:lang w:bidi="ar-EG"/>
        </w:rPr>
        <w:t xml:space="preserve">ويتاح </w:t>
      </w:r>
      <w:r w:rsidRPr="00A05E27">
        <w:rPr>
          <w:rFonts w:hint="cs"/>
          <w:spacing w:val="2"/>
          <w:rtl/>
          <w:lang w:bidi="ar"/>
        </w:rPr>
        <w:t>أرشيف البث الشبكي</w:t>
      </w:r>
      <w:r w:rsidR="007C5F05">
        <w:rPr>
          <w:rFonts w:hint="eastAsia"/>
          <w:spacing w:val="2"/>
          <w:rtl/>
          <w:lang w:bidi="ar"/>
        </w:rPr>
        <w:t> </w:t>
      </w:r>
      <w:hyperlink r:id="rId14" w:history="1">
        <w:r w:rsidRPr="00A05E27">
          <w:rPr>
            <w:rStyle w:val="Hyperlink"/>
            <w:rFonts w:hint="cs"/>
            <w:spacing w:val="2"/>
            <w:rtl/>
            <w:lang w:bidi="ar"/>
          </w:rPr>
          <w:t>هنا</w:t>
        </w:r>
      </w:hyperlink>
      <w:r w:rsidRPr="00A05E27">
        <w:rPr>
          <w:rFonts w:hint="cs"/>
          <w:spacing w:val="2"/>
          <w:rtl/>
          <w:lang w:bidi="ar"/>
        </w:rPr>
        <w:t xml:space="preserve">. وفي 26 مارس 2020، قدم الخبير الاستشاري خلال حوار إلكتروني تفاعلي للفريق الاستشاري لتنمية الاتصالات مع الأعضاء ملخصاً لتقييمه الأولي لدور الحضور الإقليمي في تنفيذ برامج قطاع تنمية الاتصالات وأنشطته، والتدابير الممكنة لتعزيز أداء المكاتب الميدانية وأثرها. ويتاح تقرير هذا الحوار الإلكتروني </w:t>
      </w:r>
      <w:hyperlink r:id="rId15" w:history="1">
        <w:r w:rsidRPr="00A05E27">
          <w:rPr>
            <w:rStyle w:val="Hyperlink"/>
            <w:rFonts w:hint="cs"/>
            <w:spacing w:val="2"/>
            <w:rtl/>
            <w:lang w:bidi="ar"/>
          </w:rPr>
          <w:t>هنا</w:t>
        </w:r>
      </w:hyperlink>
      <w:r w:rsidRPr="00A05E27">
        <w:rPr>
          <w:rFonts w:hint="cs"/>
          <w:spacing w:val="2"/>
          <w:rtl/>
          <w:lang w:bidi="ar"/>
        </w:rPr>
        <w:t>.</w:t>
      </w:r>
    </w:p>
    <w:p w14:paraId="09ED99A7" w14:textId="341F16BD" w:rsidR="001616C4" w:rsidRPr="009D150F" w:rsidRDefault="001616C4" w:rsidP="001616C4">
      <w:pPr>
        <w:rPr>
          <w:rtl/>
          <w:lang w:bidi="ar"/>
        </w:rPr>
      </w:pPr>
      <w:r>
        <w:rPr>
          <w:rFonts w:hint="cs"/>
          <w:rtl/>
          <w:lang w:bidi="ar"/>
        </w:rPr>
        <w:t>و</w:t>
      </w:r>
      <w:r w:rsidRPr="009D150F">
        <w:rPr>
          <w:rFonts w:hint="cs"/>
          <w:rtl/>
          <w:lang w:bidi="ar"/>
        </w:rPr>
        <w:t xml:space="preserve">بعد المرحلة الأولية لجمع البيانات وتقييم الأنشطة الميدانية الحالية، عانى المشروع من تأخيرات غير متوقعة </w:t>
      </w:r>
      <w:r>
        <w:rPr>
          <w:rFonts w:hint="cs"/>
          <w:rtl/>
          <w:lang w:bidi="ar"/>
        </w:rPr>
        <w:t>ويعود ذلك بشكل كبير</w:t>
      </w:r>
      <w:r w:rsidRPr="009D150F">
        <w:rPr>
          <w:rFonts w:hint="cs"/>
          <w:rtl/>
          <w:lang w:bidi="ar"/>
        </w:rPr>
        <w:t xml:space="preserve"> </w:t>
      </w:r>
      <w:r>
        <w:rPr>
          <w:rFonts w:hint="cs"/>
          <w:rtl/>
          <w:lang w:bidi="ar"/>
        </w:rPr>
        <w:t>إلى</w:t>
      </w:r>
      <w:r w:rsidRPr="009D150F">
        <w:rPr>
          <w:rFonts w:hint="cs"/>
          <w:rtl/>
          <w:lang w:bidi="ar"/>
        </w:rPr>
        <w:t xml:space="preserve"> تأخر </w:t>
      </w:r>
      <w:r>
        <w:rPr>
          <w:rFonts w:hint="cs"/>
          <w:rtl/>
          <w:lang w:bidi="ar"/>
        </w:rPr>
        <w:t>م</w:t>
      </w:r>
      <w:r w:rsidRPr="004C659E">
        <w:rPr>
          <w:rFonts w:hint="cs"/>
          <w:rtl/>
          <w:lang w:bidi="ar"/>
        </w:rPr>
        <w:t xml:space="preserve">ؤسسة </w:t>
      </w:r>
      <w:r w:rsidRPr="004C659E">
        <w:rPr>
          <w:rFonts w:hint="cs"/>
          <w:lang w:val="fr-FR"/>
        </w:rPr>
        <w:t>PricewaterhouseCoopers</w:t>
      </w:r>
      <w:r w:rsidRPr="004C659E">
        <w:rPr>
          <w:rFonts w:hint="cs"/>
          <w:rtl/>
          <w:lang w:bidi="ar"/>
        </w:rPr>
        <w:t xml:space="preserve"> </w:t>
      </w:r>
      <w:r>
        <w:rPr>
          <w:rFonts w:hint="cs"/>
          <w:rtl/>
          <w:lang w:bidi="ar"/>
        </w:rPr>
        <w:t>في تقديم النواتج</w:t>
      </w:r>
      <w:r w:rsidRPr="009D150F">
        <w:rPr>
          <w:rFonts w:hint="cs"/>
          <w:rtl/>
          <w:lang w:bidi="ar"/>
        </w:rPr>
        <w:t xml:space="preserve"> الرئيسي</w:t>
      </w:r>
      <w:r>
        <w:rPr>
          <w:rFonts w:hint="cs"/>
          <w:rtl/>
          <w:lang w:bidi="ar"/>
        </w:rPr>
        <w:t>ة</w:t>
      </w:r>
      <w:r w:rsidRPr="009D150F">
        <w:rPr>
          <w:rFonts w:hint="cs"/>
          <w:rtl/>
          <w:lang w:bidi="ar"/>
        </w:rPr>
        <w:t xml:space="preserve">. وأجرت الأمانة استعراضات داخلية لمشاريع </w:t>
      </w:r>
      <w:r>
        <w:rPr>
          <w:rFonts w:hint="cs"/>
          <w:rtl/>
          <w:lang w:bidi="ar"/>
        </w:rPr>
        <w:t>هذه النواتج</w:t>
      </w:r>
      <w:r w:rsidRPr="009D150F">
        <w:rPr>
          <w:rFonts w:hint="cs"/>
          <w:rtl/>
          <w:lang w:bidi="ar"/>
        </w:rPr>
        <w:t xml:space="preserve"> المتنوعة </w:t>
      </w:r>
      <w:r>
        <w:rPr>
          <w:rFonts w:hint="cs"/>
          <w:rtl/>
          <w:lang w:bidi="ar"/>
        </w:rPr>
        <w:t>من أجل ال</w:t>
      </w:r>
      <w:r w:rsidRPr="009D150F">
        <w:rPr>
          <w:rFonts w:hint="cs"/>
          <w:rtl/>
          <w:lang w:bidi="ar"/>
        </w:rPr>
        <w:t xml:space="preserve">تأكد من </w:t>
      </w:r>
      <w:r>
        <w:rPr>
          <w:rFonts w:hint="cs"/>
          <w:rtl/>
          <w:lang w:bidi="ar"/>
        </w:rPr>
        <w:t>أنها أُعدت</w:t>
      </w:r>
      <w:r w:rsidRPr="009D150F">
        <w:rPr>
          <w:rFonts w:hint="cs"/>
          <w:rtl/>
          <w:lang w:bidi="ar"/>
        </w:rPr>
        <w:t xml:space="preserve"> وفقا</w:t>
      </w:r>
      <w:r>
        <w:rPr>
          <w:rFonts w:hint="cs"/>
          <w:rtl/>
          <w:lang w:bidi="ar"/>
        </w:rPr>
        <w:t>ً</w:t>
      </w:r>
      <w:r w:rsidRPr="009D150F">
        <w:rPr>
          <w:rFonts w:hint="cs"/>
          <w:rtl/>
          <w:lang w:bidi="ar"/>
        </w:rPr>
        <w:t xml:space="preserve"> للاختصاصات الواردة في </w:t>
      </w:r>
      <w:r>
        <w:rPr>
          <w:rFonts w:hint="cs"/>
          <w:rtl/>
          <w:lang w:bidi="ar"/>
        </w:rPr>
        <w:t xml:space="preserve">المقرر </w:t>
      </w:r>
      <w:r w:rsidRPr="009D150F">
        <w:rPr>
          <w:rFonts w:hint="cs"/>
          <w:rtl/>
          <w:lang w:bidi="ar"/>
        </w:rPr>
        <w:t xml:space="preserve">616 </w:t>
      </w:r>
      <w:r>
        <w:rPr>
          <w:rFonts w:hint="cs"/>
          <w:rtl/>
          <w:lang w:bidi="ar"/>
        </w:rPr>
        <w:t>لل</w:t>
      </w:r>
      <w:r w:rsidRPr="009D150F">
        <w:rPr>
          <w:rFonts w:hint="cs"/>
          <w:rtl/>
          <w:lang w:bidi="ar"/>
        </w:rPr>
        <w:t>مجلس.</w:t>
      </w:r>
    </w:p>
    <w:p w14:paraId="7B2C5DC0" w14:textId="5ADF54BD" w:rsidR="001616C4" w:rsidRPr="009D150F" w:rsidRDefault="001616C4" w:rsidP="001616C4">
      <w:pPr>
        <w:rPr>
          <w:lang w:val="fr-FR" w:bidi="ar-EG"/>
        </w:rPr>
      </w:pPr>
      <w:r>
        <w:rPr>
          <w:rFonts w:hint="cs"/>
          <w:rtl/>
          <w:lang w:bidi="ar"/>
        </w:rPr>
        <w:t>وقدمت</w:t>
      </w:r>
      <w:r w:rsidRPr="009D150F">
        <w:rPr>
          <w:rFonts w:hint="cs"/>
          <w:rtl/>
          <w:lang w:bidi="ar"/>
        </w:rPr>
        <w:t xml:space="preserve"> </w:t>
      </w:r>
      <w:r>
        <w:rPr>
          <w:rFonts w:hint="cs"/>
          <w:rtl/>
          <w:lang w:bidi="ar"/>
        </w:rPr>
        <w:t>م</w:t>
      </w:r>
      <w:r w:rsidRPr="004C659E">
        <w:rPr>
          <w:rFonts w:hint="cs"/>
          <w:rtl/>
          <w:lang w:bidi="ar"/>
        </w:rPr>
        <w:t xml:space="preserve">ؤسسة </w:t>
      </w:r>
      <w:r w:rsidRPr="004C659E">
        <w:rPr>
          <w:rFonts w:hint="cs"/>
          <w:lang w:val="fr-FR"/>
        </w:rPr>
        <w:t>PricewaterhouseCoopers</w:t>
      </w:r>
      <w:r w:rsidRPr="004C659E">
        <w:rPr>
          <w:rFonts w:hint="cs"/>
          <w:rtl/>
          <w:lang w:bidi="ar"/>
        </w:rPr>
        <w:t xml:space="preserve"> </w:t>
      </w:r>
      <w:r w:rsidRPr="009D150F">
        <w:rPr>
          <w:rFonts w:hint="cs"/>
          <w:rtl/>
          <w:lang w:bidi="ar"/>
        </w:rPr>
        <w:t>عرضا</w:t>
      </w:r>
      <w:r>
        <w:rPr>
          <w:rFonts w:hint="cs"/>
          <w:rtl/>
          <w:lang w:bidi="ar"/>
        </w:rPr>
        <w:t>ً</w:t>
      </w:r>
      <w:r w:rsidRPr="009D150F">
        <w:rPr>
          <w:rFonts w:hint="cs"/>
          <w:rtl/>
          <w:lang w:bidi="ar"/>
        </w:rPr>
        <w:t xml:space="preserve"> </w:t>
      </w:r>
      <w:r>
        <w:rPr>
          <w:rFonts w:hint="cs"/>
          <w:rtl/>
        </w:rPr>
        <w:t xml:space="preserve">إلى </w:t>
      </w:r>
      <w:r w:rsidRPr="009D150F">
        <w:rPr>
          <w:rFonts w:hint="cs"/>
          <w:rtl/>
          <w:lang w:bidi="ar"/>
        </w:rPr>
        <w:t xml:space="preserve">الإدارة العليا للاتحاد. </w:t>
      </w:r>
      <w:r>
        <w:rPr>
          <w:rFonts w:hint="cs"/>
          <w:rtl/>
          <w:lang w:bidi="ar"/>
        </w:rPr>
        <w:t>و</w:t>
      </w:r>
      <w:r w:rsidRPr="009D150F">
        <w:rPr>
          <w:rFonts w:hint="cs"/>
          <w:rtl/>
          <w:lang w:bidi="ar"/>
        </w:rPr>
        <w:t>نتيجة</w:t>
      </w:r>
      <w:r>
        <w:rPr>
          <w:rFonts w:hint="cs"/>
          <w:rtl/>
          <w:lang w:bidi="ar"/>
        </w:rPr>
        <w:t>ً</w:t>
      </w:r>
      <w:r w:rsidRPr="009D150F">
        <w:rPr>
          <w:rFonts w:hint="cs"/>
          <w:rtl/>
          <w:lang w:bidi="ar"/>
        </w:rPr>
        <w:t xml:space="preserve"> لما سبق، </w:t>
      </w:r>
      <w:r>
        <w:rPr>
          <w:rFonts w:hint="cs"/>
          <w:rtl/>
          <w:lang w:bidi="ar"/>
        </w:rPr>
        <w:t>أُرسلت</w:t>
      </w:r>
      <w:r w:rsidRPr="009D150F">
        <w:rPr>
          <w:rFonts w:hint="cs"/>
          <w:rtl/>
          <w:lang w:bidi="ar"/>
        </w:rPr>
        <w:t xml:space="preserve"> تعليقات مفصلة إلى </w:t>
      </w:r>
      <w:r>
        <w:rPr>
          <w:rFonts w:hint="cs"/>
          <w:rtl/>
          <w:lang w:bidi="ar"/>
        </w:rPr>
        <w:t>المؤسسة</w:t>
      </w:r>
      <w:r w:rsidRPr="009D150F">
        <w:rPr>
          <w:rFonts w:hint="cs"/>
          <w:rtl/>
          <w:lang w:bidi="ar"/>
        </w:rPr>
        <w:t xml:space="preserve"> ل</w:t>
      </w:r>
      <w:r>
        <w:rPr>
          <w:rFonts w:hint="cs"/>
          <w:rtl/>
          <w:lang w:bidi="ar"/>
        </w:rPr>
        <w:t>استعراضها</w:t>
      </w:r>
      <w:r w:rsidRPr="009D150F">
        <w:rPr>
          <w:rFonts w:hint="cs"/>
          <w:rtl/>
          <w:lang w:bidi="ar"/>
        </w:rPr>
        <w:t xml:space="preserve"> </w:t>
      </w:r>
      <w:r>
        <w:rPr>
          <w:rFonts w:hint="cs"/>
          <w:rtl/>
          <w:lang w:bidi="ar"/>
        </w:rPr>
        <w:t>وإمعان</w:t>
      </w:r>
      <w:r w:rsidRPr="009D150F">
        <w:rPr>
          <w:rFonts w:hint="cs"/>
          <w:rtl/>
          <w:lang w:bidi="ar"/>
        </w:rPr>
        <w:t xml:space="preserve"> النظر فيها. وترى إدارة الاتحاد أن هناك حاجة</w:t>
      </w:r>
      <w:r>
        <w:rPr>
          <w:rFonts w:hint="cs"/>
          <w:rtl/>
          <w:lang w:bidi="ar"/>
        </w:rPr>
        <w:t>ً</w:t>
      </w:r>
      <w:r w:rsidRPr="009D150F">
        <w:rPr>
          <w:rFonts w:hint="cs"/>
          <w:rtl/>
          <w:lang w:bidi="ar"/>
        </w:rPr>
        <w:t xml:space="preserve"> إلى مزيد من العمل </w:t>
      </w:r>
      <w:r>
        <w:rPr>
          <w:rFonts w:hint="cs"/>
          <w:rtl/>
          <w:lang w:bidi="ar"/>
        </w:rPr>
        <w:t>على</w:t>
      </w:r>
      <w:r w:rsidRPr="009D150F">
        <w:rPr>
          <w:rFonts w:hint="cs"/>
          <w:rtl/>
          <w:lang w:bidi="ar"/>
        </w:rPr>
        <w:t xml:space="preserve"> مشروع التقرير، ولا سيما الحاجة إلى إجراء مشاورات متوازنة مع أعضاء الاتحاد. </w:t>
      </w:r>
      <w:r>
        <w:rPr>
          <w:rFonts w:hint="cs"/>
          <w:rtl/>
          <w:lang w:bidi="ar"/>
        </w:rPr>
        <w:t>و</w:t>
      </w:r>
      <w:r w:rsidRPr="009D150F">
        <w:rPr>
          <w:rFonts w:hint="cs"/>
          <w:rtl/>
          <w:lang w:bidi="ar"/>
        </w:rPr>
        <w:t>ت</w:t>
      </w:r>
      <w:r>
        <w:rPr>
          <w:rFonts w:hint="cs"/>
          <w:rtl/>
          <w:lang w:bidi="ar"/>
        </w:rPr>
        <w:t>ت</w:t>
      </w:r>
      <w:r w:rsidRPr="009D150F">
        <w:rPr>
          <w:rFonts w:hint="cs"/>
          <w:rtl/>
          <w:lang w:bidi="ar"/>
        </w:rPr>
        <w:t xml:space="preserve">ناقش الأمانة مع </w:t>
      </w:r>
      <w:r>
        <w:rPr>
          <w:rFonts w:hint="cs"/>
          <w:rtl/>
          <w:lang w:bidi="ar"/>
        </w:rPr>
        <w:t>م</w:t>
      </w:r>
      <w:r w:rsidRPr="004C659E">
        <w:rPr>
          <w:rFonts w:hint="cs"/>
          <w:rtl/>
          <w:lang w:bidi="ar"/>
        </w:rPr>
        <w:t xml:space="preserve">ؤسسة </w:t>
      </w:r>
      <w:r w:rsidRPr="004C659E">
        <w:rPr>
          <w:rFonts w:hint="cs"/>
          <w:lang w:val="fr-FR"/>
        </w:rPr>
        <w:t>PricewaterhouseCoopers</w:t>
      </w:r>
      <w:r w:rsidRPr="004C659E">
        <w:rPr>
          <w:rFonts w:hint="cs"/>
          <w:rtl/>
          <w:lang w:bidi="ar"/>
        </w:rPr>
        <w:t xml:space="preserve"> </w:t>
      </w:r>
      <w:r>
        <w:rPr>
          <w:rFonts w:hint="cs"/>
          <w:rtl/>
          <w:lang w:bidi="ar"/>
        </w:rPr>
        <w:t xml:space="preserve">لوضع </w:t>
      </w:r>
      <w:r w:rsidRPr="009D150F">
        <w:rPr>
          <w:rFonts w:hint="cs"/>
          <w:rtl/>
          <w:lang w:bidi="ar"/>
        </w:rPr>
        <w:t xml:space="preserve">جدول زمني </w:t>
      </w:r>
      <w:r>
        <w:rPr>
          <w:rFonts w:hint="cs"/>
          <w:rtl/>
          <w:lang w:bidi="ar"/>
        </w:rPr>
        <w:t>مراجع</w:t>
      </w:r>
      <w:r w:rsidRPr="009D150F">
        <w:rPr>
          <w:rFonts w:hint="cs"/>
          <w:rtl/>
          <w:lang w:bidi="ar"/>
        </w:rPr>
        <w:t xml:space="preserve"> يضمن الوفاء بأهداف وغايات الاختصاصات </w:t>
      </w:r>
      <w:r>
        <w:rPr>
          <w:rFonts w:hint="cs"/>
          <w:rtl/>
          <w:lang w:bidi="ar"/>
        </w:rPr>
        <w:t xml:space="preserve">والمقرر </w:t>
      </w:r>
      <w:r w:rsidRPr="009D150F">
        <w:rPr>
          <w:rFonts w:hint="cs"/>
          <w:rtl/>
          <w:lang w:bidi="ar"/>
        </w:rPr>
        <w:t xml:space="preserve">616 </w:t>
      </w:r>
      <w:r>
        <w:rPr>
          <w:rFonts w:hint="cs"/>
          <w:rtl/>
          <w:lang w:bidi="ar"/>
        </w:rPr>
        <w:t>لل</w:t>
      </w:r>
      <w:r w:rsidRPr="009D150F">
        <w:rPr>
          <w:rFonts w:hint="cs"/>
          <w:rtl/>
          <w:lang w:bidi="ar"/>
        </w:rPr>
        <w:t>مجلس والقرار 25 (المراج</w:t>
      </w:r>
      <w:r>
        <w:rPr>
          <w:rFonts w:hint="cs"/>
          <w:rtl/>
          <w:lang w:bidi="ar"/>
        </w:rPr>
        <w:t>َ</w:t>
      </w:r>
      <w:r w:rsidRPr="009D150F">
        <w:rPr>
          <w:rFonts w:hint="cs"/>
          <w:rtl/>
          <w:lang w:bidi="ar"/>
        </w:rPr>
        <w:t>ع في دبي، 2018).</w:t>
      </w:r>
    </w:p>
    <w:p w14:paraId="701596E4" w14:textId="77777777" w:rsidR="001616C4" w:rsidRDefault="001616C4" w:rsidP="001616C4">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1616C4" w:rsidSect="006C3242">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F7C44" w14:textId="77777777" w:rsidR="004C659E" w:rsidRDefault="004C659E" w:rsidP="006C3242">
      <w:pPr>
        <w:spacing w:before="0" w:line="240" w:lineRule="auto"/>
      </w:pPr>
      <w:r>
        <w:separator/>
      </w:r>
    </w:p>
  </w:endnote>
  <w:endnote w:type="continuationSeparator" w:id="0">
    <w:p w14:paraId="05D6027E" w14:textId="77777777" w:rsidR="004C659E" w:rsidRDefault="004C659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DED87" w14:textId="77FE63DD" w:rsidR="006C3242" w:rsidRPr="00CF1263" w:rsidRDefault="006C3242" w:rsidP="00FE5872">
    <w:pPr>
      <w:pStyle w:val="Footer"/>
      <w:tabs>
        <w:tab w:val="clear" w:pos="4153"/>
        <w:tab w:val="clear" w:pos="8306"/>
        <w:tab w:val="center" w:pos="5103"/>
        <w:tab w:val="right" w:pos="9639"/>
      </w:tabs>
      <w:spacing w:before="120"/>
      <w:rPr>
        <w:color w:val="D9D9D9" w:themeColor="background1" w:themeShade="D9"/>
        <w:sz w:val="16"/>
        <w:szCs w:val="16"/>
        <w:lang w:val="fr-FR"/>
      </w:rPr>
    </w:pPr>
    <w:r w:rsidRPr="00CF1263">
      <w:rPr>
        <w:color w:val="D9D9D9" w:themeColor="background1" w:themeShade="D9"/>
        <w:sz w:val="16"/>
        <w:szCs w:val="16"/>
        <w:lang w:val="fr-FR"/>
      </w:rPr>
      <w:fldChar w:fldCharType="begin"/>
    </w:r>
    <w:r w:rsidRPr="00CF1263">
      <w:rPr>
        <w:color w:val="D9D9D9" w:themeColor="background1" w:themeShade="D9"/>
        <w:sz w:val="16"/>
        <w:szCs w:val="16"/>
        <w:lang w:val="fr-FR"/>
      </w:rPr>
      <w:instrText xml:space="preserve"> FILENAME \p \* MERGEFORMAT </w:instrText>
    </w:r>
    <w:r w:rsidRPr="00CF1263">
      <w:rPr>
        <w:color w:val="D9D9D9" w:themeColor="background1" w:themeShade="D9"/>
        <w:sz w:val="16"/>
        <w:szCs w:val="16"/>
        <w:lang w:val="fr-FR"/>
      </w:rPr>
      <w:fldChar w:fldCharType="separate"/>
    </w:r>
    <w:r w:rsidR="00A05E27" w:rsidRPr="00CF1263">
      <w:rPr>
        <w:noProof/>
        <w:color w:val="D9D9D9" w:themeColor="background1" w:themeShade="D9"/>
        <w:sz w:val="16"/>
        <w:szCs w:val="16"/>
        <w:lang w:val="fr-FR"/>
      </w:rPr>
      <w:t>P:\ARA\SG\CONSEIL\C20\000\064A.docx</w:t>
    </w:r>
    <w:r w:rsidRPr="00CF1263">
      <w:rPr>
        <w:color w:val="D9D9D9" w:themeColor="background1" w:themeShade="D9"/>
        <w:sz w:val="16"/>
        <w:szCs w:val="16"/>
      </w:rPr>
      <w:fldChar w:fldCharType="end"/>
    </w:r>
    <w:r w:rsidRPr="00CF1263">
      <w:rPr>
        <w:color w:val="D9D9D9" w:themeColor="background1" w:themeShade="D9"/>
        <w:sz w:val="16"/>
        <w:szCs w:val="16"/>
        <w:lang w:val="fr-CH"/>
      </w:rPr>
      <w:t xml:space="preserve"> </w:t>
    </w:r>
    <w:r w:rsidRPr="00CF1263">
      <w:rPr>
        <w:color w:val="D9D9D9" w:themeColor="background1" w:themeShade="D9"/>
        <w:sz w:val="16"/>
        <w:szCs w:val="16"/>
        <w:lang w:val="fr-FR"/>
      </w:rPr>
      <w:t>(</w:t>
    </w:r>
    <w:r w:rsidR="00BF4DD9" w:rsidRPr="00CF1263">
      <w:rPr>
        <w:color w:val="D9D9D9" w:themeColor="background1" w:themeShade="D9"/>
        <w:sz w:val="16"/>
        <w:szCs w:val="16"/>
        <w:lang w:val="fr-FR"/>
      </w:rPr>
      <w:t>470934</w:t>
    </w:r>
    <w:r w:rsidRPr="00CF1263">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2F0EC"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BF137" w14:textId="77777777" w:rsidR="004C659E" w:rsidRDefault="004C659E" w:rsidP="006C3242">
      <w:pPr>
        <w:spacing w:before="0" w:line="240" w:lineRule="auto"/>
      </w:pPr>
      <w:r>
        <w:separator/>
      </w:r>
    </w:p>
  </w:footnote>
  <w:footnote w:type="continuationSeparator" w:id="0">
    <w:p w14:paraId="31082BDC" w14:textId="77777777" w:rsidR="004C659E" w:rsidRDefault="004C659E" w:rsidP="006C3242">
      <w:pPr>
        <w:spacing w:before="0" w:line="240" w:lineRule="auto"/>
      </w:pPr>
      <w:r>
        <w:continuationSeparator/>
      </w:r>
    </w:p>
  </w:footnote>
  <w:footnote w:id="1">
    <w:p w14:paraId="6D46259E" w14:textId="29D2DB16" w:rsidR="001616C4" w:rsidRPr="006F699D" w:rsidRDefault="001616C4" w:rsidP="001616C4">
      <w:pPr>
        <w:pStyle w:val="FootnoteText"/>
        <w:tabs>
          <w:tab w:val="clear" w:pos="794"/>
          <w:tab w:val="left" w:pos="283"/>
        </w:tabs>
        <w:rPr>
          <w:lang w:val="fr-FR" w:bidi="ar-EG"/>
        </w:rPr>
      </w:pPr>
      <w:r w:rsidRPr="00644A3E">
        <w:rPr>
          <w:rStyle w:val="FootnoteReference"/>
        </w:rPr>
        <w:footnoteRef/>
      </w:r>
      <w:r w:rsidR="00644A3E">
        <w:rPr>
          <w:rFonts w:hint="cs"/>
          <w:szCs w:val="20"/>
          <w:rtl/>
        </w:rPr>
        <w:t xml:space="preserve"> </w:t>
      </w:r>
      <w:r w:rsidRPr="00C3176D">
        <w:rPr>
          <w:rFonts w:hint="cs"/>
          <w:sz w:val="12"/>
          <w:rtl/>
          <w:lang w:bidi="ar"/>
        </w:rPr>
        <w:t>ترد القائمة الكاملة للنواتج في الملحق 1 بمقرر المجلس 616.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02D57" w14:textId="12E73700" w:rsidR="00447F32" w:rsidRPr="00447F32" w:rsidRDefault="00CF1263"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4C659E">
          <w:rPr>
            <w:rFonts w:cs="Calibri"/>
            <w:noProof/>
            <w:sz w:val="20"/>
            <w:szCs w:val="20"/>
          </w:rPr>
          <w:t>64</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9E"/>
    <w:rsid w:val="0005205B"/>
    <w:rsid w:val="00090574"/>
    <w:rsid w:val="000C1C0E"/>
    <w:rsid w:val="000C548A"/>
    <w:rsid w:val="001616C4"/>
    <w:rsid w:val="00161C2F"/>
    <w:rsid w:val="001C0169"/>
    <w:rsid w:val="001D1D50"/>
    <w:rsid w:val="001D6745"/>
    <w:rsid w:val="001E446E"/>
    <w:rsid w:val="001F30E0"/>
    <w:rsid w:val="002154EE"/>
    <w:rsid w:val="002276D2"/>
    <w:rsid w:val="0023283D"/>
    <w:rsid w:val="0026373E"/>
    <w:rsid w:val="00271C43"/>
    <w:rsid w:val="00290728"/>
    <w:rsid w:val="002978F4"/>
    <w:rsid w:val="002B028D"/>
    <w:rsid w:val="002E6541"/>
    <w:rsid w:val="002F71D8"/>
    <w:rsid w:val="00334924"/>
    <w:rsid w:val="003409BC"/>
    <w:rsid w:val="00357185"/>
    <w:rsid w:val="00383829"/>
    <w:rsid w:val="003C6B4F"/>
    <w:rsid w:val="003F4B29"/>
    <w:rsid w:val="0042686F"/>
    <w:rsid w:val="004317D8"/>
    <w:rsid w:val="00434183"/>
    <w:rsid w:val="00443869"/>
    <w:rsid w:val="00447F32"/>
    <w:rsid w:val="004C659E"/>
    <w:rsid w:val="004E11DC"/>
    <w:rsid w:val="005409AC"/>
    <w:rsid w:val="0055516A"/>
    <w:rsid w:val="0058491B"/>
    <w:rsid w:val="00592EA5"/>
    <w:rsid w:val="005A3170"/>
    <w:rsid w:val="005B1652"/>
    <w:rsid w:val="00614855"/>
    <w:rsid w:val="00644A3E"/>
    <w:rsid w:val="00677396"/>
    <w:rsid w:val="0069200F"/>
    <w:rsid w:val="006A65CB"/>
    <w:rsid w:val="006A793B"/>
    <w:rsid w:val="006C3242"/>
    <w:rsid w:val="006C7CC0"/>
    <w:rsid w:val="006F63F7"/>
    <w:rsid w:val="007025C7"/>
    <w:rsid w:val="00706D7A"/>
    <w:rsid w:val="00722F0D"/>
    <w:rsid w:val="0074420E"/>
    <w:rsid w:val="00783E26"/>
    <w:rsid w:val="007C3BC7"/>
    <w:rsid w:val="007C3BCD"/>
    <w:rsid w:val="007C5F05"/>
    <w:rsid w:val="007D4ACF"/>
    <w:rsid w:val="007F0787"/>
    <w:rsid w:val="00810B7B"/>
    <w:rsid w:val="0082358A"/>
    <w:rsid w:val="008235CD"/>
    <w:rsid w:val="008247DE"/>
    <w:rsid w:val="00826A91"/>
    <w:rsid w:val="00840B10"/>
    <w:rsid w:val="008513CB"/>
    <w:rsid w:val="008A7F84"/>
    <w:rsid w:val="0091702E"/>
    <w:rsid w:val="00923B0C"/>
    <w:rsid w:val="0094021C"/>
    <w:rsid w:val="00952F86"/>
    <w:rsid w:val="00982B28"/>
    <w:rsid w:val="009D313F"/>
    <w:rsid w:val="00A05E27"/>
    <w:rsid w:val="00A47A5A"/>
    <w:rsid w:val="00A6683B"/>
    <w:rsid w:val="00A97F94"/>
    <w:rsid w:val="00B03099"/>
    <w:rsid w:val="00B05BC8"/>
    <w:rsid w:val="00B64B47"/>
    <w:rsid w:val="00BB7213"/>
    <w:rsid w:val="00BF4DD9"/>
    <w:rsid w:val="00C002DE"/>
    <w:rsid w:val="00C53BF8"/>
    <w:rsid w:val="00C66157"/>
    <w:rsid w:val="00C674FE"/>
    <w:rsid w:val="00C67501"/>
    <w:rsid w:val="00C75633"/>
    <w:rsid w:val="00CE2EE1"/>
    <w:rsid w:val="00CE3349"/>
    <w:rsid w:val="00CE36E5"/>
    <w:rsid w:val="00CF1263"/>
    <w:rsid w:val="00CF27F5"/>
    <w:rsid w:val="00CF3FFD"/>
    <w:rsid w:val="00D10CCF"/>
    <w:rsid w:val="00D77D0F"/>
    <w:rsid w:val="00DA1CF0"/>
    <w:rsid w:val="00DC1E02"/>
    <w:rsid w:val="00DC24B4"/>
    <w:rsid w:val="00DC5FB0"/>
    <w:rsid w:val="00DF16DC"/>
    <w:rsid w:val="00E45211"/>
    <w:rsid w:val="00E473C5"/>
    <w:rsid w:val="00E92863"/>
    <w:rsid w:val="00EB796D"/>
    <w:rsid w:val="00F058DC"/>
    <w:rsid w:val="00F24FC4"/>
    <w:rsid w:val="00F2676C"/>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9F2E86"/>
  <w15:chartTrackingRefBased/>
  <w15:docId w15:val="{01F3310E-8E7D-43A1-A3D3-F1117CA1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6C4"/>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4C6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133/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RES-025-A.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en/ITU-D/Conferences/TDAG/Pages/TDAG25/default.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Pages/groups.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1A8E3-6C15-4AC8-9BA9-1B69CC6C1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3791F-F27B-486D-8CF5-CAF06629DCC0}">
  <ds:schemaRefs>
    <ds:schemaRef ds:uri="http://schemas.microsoft.com/sharepoint/v3/contenttype/forms"/>
  </ds:schemaRefs>
</ds:datastoreItem>
</file>

<file path=customXml/itemProps3.xml><?xml version="1.0" encoding="utf-8"?>
<ds:datastoreItem xmlns:ds="http://schemas.openxmlformats.org/officeDocument/2006/customXml" ds:itemID="{1A088C95-5875-40D5-9BA2-93A79F09DD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BE7715-2B52-414D-AD2D-2AB8FD93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ITU Regional presence</dc:title>
  <dc:subject>Council 2020</dc:subject>
  <dc:creator>Tahawi, Hiba</dc:creator>
  <cp:keywords>C2020, C20</cp:keywords>
  <dc:description/>
  <cp:lastModifiedBy>Brouard, Ricarda</cp:lastModifiedBy>
  <cp:revision>2</cp:revision>
  <dcterms:created xsi:type="dcterms:W3CDTF">2020-06-01T08:13:00Z</dcterms:created>
  <dcterms:modified xsi:type="dcterms:W3CDTF">2020-06-01T08:13:00Z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