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E0F27" w14:paraId="74E5824D" w14:textId="77777777">
        <w:trPr>
          <w:cantSplit/>
        </w:trPr>
        <w:tc>
          <w:tcPr>
            <w:tcW w:w="6912" w:type="dxa"/>
          </w:tcPr>
          <w:p w14:paraId="47FF15F9" w14:textId="77777777" w:rsidR="00520F36" w:rsidRPr="001E0F27" w:rsidRDefault="00520F36" w:rsidP="00106B19">
            <w:pPr>
              <w:spacing w:before="360"/>
            </w:pPr>
            <w:bookmarkStart w:id="0" w:name="dc06"/>
            <w:bookmarkStart w:id="1" w:name="_Hlk40974475"/>
            <w:bookmarkEnd w:id="0"/>
            <w:r w:rsidRPr="001E0F27">
              <w:rPr>
                <w:b/>
                <w:bCs/>
                <w:sz w:val="30"/>
                <w:szCs w:val="30"/>
              </w:rPr>
              <w:t>Conseil 20</w:t>
            </w:r>
            <w:r w:rsidR="009C353C" w:rsidRPr="001E0F27">
              <w:rPr>
                <w:b/>
                <w:bCs/>
                <w:sz w:val="30"/>
                <w:szCs w:val="30"/>
              </w:rPr>
              <w:t>20</w:t>
            </w:r>
            <w:r w:rsidRPr="001E0F27">
              <w:rPr>
                <w:rFonts w:ascii="Verdana" w:hAnsi="Verdana"/>
                <w:b/>
                <w:bCs/>
                <w:sz w:val="26"/>
                <w:szCs w:val="26"/>
              </w:rPr>
              <w:br/>
            </w:r>
            <w:r w:rsidRPr="001E0F27">
              <w:rPr>
                <w:b/>
                <w:bCs/>
                <w:szCs w:val="24"/>
              </w:rPr>
              <w:t xml:space="preserve">Genève, </w:t>
            </w:r>
            <w:r w:rsidR="009C353C" w:rsidRPr="001E0F27">
              <w:rPr>
                <w:b/>
                <w:bCs/>
                <w:szCs w:val="24"/>
              </w:rPr>
              <w:t>9</w:t>
            </w:r>
            <w:r w:rsidRPr="001E0F27">
              <w:rPr>
                <w:b/>
                <w:bCs/>
                <w:szCs w:val="24"/>
              </w:rPr>
              <w:t>-</w:t>
            </w:r>
            <w:r w:rsidR="009C353C" w:rsidRPr="001E0F27">
              <w:rPr>
                <w:b/>
                <w:bCs/>
                <w:szCs w:val="24"/>
              </w:rPr>
              <w:t>19</w:t>
            </w:r>
            <w:r w:rsidR="00106B19" w:rsidRPr="001E0F27">
              <w:rPr>
                <w:b/>
                <w:bCs/>
                <w:szCs w:val="24"/>
              </w:rPr>
              <w:t xml:space="preserve"> juin</w:t>
            </w:r>
            <w:r w:rsidRPr="001E0F27">
              <w:rPr>
                <w:b/>
                <w:bCs/>
                <w:szCs w:val="24"/>
              </w:rPr>
              <w:t xml:space="preserve"> 20</w:t>
            </w:r>
            <w:r w:rsidR="009C353C" w:rsidRPr="001E0F27">
              <w:rPr>
                <w:b/>
                <w:bCs/>
                <w:szCs w:val="24"/>
              </w:rPr>
              <w:t>20</w:t>
            </w:r>
          </w:p>
        </w:tc>
        <w:tc>
          <w:tcPr>
            <w:tcW w:w="3261" w:type="dxa"/>
          </w:tcPr>
          <w:p w14:paraId="1FFAD5B7" w14:textId="77777777" w:rsidR="00520F36" w:rsidRPr="001E0F27" w:rsidRDefault="009C353C" w:rsidP="009C353C">
            <w:pPr>
              <w:spacing w:before="0"/>
            </w:pPr>
            <w:bookmarkStart w:id="2" w:name="ditulogo"/>
            <w:bookmarkEnd w:id="2"/>
            <w:r w:rsidRPr="001E0F27">
              <w:rPr>
                <w:noProof/>
              </w:rPr>
              <w:drawing>
                <wp:inline distT="0" distB="0" distL="0" distR="0" wp14:anchorId="029E8322" wp14:editId="16196B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E0F27" w14:paraId="6CB4CC08" w14:textId="77777777" w:rsidTr="00EF41DD">
        <w:trPr>
          <w:cantSplit/>
          <w:trHeight w:val="20"/>
        </w:trPr>
        <w:tc>
          <w:tcPr>
            <w:tcW w:w="6912" w:type="dxa"/>
            <w:tcBorders>
              <w:bottom w:val="single" w:sz="12" w:space="0" w:color="auto"/>
            </w:tcBorders>
            <w:vAlign w:val="center"/>
          </w:tcPr>
          <w:p w14:paraId="23C4C65A" w14:textId="77777777" w:rsidR="00520F36" w:rsidRPr="001E0F27" w:rsidRDefault="00520F36" w:rsidP="004C37A9">
            <w:pPr>
              <w:spacing w:before="0"/>
              <w:rPr>
                <w:b/>
                <w:bCs/>
                <w:sz w:val="26"/>
                <w:szCs w:val="26"/>
              </w:rPr>
            </w:pPr>
          </w:p>
        </w:tc>
        <w:tc>
          <w:tcPr>
            <w:tcW w:w="3261" w:type="dxa"/>
            <w:tcBorders>
              <w:bottom w:val="single" w:sz="12" w:space="0" w:color="auto"/>
            </w:tcBorders>
          </w:tcPr>
          <w:p w14:paraId="4EFA2045" w14:textId="77777777" w:rsidR="00520F36" w:rsidRPr="001E0F27" w:rsidRDefault="00520F36" w:rsidP="00DF74DD">
            <w:pPr>
              <w:spacing w:before="0"/>
              <w:rPr>
                <w:b/>
                <w:bCs/>
              </w:rPr>
            </w:pPr>
          </w:p>
        </w:tc>
      </w:tr>
      <w:tr w:rsidR="00520F36" w:rsidRPr="001E0F27" w14:paraId="71C512E5" w14:textId="77777777">
        <w:trPr>
          <w:cantSplit/>
          <w:trHeight w:val="20"/>
        </w:trPr>
        <w:tc>
          <w:tcPr>
            <w:tcW w:w="6912" w:type="dxa"/>
            <w:tcBorders>
              <w:top w:val="single" w:sz="12" w:space="0" w:color="auto"/>
            </w:tcBorders>
          </w:tcPr>
          <w:p w14:paraId="6F044E5B" w14:textId="77777777" w:rsidR="00520F36" w:rsidRPr="001E0F27" w:rsidRDefault="00520F36" w:rsidP="00DF74DD">
            <w:pPr>
              <w:spacing w:before="0"/>
              <w:rPr>
                <w:smallCaps/>
                <w:sz w:val="22"/>
              </w:rPr>
            </w:pPr>
          </w:p>
        </w:tc>
        <w:tc>
          <w:tcPr>
            <w:tcW w:w="3261" w:type="dxa"/>
            <w:tcBorders>
              <w:top w:val="single" w:sz="12" w:space="0" w:color="auto"/>
            </w:tcBorders>
          </w:tcPr>
          <w:p w14:paraId="133EF837" w14:textId="77777777" w:rsidR="00520F36" w:rsidRPr="001E0F27" w:rsidRDefault="00520F36" w:rsidP="00DF74DD">
            <w:pPr>
              <w:spacing w:before="0"/>
              <w:rPr>
                <w:b/>
                <w:bCs/>
              </w:rPr>
            </w:pPr>
          </w:p>
        </w:tc>
      </w:tr>
      <w:tr w:rsidR="00520F36" w:rsidRPr="001E0F27" w14:paraId="65684C6F" w14:textId="77777777">
        <w:trPr>
          <w:cantSplit/>
          <w:trHeight w:val="20"/>
        </w:trPr>
        <w:tc>
          <w:tcPr>
            <w:tcW w:w="6912" w:type="dxa"/>
            <w:vMerge w:val="restart"/>
          </w:tcPr>
          <w:p w14:paraId="3072CEE2" w14:textId="73D0E166" w:rsidR="00520F36" w:rsidRPr="001E0F27" w:rsidRDefault="00767B00" w:rsidP="00DF74DD">
            <w:pPr>
              <w:spacing w:before="0"/>
              <w:rPr>
                <w:rFonts w:cs="Times"/>
                <w:b/>
                <w:bCs/>
                <w:szCs w:val="24"/>
              </w:rPr>
            </w:pPr>
            <w:bookmarkStart w:id="3" w:name="dnum" w:colFirst="1" w:colLast="1"/>
            <w:bookmarkStart w:id="4" w:name="dmeeting" w:colFirst="0" w:colLast="0"/>
            <w:r w:rsidRPr="001E0F27">
              <w:rPr>
                <w:rFonts w:cs="Times"/>
                <w:b/>
                <w:bCs/>
                <w:szCs w:val="24"/>
              </w:rPr>
              <w:t>Point de l'ordre du jour: ADM 24</w:t>
            </w:r>
          </w:p>
        </w:tc>
        <w:tc>
          <w:tcPr>
            <w:tcW w:w="3261" w:type="dxa"/>
          </w:tcPr>
          <w:p w14:paraId="3F7778F6" w14:textId="61E7E6D0" w:rsidR="00520F36" w:rsidRPr="001E0F27" w:rsidRDefault="00520F36" w:rsidP="00106B19">
            <w:pPr>
              <w:spacing w:before="0"/>
              <w:rPr>
                <w:b/>
                <w:bCs/>
              </w:rPr>
            </w:pPr>
            <w:r w:rsidRPr="001E0F27">
              <w:rPr>
                <w:b/>
                <w:bCs/>
              </w:rPr>
              <w:t>Document C</w:t>
            </w:r>
            <w:r w:rsidR="009C353C" w:rsidRPr="001E0F27">
              <w:rPr>
                <w:b/>
                <w:bCs/>
              </w:rPr>
              <w:t>20</w:t>
            </w:r>
            <w:r w:rsidRPr="001E0F27">
              <w:rPr>
                <w:b/>
                <w:bCs/>
              </w:rPr>
              <w:t>/</w:t>
            </w:r>
            <w:r w:rsidR="00767B00" w:rsidRPr="001E0F27">
              <w:rPr>
                <w:b/>
                <w:bCs/>
              </w:rPr>
              <w:t>64</w:t>
            </w:r>
            <w:r w:rsidRPr="001E0F27">
              <w:rPr>
                <w:b/>
                <w:bCs/>
              </w:rPr>
              <w:t>-F</w:t>
            </w:r>
          </w:p>
        </w:tc>
      </w:tr>
      <w:tr w:rsidR="00520F36" w:rsidRPr="001E0F27" w14:paraId="19BF9823" w14:textId="77777777">
        <w:trPr>
          <w:cantSplit/>
          <w:trHeight w:val="20"/>
        </w:trPr>
        <w:tc>
          <w:tcPr>
            <w:tcW w:w="6912" w:type="dxa"/>
            <w:vMerge/>
          </w:tcPr>
          <w:p w14:paraId="6D491AB5" w14:textId="77777777" w:rsidR="00520F36" w:rsidRPr="001E0F27" w:rsidRDefault="00520F36" w:rsidP="00DF74DD">
            <w:pPr>
              <w:shd w:val="solid" w:color="FFFFFF" w:fill="FFFFFF"/>
              <w:spacing w:before="180"/>
              <w:rPr>
                <w:smallCaps/>
              </w:rPr>
            </w:pPr>
            <w:bookmarkStart w:id="5" w:name="ddate" w:colFirst="1" w:colLast="1"/>
            <w:bookmarkEnd w:id="3"/>
            <w:bookmarkEnd w:id="4"/>
          </w:p>
        </w:tc>
        <w:tc>
          <w:tcPr>
            <w:tcW w:w="3261" w:type="dxa"/>
          </w:tcPr>
          <w:p w14:paraId="28929089" w14:textId="7CF2D8D2" w:rsidR="00520F36" w:rsidRPr="001E0F27" w:rsidRDefault="00767B00" w:rsidP="00106B19">
            <w:pPr>
              <w:spacing w:before="0"/>
              <w:rPr>
                <w:b/>
                <w:bCs/>
              </w:rPr>
            </w:pPr>
            <w:r w:rsidRPr="001E0F27">
              <w:rPr>
                <w:b/>
                <w:bCs/>
              </w:rPr>
              <w:t>18 mai</w:t>
            </w:r>
            <w:r w:rsidR="00520F36" w:rsidRPr="001E0F27">
              <w:rPr>
                <w:b/>
                <w:bCs/>
              </w:rPr>
              <w:t xml:space="preserve"> 20</w:t>
            </w:r>
            <w:r w:rsidR="009C353C" w:rsidRPr="001E0F27">
              <w:rPr>
                <w:b/>
                <w:bCs/>
              </w:rPr>
              <w:t>20</w:t>
            </w:r>
          </w:p>
        </w:tc>
      </w:tr>
      <w:tr w:rsidR="00520F36" w:rsidRPr="001E0F27" w14:paraId="6BE70EB4" w14:textId="77777777">
        <w:trPr>
          <w:cantSplit/>
          <w:trHeight w:val="20"/>
        </w:trPr>
        <w:tc>
          <w:tcPr>
            <w:tcW w:w="6912" w:type="dxa"/>
            <w:vMerge/>
          </w:tcPr>
          <w:p w14:paraId="663C2B50" w14:textId="77777777" w:rsidR="00520F36" w:rsidRPr="001E0F27" w:rsidRDefault="00520F36" w:rsidP="00DF74DD">
            <w:pPr>
              <w:shd w:val="solid" w:color="FFFFFF" w:fill="FFFFFF"/>
              <w:spacing w:before="180"/>
              <w:rPr>
                <w:smallCaps/>
              </w:rPr>
            </w:pPr>
            <w:bookmarkStart w:id="6" w:name="dorlang" w:colFirst="1" w:colLast="1"/>
            <w:bookmarkEnd w:id="5"/>
          </w:p>
        </w:tc>
        <w:tc>
          <w:tcPr>
            <w:tcW w:w="3261" w:type="dxa"/>
          </w:tcPr>
          <w:p w14:paraId="2D568989" w14:textId="77777777" w:rsidR="00520F36" w:rsidRPr="001E0F27" w:rsidRDefault="00520F36" w:rsidP="00520F36">
            <w:pPr>
              <w:spacing w:before="0"/>
              <w:rPr>
                <w:b/>
                <w:bCs/>
              </w:rPr>
            </w:pPr>
            <w:r w:rsidRPr="001E0F27">
              <w:rPr>
                <w:b/>
                <w:bCs/>
              </w:rPr>
              <w:t>Original: anglais</w:t>
            </w:r>
          </w:p>
        </w:tc>
      </w:tr>
      <w:tr w:rsidR="00520F36" w:rsidRPr="001E0F27" w14:paraId="26791650" w14:textId="77777777">
        <w:trPr>
          <w:cantSplit/>
        </w:trPr>
        <w:tc>
          <w:tcPr>
            <w:tcW w:w="10173" w:type="dxa"/>
            <w:gridSpan w:val="2"/>
          </w:tcPr>
          <w:p w14:paraId="1A2C099A" w14:textId="468154DD" w:rsidR="00520F36" w:rsidRPr="001E0F27" w:rsidRDefault="00767B00" w:rsidP="00DF74DD">
            <w:pPr>
              <w:pStyle w:val="Source"/>
            </w:pPr>
            <w:bookmarkStart w:id="7" w:name="dsource" w:colFirst="0" w:colLast="0"/>
            <w:bookmarkEnd w:id="6"/>
            <w:r w:rsidRPr="001E0F27">
              <w:t>Rapport du Secrétaire général</w:t>
            </w:r>
          </w:p>
        </w:tc>
      </w:tr>
      <w:tr w:rsidR="00520F36" w:rsidRPr="001E0F27" w14:paraId="25EDA33D" w14:textId="77777777">
        <w:trPr>
          <w:cantSplit/>
        </w:trPr>
        <w:tc>
          <w:tcPr>
            <w:tcW w:w="10173" w:type="dxa"/>
            <w:gridSpan w:val="2"/>
          </w:tcPr>
          <w:p w14:paraId="0E59CBD7" w14:textId="160E88DF" w:rsidR="00520F36" w:rsidRPr="001E0F27" w:rsidRDefault="000C51BC" w:rsidP="00DF74DD">
            <w:pPr>
              <w:pStyle w:val="Title1"/>
            </w:pPr>
            <w:bookmarkStart w:id="8" w:name="dtitle1" w:colFirst="0" w:colLast="0"/>
            <w:bookmarkEnd w:id="7"/>
            <w:r w:rsidRPr="001E0F27">
              <w:t>Examen de la prÉ</w:t>
            </w:r>
            <w:r w:rsidR="00767B00" w:rsidRPr="001E0F27">
              <w:t xml:space="preserve">sence </w:t>
            </w:r>
            <w:r w:rsidRPr="001E0F27">
              <w:t>rÉ</w:t>
            </w:r>
            <w:r w:rsidR="00767B00" w:rsidRPr="001E0F27">
              <w:t>gionale de l'UIT</w:t>
            </w:r>
          </w:p>
        </w:tc>
      </w:tr>
    </w:tbl>
    <w:p w14:paraId="289C347A" w14:textId="77777777" w:rsidR="00520F36" w:rsidRPr="001E0F27" w:rsidRDefault="00520F36">
      <w:bookmarkStart w:id="9" w:name="_Hlk40974420"/>
      <w:bookmarkEnd w:id="8"/>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E0F27" w14:paraId="4DD99E5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9"/>
          <w:p w14:paraId="0B95F395" w14:textId="77777777" w:rsidR="00520F36" w:rsidRPr="001E0F27" w:rsidRDefault="00520F36">
            <w:pPr>
              <w:pStyle w:val="Headingb"/>
            </w:pPr>
            <w:r w:rsidRPr="001E0F27">
              <w:t>Résumé</w:t>
            </w:r>
          </w:p>
          <w:p w14:paraId="12AE44A4" w14:textId="2C75FC46" w:rsidR="00520F36" w:rsidRPr="001E0F27" w:rsidRDefault="00767B00">
            <w:r w:rsidRPr="001E0F27">
              <w:t>Le présent document rend compte de l'état d'avancement de la mise en œuvre de la Résolution 25 (Rév. Dubaï, 2018) de la Conférence de plénipotentiaires et de la Décision 616 (2019) du Conseil.</w:t>
            </w:r>
          </w:p>
          <w:p w14:paraId="428C132E" w14:textId="77777777" w:rsidR="00520F36" w:rsidRPr="001E0F27" w:rsidRDefault="00520F36">
            <w:pPr>
              <w:pStyle w:val="Headingb"/>
            </w:pPr>
            <w:r w:rsidRPr="001E0F27">
              <w:t>Suite à donner</w:t>
            </w:r>
          </w:p>
          <w:p w14:paraId="12C8B01E" w14:textId="01A1CC59" w:rsidR="00520F36" w:rsidRPr="001E0F27" w:rsidRDefault="00767B00">
            <w:pPr>
              <w:rPr>
                <w:szCs w:val="24"/>
              </w:rPr>
            </w:pPr>
            <w:r w:rsidRPr="001E0F27">
              <w:rPr>
                <w:szCs w:val="24"/>
              </w:rPr>
              <w:t xml:space="preserve">Le Conseil est invité à </w:t>
            </w:r>
            <w:r w:rsidRPr="001E0F27">
              <w:rPr>
                <w:b/>
                <w:bCs/>
                <w:szCs w:val="24"/>
              </w:rPr>
              <w:t>prendre note</w:t>
            </w:r>
            <w:r w:rsidRPr="001E0F27">
              <w:rPr>
                <w:szCs w:val="24"/>
              </w:rPr>
              <w:t xml:space="preserve"> du présent document.</w:t>
            </w:r>
          </w:p>
          <w:p w14:paraId="381931A9" w14:textId="77777777" w:rsidR="00520F36" w:rsidRPr="001E0F27" w:rsidRDefault="00520F36">
            <w:pPr>
              <w:pStyle w:val="Table"/>
              <w:keepNext w:val="0"/>
              <w:spacing w:before="0" w:after="0"/>
              <w:rPr>
                <w:rFonts w:ascii="Calibri" w:hAnsi="Calibri"/>
                <w:caps w:val="0"/>
                <w:sz w:val="22"/>
                <w:lang w:val="fr-FR"/>
              </w:rPr>
            </w:pPr>
            <w:r w:rsidRPr="001E0F27">
              <w:rPr>
                <w:rFonts w:ascii="Calibri" w:hAnsi="Calibri"/>
                <w:caps w:val="0"/>
                <w:sz w:val="22"/>
                <w:lang w:val="fr-FR"/>
              </w:rPr>
              <w:t>____________</w:t>
            </w:r>
          </w:p>
          <w:p w14:paraId="3992F42A" w14:textId="77777777" w:rsidR="00520F36" w:rsidRPr="001E0F27" w:rsidRDefault="00520F36">
            <w:pPr>
              <w:pStyle w:val="Headingb"/>
            </w:pPr>
            <w:r w:rsidRPr="001E0F27">
              <w:t>Références</w:t>
            </w:r>
          </w:p>
          <w:p w14:paraId="0775D0D8" w14:textId="19B3E0FC" w:rsidR="00520F36" w:rsidRPr="001E0F27" w:rsidRDefault="003B27FA">
            <w:pPr>
              <w:spacing w:after="120"/>
              <w:rPr>
                <w:i/>
                <w:iCs/>
              </w:rPr>
            </w:pPr>
            <w:hyperlink r:id="rId10" w:history="1">
              <w:r w:rsidR="00767B00" w:rsidRPr="001E0F27">
                <w:rPr>
                  <w:rStyle w:val="Hyperlink"/>
                  <w:i/>
                  <w:iCs/>
                </w:rPr>
                <w:t>Résolution 25 (Rév. Dubaï, 2018)</w:t>
              </w:r>
              <w:r w:rsidR="00767B00" w:rsidRPr="001E0F27">
                <w:rPr>
                  <w:i/>
                  <w:iCs/>
                </w:rPr>
                <w:t xml:space="preserve"> de la Conférence de plénipotentiaires</w:t>
              </w:r>
            </w:hyperlink>
            <w:r w:rsidR="00767B00" w:rsidRPr="001E0F27">
              <w:rPr>
                <w:bCs/>
                <w:i/>
                <w:iCs/>
                <w:szCs w:val="24"/>
              </w:rPr>
              <w:t>;</w:t>
            </w:r>
            <w:r w:rsidR="00767B00" w:rsidRPr="001E0F27">
              <w:rPr>
                <w:bCs/>
                <w:i/>
                <w:iCs/>
                <w:szCs w:val="24"/>
              </w:rPr>
              <w:br/>
            </w:r>
            <w:hyperlink r:id="rId11" w:history="1">
              <w:r w:rsidR="00767B00" w:rsidRPr="001E0F27">
                <w:rPr>
                  <w:rStyle w:val="Hyperlink"/>
                  <w:i/>
                  <w:iCs/>
                </w:rPr>
                <w:t>Décision 616 (2019) du Conseil</w:t>
              </w:r>
            </w:hyperlink>
          </w:p>
        </w:tc>
      </w:tr>
    </w:tbl>
    <w:p w14:paraId="5A1B48B7" w14:textId="3C95EB4F" w:rsidR="00767B00" w:rsidRPr="001E0F27" w:rsidRDefault="00767B00" w:rsidP="001E0F27">
      <w:pPr>
        <w:pStyle w:val="Heading1"/>
        <w:spacing w:before="360"/>
      </w:pPr>
      <w:r w:rsidRPr="001E0F27">
        <w:t>1</w:t>
      </w:r>
      <w:r w:rsidRPr="001E0F27">
        <w:tab/>
        <w:t>Rappel</w:t>
      </w:r>
    </w:p>
    <w:p w14:paraId="63C18971" w14:textId="77777777" w:rsidR="00767B00" w:rsidRPr="001E0F27" w:rsidRDefault="00767B00" w:rsidP="00767B00">
      <w:r w:rsidRPr="001E0F27">
        <w:t>Depuis le début des années 1990, la présence régionale de l'UIT a été examinée, améliorée et modifiée à plusieurs reprises. Le premier examen approfondi sur la question a été demandé par la Conférence de plénipotentiaires de Nice (1989), qui a chargé le Secrétaire général d'effectuer les études nécessaires afin de renforcer la présence régionale de l'UIT et d'accroître son efficacité.</w:t>
      </w:r>
    </w:p>
    <w:p w14:paraId="12C2A2A6" w14:textId="6099DF23" w:rsidR="00767B00" w:rsidRPr="001E0F27" w:rsidRDefault="00767B00" w:rsidP="00767B00">
      <w:r w:rsidRPr="001E0F27">
        <w:t>Lors de la Conférence de plénipotentiaires tenue à Dubaï</w:t>
      </w:r>
      <w:r w:rsidR="00416B33" w:rsidRPr="001E0F27">
        <w:t xml:space="preserve"> en 2018</w:t>
      </w:r>
      <w:r w:rsidRPr="001E0F27">
        <w:t>, la question de la présence régionale a été examinée en détail et les membres ont adopté une version révisée de la Résolution 25 (Rév. Dubaï, 2018) "Renforcement de la présence régionale".</w:t>
      </w:r>
    </w:p>
    <w:p w14:paraId="4FE671AD" w14:textId="7E231236" w:rsidR="00767B00" w:rsidRPr="001E0F27" w:rsidRDefault="00767B00" w:rsidP="00767B00">
      <w:r w:rsidRPr="001E0F27">
        <w:t xml:space="preserve">Aux termes de sa Résolution 25 (Rév. Dubaï, 2018), la Conférence de plénipotentiaires a décidé de renforcer les fonctions des bureaux régionaux et </w:t>
      </w:r>
      <w:r w:rsidR="00416B33" w:rsidRPr="001E0F27">
        <w:t xml:space="preserve">a également </w:t>
      </w:r>
      <w:r w:rsidRPr="001E0F27">
        <w:t>chargé le Secrétaire général de procéder à un examen global de la présence régionale de l'UIT et de soumettre au Conseil à sa session de 2020 un rapport contenant des suggestions sur les mesures qu'il conviendrait de prendre pour que la présence régionale de l'UIT demeure efficace et efficiente.</w:t>
      </w:r>
    </w:p>
    <w:p w14:paraId="56A3DC9A" w14:textId="77777777" w:rsidR="00767B00" w:rsidRPr="001E0F27" w:rsidRDefault="00767B00" w:rsidP="00767B00">
      <w:r w:rsidRPr="001E0F27">
        <w:t>À sa session de 2019, le Conseil a adopté sa Résolution 616, par laquelle il a chargé le Secrétaire général de faire appel aux services d'un cabinet de conseil en gestion externe indépendant, chargé de procéder à une évaluation et à un examen détaillés sur le plan des programmes, des stratégies et des finances de la présence régionale de l'UIT.</w:t>
      </w:r>
    </w:p>
    <w:p w14:paraId="6752E938" w14:textId="77777777" w:rsidR="00767B00" w:rsidRPr="001E0F27" w:rsidRDefault="00767B00" w:rsidP="00767B00">
      <w:pPr>
        <w:pStyle w:val="Heading1"/>
      </w:pPr>
      <w:r w:rsidRPr="001E0F27">
        <w:lastRenderedPageBreak/>
        <w:t>2</w:t>
      </w:r>
      <w:r w:rsidRPr="001E0F27">
        <w:tab/>
        <w:t>État d'avancement de la mise en œuvre</w:t>
      </w:r>
    </w:p>
    <w:p w14:paraId="72C9EB0C" w14:textId="759C6AB1" w:rsidR="00767B00" w:rsidRPr="001E0F27" w:rsidRDefault="00767B00" w:rsidP="00767B00">
      <w:r w:rsidRPr="001E0F27">
        <w:t xml:space="preserve">À l'issue d'une procédure d'appel d'offres, PricewaterhouseCoopers ("PwC") a été choisi pour procéder à cet examen. Lancé le 4 novembre 2019, le projet est placé sous la responsabilité de la Directrice du BDT et est actuellement mis en œuvre en étroite collaboration avec les bureaux régionaux et les autres départements/Bureaux </w:t>
      </w:r>
      <w:r w:rsidR="00416B33" w:rsidRPr="001E0F27">
        <w:t xml:space="preserve">concernés </w:t>
      </w:r>
      <w:r w:rsidRPr="001E0F27">
        <w:t>de l'UIT.</w:t>
      </w:r>
    </w:p>
    <w:p w14:paraId="474B262B" w14:textId="77777777" w:rsidR="00767B00" w:rsidRPr="001E0F27" w:rsidRDefault="00767B00" w:rsidP="00767B00">
      <w:r w:rsidRPr="001E0F27">
        <w:t>Les principaux résultats attendus avec le projet peuvent être résumés comme suit</w:t>
      </w:r>
      <w:r w:rsidRPr="001E0F27">
        <w:rPr>
          <w:rStyle w:val="FootnoteReference"/>
        </w:rPr>
        <w:footnoteReference w:id="1"/>
      </w:r>
      <w:r w:rsidRPr="001E0F27">
        <w:t>:</w:t>
      </w:r>
    </w:p>
    <w:p w14:paraId="29040E5F" w14:textId="77777777" w:rsidR="00767B00" w:rsidRPr="001E0F27" w:rsidRDefault="00767B00" w:rsidP="00767B00">
      <w:pPr>
        <w:pStyle w:val="enumlev1"/>
      </w:pPr>
      <w:r w:rsidRPr="001E0F27">
        <w:t>–</w:t>
      </w:r>
      <w:r w:rsidRPr="001E0F27">
        <w:tab/>
        <w:t>Définition de la structure actuelle de notre présence régionale, y compris les procédures et les indicateurs de performance.</w:t>
      </w:r>
    </w:p>
    <w:p w14:paraId="1BA828AF" w14:textId="77777777" w:rsidR="00767B00" w:rsidRPr="001E0F27" w:rsidRDefault="00767B00" w:rsidP="00767B00">
      <w:pPr>
        <w:pStyle w:val="enumlev1"/>
      </w:pPr>
      <w:r w:rsidRPr="001E0F27">
        <w:t>–</w:t>
      </w:r>
      <w:r w:rsidRPr="001E0F27">
        <w:tab/>
        <w:t>Identification des paramètres d'efficacité/de performance.</w:t>
      </w:r>
    </w:p>
    <w:p w14:paraId="1D2D70B5" w14:textId="77777777" w:rsidR="00767B00" w:rsidRPr="001E0F27" w:rsidRDefault="00767B00" w:rsidP="00767B00">
      <w:pPr>
        <w:pStyle w:val="enumlev1"/>
      </w:pPr>
      <w:r w:rsidRPr="001E0F27">
        <w:t>–</w:t>
      </w:r>
      <w:r w:rsidRPr="001E0F27">
        <w:tab/>
        <w:t>Définition de la structure voulue de la présence régionale, en fixant des objectifs en matière de gestion qui iront dans le sens des orientations stratégiques de l'organisation et identification des compétences requises du personnel pour mettre en œuvre ces objectifs.</w:t>
      </w:r>
    </w:p>
    <w:p w14:paraId="309C98CB" w14:textId="279DD5D5" w:rsidR="009C353C" w:rsidRPr="001E0F27" w:rsidRDefault="00767B00" w:rsidP="00767B00">
      <w:pPr>
        <w:pStyle w:val="enumlev1"/>
      </w:pPr>
      <w:r w:rsidRPr="001E0F27">
        <w:t>–</w:t>
      </w:r>
      <w:r w:rsidRPr="001E0F27">
        <w:tab/>
        <w:t>Élaboration d'un plan d'action en faveur du changement, sur la base de toutes les recommandations correspondantes du vérificateur extérieur des comptes, de l'auditeur interne et du CCIG.</w:t>
      </w:r>
    </w:p>
    <w:p w14:paraId="4B9F474D" w14:textId="5D8111B1" w:rsidR="00121545" w:rsidRPr="001E0F27" w:rsidRDefault="000C51BC" w:rsidP="00121545">
      <w:r w:rsidRPr="001E0F27">
        <w:t>Dans le cadre du projet</w:t>
      </w:r>
      <w:r w:rsidR="00121545" w:rsidRPr="001E0F27">
        <w:t xml:space="preserve">, </w:t>
      </w:r>
      <w:r w:rsidRPr="001E0F27">
        <w:t>une séance d'information</w:t>
      </w:r>
      <w:r w:rsidR="00121545" w:rsidRPr="001E0F27">
        <w:t xml:space="preserve"> </w:t>
      </w:r>
      <w:r w:rsidRPr="001E0F27">
        <w:t xml:space="preserve">s'est tenue en marge de la </w:t>
      </w:r>
      <w:r w:rsidR="00E015C3" w:rsidRPr="001E0F27">
        <w:t xml:space="preserve">série de </w:t>
      </w:r>
      <w:r w:rsidR="009D6A81" w:rsidRPr="001E0F27">
        <w:t>réunion</w:t>
      </w:r>
      <w:r w:rsidR="00E015C3" w:rsidRPr="001E0F27">
        <w:t>s</w:t>
      </w:r>
      <w:r w:rsidRPr="001E0F27">
        <w:t xml:space="preserve"> </w:t>
      </w:r>
      <w:r w:rsidR="00E015C3" w:rsidRPr="001E0F27">
        <w:t>des</w:t>
      </w:r>
      <w:r w:rsidRPr="001E0F27">
        <w:t xml:space="preserve"> Groupe</w:t>
      </w:r>
      <w:r w:rsidR="00E015C3" w:rsidRPr="001E0F27">
        <w:t>s</w:t>
      </w:r>
      <w:r w:rsidRPr="001E0F27">
        <w:t xml:space="preserve"> de travail du Conseil avec participation à distance le 3 février 2020,</w:t>
      </w:r>
      <w:r w:rsidR="00121545" w:rsidRPr="001E0F27">
        <w:t xml:space="preserve"> </w:t>
      </w:r>
      <w:r w:rsidR="00416B33" w:rsidRPr="001E0F27">
        <w:t>à l</w:t>
      </w:r>
      <w:r w:rsidR="007F2952" w:rsidRPr="001E0F27">
        <w:t>'</w:t>
      </w:r>
      <w:r w:rsidR="00416B33" w:rsidRPr="001E0F27">
        <w:t xml:space="preserve">occasion desquelles </w:t>
      </w:r>
      <w:r w:rsidRPr="001E0F27">
        <w:t xml:space="preserve">des représentants de </w:t>
      </w:r>
      <w:r w:rsidR="00121545" w:rsidRPr="001E0F27">
        <w:t xml:space="preserve">PwC </w:t>
      </w:r>
      <w:r w:rsidR="009D6A81" w:rsidRPr="001E0F27">
        <w:t>ont présenté les grandes lignes de leurs travaux</w:t>
      </w:r>
      <w:r w:rsidR="00121545" w:rsidRPr="001E0F27">
        <w:t xml:space="preserve">. </w:t>
      </w:r>
      <w:r w:rsidR="009D6A81" w:rsidRPr="001E0F27">
        <w:t>Les archives</w:t>
      </w:r>
      <w:r w:rsidR="00121545" w:rsidRPr="001E0F27">
        <w:t xml:space="preserve"> </w:t>
      </w:r>
      <w:r w:rsidR="009D6A81" w:rsidRPr="001E0F27">
        <w:t xml:space="preserve">de diffusion sur le web sont disponibles </w:t>
      </w:r>
      <w:hyperlink r:id="rId12" w:history="1">
        <w:r w:rsidR="009D6A81" w:rsidRPr="001E0F27">
          <w:rPr>
            <w:rStyle w:val="Hyperlink"/>
          </w:rPr>
          <w:t>ici</w:t>
        </w:r>
      </w:hyperlink>
      <w:r w:rsidR="00121545" w:rsidRPr="001E0F27">
        <w:t xml:space="preserve">. </w:t>
      </w:r>
      <w:r w:rsidR="009D6A81" w:rsidRPr="001E0F27">
        <w:t>Le 26 mars</w:t>
      </w:r>
      <w:r w:rsidR="00121545" w:rsidRPr="001E0F27">
        <w:t xml:space="preserve"> 2020, </w:t>
      </w:r>
      <w:r w:rsidR="009D6A81" w:rsidRPr="001E0F27">
        <w:t xml:space="preserve">lors d'un Dialogue web </w:t>
      </w:r>
      <w:r w:rsidR="006977AB" w:rsidRPr="001E0F27">
        <w:t xml:space="preserve">interactif </w:t>
      </w:r>
      <w:r w:rsidR="009D6A81" w:rsidRPr="001E0F27">
        <w:t>du</w:t>
      </w:r>
      <w:r w:rsidR="007F2952" w:rsidRPr="001E0F27">
        <w:t> </w:t>
      </w:r>
      <w:r w:rsidR="009D6A81" w:rsidRPr="001E0F27">
        <w:t xml:space="preserve">GCDT avec les </w:t>
      </w:r>
      <w:r w:rsidR="00416B33" w:rsidRPr="001E0F27">
        <w:t>m</w:t>
      </w:r>
      <w:r w:rsidR="009D6A81" w:rsidRPr="001E0F27">
        <w:t xml:space="preserve">embres, le consultant a présenté un résumé de son évaluation préliminaire </w:t>
      </w:r>
      <w:r w:rsidR="00684D5C" w:rsidRPr="001E0F27">
        <w:t>du</w:t>
      </w:r>
      <w:r w:rsidR="009D6A81" w:rsidRPr="001E0F27">
        <w:t xml:space="preserve"> rôle de la présence régionale dans la mise en œuvre des programmes et activités de l'UIT-D</w:t>
      </w:r>
      <w:r w:rsidR="00121545" w:rsidRPr="001E0F27">
        <w:t xml:space="preserve">, </w:t>
      </w:r>
      <w:r w:rsidR="008E1715" w:rsidRPr="001E0F27">
        <w:t xml:space="preserve">ainsi que </w:t>
      </w:r>
      <w:r w:rsidR="00572018" w:rsidRPr="001E0F27">
        <w:t>l</w:t>
      </w:r>
      <w:r w:rsidR="009D6A81" w:rsidRPr="001E0F27">
        <w:t xml:space="preserve">es mesures </w:t>
      </w:r>
      <w:r w:rsidR="00684D5C" w:rsidRPr="001E0F27">
        <w:t>qui</w:t>
      </w:r>
      <w:r w:rsidR="009D6A81" w:rsidRPr="001E0F27">
        <w:t xml:space="preserve"> </w:t>
      </w:r>
      <w:r w:rsidR="00684D5C" w:rsidRPr="001E0F27">
        <w:t xml:space="preserve">pourraient être prises </w:t>
      </w:r>
      <w:r w:rsidR="009D6A81" w:rsidRPr="001E0F27">
        <w:t xml:space="preserve">pour améliorer </w:t>
      </w:r>
      <w:r w:rsidR="00232B53" w:rsidRPr="001E0F27">
        <w:t xml:space="preserve">les résultats obtenus par les bureaux hors siège et leur </w:t>
      </w:r>
      <w:r w:rsidR="00572018" w:rsidRPr="001E0F27">
        <w:t>efficacité</w:t>
      </w:r>
      <w:r w:rsidR="00121545" w:rsidRPr="001E0F27">
        <w:t xml:space="preserve">. </w:t>
      </w:r>
      <w:r w:rsidR="00232B53" w:rsidRPr="001E0F27">
        <w:t xml:space="preserve">Le rapport de ce Dialogue web est disponible </w:t>
      </w:r>
      <w:hyperlink r:id="rId13" w:history="1">
        <w:r w:rsidR="00232B53" w:rsidRPr="001E0F27">
          <w:rPr>
            <w:rStyle w:val="Hyperlink"/>
          </w:rPr>
          <w:t>ici</w:t>
        </w:r>
      </w:hyperlink>
      <w:r w:rsidR="00121545" w:rsidRPr="001E0F27">
        <w:t>.</w:t>
      </w:r>
    </w:p>
    <w:p w14:paraId="387F443E" w14:textId="3E14E0ED" w:rsidR="00121545" w:rsidRPr="001E0F27" w:rsidRDefault="001E0F27" w:rsidP="00121545">
      <w:r w:rsidRPr="001E0F27">
        <w:t>À</w:t>
      </w:r>
      <w:r w:rsidR="00416B33" w:rsidRPr="001E0F27">
        <w:t xml:space="preserve"> l</w:t>
      </w:r>
      <w:r w:rsidR="007F2952" w:rsidRPr="001E0F27">
        <w:t>'</w:t>
      </w:r>
      <w:r w:rsidR="00416B33" w:rsidRPr="001E0F27">
        <w:t>issue d</w:t>
      </w:r>
      <w:r w:rsidR="007F2952" w:rsidRPr="001E0F27">
        <w:t>'</w:t>
      </w:r>
      <w:r w:rsidR="00232B53" w:rsidRPr="001E0F27">
        <w:t xml:space="preserve">une phase </w:t>
      </w:r>
      <w:r w:rsidR="00416B33" w:rsidRPr="001E0F27">
        <w:t xml:space="preserve">préliminaire </w:t>
      </w:r>
      <w:r w:rsidR="00232B53" w:rsidRPr="001E0F27">
        <w:t xml:space="preserve">de collecte des données et </w:t>
      </w:r>
      <w:r w:rsidR="00416B33" w:rsidRPr="001E0F27">
        <w:t>d</w:t>
      </w:r>
      <w:r w:rsidR="007F2952" w:rsidRPr="001E0F27">
        <w:t>'</w:t>
      </w:r>
      <w:r w:rsidR="00232B53" w:rsidRPr="001E0F27">
        <w:t xml:space="preserve">une évaluation des activités hors siège </w:t>
      </w:r>
      <w:r w:rsidR="00416B33" w:rsidRPr="001E0F27">
        <w:t xml:space="preserve">menées </w:t>
      </w:r>
      <w:r w:rsidR="00232B53" w:rsidRPr="001E0F27">
        <w:t>actuelle</w:t>
      </w:r>
      <w:r w:rsidR="00416B33" w:rsidRPr="001E0F27">
        <w:t>ment</w:t>
      </w:r>
      <w:r w:rsidR="00121545" w:rsidRPr="001E0F27">
        <w:t xml:space="preserve">, </w:t>
      </w:r>
      <w:r w:rsidR="00232B53" w:rsidRPr="001E0F27">
        <w:t>le projet a subi des retards imprév</w:t>
      </w:r>
      <w:r w:rsidR="00416B33" w:rsidRPr="001E0F27">
        <w:t>us</w:t>
      </w:r>
      <w:r w:rsidR="00232B53" w:rsidRPr="001E0F27">
        <w:t xml:space="preserve">, notamment </w:t>
      </w:r>
      <w:r w:rsidR="006C53C9" w:rsidRPr="001E0F27">
        <w:t xml:space="preserve">parce que PwC a </w:t>
      </w:r>
      <w:r w:rsidR="00416B33" w:rsidRPr="001E0F27">
        <w:t xml:space="preserve">fourni </w:t>
      </w:r>
      <w:r w:rsidR="006C53C9" w:rsidRPr="001E0F27">
        <w:t>tardivement</w:t>
      </w:r>
      <w:r w:rsidR="00232B53" w:rsidRPr="001E0F27">
        <w:t xml:space="preserve"> </w:t>
      </w:r>
      <w:r w:rsidR="006C53C9" w:rsidRPr="001E0F27">
        <w:t>des</w:t>
      </w:r>
      <w:r w:rsidR="00F9056D" w:rsidRPr="001E0F27">
        <w:t xml:space="preserve"> résultats </w:t>
      </w:r>
      <w:r w:rsidR="00684D5C" w:rsidRPr="001E0F27">
        <w:t xml:space="preserve">attendus </w:t>
      </w:r>
      <w:r w:rsidR="0016747C" w:rsidRPr="001E0F27">
        <w:t>importants</w:t>
      </w:r>
      <w:r w:rsidR="00121545" w:rsidRPr="001E0F27">
        <w:t xml:space="preserve">. </w:t>
      </w:r>
      <w:r w:rsidR="00F9056D" w:rsidRPr="001E0F27">
        <w:t>Le secrétariat a</w:t>
      </w:r>
      <w:r w:rsidR="007F2952" w:rsidRPr="001E0F27">
        <w:t xml:space="preserve"> </w:t>
      </w:r>
      <w:r w:rsidR="00416B33" w:rsidRPr="001E0F27">
        <w:t xml:space="preserve">procédé à </w:t>
      </w:r>
      <w:r w:rsidR="00F9056D" w:rsidRPr="001E0F27">
        <w:t xml:space="preserve">des examens </w:t>
      </w:r>
      <w:r w:rsidR="00416B33" w:rsidRPr="001E0F27">
        <w:t xml:space="preserve">en </w:t>
      </w:r>
      <w:r w:rsidR="00F9056D" w:rsidRPr="001E0F27">
        <w:t>interne</w:t>
      </w:r>
      <w:r w:rsidR="007F2952" w:rsidRPr="001E0F27">
        <w:t xml:space="preserve"> </w:t>
      </w:r>
      <w:r w:rsidR="00337D0F" w:rsidRPr="001E0F27">
        <w:t>sur</w:t>
      </w:r>
      <w:r w:rsidR="00F9056D" w:rsidRPr="001E0F27">
        <w:t xml:space="preserve"> ces différents projets de produits</w:t>
      </w:r>
      <w:r w:rsidR="00416B33" w:rsidRPr="001E0F27">
        <w:t>,</w:t>
      </w:r>
      <w:r w:rsidR="00F9056D" w:rsidRPr="001E0F27">
        <w:t xml:space="preserve"> pour </w:t>
      </w:r>
      <w:r w:rsidR="000D5C60" w:rsidRPr="001E0F27">
        <w:t>s'assurer</w:t>
      </w:r>
      <w:r w:rsidR="00F9056D" w:rsidRPr="001E0F27">
        <w:t xml:space="preserve"> qu'ils </w:t>
      </w:r>
      <w:r w:rsidR="00416B33" w:rsidRPr="001E0F27">
        <w:t>avaient</w:t>
      </w:r>
      <w:r w:rsidR="007F2952" w:rsidRPr="001E0F27">
        <w:t xml:space="preserve"> </w:t>
      </w:r>
      <w:r w:rsidR="00F9056D" w:rsidRPr="001E0F27">
        <w:t>été élaborés conformément</w:t>
      </w:r>
      <w:r w:rsidR="00121545" w:rsidRPr="001E0F27">
        <w:t xml:space="preserve"> </w:t>
      </w:r>
      <w:r w:rsidR="00F9056D" w:rsidRPr="001E0F27">
        <w:t xml:space="preserve">au cahier des charges </w:t>
      </w:r>
      <w:r w:rsidR="000D5C60" w:rsidRPr="001E0F27">
        <w:t>figurant</w:t>
      </w:r>
      <w:r w:rsidR="00F9056D" w:rsidRPr="001E0F27">
        <w:t xml:space="preserve"> dans la Décision 616 du Conseil</w:t>
      </w:r>
      <w:r w:rsidR="00121545" w:rsidRPr="001E0F27">
        <w:t>.</w:t>
      </w:r>
    </w:p>
    <w:p w14:paraId="6D211D60" w14:textId="38136E9A" w:rsidR="00767B00" w:rsidRPr="001E0F27" w:rsidRDefault="008804BA" w:rsidP="00121545">
      <w:r w:rsidRPr="001E0F27">
        <w:t xml:space="preserve">Les représentants de PwC ont </w:t>
      </w:r>
      <w:r w:rsidR="00105E8F" w:rsidRPr="001E0F27">
        <w:t>présenté un exposé</w:t>
      </w:r>
      <w:r w:rsidRPr="001E0F27">
        <w:t xml:space="preserve"> devant la haute direction de l'UIT</w:t>
      </w:r>
      <w:r w:rsidR="00121545" w:rsidRPr="001E0F27">
        <w:t xml:space="preserve">. </w:t>
      </w:r>
      <w:r w:rsidR="006C53C9" w:rsidRPr="001E0F27">
        <w:t>En conséquence</w:t>
      </w:r>
      <w:r w:rsidR="007F2952" w:rsidRPr="001E0F27">
        <w:t>,</w:t>
      </w:r>
      <w:r w:rsidR="00121545" w:rsidRPr="001E0F27">
        <w:t xml:space="preserve"> </w:t>
      </w:r>
      <w:r w:rsidRPr="001E0F27">
        <w:t xml:space="preserve">des observations détaillées ont été communiquées à PwC, afin que ses représentants les </w:t>
      </w:r>
      <w:r w:rsidR="006C53C9" w:rsidRPr="001E0F27">
        <w:t>étudient et les examinent de manière</w:t>
      </w:r>
      <w:r w:rsidR="007F2952" w:rsidRPr="001E0F27">
        <w:t xml:space="preserve"> </w:t>
      </w:r>
      <w:r w:rsidR="006C53C9" w:rsidRPr="001E0F27">
        <w:t>approfondie</w:t>
      </w:r>
      <w:r w:rsidR="00121545" w:rsidRPr="001E0F27">
        <w:t xml:space="preserve">. </w:t>
      </w:r>
      <w:r w:rsidR="006C53C9" w:rsidRPr="001E0F27">
        <w:t xml:space="preserve">La direction de l'UIT </w:t>
      </w:r>
      <w:r w:rsidR="00F002B7" w:rsidRPr="001E0F27">
        <w:t>estime</w:t>
      </w:r>
      <w:r w:rsidR="006C53C9" w:rsidRPr="001E0F27">
        <w:t xml:space="preserve"> </w:t>
      </w:r>
      <w:r w:rsidR="00F002B7" w:rsidRPr="001E0F27">
        <w:t>qu'il est nécessaire de poursuivre les travaux</w:t>
      </w:r>
      <w:r w:rsidR="006C53C9" w:rsidRPr="001E0F27">
        <w:t xml:space="preserve"> sur le projet de rapport</w:t>
      </w:r>
      <w:r w:rsidR="00121545" w:rsidRPr="001E0F27">
        <w:t xml:space="preserve">, </w:t>
      </w:r>
      <w:r w:rsidR="00416B33" w:rsidRPr="001E0F27">
        <w:t>et plus particulièrement</w:t>
      </w:r>
      <w:r w:rsidR="007F2952" w:rsidRPr="001E0F27">
        <w:t xml:space="preserve"> </w:t>
      </w:r>
      <w:r w:rsidR="006C53C9" w:rsidRPr="001E0F27">
        <w:t xml:space="preserve">de </w:t>
      </w:r>
      <w:r w:rsidR="008E1715" w:rsidRPr="001E0F27">
        <w:t>mener des consultations équilibrées auprès des membres</w:t>
      </w:r>
      <w:r w:rsidR="007F2952" w:rsidRPr="001E0F27">
        <w:t xml:space="preserve"> </w:t>
      </w:r>
      <w:r w:rsidR="006C53C9" w:rsidRPr="001E0F27">
        <w:t>de l'UIT</w:t>
      </w:r>
      <w:r w:rsidR="007F2952" w:rsidRPr="001E0F27">
        <w:t>.</w:t>
      </w:r>
      <w:r w:rsidR="00121545" w:rsidRPr="001E0F27">
        <w:t xml:space="preserve"> </w:t>
      </w:r>
      <w:r w:rsidR="006C53C9" w:rsidRPr="001E0F27">
        <w:t xml:space="preserve">Le secrétariat examine </w:t>
      </w:r>
      <w:r w:rsidR="008E1715" w:rsidRPr="001E0F27">
        <w:t xml:space="preserve">actuellement </w:t>
      </w:r>
      <w:r w:rsidR="006C53C9" w:rsidRPr="001E0F27">
        <w:t xml:space="preserve">avec </w:t>
      </w:r>
      <w:r w:rsidR="00121545" w:rsidRPr="001E0F27">
        <w:t xml:space="preserve">PwC </w:t>
      </w:r>
      <w:r w:rsidR="006C53C9" w:rsidRPr="001E0F27">
        <w:t>un calendrier révisé</w:t>
      </w:r>
      <w:r w:rsidR="008E1715" w:rsidRPr="001E0F27">
        <w:t>,</w:t>
      </w:r>
      <w:r w:rsidR="006C53C9" w:rsidRPr="001E0F27">
        <w:t xml:space="preserve"> </w:t>
      </w:r>
      <w:r w:rsidR="00594469" w:rsidRPr="001E0F27">
        <w:t>afin</w:t>
      </w:r>
      <w:r w:rsidR="002953C7" w:rsidRPr="001E0F27">
        <w:t xml:space="preserve"> de </w:t>
      </w:r>
      <w:r w:rsidR="008E1715" w:rsidRPr="001E0F27">
        <w:t xml:space="preserve">veiller à ce </w:t>
      </w:r>
      <w:r w:rsidR="006C53C9" w:rsidRPr="001E0F27">
        <w:t>que les buts et</w:t>
      </w:r>
      <w:r w:rsidR="007F2952" w:rsidRPr="001E0F27">
        <w:t xml:space="preserve"> </w:t>
      </w:r>
      <w:r w:rsidR="006C53C9" w:rsidRPr="001E0F27">
        <w:t>objectifs inscrits dans le cahier des charges, la Décision 616 du Conseil et la Résolution 25 (Ré</w:t>
      </w:r>
      <w:r w:rsidR="00121545" w:rsidRPr="001E0F27">
        <w:t xml:space="preserve">v. </w:t>
      </w:r>
      <w:r w:rsidR="006C53C9" w:rsidRPr="001E0F27">
        <w:t>Dubaï</w:t>
      </w:r>
      <w:r w:rsidR="00121545" w:rsidRPr="001E0F27">
        <w:t xml:space="preserve">, 2018) </w:t>
      </w:r>
      <w:r w:rsidR="001B0006" w:rsidRPr="001E0F27">
        <w:t xml:space="preserve">de la Conférence de plénipotentiaires </w:t>
      </w:r>
      <w:r w:rsidR="006C53C9" w:rsidRPr="001E0F27">
        <w:t>s</w:t>
      </w:r>
      <w:r w:rsidR="008E1715" w:rsidRPr="001E0F27">
        <w:t>oient</w:t>
      </w:r>
      <w:r w:rsidR="006C53C9" w:rsidRPr="001E0F27">
        <w:t xml:space="preserve"> </w:t>
      </w:r>
      <w:r w:rsidR="00337D0F" w:rsidRPr="001E0F27">
        <w:t>atteints</w:t>
      </w:r>
      <w:r w:rsidR="00121545" w:rsidRPr="001E0F27">
        <w:t>.</w:t>
      </w:r>
    </w:p>
    <w:p w14:paraId="33A2492F" w14:textId="77777777" w:rsidR="00121545" w:rsidRPr="001E0F27" w:rsidRDefault="00121545" w:rsidP="00121545">
      <w:pPr>
        <w:spacing w:before="360"/>
        <w:jc w:val="center"/>
      </w:pPr>
      <w:r w:rsidRPr="001E0F27">
        <w:t>______________</w:t>
      </w:r>
      <w:bookmarkEnd w:id="1"/>
    </w:p>
    <w:sectPr w:rsidR="00121545" w:rsidRPr="001E0F27"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074D" w14:textId="77777777" w:rsidR="00767B00" w:rsidRDefault="00767B00">
      <w:r>
        <w:separator/>
      </w:r>
    </w:p>
  </w:endnote>
  <w:endnote w:type="continuationSeparator" w:id="0">
    <w:p w14:paraId="03705899" w14:textId="77777777" w:rsidR="00767B00" w:rsidRDefault="007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0419" w14:textId="0C70E3DD" w:rsidR="00732045" w:rsidRDefault="001E0F27">
    <w:pPr>
      <w:pStyle w:val="Footer"/>
    </w:pPr>
    <w:fldSimple w:instr=" FILENAME \p \* MERGEFORMAT ">
      <w:r w:rsidR="00767B00">
        <w:t>Document2</w:t>
      </w:r>
    </w:fldSimple>
    <w:r w:rsidR="00732045">
      <w:tab/>
    </w:r>
    <w:r w:rsidR="002F1B76">
      <w:fldChar w:fldCharType="begin"/>
    </w:r>
    <w:r w:rsidR="00732045">
      <w:instrText xml:space="preserve"> savedate \@ dd.MM.yy </w:instrText>
    </w:r>
    <w:r w:rsidR="002F1B76">
      <w:fldChar w:fldCharType="separate"/>
    </w:r>
    <w:r w:rsidR="003B27FA">
      <w:t>25.05.20</w:t>
    </w:r>
    <w:r w:rsidR="002F1B76">
      <w:fldChar w:fldCharType="end"/>
    </w:r>
    <w:r w:rsidR="00732045">
      <w:tab/>
    </w:r>
    <w:r w:rsidR="002F1B76">
      <w:fldChar w:fldCharType="begin"/>
    </w:r>
    <w:r w:rsidR="00732045">
      <w:instrText xml:space="preserve"> printdate \@ dd.MM.yy </w:instrText>
    </w:r>
    <w:r w:rsidR="002F1B76">
      <w:fldChar w:fldCharType="separate"/>
    </w:r>
    <w:r w:rsidR="00767B0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D824" w14:textId="5939C327" w:rsidR="00732045" w:rsidRDefault="001E0F27">
    <w:pPr>
      <w:pStyle w:val="Footer"/>
    </w:pPr>
    <w:fldSimple w:instr=" FILENAME \p \* MERGEFORMAT ">
      <w:r w:rsidR="00A33E4E">
        <w:t>P:\FRA\SG\CONSEIL\C20\000\064F.docx</w:t>
      </w:r>
    </w:fldSimple>
    <w:r w:rsidR="00121545">
      <w:t xml:space="preserve"> (470934)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8A6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4258A" w14:textId="77777777" w:rsidR="00767B00" w:rsidRDefault="00767B00">
      <w:r>
        <w:t>____________________</w:t>
      </w:r>
    </w:p>
  </w:footnote>
  <w:footnote w:type="continuationSeparator" w:id="0">
    <w:p w14:paraId="4C44B462" w14:textId="77777777" w:rsidR="00767B00" w:rsidRDefault="00767B00">
      <w:r>
        <w:continuationSeparator/>
      </w:r>
    </w:p>
  </w:footnote>
  <w:footnote w:id="1">
    <w:p w14:paraId="67AF0F6C" w14:textId="77777777" w:rsidR="00767B00" w:rsidRDefault="00767B00" w:rsidP="00767B00">
      <w:pPr>
        <w:pStyle w:val="FootnoteText"/>
      </w:pPr>
      <w:r w:rsidRPr="00121545">
        <w:rPr>
          <w:rStyle w:val="FootnoteReference"/>
        </w:rPr>
        <w:footnoteRef/>
      </w:r>
      <w:r>
        <w:tab/>
      </w:r>
      <w:r w:rsidRPr="00121545">
        <w:t>La liste complète des résultats attendus figure dans l'Annexe 1 de la Décision 616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597A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A7206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8646" w14:textId="1D18B4EA" w:rsidR="00732045" w:rsidRDefault="00C27A7C" w:rsidP="00475FB3">
    <w:pPr>
      <w:pStyle w:val="Header"/>
    </w:pPr>
    <w:r>
      <w:fldChar w:fldCharType="begin"/>
    </w:r>
    <w:r>
      <w:instrText>PAGE</w:instrText>
    </w:r>
    <w:r>
      <w:fldChar w:fldCharType="separate"/>
    </w:r>
    <w:r w:rsidR="0016747C">
      <w:rPr>
        <w:noProof/>
      </w:rPr>
      <w:t>3</w:t>
    </w:r>
    <w:r>
      <w:rPr>
        <w:noProof/>
      </w:rPr>
      <w:fldChar w:fldCharType="end"/>
    </w:r>
  </w:p>
  <w:p w14:paraId="7106F169" w14:textId="352E6A70" w:rsidR="00732045" w:rsidRDefault="00732045" w:rsidP="00106B19">
    <w:pPr>
      <w:pStyle w:val="Header"/>
    </w:pPr>
    <w:r>
      <w:t>C</w:t>
    </w:r>
    <w:r w:rsidR="009C353C">
      <w:t>20</w:t>
    </w:r>
    <w:r>
      <w:t>/</w:t>
    </w:r>
    <w:r w:rsidR="00121545">
      <w:t>64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E18CD0-EE3E-4957-89B7-8151DF6A6691}"/>
    <w:docVar w:name="dgnword-eventsink" w:val="1656385135808"/>
  </w:docVars>
  <w:rsids>
    <w:rsidRoot w:val="00767B00"/>
    <w:rsid w:val="000C51BC"/>
    <w:rsid w:val="000D0D0A"/>
    <w:rsid w:val="000D5C60"/>
    <w:rsid w:val="000F56ED"/>
    <w:rsid w:val="00103163"/>
    <w:rsid w:val="00105E8F"/>
    <w:rsid w:val="00106B19"/>
    <w:rsid w:val="00115D93"/>
    <w:rsid w:val="00121545"/>
    <w:rsid w:val="001247A8"/>
    <w:rsid w:val="001378C0"/>
    <w:rsid w:val="0016747C"/>
    <w:rsid w:val="00175F73"/>
    <w:rsid w:val="0018694A"/>
    <w:rsid w:val="001A3287"/>
    <w:rsid w:val="001A6508"/>
    <w:rsid w:val="001B0006"/>
    <w:rsid w:val="001D4C31"/>
    <w:rsid w:val="001E0F27"/>
    <w:rsid w:val="001E4D21"/>
    <w:rsid w:val="001F45FB"/>
    <w:rsid w:val="00206CFC"/>
    <w:rsid w:val="00207CD1"/>
    <w:rsid w:val="0021224A"/>
    <w:rsid w:val="00232B53"/>
    <w:rsid w:val="002477A2"/>
    <w:rsid w:val="00263A51"/>
    <w:rsid w:val="00267E02"/>
    <w:rsid w:val="002953C7"/>
    <w:rsid w:val="002A5D44"/>
    <w:rsid w:val="002E0BC4"/>
    <w:rsid w:val="002F1B76"/>
    <w:rsid w:val="00302546"/>
    <w:rsid w:val="0033568E"/>
    <w:rsid w:val="00337D0F"/>
    <w:rsid w:val="00355FF5"/>
    <w:rsid w:val="00361350"/>
    <w:rsid w:val="003B27FA"/>
    <w:rsid w:val="003C3FAE"/>
    <w:rsid w:val="004038CB"/>
    <w:rsid w:val="0040546F"/>
    <w:rsid w:val="004069EA"/>
    <w:rsid w:val="00416B33"/>
    <w:rsid w:val="0042404A"/>
    <w:rsid w:val="0044618F"/>
    <w:rsid w:val="0046769A"/>
    <w:rsid w:val="00475FB3"/>
    <w:rsid w:val="004C37A9"/>
    <w:rsid w:val="004F259E"/>
    <w:rsid w:val="00511F1D"/>
    <w:rsid w:val="00520F36"/>
    <w:rsid w:val="00540615"/>
    <w:rsid w:val="00540A6D"/>
    <w:rsid w:val="00571EEA"/>
    <w:rsid w:val="00572018"/>
    <w:rsid w:val="00575417"/>
    <w:rsid w:val="005768E1"/>
    <w:rsid w:val="00594469"/>
    <w:rsid w:val="005B1938"/>
    <w:rsid w:val="005B5C59"/>
    <w:rsid w:val="005C3890"/>
    <w:rsid w:val="005F7BFE"/>
    <w:rsid w:val="00600017"/>
    <w:rsid w:val="006203AE"/>
    <w:rsid w:val="006235CA"/>
    <w:rsid w:val="006643AB"/>
    <w:rsid w:val="00684D5C"/>
    <w:rsid w:val="006977AB"/>
    <w:rsid w:val="006C53C9"/>
    <w:rsid w:val="007210CD"/>
    <w:rsid w:val="00732045"/>
    <w:rsid w:val="007369DB"/>
    <w:rsid w:val="00767B00"/>
    <w:rsid w:val="007956C2"/>
    <w:rsid w:val="007A187E"/>
    <w:rsid w:val="007C72C2"/>
    <w:rsid w:val="007D4436"/>
    <w:rsid w:val="007F257A"/>
    <w:rsid w:val="007F2952"/>
    <w:rsid w:val="007F3665"/>
    <w:rsid w:val="00800037"/>
    <w:rsid w:val="00861D73"/>
    <w:rsid w:val="008804BA"/>
    <w:rsid w:val="008A4E87"/>
    <w:rsid w:val="008D76E6"/>
    <w:rsid w:val="008E1715"/>
    <w:rsid w:val="009073AD"/>
    <w:rsid w:val="0092392D"/>
    <w:rsid w:val="0093234A"/>
    <w:rsid w:val="00976DF2"/>
    <w:rsid w:val="009C307F"/>
    <w:rsid w:val="009C353C"/>
    <w:rsid w:val="009D6A81"/>
    <w:rsid w:val="00A2113E"/>
    <w:rsid w:val="00A23A51"/>
    <w:rsid w:val="00A24607"/>
    <w:rsid w:val="00A25CD3"/>
    <w:rsid w:val="00A33E4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015C3"/>
    <w:rsid w:val="00E25AD0"/>
    <w:rsid w:val="00EB6350"/>
    <w:rsid w:val="00F002B7"/>
    <w:rsid w:val="00F15B57"/>
    <w:rsid w:val="00F427DB"/>
    <w:rsid w:val="00F9056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08C4BA"/>
  <w15:docId w15:val="{19B28702-F553-44C4-A326-3E7375B1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21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fr/ITU-D/Conferences/TDAG/Pages/TDAG25/default.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u.int/fr/council/Pages/grou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9-CL-C-0133/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itu.int/en/council/Documents/basic-texts/RES-025-F.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DAF47-EF32-4BC8-8D45-2AB94471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F81D-48B8-4DD4-A8D8-D08A7CFF92E7}">
  <ds:schemaRefs>
    <ds:schemaRef ds:uri="http://schemas.microsoft.com/sharepoint/v3/contenttype/forms"/>
  </ds:schemaRefs>
</ds:datastoreItem>
</file>

<file path=customXml/itemProps3.xml><?xml version="1.0" encoding="utf-8"?>
<ds:datastoreItem xmlns:ds="http://schemas.openxmlformats.org/officeDocument/2006/customXml" ds:itemID="{2552F83F-6A55-4C9F-B3DF-2CC281B7E6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2</Pages>
  <Words>804</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présence régionale de l'UIT</dc:title>
  <dc:subject>Conseil 2020</dc:subject>
  <dc:creator>Chanavat, Emilie</dc:creator>
  <cp:keywords>C2020, C20</cp:keywords>
  <dc:description/>
  <cp:lastModifiedBy>Brouard, Ricarda</cp:lastModifiedBy>
  <cp:revision>2</cp:revision>
  <cp:lastPrinted>2000-07-18T08:55:00Z</cp:lastPrinted>
  <dcterms:created xsi:type="dcterms:W3CDTF">2020-05-27T07:00:00Z</dcterms:created>
  <dcterms:modified xsi:type="dcterms:W3CDTF">2020-05-27T07:00:00Z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