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24EA6" w14:textId="77777777" w:rsidR="003737DE" w:rsidRPr="009447B0" w:rsidRDefault="003737DE" w:rsidP="00541396">
      <w:pPr>
        <w:rPr>
          <w:sz w:val="2"/>
          <w:szCs w:val="2"/>
        </w:rPr>
      </w:pPr>
    </w:p>
    <w:tbl>
      <w:tblPr>
        <w:tblpPr w:leftFromText="180" w:rightFromText="180" w:vertAnchor="page" w:horzAnchor="margin" w:tblpY="931"/>
        <w:tblW w:w="9837" w:type="dxa"/>
        <w:tblLayout w:type="fixed"/>
        <w:tblLook w:val="0000" w:firstRow="0" w:lastRow="0" w:firstColumn="0" w:lastColumn="0" w:noHBand="0" w:noVBand="0"/>
      </w:tblPr>
      <w:tblGrid>
        <w:gridCol w:w="6345"/>
        <w:gridCol w:w="3492"/>
      </w:tblGrid>
      <w:tr w:rsidR="008D7F5B" w14:paraId="06FBCFC1" w14:textId="77777777" w:rsidTr="0039463A">
        <w:trPr>
          <w:cantSplit/>
          <w:trHeight w:val="20"/>
        </w:trPr>
        <w:tc>
          <w:tcPr>
            <w:tcW w:w="6345" w:type="dxa"/>
            <w:vAlign w:val="center"/>
          </w:tcPr>
          <w:p w14:paraId="6D1FF2D8" w14:textId="0464F631" w:rsidR="008D7F5B" w:rsidRPr="0039463A" w:rsidRDefault="00AF7B76" w:rsidP="0039463A">
            <w:pPr>
              <w:shd w:val="solid" w:color="FFFFFF" w:fill="FFFFFF"/>
              <w:spacing w:before="160" w:after="0" w:line="240" w:lineRule="auto"/>
              <w:rPr>
                <w:b/>
                <w:bCs/>
                <w:sz w:val="24"/>
                <w:szCs w:val="36"/>
              </w:rPr>
            </w:pPr>
            <w:r w:rsidRPr="00612C20">
              <w:rPr>
                <w:rFonts w:cs="Times"/>
                <w:b/>
                <w:sz w:val="32"/>
                <w:szCs w:val="32"/>
              </w:rPr>
              <w:t>Co</w:t>
            </w:r>
            <w:r w:rsidR="00363003">
              <w:rPr>
                <w:rFonts w:cs="Times"/>
                <w:b/>
                <w:sz w:val="32"/>
                <w:szCs w:val="32"/>
              </w:rPr>
              <w:t>nseil</w:t>
            </w:r>
            <w:r w:rsidRPr="00612C20">
              <w:rPr>
                <w:rFonts w:cs="Times"/>
                <w:b/>
                <w:sz w:val="32"/>
                <w:szCs w:val="32"/>
              </w:rPr>
              <w:t xml:space="preserve"> 20</w:t>
            </w:r>
            <w:r w:rsidR="00CF45B5">
              <w:rPr>
                <w:rFonts w:cs="Times"/>
                <w:b/>
                <w:sz w:val="32"/>
                <w:szCs w:val="32"/>
              </w:rPr>
              <w:t>20</w:t>
            </w:r>
          </w:p>
        </w:tc>
        <w:tc>
          <w:tcPr>
            <w:tcW w:w="3492" w:type="dxa"/>
          </w:tcPr>
          <w:p w14:paraId="7DB43FAD" w14:textId="398CDEFD" w:rsidR="008D7F5B" w:rsidRDefault="00CF45B5" w:rsidP="008900C3">
            <w:pPr>
              <w:pStyle w:val="dnum"/>
              <w:framePr w:hSpace="0" w:wrap="auto" w:vAnchor="margin" w:hAnchor="text" w:yAlign="inline"/>
              <w:spacing w:after="0" w:line="240" w:lineRule="auto"/>
            </w:pPr>
            <w:r>
              <w:rPr>
                <w:noProof/>
                <w:lang w:eastAsia="zh-CN"/>
              </w:rPr>
              <w:drawing>
                <wp:inline distT="0" distB="0" distL="0" distR="0" wp14:anchorId="6C53536B" wp14:editId="53B422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D7F5B" w14:paraId="2B6E9CEF" w14:textId="77777777" w:rsidTr="005323A0">
        <w:trPr>
          <w:cantSplit/>
          <w:trHeight w:val="20"/>
        </w:trPr>
        <w:tc>
          <w:tcPr>
            <w:tcW w:w="6345" w:type="dxa"/>
            <w:tcBorders>
              <w:bottom w:val="single" w:sz="12" w:space="0" w:color="auto"/>
            </w:tcBorders>
          </w:tcPr>
          <w:p w14:paraId="055DD4FE" w14:textId="77777777" w:rsidR="008D7F5B" w:rsidRPr="003737DE" w:rsidRDefault="008D7F5B" w:rsidP="008900C3">
            <w:pPr>
              <w:shd w:val="solid" w:color="FFFFFF" w:fill="FFFFFF"/>
              <w:spacing w:after="0" w:line="240" w:lineRule="auto"/>
              <w:rPr>
                <w:rFonts w:cs="Times"/>
                <w:b/>
              </w:rPr>
            </w:pPr>
          </w:p>
        </w:tc>
        <w:tc>
          <w:tcPr>
            <w:tcW w:w="3492" w:type="dxa"/>
            <w:tcBorders>
              <w:bottom w:val="single" w:sz="12" w:space="0" w:color="auto"/>
            </w:tcBorders>
          </w:tcPr>
          <w:p w14:paraId="7BC0B863" w14:textId="77777777" w:rsidR="008D7F5B" w:rsidRDefault="008D7F5B" w:rsidP="008900C3">
            <w:pPr>
              <w:pStyle w:val="dnum"/>
              <w:framePr w:hSpace="0" w:wrap="auto" w:vAnchor="margin" w:hAnchor="text" w:yAlign="inline"/>
              <w:spacing w:after="0" w:line="240" w:lineRule="auto"/>
              <w:rPr>
                <w:rFonts w:ascii="Verdana" w:hAnsi="Verdana"/>
                <w:szCs w:val="24"/>
              </w:rPr>
            </w:pPr>
          </w:p>
        </w:tc>
      </w:tr>
      <w:tr w:rsidR="008D7F5B" w14:paraId="308F95B2" w14:textId="77777777" w:rsidTr="005323A0">
        <w:trPr>
          <w:cantSplit/>
          <w:trHeight w:val="138"/>
        </w:trPr>
        <w:tc>
          <w:tcPr>
            <w:tcW w:w="6345" w:type="dxa"/>
            <w:tcBorders>
              <w:top w:val="single" w:sz="12" w:space="0" w:color="auto"/>
            </w:tcBorders>
          </w:tcPr>
          <w:p w14:paraId="4D87571D" w14:textId="77777777" w:rsidR="008D7F5B" w:rsidRDefault="008D7F5B" w:rsidP="008900C3">
            <w:pPr>
              <w:shd w:val="solid" w:color="FFFFFF" w:fill="FFFFFF"/>
              <w:spacing w:after="0" w:line="240" w:lineRule="auto"/>
              <w:ind w:right="227"/>
            </w:pPr>
          </w:p>
        </w:tc>
        <w:tc>
          <w:tcPr>
            <w:tcW w:w="3492" w:type="dxa"/>
            <w:tcBorders>
              <w:top w:val="single" w:sz="12" w:space="0" w:color="auto"/>
            </w:tcBorders>
          </w:tcPr>
          <w:p w14:paraId="5C25C8A7" w14:textId="77777777" w:rsidR="008D7F5B" w:rsidRPr="0078442B" w:rsidRDefault="008D7F5B" w:rsidP="008900C3">
            <w:pPr>
              <w:tabs>
                <w:tab w:val="left" w:pos="851"/>
              </w:tabs>
              <w:spacing w:after="0" w:line="240" w:lineRule="auto"/>
              <w:ind w:left="68" w:right="227"/>
              <w:jc w:val="both"/>
              <w:rPr>
                <w:rFonts w:cs="Times New Roman Bold"/>
                <w:b/>
              </w:rPr>
            </w:pPr>
          </w:p>
        </w:tc>
      </w:tr>
      <w:tr w:rsidR="008D7F5B" w14:paraId="4B3D99D3" w14:textId="77777777" w:rsidTr="005323A0">
        <w:trPr>
          <w:cantSplit/>
          <w:trHeight w:val="138"/>
        </w:trPr>
        <w:tc>
          <w:tcPr>
            <w:tcW w:w="6345" w:type="dxa"/>
          </w:tcPr>
          <w:p w14:paraId="0F6E9E24" w14:textId="27BC7941" w:rsidR="008D7F5B" w:rsidRPr="00270143" w:rsidRDefault="008D7F5B" w:rsidP="008900C3">
            <w:pPr>
              <w:shd w:val="solid" w:color="FFFFFF" w:fill="FFFFFF"/>
              <w:spacing w:after="0" w:line="240" w:lineRule="auto"/>
              <w:ind w:right="284"/>
              <w:rPr>
                <w:lang w:val="es-ES"/>
              </w:rPr>
            </w:pPr>
          </w:p>
        </w:tc>
        <w:tc>
          <w:tcPr>
            <w:tcW w:w="3492" w:type="dxa"/>
          </w:tcPr>
          <w:p w14:paraId="21B581B4" w14:textId="15F97584" w:rsidR="008D7F5B" w:rsidRPr="008900C3" w:rsidRDefault="0009014F" w:rsidP="00522E81">
            <w:pPr>
              <w:tabs>
                <w:tab w:val="left" w:pos="851"/>
              </w:tabs>
              <w:spacing w:after="0" w:line="240" w:lineRule="auto"/>
              <w:ind w:left="68" w:right="284"/>
              <w:jc w:val="both"/>
              <w:rPr>
                <w:b/>
                <w:sz w:val="24"/>
                <w:szCs w:val="24"/>
              </w:rPr>
            </w:pPr>
            <w:r w:rsidRPr="008900C3">
              <w:rPr>
                <w:b/>
                <w:sz w:val="24"/>
                <w:szCs w:val="24"/>
              </w:rPr>
              <w:t>Document C</w:t>
            </w:r>
            <w:r w:rsidR="00CF45B5">
              <w:rPr>
                <w:b/>
                <w:sz w:val="24"/>
                <w:szCs w:val="24"/>
              </w:rPr>
              <w:t>20</w:t>
            </w:r>
            <w:r w:rsidRPr="008900C3">
              <w:rPr>
                <w:b/>
                <w:sz w:val="24"/>
                <w:szCs w:val="24"/>
              </w:rPr>
              <w:t>/</w:t>
            </w:r>
            <w:r w:rsidR="00757D12">
              <w:rPr>
                <w:b/>
                <w:sz w:val="24"/>
                <w:szCs w:val="24"/>
              </w:rPr>
              <w:t>86</w:t>
            </w:r>
            <w:r w:rsidRPr="008900C3">
              <w:rPr>
                <w:b/>
                <w:sz w:val="24"/>
                <w:szCs w:val="24"/>
              </w:rPr>
              <w:t>-</w:t>
            </w:r>
            <w:r w:rsidR="00363003">
              <w:rPr>
                <w:b/>
                <w:sz w:val="24"/>
                <w:szCs w:val="24"/>
              </w:rPr>
              <w:t>F</w:t>
            </w:r>
          </w:p>
        </w:tc>
      </w:tr>
      <w:tr w:rsidR="008D7F5B" w14:paraId="2A8F1821" w14:textId="77777777" w:rsidTr="005323A0">
        <w:trPr>
          <w:cantSplit/>
          <w:trHeight w:val="138"/>
        </w:trPr>
        <w:tc>
          <w:tcPr>
            <w:tcW w:w="6345" w:type="dxa"/>
          </w:tcPr>
          <w:p w14:paraId="15431FC7" w14:textId="048470E2" w:rsidR="008D7F5B" w:rsidRPr="006534A7" w:rsidRDefault="008D7F5B" w:rsidP="003D16DE">
            <w:pPr>
              <w:shd w:val="solid" w:color="FFFFFF" w:fill="FFFFFF"/>
              <w:spacing w:after="0" w:line="240" w:lineRule="auto"/>
              <w:ind w:right="284"/>
              <w:rPr>
                <w:highlight w:val="green"/>
              </w:rPr>
            </w:pPr>
          </w:p>
        </w:tc>
        <w:tc>
          <w:tcPr>
            <w:tcW w:w="3492" w:type="dxa"/>
          </w:tcPr>
          <w:p w14:paraId="4B26CCE4" w14:textId="1C5C247B" w:rsidR="008D7F5B" w:rsidRPr="008900C3" w:rsidRDefault="00497557" w:rsidP="00497557">
            <w:pPr>
              <w:tabs>
                <w:tab w:val="left" w:pos="851"/>
              </w:tabs>
              <w:spacing w:after="0" w:line="240" w:lineRule="auto"/>
              <w:ind w:left="68" w:right="284"/>
              <w:jc w:val="both"/>
              <w:rPr>
                <w:b/>
                <w:sz w:val="24"/>
                <w:szCs w:val="24"/>
              </w:rPr>
            </w:pPr>
            <w:r>
              <w:rPr>
                <w:b/>
                <w:sz w:val="24"/>
                <w:szCs w:val="24"/>
              </w:rPr>
              <w:t>2</w:t>
            </w:r>
            <w:r w:rsidR="00270143">
              <w:rPr>
                <w:b/>
                <w:sz w:val="24"/>
                <w:szCs w:val="24"/>
              </w:rPr>
              <w:t xml:space="preserve">2 </w:t>
            </w:r>
            <w:r w:rsidR="00363003">
              <w:rPr>
                <w:b/>
                <w:sz w:val="24"/>
                <w:szCs w:val="24"/>
              </w:rPr>
              <w:t>dé</w:t>
            </w:r>
            <w:r w:rsidR="00270143">
              <w:rPr>
                <w:b/>
                <w:sz w:val="24"/>
                <w:szCs w:val="24"/>
              </w:rPr>
              <w:t>cemb</w:t>
            </w:r>
            <w:r w:rsidR="00363003">
              <w:rPr>
                <w:b/>
                <w:sz w:val="24"/>
                <w:szCs w:val="24"/>
              </w:rPr>
              <w:t>re</w:t>
            </w:r>
            <w:r w:rsidR="00270143">
              <w:rPr>
                <w:b/>
                <w:sz w:val="24"/>
                <w:szCs w:val="24"/>
              </w:rPr>
              <w:t xml:space="preserve"> 2020</w:t>
            </w:r>
          </w:p>
        </w:tc>
      </w:tr>
      <w:tr w:rsidR="0009014F" w14:paraId="7573BFD2" w14:textId="77777777" w:rsidTr="005323A0">
        <w:trPr>
          <w:cantSplit/>
          <w:trHeight w:val="138"/>
        </w:trPr>
        <w:tc>
          <w:tcPr>
            <w:tcW w:w="6345" w:type="dxa"/>
          </w:tcPr>
          <w:p w14:paraId="4E9D6089" w14:textId="77777777" w:rsidR="0009014F" w:rsidRDefault="0009014F" w:rsidP="008900C3">
            <w:pPr>
              <w:shd w:val="solid" w:color="FFFFFF" w:fill="FFFFFF"/>
              <w:spacing w:after="0" w:line="240" w:lineRule="auto"/>
              <w:ind w:right="284"/>
            </w:pPr>
          </w:p>
        </w:tc>
        <w:tc>
          <w:tcPr>
            <w:tcW w:w="3492" w:type="dxa"/>
          </w:tcPr>
          <w:p w14:paraId="068D4A9B" w14:textId="30456AC7" w:rsidR="0009014F" w:rsidRPr="008900C3" w:rsidRDefault="0009014F" w:rsidP="008900C3">
            <w:pPr>
              <w:tabs>
                <w:tab w:val="left" w:pos="851"/>
              </w:tabs>
              <w:spacing w:after="0" w:line="240" w:lineRule="auto"/>
              <w:ind w:left="68" w:right="284"/>
              <w:jc w:val="both"/>
              <w:rPr>
                <w:b/>
                <w:sz w:val="24"/>
                <w:szCs w:val="24"/>
              </w:rPr>
            </w:pPr>
            <w:r w:rsidRPr="008900C3">
              <w:rPr>
                <w:b/>
                <w:sz w:val="24"/>
                <w:szCs w:val="24"/>
              </w:rPr>
              <w:t xml:space="preserve">Original: </w:t>
            </w:r>
            <w:r w:rsidR="00363003">
              <w:rPr>
                <w:b/>
                <w:sz w:val="24"/>
                <w:szCs w:val="24"/>
              </w:rPr>
              <w:t>anglais</w:t>
            </w:r>
          </w:p>
        </w:tc>
      </w:tr>
    </w:tbl>
    <w:p w14:paraId="7492DF3C" w14:textId="6BB4101E" w:rsidR="0009014F" w:rsidRPr="0009014F" w:rsidRDefault="002B3A05" w:rsidP="00B241DC">
      <w:pPr>
        <w:pStyle w:val="ResNo"/>
        <w:spacing w:before="600" w:after="120"/>
        <w:rPr>
          <w:b/>
          <w:bCs/>
        </w:rPr>
      </w:pPr>
      <w:r>
        <w:rPr>
          <w:b/>
          <w:bCs/>
          <w:caps w:val="0"/>
        </w:rPr>
        <w:t xml:space="preserve">Note </w:t>
      </w:r>
      <w:r w:rsidR="00363003">
        <w:rPr>
          <w:b/>
          <w:bCs/>
          <w:caps w:val="0"/>
        </w:rPr>
        <w:t>du Secrétaire général</w:t>
      </w:r>
    </w:p>
    <w:p w14:paraId="418AFC0E" w14:textId="6763B080" w:rsidR="00C76EDE" w:rsidRDefault="00C76EDE" w:rsidP="00B241DC">
      <w:pPr>
        <w:pStyle w:val="ResNo"/>
        <w:spacing w:before="120" w:after="360"/>
        <w:rPr>
          <w:szCs w:val="24"/>
        </w:rPr>
      </w:pPr>
      <w:r>
        <w:t>R</w:t>
      </w:r>
      <w:r w:rsidR="00363003">
        <w:t>É</w:t>
      </w:r>
      <w:r>
        <w:t xml:space="preserve">SOLUTIONS </w:t>
      </w:r>
      <w:r w:rsidR="00363003">
        <w:t xml:space="preserve">ET </w:t>
      </w:r>
      <w:r>
        <w:t>D</w:t>
      </w:r>
      <w:r w:rsidR="00363003">
        <w:t>É</w:t>
      </w:r>
      <w:r>
        <w:t>CISIONS</w:t>
      </w:r>
    </w:p>
    <w:p w14:paraId="3220A057" w14:textId="77777777" w:rsidR="006534A7" w:rsidRPr="00B345FF" w:rsidRDefault="006534A7" w:rsidP="006534A7">
      <w:pPr>
        <w:spacing w:before="480" w:after="120"/>
        <w:rPr>
          <w:szCs w:val="24"/>
        </w:rPr>
      </w:pPr>
      <w:r w:rsidRPr="00B345FF">
        <w:rPr>
          <w:szCs w:val="24"/>
        </w:rPr>
        <w:t>En période de COVID-19, dans le souci d'assurer la continuité des activités des organes directeurs de l'Union, deux consultations virtuelles des Conseillers ont été organisées afin d'examiner les sujets les plus urgents pour l'Union et de formuler des propositions de conclusions approuvées par correspondance concernant les sujets appelant de la part du Conseil une décision urgente:</w:t>
      </w:r>
    </w:p>
    <w:p w14:paraId="28B3F968" w14:textId="6051E2CD" w:rsidR="006534A7" w:rsidRPr="00B345FF" w:rsidRDefault="006534A7" w:rsidP="006534A7">
      <w:pPr>
        <w:pStyle w:val="enumlev1"/>
      </w:pPr>
      <w:r w:rsidRPr="00B345FF">
        <w:t>1)</w:t>
      </w:r>
      <w:r w:rsidRPr="00B345FF">
        <w:tab/>
        <w:t>La première consultation virtuelle des Conseillers s'est dér</w:t>
      </w:r>
      <w:r>
        <w:t>oulée du 9 au 12 juin 2020. Ses </w:t>
      </w:r>
      <w:r w:rsidRPr="00B345FF">
        <w:t>propositions de conclusions ont été approuvées par correspondance (voir le Document</w:t>
      </w:r>
      <w:r>
        <w:t> </w:t>
      </w:r>
      <w:hyperlink r:id="rId8" w:history="1">
        <w:r w:rsidRPr="00B345FF">
          <w:rPr>
            <w:rStyle w:val="Hyperlink"/>
            <w:szCs w:val="24"/>
          </w:rPr>
          <w:t>DM</w:t>
        </w:r>
        <w:r w:rsidRPr="00B345FF">
          <w:rPr>
            <w:rStyle w:val="Hyperlink"/>
            <w:szCs w:val="24"/>
          </w:rPr>
          <w:noBreakHyphen/>
          <w:t>20/1011</w:t>
        </w:r>
      </w:hyperlink>
      <w:r w:rsidRPr="00B345FF">
        <w:t xml:space="preserve">). </w:t>
      </w:r>
    </w:p>
    <w:p w14:paraId="1B73CF6B" w14:textId="570ABEED" w:rsidR="006534A7" w:rsidRPr="00B345FF" w:rsidRDefault="006534A7" w:rsidP="006534A7">
      <w:pPr>
        <w:pStyle w:val="enumlev1"/>
      </w:pPr>
      <w:r w:rsidRPr="00B345FF">
        <w:t>2)</w:t>
      </w:r>
      <w:r w:rsidRPr="00B345FF">
        <w:tab/>
        <w:t>La seconde consultation virtuelle des Conseillers s'est déroulée du 16 au 20 novembre 2020. Ses propositions de conclusions ont été approuvées par correspondance (voir le Document</w:t>
      </w:r>
      <w:r>
        <w:t> </w:t>
      </w:r>
      <w:hyperlink r:id="rId9" w:history="1">
        <w:r w:rsidRPr="00B345FF">
          <w:rPr>
            <w:rStyle w:val="Hyperlink"/>
            <w:szCs w:val="24"/>
          </w:rPr>
          <w:t>DM-20/1022</w:t>
        </w:r>
      </w:hyperlink>
      <w:r w:rsidRPr="00B345FF">
        <w:t>).</w:t>
      </w:r>
    </w:p>
    <w:p w14:paraId="0BF47749" w14:textId="252911A8" w:rsidR="00B66290" w:rsidRDefault="00363003" w:rsidP="0039463A">
      <w:pPr>
        <w:spacing w:after="240"/>
        <w:rPr>
          <w:sz w:val="24"/>
          <w:szCs w:val="24"/>
        </w:rPr>
      </w:pPr>
      <w:r>
        <w:rPr>
          <w:sz w:val="24"/>
          <w:szCs w:val="24"/>
        </w:rPr>
        <w:t>Les Résolutions et Décisions ont été adoptées par correspond</w:t>
      </w:r>
      <w:r w:rsidR="00E854F2">
        <w:rPr>
          <w:sz w:val="24"/>
          <w:szCs w:val="24"/>
        </w:rPr>
        <w:t>a</w:t>
      </w:r>
      <w:r>
        <w:rPr>
          <w:sz w:val="24"/>
          <w:szCs w:val="24"/>
        </w:rPr>
        <w:t>nce en 2020:</w:t>
      </w:r>
    </w:p>
    <w:tbl>
      <w:tblPr>
        <w:tblStyle w:val="TableGrid"/>
        <w:tblW w:w="9582" w:type="dxa"/>
        <w:jc w:val="center"/>
        <w:tblLook w:val="04A0" w:firstRow="1" w:lastRow="0" w:firstColumn="1" w:lastColumn="0" w:noHBand="0" w:noVBand="1"/>
      </w:tblPr>
      <w:tblGrid>
        <w:gridCol w:w="8581"/>
        <w:gridCol w:w="1001"/>
      </w:tblGrid>
      <w:tr w:rsidR="00E04EC8" w:rsidRPr="0039463A" w14:paraId="7E0BE98B" w14:textId="77777777" w:rsidTr="00B241DC">
        <w:trPr>
          <w:jc w:val="center"/>
        </w:trPr>
        <w:tc>
          <w:tcPr>
            <w:tcW w:w="8505" w:type="dxa"/>
            <w:tcBorders>
              <w:bottom w:val="single" w:sz="4" w:space="0" w:color="auto"/>
            </w:tcBorders>
            <w:shd w:val="clear" w:color="auto" w:fill="8DB3E2" w:themeFill="text2" w:themeFillTint="66"/>
            <w:vAlign w:val="bottom"/>
          </w:tcPr>
          <w:p w14:paraId="3C90E8F6" w14:textId="4865B267" w:rsidR="00E04EC8" w:rsidRPr="0039463A" w:rsidRDefault="00E04EC8" w:rsidP="00B241DC">
            <w:pPr>
              <w:spacing w:before="120" w:after="120"/>
              <w:jc w:val="center"/>
              <w:rPr>
                <w:b/>
                <w:bCs/>
              </w:rPr>
            </w:pPr>
            <w:bookmarkStart w:id="0" w:name="_Hlk58403459"/>
            <w:r w:rsidRPr="0039463A">
              <w:rPr>
                <w:b/>
                <w:bCs/>
              </w:rPr>
              <w:t>R</w:t>
            </w:r>
            <w:r w:rsidR="00363003">
              <w:rPr>
                <w:b/>
                <w:bCs/>
              </w:rPr>
              <w:t>é</w:t>
            </w:r>
            <w:r w:rsidRPr="0039463A">
              <w:rPr>
                <w:b/>
                <w:bCs/>
              </w:rPr>
              <w:t>solution # - Tit</w:t>
            </w:r>
            <w:r w:rsidR="00363003">
              <w:rPr>
                <w:b/>
                <w:bCs/>
              </w:rPr>
              <w:t>re</w:t>
            </w:r>
          </w:p>
        </w:tc>
        <w:tc>
          <w:tcPr>
            <w:tcW w:w="992" w:type="dxa"/>
            <w:tcBorders>
              <w:bottom w:val="single" w:sz="4" w:space="0" w:color="auto"/>
            </w:tcBorders>
            <w:shd w:val="clear" w:color="auto" w:fill="8DB3E2" w:themeFill="text2" w:themeFillTint="66"/>
            <w:vAlign w:val="bottom"/>
          </w:tcPr>
          <w:p w14:paraId="1E45FD1C" w14:textId="08BDACB5" w:rsidR="00E04EC8" w:rsidRPr="0039463A" w:rsidRDefault="00E04EC8" w:rsidP="00B241DC">
            <w:pPr>
              <w:spacing w:before="120" w:after="120"/>
              <w:jc w:val="center"/>
              <w:rPr>
                <w:b/>
                <w:bCs/>
              </w:rPr>
            </w:pPr>
            <w:r w:rsidRPr="0039463A">
              <w:rPr>
                <w:b/>
                <w:bCs/>
              </w:rPr>
              <w:t>C</w:t>
            </w:r>
            <w:r w:rsidR="00CF45B5">
              <w:rPr>
                <w:b/>
                <w:bCs/>
              </w:rPr>
              <w:t>20</w:t>
            </w:r>
            <w:r w:rsidRPr="0039463A">
              <w:rPr>
                <w:b/>
                <w:bCs/>
              </w:rPr>
              <w:t>/#</w:t>
            </w:r>
          </w:p>
        </w:tc>
      </w:tr>
      <w:tr w:rsidR="00E04EC8" w:rsidRPr="0039463A" w14:paraId="40B34D82" w14:textId="77777777" w:rsidTr="00B241DC">
        <w:trPr>
          <w:jc w:val="center"/>
        </w:trPr>
        <w:tc>
          <w:tcPr>
            <w:tcW w:w="8505" w:type="dxa"/>
            <w:tcBorders>
              <w:bottom w:val="single" w:sz="4" w:space="0" w:color="auto"/>
            </w:tcBorders>
            <w:shd w:val="clear" w:color="auto" w:fill="auto"/>
          </w:tcPr>
          <w:p w14:paraId="2A0B798D" w14:textId="552D34CF" w:rsidR="00E04EC8" w:rsidRPr="00834024" w:rsidRDefault="00363003" w:rsidP="00B241DC">
            <w:pPr>
              <w:spacing w:before="60" w:after="60"/>
            </w:pPr>
            <w:r w:rsidRPr="001A54F9">
              <w:rPr>
                <w:b/>
                <w:bCs/>
                <w:lang w:val="fr-FR"/>
              </w:rPr>
              <w:t>Résolution 1399</w:t>
            </w:r>
            <w:r w:rsidRPr="001A54F9">
              <w:rPr>
                <w:lang w:val="fr-FR"/>
              </w:rPr>
              <w:t xml:space="preserve"> – Ordre du jour de la Conférence mondiale des radiocommunications (CMR</w:t>
            </w:r>
            <w:r>
              <w:rPr>
                <w:lang w:val="fr-FR"/>
              </w:rPr>
              <w:noBreakHyphen/>
            </w:r>
            <w:r w:rsidRPr="001A54F9">
              <w:rPr>
                <w:lang w:val="fr-FR"/>
              </w:rPr>
              <w:t>23) </w:t>
            </w:r>
          </w:p>
        </w:tc>
        <w:tc>
          <w:tcPr>
            <w:tcW w:w="992" w:type="dxa"/>
            <w:tcBorders>
              <w:bottom w:val="single" w:sz="4" w:space="0" w:color="auto"/>
            </w:tcBorders>
            <w:shd w:val="clear" w:color="auto" w:fill="auto"/>
          </w:tcPr>
          <w:p w14:paraId="1542DA09" w14:textId="164230D4" w:rsidR="00E04EC8" w:rsidRDefault="00FC46D8" w:rsidP="00B241DC">
            <w:pPr>
              <w:spacing w:before="60" w:after="60"/>
              <w:jc w:val="center"/>
            </w:pPr>
            <w:hyperlink r:id="rId10" w:history="1">
              <w:r w:rsidR="00CF45B5" w:rsidRPr="00BC7FD6">
                <w:rPr>
                  <w:rStyle w:val="Hyperlink"/>
                </w:rPr>
                <w:t>C</w:t>
              </w:r>
              <w:r w:rsidR="00CF45B5">
                <w:rPr>
                  <w:rStyle w:val="Hyperlink"/>
                </w:rPr>
                <w:t>20/69</w:t>
              </w:r>
            </w:hyperlink>
          </w:p>
        </w:tc>
      </w:tr>
      <w:tr w:rsidR="00E04EC8" w:rsidRPr="0039463A" w14:paraId="57D96546" w14:textId="77777777" w:rsidTr="00B241DC">
        <w:trPr>
          <w:jc w:val="center"/>
        </w:trPr>
        <w:tc>
          <w:tcPr>
            <w:tcW w:w="8505" w:type="dxa"/>
            <w:tcBorders>
              <w:bottom w:val="single" w:sz="4" w:space="0" w:color="auto"/>
            </w:tcBorders>
            <w:shd w:val="clear" w:color="auto" w:fill="auto"/>
          </w:tcPr>
          <w:p w14:paraId="39B13D95" w14:textId="24B03B77" w:rsidR="00E04EC8" w:rsidRPr="00834024" w:rsidRDefault="00363003" w:rsidP="00B241DC">
            <w:pPr>
              <w:spacing w:before="60" w:after="60"/>
            </w:pPr>
            <w:r w:rsidRPr="001A54F9">
              <w:rPr>
                <w:b/>
                <w:bCs/>
                <w:lang w:val="fr-FR"/>
              </w:rPr>
              <w:t>Résolution 1400</w:t>
            </w:r>
            <w:r w:rsidRPr="001A54F9">
              <w:rPr>
                <w:lang w:val="fr-FR"/>
              </w:rPr>
              <w:t xml:space="preserve"> – Rapport de gestion financière pour l’exercice 2019</w:t>
            </w:r>
          </w:p>
        </w:tc>
        <w:tc>
          <w:tcPr>
            <w:tcW w:w="992" w:type="dxa"/>
            <w:tcBorders>
              <w:bottom w:val="single" w:sz="4" w:space="0" w:color="auto"/>
            </w:tcBorders>
            <w:shd w:val="clear" w:color="auto" w:fill="auto"/>
          </w:tcPr>
          <w:p w14:paraId="5F94504C" w14:textId="1D5E5D9B" w:rsidR="00E04EC8" w:rsidRPr="00757D12" w:rsidRDefault="00FC46D8" w:rsidP="00B241DC">
            <w:pPr>
              <w:spacing w:before="60" w:after="60"/>
              <w:jc w:val="center"/>
            </w:pPr>
            <w:hyperlink r:id="rId11" w:history="1">
              <w:r w:rsidR="00223E3A" w:rsidRPr="00757D12">
                <w:rPr>
                  <w:rStyle w:val="Hyperlink"/>
                </w:rPr>
                <w:t>C20/80</w:t>
              </w:r>
            </w:hyperlink>
          </w:p>
        </w:tc>
      </w:tr>
      <w:tr w:rsidR="00E04EC8" w:rsidRPr="0039463A" w14:paraId="24823754" w14:textId="77777777" w:rsidTr="00B241DC">
        <w:trPr>
          <w:jc w:val="center"/>
        </w:trPr>
        <w:tc>
          <w:tcPr>
            <w:tcW w:w="8505" w:type="dxa"/>
            <w:shd w:val="clear" w:color="auto" w:fill="auto"/>
          </w:tcPr>
          <w:p w14:paraId="4A0F1D53" w14:textId="4400336E" w:rsidR="00E04EC8" w:rsidRPr="00834024" w:rsidRDefault="00363003" w:rsidP="00B241DC">
            <w:pPr>
              <w:spacing w:before="60" w:after="60"/>
            </w:pPr>
            <w:r w:rsidRPr="001A54F9">
              <w:rPr>
                <w:b/>
                <w:bCs/>
                <w:lang w:val="fr-FR"/>
              </w:rPr>
              <w:t>Résolution 1401</w:t>
            </w:r>
            <w:r w:rsidRPr="001A54F9">
              <w:rPr>
                <w:lang w:val="fr-FR"/>
              </w:rPr>
              <w:t xml:space="preserve"> - Conditions d’emploi des fonctionnaires élus de l’UIT</w:t>
            </w:r>
          </w:p>
        </w:tc>
        <w:tc>
          <w:tcPr>
            <w:tcW w:w="992" w:type="dxa"/>
            <w:shd w:val="clear" w:color="auto" w:fill="auto"/>
          </w:tcPr>
          <w:p w14:paraId="40E4CC66" w14:textId="65386E46" w:rsidR="00E04EC8" w:rsidRPr="00757D12" w:rsidRDefault="00FC46D8" w:rsidP="00B241DC">
            <w:pPr>
              <w:spacing w:before="60" w:after="60"/>
              <w:jc w:val="center"/>
            </w:pPr>
            <w:hyperlink r:id="rId12" w:history="1">
              <w:r w:rsidR="00223E3A" w:rsidRPr="00757D12">
                <w:rPr>
                  <w:rStyle w:val="Hyperlink"/>
                </w:rPr>
                <w:t>C20/82</w:t>
              </w:r>
            </w:hyperlink>
          </w:p>
        </w:tc>
      </w:tr>
      <w:tr w:rsidR="00E04EC8" w:rsidRPr="0039463A" w14:paraId="137EB999" w14:textId="77777777" w:rsidTr="00B241DC">
        <w:trPr>
          <w:jc w:val="center"/>
        </w:trPr>
        <w:tc>
          <w:tcPr>
            <w:tcW w:w="8505" w:type="dxa"/>
            <w:shd w:val="clear" w:color="auto" w:fill="auto"/>
          </w:tcPr>
          <w:p w14:paraId="329155ED" w14:textId="11A8ED68" w:rsidR="00E04EC8" w:rsidRPr="00834024" w:rsidRDefault="00363003" w:rsidP="00B241DC">
            <w:pPr>
              <w:spacing w:before="60" w:after="60"/>
            </w:pPr>
            <w:r w:rsidRPr="001A54F9">
              <w:rPr>
                <w:b/>
                <w:bCs/>
                <w:lang w:val="fr-FR"/>
              </w:rPr>
              <w:t>Résolution 1402</w:t>
            </w:r>
            <w:r w:rsidRPr="001A54F9">
              <w:rPr>
                <w:lang w:val="fr-FR"/>
              </w:rPr>
              <w:t xml:space="preserve"> – Parts contributives aux dépenses de l’Union</w:t>
            </w:r>
          </w:p>
        </w:tc>
        <w:tc>
          <w:tcPr>
            <w:tcW w:w="992" w:type="dxa"/>
            <w:shd w:val="clear" w:color="auto" w:fill="auto"/>
          </w:tcPr>
          <w:p w14:paraId="0C9A38B9" w14:textId="2F90C285" w:rsidR="00E04EC8" w:rsidRPr="00757D12" w:rsidRDefault="00FC46D8" w:rsidP="00B241DC">
            <w:pPr>
              <w:spacing w:before="60" w:after="60"/>
              <w:jc w:val="center"/>
            </w:pPr>
            <w:hyperlink r:id="rId13" w:history="1">
              <w:r w:rsidR="00710CEE" w:rsidRPr="00757D12">
                <w:rPr>
                  <w:rStyle w:val="Hyperlink"/>
                </w:rPr>
                <w:t>C20/85</w:t>
              </w:r>
            </w:hyperlink>
          </w:p>
        </w:tc>
      </w:tr>
    </w:tbl>
    <w:p w14:paraId="7FA2D262" w14:textId="77777777" w:rsidR="0039463A" w:rsidRDefault="0039463A" w:rsidP="00B241DC">
      <w:pPr>
        <w:spacing w:before="120" w:after="120"/>
        <w:rPr>
          <w:sz w:val="24"/>
          <w:szCs w:val="24"/>
        </w:rPr>
      </w:pPr>
    </w:p>
    <w:tbl>
      <w:tblPr>
        <w:tblStyle w:val="TableGrid"/>
        <w:tblW w:w="9582" w:type="dxa"/>
        <w:jc w:val="center"/>
        <w:tblLook w:val="04A0" w:firstRow="1" w:lastRow="0" w:firstColumn="1" w:lastColumn="0" w:noHBand="0" w:noVBand="1"/>
      </w:tblPr>
      <w:tblGrid>
        <w:gridCol w:w="8581"/>
        <w:gridCol w:w="1001"/>
      </w:tblGrid>
      <w:tr w:rsidR="00E04EC8" w:rsidRPr="0039463A" w14:paraId="0C5BA7D5" w14:textId="77777777" w:rsidTr="00710CEE">
        <w:trPr>
          <w:jc w:val="center"/>
        </w:trPr>
        <w:tc>
          <w:tcPr>
            <w:tcW w:w="8581" w:type="dxa"/>
            <w:tcBorders>
              <w:bottom w:val="single" w:sz="4" w:space="0" w:color="auto"/>
            </w:tcBorders>
            <w:shd w:val="clear" w:color="auto" w:fill="8DB3E2" w:themeFill="text2" w:themeFillTint="66"/>
            <w:vAlign w:val="bottom"/>
          </w:tcPr>
          <w:p w14:paraId="246DF576" w14:textId="17514DCF" w:rsidR="00E04EC8" w:rsidRPr="0039463A" w:rsidRDefault="00E04EC8" w:rsidP="0064026E">
            <w:pPr>
              <w:spacing w:before="120" w:after="120"/>
              <w:jc w:val="center"/>
              <w:rPr>
                <w:b/>
                <w:bCs/>
              </w:rPr>
            </w:pPr>
            <w:r>
              <w:rPr>
                <w:b/>
                <w:bCs/>
              </w:rPr>
              <w:t>D</w:t>
            </w:r>
            <w:r w:rsidR="00363003">
              <w:rPr>
                <w:b/>
                <w:bCs/>
              </w:rPr>
              <w:t>éc</w:t>
            </w:r>
            <w:r>
              <w:rPr>
                <w:b/>
                <w:bCs/>
              </w:rPr>
              <w:t>ision</w:t>
            </w:r>
            <w:r w:rsidRPr="0039463A">
              <w:rPr>
                <w:b/>
                <w:bCs/>
              </w:rPr>
              <w:t xml:space="preserve"> # - Tit</w:t>
            </w:r>
            <w:r w:rsidR="00363003">
              <w:rPr>
                <w:b/>
                <w:bCs/>
              </w:rPr>
              <w:t>re</w:t>
            </w:r>
          </w:p>
        </w:tc>
        <w:tc>
          <w:tcPr>
            <w:tcW w:w="1001" w:type="dxa"/>
            <w:tcBorders>
              <w:bottom w:val="single" w:sz="4" w:space="0" w:color="auto"/>
            </w:tcBorders>
            <w:shd w:val="clear" w:color="auto" w:fill="8DB3E2" w:themeFill="text2" w:themeFillTint="66"/>
            <w:vAlign w:val="bottom"/>
          </w:tcPr>
          <w:p w14:paraId="296E6D16" w14:textId="199438FB" w:rsidR="00E04EC8" w:rsidRPr="0039463A" w:rsidRDefault="00E04EC8" w:rsidP="0064026E">
            <w:pPr>
              <w:spacing w:before="120" w:after="120"/>
              <w:jc w:val="center"/>
              <w:rPr>
                <w:b/>
                <w:bCs/>
              </w:rPr>
            </w:pPr>
            <w:r w:rsidRPr="0039463A">
              <w:rPr>
                <w:b/>
                <w:bCs/>
              </w:rPr>
              <w:t>C</w:t>
            </w:r>
            <w:r w:rsidR="00CF45B5">
              <w:rPr>
                <w:b/>
                <w:bCs/>
              </w:rPr>
              <w:t>20</w:t>
            </w:r>
            <w:r w:rsidRPr="0039463A">
              <w:rPr>
                <w:b/>
                <w:bCs/>
              </w:rPr>
              <w:t>/</w:t>
            </w:r>
            <w:r w:rsidR="00E3617F">
              <w:rPr>
                <w:b/>
                <w:bCs/>
              </w:rPr>
              <w:t>#</w:t>
            </w:r>
          </w:p>
        </w:tc>
      </w:tr>
      <w:tr w:rsidR="00E04EC8" w:rsidRPr="0039463A" w14:paraId="12192F84" w14:textId="77777777" w:rsidTr="00710CEE">
        <w:trPr>
          <w:jc w:val="center"/>
        </w:trPr>
        <w:tc>
          <w:tcPr>
            <w:tcW w:w="8581" w:type="dxa"/>
            <w:shd w:val="clear" w:color="auto" w:fill="auto"/>
          </w:tcPr>
          <w:p w14:paraId="33424AC1" w14:textId="721E17E0" w:rsidR="00E04EC8" w:rsidRDefault="00363003" w:rsidP="00E04EC8">
            <w:pPr>
              <w:spacing w:before="60" w:after="60"/>
            </w:pPr>
            <w:r w:rsidRPr="001A54F9">
              <w:rPr>
                <w:b/>
                <w:bCs/>
                <w:lang w:val="fr-FR"/>
              </w:rPr>
              <w:t>Décision 620</w:t>
            </w:r>
            <w:r w:rsidRPr="001A54F9">
              <w:rPr>
                <w:lang w:val="fr-FR"/>
              </w:rPr>
              <w:t xml:space="preserve"> – Dates et durée des sessions de 2021, 2022, 2023, 2024, 2025, et 2026 du Conseil et des séries de réunions des Groupes de travail et des Groupes d'experts du Conseil de 2020, 2021 et 2022</w:t>
            </w:r>
          </w:p>
        </w:tc>
        <w:tc>
          <w:tcPr>
            <w:tcW w:w="1001" w:type="dxa"/>
            <w:shd w:val="clear" w:color="auto" w:fill="auto"/>
          </w:tcPr>
          <w:p w14:paraId="113AA6AF" w14:textId="361F7093" w:rsidR="00E04EC8" w:rsidRDefault="00FC46D8" w:rsidP="008B3B4E">
            <w:pPr>
              <w:spacing w:before="60" w:after="60"/>
              <w:jc w:val="center"/>
            </w:pPr>
            <w:hyperlink r:id="rId14" w:history="1">
              <w:r w:rsidR="00E04EC8" w:rsidRPr="00BC7FD6">
                <w:rPr>
                  <w:rStyle w:val="Hyperlink"/>
                </w:rPr>
                <w:t>C</w:t>
              </w:r>
              <w:r w:rsidR="00CF45B5">
                <w:rPr>
                  <w:rStyle w:val="Hyperlink"/>
                </w:rPr>
                <w:t>20</w:t>
              </w:r>
              <w:r w:rsidR="00E04EC8" w:rsidRPr="00BC7FD6">
                <w:rPr>
                  <w:rStyle w:val="Hyperlink"/>
                </w:rPr>
                <w:t>/</w:t>
              </w:r>
              <w:r w:rsidR="00CF45B5">
                <w:rPr>
                  <w:rStyle w:val="Hyperlink"/>
                </w:rPr>
                <w:t>71</w:t>
              </w:r>
            </w:hyperlink>
          </w:p>
        </w:tc>
      </w:tr>
      <w:tr w:rsidR="00E04EC8" w:rsidRPr="0039463A" w14:paraId="329C4BB4" w14:textId="77777777" w:rsidTr="00710CEE">
        <w:trPr>
          <w:jc w:val="center"/>
        </w:trPr>
        <w:tc>
          <w:tcPr>
            <w:tcW w:w="8581" w:type="dxa"/>
            <w:tcBorders>
              <w:bottom w:val="single" w:sz="4" w:space="0" w:color="auto"/>
            </w:tcBorders>
            <w:shd w:val="clear" w:color="auto" w:fill="auto"/>
          </w:tcPr>
          <w:p w14:paraId="6B40874F" w14:textId="61E07ECC" w:rsidR="00E04EC8" w:rsidRDefault="00363003" w:rsidP="00E04EC8">
            <w:pPr>
              <w:spacing w:before="60" w:after="60"/>
            </w:pPr>
            <w:r w:rsidRPr="001A54F9">
              <w:rPr>
                <w:b/>
                <w:bCs/>
                <w:lang w:val="fr-FR"/>
              </w:rPr>
              <w:t>Décision 621</w:t>
            </w:r>
            <w:r w:rsidRPr="001A54F9">
              <w:rPr>
                <w:lang w:val="fr-FR"/>
              </w:rPr>
              <w:t xml:space="preserve"> – Nomination d’un nouveau vérificateur extérieur des comptes</w:t>
            </w:r>
          </w:p>
        </w:tc>
        <w:tc>
          <w:tcPr>
            <w:tcW w:w="1001" w:type="dxa"/>
            <w:tcBorders>
              <w:bottom w:val="single" w:sz="4" w:space="0" w:color="auto"/>
            </w:tcBorders>
            <w:shd w:val="clear" w:color="auto" w:fill="auto"/>
          </w:tcPr>
          <w:p w14:paraId="2593CFEC" w14:textId="21B97CCE" w:rsidR="00E04EC8" w:rsidRPr="00757D12" w:rsidRDefault="00FC46D8" w:rsidP="007567C0">
            <w:pPr>
              <w:spacing w:before="60" w:after="60"/>
              <w:jc w:val="center"/>
            </w:pPr>
            <w:hyperlink r:id="rId15" w:history="1">
              <w:r w:rsidR="00223E3A" w:rsidRPr="00757D12">
                <w:rPr>
                  <w:rStyle w:val="Hyperlink"/>
                </w:rPr>
                <w:t>C20/83</w:t>
              </w:r>
            </w:hyperlink>
          </w:p>
        </w:tc>
      </w:tr>
      <w:tr w:rsidR="00E04EC8" w:rsidRPr="0039463A" w14:paraId="72D614EE" w14:textId="77777777" w:rsidTr="00710CEE">
        <w:trPr>
          <w:jc w:val="center"/>
        </w:trPr>
        <w:tc>
          <w:tcPr>
            <w:tcW w:w="8581" w:type="dxa"/>
            <w:tcBorders>
              <w:bottom w:val="single" w:sz="4" w:space="0" w:color="auto"/>
            </w:tcBorders>
            <w:shd w:val="clear" w:color="auto" w:fill="auto"/>
          </w:tcPr>
          <w:p w14:paraId="3111105C" w14:textId="3B3A3373" w:rsidR="00E04EC8" w:rsidRDefault="00363003" w:rsidP="00E04EC8">
            <w:pPr>
              <w:spacing w:before="60" w:after="60"/>
            </w:pPr>
            <w:r w:rsidRPr="001A54F9">
              <w:rPr>
                <w:b/>
                <w:bCs/>
                <w:lang w:val="fr-FR"/>
              </w:rPr>
              <w:t>Décision 622</w:t>
            </w:r>
            <w:r w:rsidRPr="001A54F9">
              <w:rPr>
                <w:lang w:val="fr-FR"/>
              </w:rPr>
              <w:t xml:space="preserve"> – Passation par pertes et profits d’intérêts moratoires et de créances irrécupérables</w:t>
            </w:r>
          </w:p>
        </w:tc>
        <w:tc>
          <w:tcPr>
            <w:tcW w:w="1001" w:type="dxa"/>
            <w:tcBorders>
              <w:bottom w:val="single" w:sz="4" w:space="0" w:color="auto"/>
            </w:tcBorders>
            <w:shd w:val="clear" w:color="auto" w:fill="auto"/>
          </w:tcPr>
          <w:p w14:paraId="76AD5656" w14:textId="3394DF3B" w:rsidR="00E04EC8" w:rsidRPr="00757D12" w:rsidRDefault="00FC46D8" w:rsidP="009C37C6">
            <w:pPr>
              <w:spacing w:before="60" w:after="60"/>
              <w:jc w:val="center"/>
            </w:pPr>
            <w:hyperlink r:id="rId16" w:history="1">
              <w:r w:rsidR="00710CEE" w:rsidRPr="00757D12">
                <w:rPr>
                  <w:rStyle w:val="Hyperlink"/>
                </w:rPr>
                <w:t>C20/84</w:t>
              </w:r>
            </w:hyperlink>
          </w:p>
        </w:tc>
      </w:tr>
    </w:tbl>
    <w:p w14:paraId="49852481" w14:textId="77777777" w:rsidR="005E6FF7" w:rsidRDefault="005E6FF7"/>
    <w:p w14:paraId="13D64301" w14:textId="77777777" w:rsidR="00B241DC" w:rsidRDefault="00B241DC"/>
    <w:tbl>
      <w:tblPr>
        <w:tblStyle w:val="TableGrid"/>
        <w:tblW w:w="9582" w:type="dxa"/>
        <w:jc w:val="center"/>
        <w:tblLook w:val="04A0" w:firstRow="1" w:lastRow="0" w:firstColumn="1" w:lastColumn="0" w:noHBand="0" w:noVBand="1"/>
      </w:tblPr>
      <w:tblGrid>
        <w:gridCol w:w="8581"/>
        <w:gridCol w:w="1001"/>
      </w:tblGrid>
      <w:tr w:rsidR="00E04EC8" w:rsidRPr="0039463A" w14:paraId="150669EE" w14:textId="77777777" w:rsidTr="00CF45B5">
        <w:trPr>
          <w:jc w:val="center"/>
        </w:trPr>
        <w:tc>
          <w:tcPr>
            <w:tcW w:w="8581" w:type="dxa"/>
            <w:tcBorders>
              <w:bottom w:val="single" w:sz="4" w:space="0" w:color="auto"/>
            </w:tcBorders>
            <w:shd w:val="clear" w:color="auto" w:fill="8DB3E2" w:themeFill="text2" w:themeFillTint="66"/>
            <w:vAlign w:val="bottom"/>
          </w:tcPr>
          <w:p w14:paraId="1DD5448C" w14:textId="24328A61" w:rsidR="00E04EC8" w:rsidRPr="0039463A" w:rsidRDefault="00E04EC8" w:rsidP="00223E3A">
            <w:pPr>
              <w:keepNext/>
              <w:spacing w:before="120" w:after="120"/>
              <w:jc w:val="center"/>
              <w:rPr>
                <w:b/>
                <w:bCs/>
              </w:rPr>
            </w:pPr>
            <w:r>
              <w:rPr>
                <w:b/>
                <w:bCs/>
              </w:rPr>
              <w:lastRenderedPageBreak/>
              <w:t>R</w:t>
            </w:r>
            <w:r w:rsidR="00363003">
              <w:rPr>
                <w:b/>
                <w:bCs/>
              </w:rPr>
              <w:t>é</w:t>
            </w:r>
            <w:r>
              <w:rPr>
                <w:b/>
                <w:bCs/>
              </w:rPr>
              <w:t xml:space="preserve">solution </w:t>
            </w:r>
            <w:r w:rsidR="00363003">
              <w:rPr>
                <w:b/>
                <w:bCs/>
              </w:rPr>
              <w:t xml:space="preserve">modifiée </w:t>
            </w:r>
            <w:r>
              <w:rPr>
                <w:b/>
                <w:bCs/>
              </w:rPr>
              <w:t>#</w:t>
            </w:r>
            <w:r w:rsidRPr="0039463A">
              <w:rPr>
                <w:b/>
                <w:bCs/>
              </w:rPr>
              <w:t xml:space="preserve"> - Tit</w:t>
            </w:r>
            <w:r w:rsidR="00363003">
              <w:rPr>
                <w:b/>
                <w:bCs/>
              </w:rPr>
              <w:t>re</w:t>
            </w:r>
          </w:p>
        </w:tc>
        <w:tc>
          <w:tcPr>
            <w:tcW w:w="1001" w:type="dxa"/>
            <w:tcBorders>
              <w:bottom w:val="single" w:sz="4" w:space="0" w:color="auto"/>
            </w:tcBorders>
            <w:shd w:val="clear" w:color="auto" w:fill="8DB3E2" w:themeFill="text2" w:themeFillTint="66"/>
            <w:vAlign w:val="bottom"/>
          </w:tcPr>
          <w:p w14:paraId="19B377C4" w14:textId="6419D476" w:rsidR="00E04EC8" w:rsidRPr="0039463A" w:rsidRDefault="00E04EC8" w:rsidP="00223E3A">
            <w:pPr>
              <w:keepNext/>
              <w:spacing w:before="120" w:after="120"/>
              <w:jc w:val="center"/>
              <w:rPr>
                <w:b/>
                <w:bCs/>
              </w:rPr>
            </w:pPr>
            <w:r w:rsidRPr="0039463A">
              <w:rPr>
                <w:b/>
                <w:bCs/>
              </w:rPr>
              <w:t>C</w:t>
            </w:r>
            <w:r w:rsidR="00CF45B5">
              <w:rPr>
                <w:b/>
                <w:bCs/>
              </w:rPr>
              <w:t>20</w:t>
            </w:r>
            <w:r w:rsidRPr="0039463A">
              <w:rPr>
                <w:b/>
                <w:bCs/>
              </w:rPr>
              <w:t>/#</w:t>
            </w:r>
          </w:p>
        </w:tc>
      </w:tr>
      <w:tr w:rsidR="00E04EC8" w:rsidRPr="0039463A" w14:paraId="02F43675" w14:textId="77777777" w:rsidTr="00CF45B5">
        <w:trPr>
          <w:jc w:val="center"/>
        </w:trPr>
        <w:tc>
          <w:tcPr>
            <w:tcW w:w="8581" w:type="dxa"/>
            <w:tcBorders>
              <w:bottom w:val="single" w:sz="4" w:space="0" w:color="auto"/>
            </w:tcBorders>
            <w:shd w:val="clear" w:color="auto" w:fill="auto"/>
            <w:vAlign w:val="center"/>
          </w:tcPr>
          <w:p w14:paraId="6C44F24B" w14:textId="634A844E" w:rsidR="00E04EC8" w:rsidRDefault="00363003" w:rsidP="00223E3A">
            <w:pPr>
              <w:keepNext/>
              <w:spacing w:before="60" w:after="60"/>
            </w:pPr>
            <w:r w:rsidRPr="001A54F9">
              <w:rPr>
                <w:b/>
                <w:bCs/>
                <w:lang w:val="fr-FR"/>
              </w:rPr>
              <w:t>Résolution 1299 (Modifiée 2020)</w:t>
            </w:r>
            <w:r w:rsidRPr="001A54F9">
              <w:rPr>
                <w:lang w:val="fr-FR"/>
              </w:rPr>
              <w:t xml:space="preserve"> – Plan stratégique de l’UIT pour les ressources humaines</w:t>
            </w:r>
          </w:p>
        </w:tc>
        <w:tc>
          <w:tcPr>
            <w:tcW w:w="1001" w:type="dxa"/>
            <w:tcBorders>
              <w:bottom w:val="single" w:sz="4" w:space="0" w:color="auto"/>
            </w:tcBorders>
            <w:shd w:val="clear" w:color="auto" w:fill="auto"/>
            <w:vAlign w:val="center"/>
          </w:tcPr>
          <w:p w14:paraId="2C1028A6" w14:textId="152BB1B2" w:rsidR="00E04EC8" w:rsidRPr="00757D12" w:rsidRDefault="00FC46D8" w:rsidP="00223E3A">
            <w:pPr>
              <w:keepNext/>
              <w:spacing w:before="60" w:after="60"/>
              <w:jc w:val="center"/>
            </w:pPr>
            <w:hyperlink r:id="rId17" w:history="1">
              <w:r w:rsidR="00E04EC8" w:rsidRPr="00757D12">
                <w:rPr>
                  <w:rStyle w:val="Hyperlink"/>
                </w:rPr>
                <w:t>C</w:t>
              </w:r>
              <w:r w:rsidR="00CF45B5" w:rsidRPr="00757D12">
                <w:rPr>
                  <w:rStyle w:val="Hyperlink"/>
                </w:rPr>
                <w:t>20</w:t>
              </w:r>
              <w:r w:rsidR="00E04EC8" w:rsidRPr="00757D12">
                <w:rPr>
                  <w:rStyle w:val="Hyperlink"/>
                </w:rPr>
                <w:t>/</w:t>
              </w:r>
              <w:r w:rsidR="00223E3A" w:rsidRPr="00757D12">
                <w:rPr>
                  <w:rStyle w:val="Hyperlink"/>
                </w:rPr>
                <w:t>79</w:t>
              </w:r>
            </w:hyperlink>
          </w:p>
        </w:tc>
      </w:tr>
    </w:tbl>
    <w:p w14:paraId="6DD9EB49" w14:textId="77777777" w:rsidR="00D316F3" w:rsidRDefault="00D316F3" w:rsidP="00B241DC">
      <w:pPr>
        <w:spacing w:before="120" w:after="120" w:line="240" w:lineRule="auto"/>
        <w:rPr>
          <w:u w:val="single"/>
        </w:rPr>
      </w:pPr>
    </w:p>
    <w:tbl>
      <w:tblPr>
        <w:tblStyle w:val="TableGrid"/>
        <w:tblW w:w="9582" w:type="dxa"/>
        <w:jc w:val="center"/>
        <w:tblLook w:val="04A0" w:firstRow="1" w:lastRow="0" w:firstColumn="1" w:lastColumn="0" w:noHBand="0" w:noVBand="1"/>
      </w:tblPr>
      <w:tblGrid>
        <w:gridCol w:w="8581"/>
        <w:gridCol w:w="1001"/>
      </w:tblGrid>
      <w:tr w:rsidR="00E04EC8" w:rsidRPr="0039463A" w14:paraId="18EA6CA4" w14:textId="77777777" w:rsidTr="00CF45B5">
        <w:trPr>
          <w:jc w:val="center"/>
        </w:trPr>
        <w:tc>
          <w:tcPr>
            <w:tcW w:w="8581" w:type="dxa"/>
            <w:shd w:val="clear" w:color="auto" w:fill="8DB3E2" w:themeFill="text2" w:themeFillTint="66"/>
            <w:vAlign w:val="bottom"/>
          </w:tcPr>
          <w:p w14:paraId="5C2445FB" w14:textId="6A23C565" w:rsidR="00E04EC8" w:rsidRPr="0039463A" w:rsidRDefault="00E04EC8" w:rsidP="00D316F3">
            <w:pPr>
              <w:spacing w:before="120" w:after="120"/>
              <w:jc w:val="center"/>
              <w:rPr>
                <w:b/>
                <w:bCs/>
              </w:rPr>
            </w:pPr>
            <w:r>
              <w:rPr>
                <w:b/>
                <w:bCs/>
              </w:rPr>
              <w:t>D</w:t>
            </w:r>
            <w:r w:rsidR="00363003">
              <w:rPr>
                <w:b/>
                <w:bCs/>
              </w:rPr>
              <w:t>éc</w:t>
            </w:r>
            <w:r>
              <w:rPr>
                <w:b/>
                <w:bCs/>
              </w:rPr>
              <w:t xml:space="preserve">ision </w:t>
            </w:r>
            <w:r w:rsidR="00363003">
              <w:rPr>
                <w:b/>
                <w:bCs/>
              </w:rPr>
              <w:t xml:space="preserve">modifiée </w:t>
            </w:r>
            <w:r>
              <w:rPr>
                <w:b/>
                <w:bCs/>
              </w:rPr>
              <w:t>#</w:t>
            </w:r>
            <w:r w:rsidRPr="0039463A">
              <w:rPr>
                <w:b/>
                <w:bCs/>
              </w:rPr>
              <w:t xml:space="preserve"> - Tit</w:t>
            </w:r>
            <w:r w:rsidR="00363003">
              <w:rPr>
                <w:b/>
                <w:bCs/>
              </w:rPr>
              <w:t>re</w:t>
            </w:r>
          </w:p>
        </w:tc>
        <w:tc>
          <w:tcPr>
            <w:tcW w:w="1001" w:type="dxa"/>
            <w:shd w:val="clear" w:color="auto" w:fill="8DB3E2" w:themeFill="text2" w:themeFillTint="66"/>
            <w:vAlign w:val="bottom"/>
          </w:tcPr>
          <w:p w14:paraId="769DA5B1" w14:textId="134C407D" w:rsidR="00E04EC8" w:rsidRPr="0039463A" w:rsidRDefault="00E04EC8" w:rsidP="0064026E">
            <w:pPr>
              <w:spacing w:before="120" w:after="120"/>
              <w:jc w:val="center"/>
              <w:rPr>
                <w:b/>
                <w:bCs/>
              </w:rPr>
            </w:pPr>
            <w:r w:rsidRPr="0039463A">
              <w:rPr>
                <w:b/>
                <w:bCs/>
              </w:rPr>
              <w:t>C</w:t>
            </w:r>
            <w:r w:rsidR="00CF45B5">
              <w:rPr>
                <w:b/>
                <w:bCs/>
              </w:rPr>
              <w:t>20</w:t>
            </w:r>
            <w:r w:rsidRPr="0039463A">
              <w:rPr>
                <w:b/>
                <w:bCs/>
              </w:rPr>
              <w:t>/#</w:t>
            </w:r>
          </w:p>
        </w:tc>
      </w:tr>
      <w:tr w:rsidR="00E04EC8" w:rsidRPr="0039463A" w14:paraId="5E7AD3AA" w14:textId="77777777" w:rsidTr="00CF45B5">
        <w:trPr>
          <w:jc w:val="center"/>
        </w:trPr>
        <w:tc>
          <w:tcPr>
            <w:tcW w:w="8581" w:type="dxa"/>
            <w:vAlign w:val="center"/>
          </w:tcPr>
          <w:p w14:paraId="5BF929A8" w14:textId="6CF6A772" w:rsidR="00E04EC8" w:rsidRPr="0039463A" w:rsidRDefault="00363003" w:rsidP="0064026E">
            <w:pPr>
              <w:spacing w:before="60" w:after="60"/>
            </w:pPr>
            <w:r w:rsidRPr="001A54F9">
              <w:rPr>
                <w:b/>
                <w:bCs/>
                <w:lang w:val="fr-FR"/>
              </w:rPr>
              <w:t>Décision</w:t>
            </w:r>
            <w:r w:rsidRPr="001A54F9">
              <w:rPr>
                <w:lang w:val="fr-FR"/>
              </w:rPr>
              <w:t xml:space="preserve"> </w:t>
            </w:r>
            <w:r w:rsidRPr="001A54F9">
              <w:rPr>
                <w:b/>
                <w:bCs/>
                <w:lang w:val="fr-FR"/>
              </w:rPr>
              <w:t>482 (Modifiée 2020)</w:t>
            </w:r>
            <w:r w:rsidRPr="001A54F9">
              <w:rPr>
                <w:lang w:val="fr-FR"/>
              </w:rPr>
              <w:t xml:space="preserve"> - Mise en oeuvre du recouvrement des coûts pour le traitement des fiches de notification des réseaux à satellite</w:t>
            </w:r>
          </w:p>
        </w:tc>
        <w:tc>
          <w:tcPr>
            <w:tcW w:w="1001" w:type="dxa"/>
            <w:vAlign w:val="center"/>
          </w:tcPr>
          <w:p w14:paraId="00BFF085" w14:textId="3CF497C7" w:rsidR="00E04EC8" w:rsidRPr="0039463A" w:rsidRDefault="00FC46D8" w:rsidP="0064026E">
            <w:pPr>
              <w:spacing w:before="60" w:after="60"/>
              <w:jc w:val="center"/>
            </w:pPr>
            <w:hyperlink r:id="rId18" w:history="1">
              <w:r w:rsidR="00E04EC8" w:rsidRPr="00BC7FD6">
                <w:rPr>
                  <w:rStyle w:val="Hyperlink"/>
                </w:rPr>
                <w:t>C</w:t>
              </w:r>
              <w:r w:rsidR="00CF45B5">
                <w:rPr>
                  <w:rStyle w:val="Hyperlink"/>
                </w:rPr>
                <w:t>20</w:t>
              </w:r>
              <w:r w:rsidR="00E04EC8" w:rsidRPr="00BC7FD6">
                <w:rPr>
                  <w:rStyle w:val="Hyperlink"/>
                </w:rPr>
                <w:t>/</w:t>
              </w:r>
              <w:r w:rsidR="00CF45B5">
                <w:rPr>
                  <w:rStyle w:val="Hyperlink"/>
                </w:rPr>
                <w:t>70</w:t>
              </w:r>
            </w:hyperlink>
          </w:p>
        </w:tc>
      </w:tr>
      <w:tr w:rsidR="00223E3A" w:rsidRPr="0039463A" w14:paraId="64923A88" w14:textId="77777777" w:rsidTr="00CF45B5">
        <w:trPr>
          <w:jc w:val="center"/>
        </w:trPr>
        <w:tc>
          <w:tcPr>
            <w:tcW w:w="8581" w:type="dxa"/>
            <w:vAlign w:val="center"/>
          </w:tcPr>
          <w:p w14:paraId="7A0359D8" w14:textId="294376D2" w:rsidR="00223E3A" w:rsidRPr="00E04EC8" w:rsidRDefault="00363003" w:rsidP="0064026E">
            <w:pPr>
              <w:spacing w:before="60" w:after="60"/>
            </w:pPr>
            <w:r w:rsidRPr="001A54F9">
              <w:rPr>
                <w:b/>
                <w:bCs/>
                <w:lang w:val="fr-FR"/>
              </w:rPr>
              <w:t>Décision 608 (Modifiée 2020)</w:t>
            </w:r>
            <w:r w:rsidRPr="001A54F9">
              <w:rPr>
                <w:lang w:val="fr-FR"/>
              </w:rPr>
              <w:t xml:space="preserve"> –</w:t>
            </w:r>
            <w:r>
              <w:rPr>
                <w:lang w:val="fr-FR"/>
              </w:rPr>
              <w:t xml:space="preserve"> </w:t>
            </w:r>
            <w:r w:rsidRPr="001A54F9">
              <w:rPr>
                <w:lang w:val="fr-FR"/>
              </w:rPr>
              <w:t>Convocation de la prochaine Assemblée mondiale de normalisation des télécommunications (AMNT-20)</w:t>
            </w:r>
          </w:p>
        </w:tc>
        <w:tc>
          <w:tcPr>
            <w:tcW w:w="1001" w:type="dxa"/>
            <w:vAlign w:val="center"/>
          </w:tcPr>
          <w:p w14:paraId="6D9ABEAF" w14:textId="4F3A3A3E" w:rsidR="00223E3A" w:rsidRPr="00757D12" w:rsidRDefault="00FC46D8" w:rsidP="0064026E">
            <w:pPr>
              <w:spacing w:before="60" w:after="60"/>
              <w:jc w:val="center"/>
            </w:pPr>
            <w:hyperlink r:id="rId19" w:history="1">
              <w:r w:rsidR="00223E3A" w:rsidRPr="00757D12">
                <w:rPr>
                  <w:rStyle w:val="Hyperlink"/>
                </w:rPr>
                <w:t>C20/72</w:t>
              </w:r>
              <w:r w:rsidR="00223E3A" w:rsidRPr="00757D12">
                <w:rPr>
                  <w:rStyle w:val="Hyperlink"/>
                </w:rPr>
                <w:br/>
                <w:t>(Rev.1)</w:t>
              </w:r>
            </w:hyperlink>
          </w:p>
        </w:tc>
      </w:tr>
      <w:tr w:rsidR="00223E3A" w:rsidRPr="0039463A" w14:paraId="10540ECE" w14:textId="77777777" w:rsidTr="00CF45B5">
        <w:trPr>
          <w:jc w:val="center"/>
        </w:trPr>
        <w:tc>
          <w:tcPr>
            <w:tcW w:w="8581" w:type="dxa"/>
            <w:vAlign w:val="center"/>
          </w:tcPr>
          <w:p w14:paraId="5263106E" w14:textId="6E93271C" w:rsidR="00223E3A" w:rsidRPr="00223E3A" w:rsidRDefault="00363003" w:rsidP="0064026E">
            <w:pPr>
              <w:spacing w:before="60" w:after="60"/>
            </w:pPr>
            <w:r w:rsidRPr="001A54F9">
              <w:rPr>
                <w:b/>
                <w:bCs/>
                <w:lang w:val="fr-FR"/>
              </w:rPr>
              <w:t xml:space="preserve">Décision 611 (Modifiée 2020) – </w:t>
            </w:r>
            <w:r w:rsidRPr="001A54F9">
              <w:rPr>
                <w:lang w:val="fr-FR"/>
              </w:rPr>
              <w:t>Sixième</w:t>
            </w:r>
            <w:r w:rsidRPr="001A54F9">
              <w:rPr>
                <w:rFonts w:cstheme="minorHAnsi"/>
                <w:color w:val="000000"/>
                <w:lang w:val="fr-FR"/>
              </w:rPr>
              <w:t xml:space="preserve"> Forum mondial des politiques de télécommunication/TIC (FMPT-21)</w:t>
            </w:r>
          </w:p>
        </w:tc>
        <w:tc>
          <w:tcPr>
            <w:tcW w:w="1001" w:type="dxa"/>
            <w:vAlign w:val="center"/>
          </w:tcPr>
          <w:p w14:paraId="3D7A1A69" w14:textId="4A5B1725" w:rsidR="00223E3A" w:rsidRPr="00757D12" w:rsidRDefault="00FC46D8" w:rsidP="0064026E">
            <w:pPr>
              <w:spacing w:before="60" w:after="60"/>
              <w:jc w:val="center"/>
            </w:pPr>
            <w:hyperlink r:id="rId20" w:history="1">
              <w:r w:rsidR="00223E3A" w:rsidRPr="00757D12">
                <w:rPr>
                  <w:rStyle w:val="Hyperlink"/>
                </w:rPr>
                <w:t>C20/81</w:t>
              </w:r>
            </w:hyperlink>
          </w:p>
        </w:tc>
      </w:tr>
    </w:tbl>
    <w:bookmarkEnd w:id="0"/>
    <w:p w14:paraId="29170730" w14:textId="77777777" w:rsidR="00F676E3" w:rsidRPr="00F676E3" w:rsidRDefault="00BC7FD6" w:rsidP="00BC7FD6">
      <w:pPr>
        <w:spacing w:before="840" w:after="0" w:line="240" w:lineRule="auto"/>
        <w:jc w:val="center"/>
        <w:rPr>
          <w:u w:val="single"/>
        </w:rPr>
      </w:pPr>
      <w:r>
        <w:rPr>
          <w:u w:val="single"/>
        </w:rPr>
        <w:t>_________________</w:t>
      </w:r>
    </w:p>
    <w:sectPr w:rsidR="00F676E3" w:rsidRPr="00F676E3" w:rsidSect="009447B0">
      <w:headerReference w:type="default" r:id="rId21"/>
      <w:footerReference w:type="first" r:id="rId22"/>
      <w:pgSz w:w="11906" w:h="16838" w:code="9"/>
      <w:pgMar w:top="284" w:right="1134"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9F468" w14:textId="77777777" w:rsidR="00423DCD" w:rsidRDefault="00423DCD">
      <w:r>
        <w:separator/>
      </w:r>
    </w:p>
  </w:endnote>
  <w:endnote w:type="continuationSeparator" w:id="0">
    <w:p w14:paraId="396190C7" w14:textId="77777777" w:rsidR="00423DCD" w:rsidRDefault="0042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373B0" w14:textId="77777777" w:rsidR="002A56D6" w:rsidRDefault="002A56D6">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C9413" w14:textId="77777777" w:rsidR="00423DCD" w:rsidRDefault="00423DCD">
      <w:r>
        <w:separator/>
      </w:r>
    </w:p>
  </w:footnote>
  <w:footnote w:type="continuationSeparator" w:id="0">
    <w:p w14:paraId="4A71C42B" w14:textId="77777777" w:rsidR="00423DCD" w:rsidRDefault="0042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3633845"/>
      <w:docPartObj>
        <w:docPartGallery w:val="Page Numbers (Top of Page)"/>
        <w:docPartUnique/>
      </w:docPartObj>
    </w:sdtPr>
    <w:sdtEndPr>
      <w:rPr>
        <w:noProof/>
      </w:rPr>
    </w:sdtEndPr>
    <w:sdtContent>
      <w:p w14:paraId="557D0515" w14:textId="0E257EA5" w:rsidR="00E121E6" w:rsidRDefault="00E121E6" w:rsidP="003D16DE">
        <w:pPr>
          <w:pStyle w:val="Header"/>
        </w:pPr>
        <w:r>
          <w:fldChar w:fldCharType="begin"/>
        </w:r>
        <w:r>
          <w:instrText xml:space="preserve"> PAGE   \* MERGEFORMAT </w:instrText>
        </w:r>
        <w:r>
          <w:fldChar w:fldCharType="separate"/>
        </w:r>
        <w:r w:rsidR="00497557">
          <w:rPr>
            <w:noProof/>
          </w:rPr>
          <w:t>2</w:t>
        </w:r>
        <w:r>
          <w:rPr>
            <w:noProof/>
          </w:rPr>
          <w:fldChar w:fldCharType="end"/>
        </w:r>
        <w:r>
          <w:rPr>
            <w:noProof/>
          </w:rPr>
          <w:br/>
        </w:r>
        <w:r w:rsidR="00757D12">
          <w:rPr>
            <w:noProof/>
          </w:rPr>
          <w:t>C20</w:t>
        </w:r>
        <w:r w:rsidR="003D5F2D">
          <w:rPr>
            <w:noProof/>
          </w:rPr>
          <w:t>/86-</w:t>
        </w:r>
        <w:r w:rsidR="00363003">
          <w:rPr>
            <w:noProof/>
          </w:rPr>
          <w:t>F</w:t>
        </w:r>
      </w:p>
    </w:sdtContent>
  </w:sdt>
  <w:p w14:paraId="3838CD52" w14:textId="77777777" w:rsidR="00E121E6" w:rsidRDefault="00E12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5639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0A2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88B5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1C3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3C00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5268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C00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9E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F448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8A4902"/>
    <w:multiLevelType w:val="hybridMultilevel"/>
    <w:tmpl w:val="5CD26CFE"/>
    <w:lvl w:ilvl="0" w:tplc="CDAE30FA">
      <w:start w:val="120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AC5954"/>
    <w:multiLevelType w:val="hybridMultilevel"/>
    <w:tmpl w:val="48D0A3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E316E8"/>
    <w:multiLevelType w:val="hybridMultilevel"/>
    <w:tmpl w:val="E00817D6"/>
    <w:lvl w:ilvl="0" w:tplc="CD76E684">
      <w:start w:val="10"/>
      <w:numFmt w:val="bullet"/>
      <w:lvlText w:val="-"/>
      <w:lvlJc w:val="left"/>
      <w:pPr>
        <w:tabs>
          <w:tab w:val="num" w:pos="391"/>
        </w:tabs>
        <w:ind w:left="391" w:hanging="360"/>
      </w:pPr>
      <w:rPr>
        <w:rFonts w:ascii="Times New Roman" w:eastAsia="Times New Roman" w:hAnsi="Times New Roman" w:cs="Times New Roman" w:hint="default"/>
      </w:rPr>
    </w:lvl>
    <w:lvl w:ilvl="1" w:tplc="04090003" w:tentative="1">
      <w:start w:val="1"/>
      <w:numFmt w:val="bullet"/>
      <w:lvlText w:val="o"/>
      <w:lvlJc w:val="left"/>
      <w:pPr>
        <w:tabs>
          <w:tab w:val="num" w:pos="1111"/>
        </w:tabs>
        <w:ind w:left="1111" w:hanging="360"/>
      </w:pPr>
      <w:rPr>
        <w:rFonts w:ascii="Courier New" w:hAnsi="Courier New" w:cs="Courier New" w:hint="default"/>
      </w:rPr>
    </w:lvl>
    <w:lvl w:ilvl="2" w:tplc="04090005" w:tentative="1">
      <w:start w:val="1"/>
      <w:numFmt w:val="bullet"/>
      <w:lvlText w:val=""/>
      <w:lvlJc w:val="left"/>
      <w:pPr>
        <w:tabs>
          <w:tab w:val="num" w:pos="1831"/>
        </w:tabs>
        <w:ind w:left="1831" w:hanging="360"/>
      </w:pPr>
      <w:rPr>
        <w:rFonts w:ascii="Wingdings" w:hAnsi="Wingdings" w:hint="default"/>
      </w:rPr>
    </w:lvl>
    <w:lvl w:ilvl="3" w:tplc="04090001" w:tentative="1">
      <w:start w:val="1"/>
      <w:numFmt w:val="bullet"/>
      <w:lvlText w:val=""/>
      <w:lvlJc w:val="left"/>
      <w:pPr>
        <w:tabs>
          <w:tab w:val="num" w:pos="2551"/>
        </w:tabs>
        <w:ind w:left="2551" w:hanging="360"/>
      </w:pPr>
      <w:rPr>
        <w:rFonts w:ascii="Symbol" w:hAnsi="Symbol" w:hint="default"/>
      </w:rPr>
    </w:lvl>
    <w:lvl w:ilvl="4" w:tplc="04090003" w:tentative="1">
      <w:start w:val="1"/>
      <w:numFmt w:val="bullet"/>
      <w:lvlText w:val="o"/>
      <w:lvlJc w:val="left"/>
      <w:pPr>
        <w:tabs>
          <w:tab w:val="num" w:pos="3271"/>
        </w:tabs>
        <w:ind w:left="3271" w:hanging="360"/>
      </w:pPr>
      <w:rPr>
        <w:rFonts w:ascii="Courier New" w:hAnsi="Courier New" w:cs="Courier New" w:hint="default"/>
      </w:rPr>
    </w:lvl>
    <w:lvl w:ilvl="5" w:tplc="04090005" w:tentative="1">
      <w:start w:val="1"/>
      <w:numFmt w:val="bullet"/>
      <w:lvlText w:val=""/>
      <w:lvlJc w:val="left"/>
      <w:pPr>
        <w:tabs>
          <w:tab w:val="num" w:pos="3991"/>
        </w:tabs>
        <w:ind w:left="3991" w:hanging="360"/>
      </w:pPr>
      <w:rPr>
        <w:rFonts w:ascii="Wingdings" w:hAnsi="Wingdings" w:hint="default"/>
      </w:rPr>
    </w:lvl>
    <w:lvl w:ilvl="6" w:tplc="04090001" w:tentative="1">
      <w:start w:val="1"/>
      <w:numFmt w:val="bullet"/>
      <w:lvlText w:val=""/>
      <w:lvlJc w:val="left"/>
      <w:pPr>
        <w:tabs>
          <w:tab w:val="num" w:pos="4711"/>
        </w:tabs>
        <w:ind w:left="4711" w:hanging="360"/>
      </w:pPr>
      <w:rPr>
        <w:rFonts w:ascii="Symbol" w:hAnsi="Symbol" w:hint="default"/>
      </w:rPr>
    </w:lvl>
    <w:lvl w:ilvl="7" w:tplc="04090003" w:tentative="1">
      <w:start w:val="1"/>
      <w:numFmt w:val="bullet"/>
      <w:lvlText w:val="o"/>
      <w:lvlJc w:val="left"/>
      <w:pPr>
        <w:tabs>
          <w:tab w:val="num" w:pos="5431"/>
        </w:tabs>
        <w:ind w:left="5431" w:hanging="360"/>
      </w:pPr>
      <w:rPr>
        <w:rFonts w:ascii="Courier New" w:hAnsi="Courier New" w:cs="Courier New" w:hint="default"/>
      </w:rPr>
    </w:lvl>
    <w:lvl w:ilvl="8" w:tplc="04090005" w:tentative="1">
      <w:start w:val="1"/>
      <w:numFmt w:val="bullet"/>
      <w:lvlText w:val=""/>
      <w:lvlJc w:val="left"/>
      <w:pPr>
        <w:tabs>
          <w:tab w:val="num" w:pos="6151"/>
        </w:tabs>
        <w:ind w:left="6151"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ADA"/>
    <w:rsid w:val="00014074"/>
    <w:rsid w:val="0003368F"/>
    <w:rsid w:val="00044C72"/>
    <w:rsid w:val="00050EDB"/>
    <w:rsid w:val="00051376"/>
    <w:rsid w:val="000611F3"/>
    <w:rsid w:val="0007163E"/>
    <w:rsid w:val="000732CB"/>
    <w:rsid w:val="0008146A"/>
    <w:rsid w:val="0009014F"/>
    <w:rsid w:val="000A26EA"/>
    <w:rsid w:val="000C022D"/>
    <w:rsid w:val="000C6A7C"/>
    <w:rsid w:val="000D683E"/>
    <w:rsid w:val="000E37FE"/>
    <w:rsid w:val="000E4B17"/>
    <w:rsid w:val="000E526E"/>
    <w:rsid w:val="000F5740"/>
    <w:rsid w:val="000F5FBF"/>
    <w:rsid w:val="00100999"/>
    <w:rsid w:val="00104380"/>
    <w:rsid w:val="001070C9"/>
    <w:rsid w:val="001102AB"/>
    <w:rsid w:val="00131EF3"/>
    <w:rsid w:val="0013689A"/>
    <w:rsid w:val="00136978"/>
    <w:rsid w:val="0014385E"/>
    <w:rsid w:val="0014406A"/>
    <w:rsid w:val="001454F7"/>
    <w:rsid w:val="00146D98"/>
    <w:rsid w:val="0016081C"/>
    <w:rsid w:val="001613FC"/>
    <w:rsid w:val="00161C2E"/>
    <w:rsid w:val="001735C5"/>
    <w:rsid w:val="001773AE"/>
    <w:rsid w:val="001775FB"/>
    <w:rsid w:val="00185B58"/>
    <w:rsid w:val="00187CBC"/>
    <w:rsid w:val="001A2C07"/>
    <w:rsid w:val="001B0770"/>
    <w:rsid w:val="001B17D6"/>
    <w:rsid w:val="001C2FEC"/>
    <w:rsid w:val="001C36BF"/>
    <w:rsid w:val="001E676E"/>
    <w:rsid w:val="001F5583"/>
    <w:rsid w:val="00202B6F"/>
    <w:rsid w:val="0021288F"/>
    <w:rsid w:val="00212951"/>
    <w:rsid w:val="002139E4"/>
    <w:rsid w:val="002208A8"/>
    <w:rsid w:val="00221FD4"/>
    <w:rsid w:val="00223E3A"/>
    <w:rsid w:val="00227EF7"/>
    <w:rsid w:val="002356FE"/>
    <w:rsid w:val="002451A3"/>
    <w:rsid w:val="00245381"/>
    <w:rsid w:val="00245F7F"/>
    <w:rsid w:val="00251AFE"/>
    <w:rsid w:val="00270143"/>
    <w:rsid w:val="002768FE"/>
    <w:rsid w:val="002808B0"/>
    <w:rsid w:val="00282238"/>
    <w:rsid w:val="0028277D"/>
    <w:rsid w:val="00293271"/>
    <w:rsid w:val="002A56D6"/>
    <w:rsid w:val="002A5A12"/>
    <w:rsid w:val="002A6F85"/>
    <w:rsid w:val="002A737C"/>
    <w:rsid w:val="002B083E"/>
    <w:rsid w:val="002B2997"/>
    <w:rsid w:val="002B3A05"/>
    <w:rsid w:val="002C7814"/>
    <w:rsid w:val="002D3657"/>
    <w:rsid w:val="002D5C17"/>
    <w:rsid w:val="002E3D67"/>
    <w:rsid w:val="002F46FD"/>
    <w:rsid w:val="00302028"/>
    <w:rsid w:val="0031606C"/>
    <w:rsid w:val="00322EE7"/>
    <w:rsid w:val="00325A28"/>
    <w:rsid w:val="00334576"/>
    <w:rsid w:val="003432D1"/>
    <w:rsid w:val="00346105"/>
    <w:rsid w:val="00347D11"/>
    <w:rsid w:val="00362D97"/>
    <w:rsid w:val="00363003"/>
    <w:rsid w:val="003678F2"/>
    <w:rsid w:val="0037245C"/>
    <w:rsid w:val="003737DE"/>
    <w:rsid w:val="0037435E"/>
    <w:rsid w:val="00381A03"/>
    <w:rsid w:val="0038359A"/>
    <w:rsid w:val="0039432E"/>
    <w:rsid w:val="0039463A"/>
    <w:rsid w:val="003961FE"/>
    <w:rsid w:val="003B13DB"/>
    <w:rsid w:val="003B51C6"/>
    <w:rsid w:val="003B65F7"/>
    <w:rsid w:val="003C3DB3"/>
    <w:rsid w:val="003C6B77"/>
    <w:rsid w:val="003D16DE"/>
    <w:rsid w:val="003D3ED0"/>
    <w:rsid w:val="003D5F2D"/>
    <w:rsid w:val="003E113D"/>
    <w:rsid w:val="003F22D4"/>
    <w:rsid w:val="00400CC8"/>
    <w:rsid w:val="00407E5E"/>
    <w:rsid w:val="00410556"/>
    <w:rsid w:val="00411C1C"/>
    <w:rsid w:val="00423DCD"/>
    <w:rsid w:val="00430EDD"/>
    <w:rsid w:val="00432DBF"/>
    <w:rsid w:val="0044257F"/>
    <w:rsid w:val="00453AED"/>
    <w:rsid w:val="004561CE"/>
    <w:rsid w:val="004601D5"/>
    <w:rsid w:val="004722B0"/>
    <w:rsid w:val="0047785A"/>
    <w:rsid w:val="004863B9"/>
    <w:rsid w:val="00496349"/>
    <w:rsid w:val="00497557"/>
    <w:rsid w:val="00497B8A"/>
    <w:rsid w:val="004A1997"/>
    <w:rsid w:val="004A3C95"/>
    <w:rsid w:val="004A5B16"/>
    <w:rsid w:val="004A7DFE"/>
    <w:rsid w:val="004B103C"/>
    <w:rsid w:val="004B62B6"/>
    <w:rsid w:val="004C4B17"/>
    <w:rsid w:val="004C52FC"/>
    <w:rsid w:val="004D14C8"/>
    <w:rsid w:val="004D3663"/>
    <w:rsid w:val="004D469E"/>
    <w:rsid w:val="004E0488"/>
    <w:rsid w:val="005058EF"/>
    <w:rsid w:val="005059BA"/>
    <w:rsid w:val="00515F9C"/>
    <w:rsid w:val="00522E81"/>
    <w:rsid w:val="005273CA"/>
    <w:rsid w:val="00530DE4"/>
    <w:rsid w:val="005323A0"/>
    <w:rsid w:val="00541396"/>
    <w:rsid w:val="00543788"/>
    <w:rsid w:val="005564F6"/>
    <w:rsid w:val="005766CF"/>
    <w:rsid w:val="0059302B"/>
    <w:rsid w:val="005A165A"/>
    <w:rsid w:val="005A2D8D"/>
    <w:rsid w:val="005C3D7D"/>
    <w:rsid w:val="005C46A2"/>
    <w:rsid w:val="005C493F"/>
    <w:rsid w:val="005C5650"/>
    <w:rsid w:val="005E4376"/>
    <w:rsid w:val="005E6FF7"/>
    <w:rsid w:val="005F5BF1"/>
    <w:rsid w:val="00601BE8"/>
    <w:rsid w:val="00607015"/>
    <w:rsid w:val="00612C20"/>
    <w:rsid w:val="00613ADA"/>
    <w:rsid w:val="00623D87"/>
    <w:rsid w:val="006355BB"/>
    <w:rsid w:val="0065321F"/>
    <w:rsid w:val="006534A7"/>
    <w:rsid w:val="006624D4"/>
    <w:rsid w:val="00671B71"/>
    <w:rsid w:val="00673732"/>
    <w:rsid w:val="0068164A"/>
    <w:rsid w:val="00690A99"/>
    <w:rsid w:val="006A0A11"/>
    <w:rsid w:val="006B1C36"/>
    <w:rsid w:val="006B4A5A"/>
    <w:rsid w:val="006C1308"/>
    <w:rsid w:val="006C254A"/>
    <w:rsid w:val="0070795A"/>
    <w:rsid w:val="00710CEE"/>
    <w:rsid w:val="00720021"/>
    <w:rsid w:val="007314BA"/>
    <w:rsid w:val="00752954"/>
    <w:rsid w:val="00757D12"/>
    <w:rsid w:val="00760935"/>
    <w:rsid w:val="00761841"/>
    <w:rsid w:val="00761BAC"/>
    <w:rsid w:val="0078442B"/>
    <w:rsid w:val="007909B9"/>
    <w:rsid w:val="007979F2"/>
    <w:rsid w:val="007A0C65"/>
    <w:rsid w:val="007A2EB7"/>
    <w:rsid w:val="007A72CB"/>
    <w:rsid w:val="007C3EF6"/>
    <w:rsid w:val="007D6C9A"/>
    <w:rsid w:val="007E0393"/>
    <w:rsid w:val="007F2218"/>
    <w:rsid w:val="007F7B9F"/>
    <w:rsid w:val="0083203F"/>
    <w:rsid w:val="00834024"/>
    <w:rsid w:val="00834FA5"/>
    <w:rsid w:val="008356BD"/>
    <w:rsid w:val="008364A2"/>
    <w:rsid w:val="008365F8"/>
    <w:rsid w:val="0085207C"/>
    <w:rsid w:val="00852A41"/>
    <w:rsid w:val="008547EC"/>
    <w:rsid w:val="008631EA"/>
    <w:rsid w:val="008900C3"/>
    <w:rsid w:val="008940C8"/>
    <w:rsid w:val="008B472F"/>
    <w:rsid w:val="008C42D1"/>
    <w:rsid w:val="008D2D31"/>
    <w:rsid w:val="008D4125"/>
    <w:rsid w:val="008D7F5B"/>
    <w:rsid w:val="008E570A"/>
    <w:rsid w:val="008F3827"/>
    <w:rsid w:val="008F529B"/>
    <w:rsid w:val="0091040A"/>
    <w:rsid w:val="00914901"/>
    <w:rsid w:val="00923243"/>
    <w:rsid w:val="00943E4E"/>
    <w:rsid w:val="009447B0"/>
    <w:rsid w:val="00946E9E"/>
    <w:rsid w:val="00951997"/>
    <w:rsid w:val="0095682C"/>
    <w:rsid w:val="00966792"/>
    <w:rsid w:val="00981B97"/>
    <w:rsid w:val="00981BE7"/>
    <w:rsid w:val="00993F05"/>
    <w:rsid w:val="009D05D8"/>
    <w:rsid w:val="009D3A79"/>
    <w:rsid w:val="009E15DD"/>
    <w:rsid w:val="009E3DBC"/>
    <w:rsid w:val="009E40B3"/>
    <w:rsid w:val="009F35D9"/>
    <w:rsid w:val="009F3A2D"/>
    <w:rsid w:val="00A020A8"/>
    <w:rsid w:val="00A10BD8"/>
    <w:rsid w:val="00A2288F"/>
    <w:rsid w:val="00A22B09"/>
    <w:rsid w:val="00A34839"/>
    <w:rsid w:val="00A36AE1"/>
    <w:rsid w:val="00A42918"/>
    <w:rsid w:val="00A5100F"/>
    <w:rsid w:val="00A6075B"/>
    <w:rsid w:val="00A6396B"/>
    <w:rsid w:val="00A66C86"/>
    <w:rsid w:val="00A70D54"/>
    <w:rsid w:val="00A7682D"/>
    <w:rsid w:val="00A8209B"/>
    <w:rsid w:val="00A83B83"/>
    <w:rsid w:val="00A85E1E"/>
    <w:rsid w:val="00A9577C"/>
    <w:rsid w:val="00AA34C4"/>
    <w:rsid w:val="00AB0AF6"/>
    <w:rsid w:val="00AB7250"/>
    <w:rsid w:val="00AB7986"/>
    <w:rsid w:val="00AC1B65"/>
    <w:rsid w:val="00AC456F"/>
    <w:rsid w:val="00AC61CF"/>
    <w:rsid w:val="00AD0DC8"/>
    <w:rsid w:val="00AD1F69"/>
    <w:rsid w:val="00AF7B76"/>
    <w:rsid w:val="00B035C1"/>
    <w:rsid w:val="00B1619E"/>
    <w:rsid w:val="00B218E4"/>
    <w:rsid w:val="00B22951"/>
    <w:rsid w:val="00B241DC"/>
    <w:rsid w:val="00B30AB9"/>
    <w:rsid w:val="00B559A4"/>
    <w:rsid w:val="00B56F63"/>
    <w:rsid w:val="00B625CB"/>
    <w:rsid w:val="00B6499F"/>
    <w:rsid w:val="00B66290"/>
    <w:rsid w:val="00B66858"/>
    <w:rsid w:val="00B762B0"/>
    <w:rsid w:val="00B84576"/>
    <w:rsid w:val="00B95BFA"/>
    <w:rsid w:val="00BB2811"/>
    <w:rsid w:val="00BB421A"/>
    <w:rsid w:val="00BB67F8"/>
    <w:rsid w:val="00BC7FD6"/>
    <w:rsid w:val="00BD3171"/>
    <w:rsid w:val="00BE00D6"/>
    <w:rsid w:val="00BF437F"/>
    <w:rsid w:val="00BF467A"/>
    <w:rsid w:val="00C16180"/>
    <w:rsid w:val="00C17DA3"/>
    <w:rsid w:val="00C3085E"/>
    <w:rsid w:val="00C45413"/>
    <w:rsid w:val="00C76EDE"/>
    <w:rsid w:val="00C9265A"/>
    <w:rsid w:val="00C951B7"/>
    <w:rsid w:val="00CA51BF"/>
    <w:rsid w:val="00CA7EAD"/>
    <w:rsid w:val="00CD2F76"/>
    <w:rsid w:val="00CE4DB1"/>
    <w:rsid w:val="00CE7CDF"/>
    <w:rsid w:val="00CF363A"/>
    <w:rsid w:val="00CF4509"/>
    <w:rsid w:val="00CF45B5"/>
    <w:rsid w:val="00D10872"/>
    <w:rsid w:val="00D11AF5"/>
    <w:rsid w:val="00D316F3"/>
    <w:rsid w:val="00D36447"/>
    <w:rsid w:val="00D4552D"/>
    <w:rsid w:val="00D57A66"/>
    <w:rsid w:val="00D6517E"/>
    <w:rsid w:val="00D74ABE"/>
    <w:rsid w:val="00D83842"/>
    <w:rsid w:val="00D9223E"/>
    <w:rsid w:val="00D925EA"/>
    <w:rsid w:val="00DA14E2"/>
    <w:rsid w:val="00DA1607"/>
    <w:rsid w:val="00DA3DE9"/>
    <w:rsid w:val="00DA4E6B"/>
    <w:rsid w:val="00DB4805"/>
    <w:rsid w:val="00DB4BF8"/>
    <w:rsid w:val="00DC7A95"/>
    <w:rsid w:val="00DD26E5"/>
    <w:rsid w:val="00DD4F77"/>
    <w:rsid w:val="00DE4721"/>
    <w:rsid w:val="00DF22BF"/>
    <w:rsid w:val="00DF4F26"/>
    <w:rsid w:val="00E003ED"/>
    <w:rsid w:val="00E027BE"/>
    <w:rsid w:val="00E04EC8"/>
    <w:rsid w:val="00E121E6"/>
    <w:rsid w:val="00E145E0"/>
    <w:rsid w:val="00E22926"/>
    <w:rsid w:val="00E34F7A"/>
    <w:rsid w:val="00E3617F"/>
    <w:rsid w:val="00E40419"/>
    <w:rsid w:val="00E413C3"/>
    <w:rsid w:val="00E45729"/>
    <w:rsid w:val="00E5387E"/>
    <w:rsid w:val="00E575F9"/>
    <w:rsid w:val="00E633D2"/>
    <w:rsid w:val="00E63DDD"/>
    <w:rsid w:val="00E757D3"/>
    <w:rsid w:val="00E80F6D"/>
    <w:rsid w:val="00E854F2"/>
    <w:rsid w:val="00E86D3C"/>
    <w:rsid w:val="00EA3A5C"/>
    <w:rsid w:val="00EB45D5"/>
    <w:rsid w:val="00EC14E1"/>
    <w:rsid w:val="00EC1F1C"/>
    <w:rsid w:val="00EC2801"/>
    <w:rsid w:val="00EC2F6D"/>
    <w:rsid w:val="00EC4EFB"/>
    <w:rsid w:val="00EC6CC0"/>
    <w:rsid w:val="00ED4A6F"/>
    <w:rsid w:val="00EE7FAE"/>
    <w:rsid w:val="00EF0322"/>
    <w:rsid w:val="00F10737"/>
    <w:rsid w:val="00F112BC"/>
    <w:rsid w:val="00F25F3E"/>
    <w:rsid w:val="00F455E4"/>
    <w:rsid w:val="00F5094D"/>
    <w:rsid w:val="00F62873"/>
    <w:rsid w:val="00F641DE"/>
    <w:rsid w:val="00F676E3"/>
    <w:rsid w:val="00F67D59"/>
    <w:rsid w:val="00F7094C"/>
    <w:rsid w:val="00F8162C"/>
    <w:rsid w:val="00F85410"/>
    <w:rsid w:val="00F85C96"/>
    <w:rsid w:val="00FB723B"/>
    <w:rsid w:val="00FC01CD"/>
    <w:rsid w:val="00FC2625"/>
    <w:rsid w:val="00FC46D8"/>
    <w:rsid w:val="00FC5D93"/>
    <w:rsid w:val="00FC5EA9"/>
    <w:rsid w:val="00FD4365"/>
    <w:rsid w:val="00FE2968"/>
    <w:rsid w:val="00FF1E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4:docId w14:val="12FDADAF"/>
  <w15:docId w15:val="{1F8CBAA7-F744-43D7-AED6-7A0DA78C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6D8"/>
    <w:pPr>
      <w:spacing w:after="160" w:line="259" w:lineRule="auto"/>
    </w:pPr>
    <w:rPr>
      <w:rFonts w:asciiTheme="minorHAnsi" w:eastAsiaTheme="minorHAnsi" w:hAnsiTheme="minorHAnsi" w:cstheme="minorBidi"/>
      <w:sz w:val="22"/>
      <w:szCs w:val="22"/>
      <w:lang w:val="en-GB" w:eastAsia="en-US"/>
    </w:rPr>
  </w:style>
  <w:style w:type="paragraph" w:styleId="Heading1">
    <w:name w:val="heading 1"/>
    <w:aliases w:val="h1,título 1,1,l1"/>
    <w:basedOn w:val="Normal"/>
    <w:next w:val="Normal"/>
    <w:qFormat/>
    <w:rsid w:val="005323A0"/>
    <w:pPr>
      <w:keepNext/>
      <w:keepLines/>
      <w:spacing w:before="480"/>
      <w:ind w:left="567" w:hanging="567"/>
      <w:outlineLvl w:val="0"/>
    </w:pPr>
    <w:rPr>
      <w:b/>
      <w:sz w:val="28"/>
    </w:rPr>
  </w:style>
  <w:style w:type="paragraph" w:styleId="Heading2">
    <w:name w:val="heading 2"/>
    <w:basedOn w:val="Heading1"/>
    <w:next w:val="Normal"/>
    <w:qFormat/>
    <w:rsid w:val="005323A0"/>
    <w:pPr>
      <w:spacing w:before="320"/>
      <w:outlineLvl w:val="1"/>
    </w:pPr>
    <w:rPr>
      <w:sz w:val="24"/>
    </w:rPr>
  </w:style>
  <w:style w:type="paragraph" w:styleId="Heading3">
    <w:name w:val="heading 3"/>
    <w:basedOn w:val="Heading1"/>
    <w:next w:val="Normal"/>
    <w:qFormat/>
    <w:rsid w:val="005323A0"/>
    <w:pPr>
      <w:spacing w:before="200"/>
      <w:outlineLvl w:val="2"/>
    </w:pPr>
    <w:rPr>
      <w:sz w:val="24"/>
    </w:rPr>
  </w:style>
  <w:style w:type="paragraph" w:styleId="Heading4">
    <w:name w:val="heading 4"/>
    <w:basedOn w:val="Heading3"/>
    <w:next w:val="Normal"/>
    <w:link w:val="Heading4Char"/>
    <w:qFormat/>
    <w:rsid w:val="005323A0"/>
    <w:pPr>
      <w:ind w:left="1134" w:hanging="1134"/>
      <w:outlineLvl w:val="3"/>
    </w:pPr>
  </w:style>
  <w:style w:type="paragraph" w:styleId="Heading5">
    <w:name w:val="heading 5"/>
    <w:basedOn w:val="Heading4"/>
    <w:next w:val="Normal"/>
    <w:link w:val="Heading5Char"/>
    <w:qFormat/>
    <w:rsid w:val="005323A0"/>
    <w:pPr>
      <w:outlineLvl w:val="4"/>
    </w:pPr>
  </w:style>
  <w:style w:type="paragraph" w:styleId="Heading6">
    <w:name w:val="heading 6"/>
    <w:basedOn w:val="Heading4"/>
    <w:next w:val="Normal"/>
    <w:link w:val="Heading6Char"/>
    <w:qFormat/>
    <w:rsid w:val="005323A0"/>
    <w:pPr>
      <w:outlineLvl w:val="5"/>
    </w:pPr>
  </w:style>
  <w:style w:type="paragraph" w:styleId="Heading7">
    <w:name w:val="heading 7"/>
    <w:basedOn w:val="Heading4"/>
    <w:next w:val="Normal"/>
    <w:link w:val="Heading7Char"/>
    <w:qFormat/>
    <w:rsid w:val="005323A0"/>
    <w:pPr>
      <w:ind w:left="1701" w:hanging="1701"/>
      <w:outlineLvl w:val="6"/>
    </w:pPr>
  </w:style>
  <w:style w:type="paragraph" w:styleId="Heading8">
    <w:name w:val="heading 8"/>
    <w:basedOn w:val="Heading4"/>
    <w:next w:val="Normal"/>
    <w:link w:val="Heading8Char"/>
    <w:qFormat/>
    <w:rsid w:val="005323A0"/>
    <w:pPr>
      <w:ind w:left="1701" w:hanging="1701"/>
      <w:outlineLvl w:val="7"/>
    </w:pPr>
  </w:style>
  <w:style w:type="paragraph" w:styleId="Heading9">
    <w:name w:val="heading 9"/>
    <w:basedOn w:val="Heading4"/>
    <w:next w:val="Normal"/>
    <w:link w:val="Heading9Char"/>
    <w:qFormat/>
    <w:rsid w:val="005323A0"/>
    <w:pPr>
      <w:ind w:left="1701" w:hanging="1701"/>
      <w:outlineLvl w:val="8"/>
    </w:pPr>
  </w:style>
  <w:style w:type="character" w:default="1" w:styleId="DefaultParagraphFont">
    <w:name w:val="Default Paragraph Font"/>
    <w:uiPriority w:val="1"/>
    <w:semiHidden/>
    <w:unhideWhenUsed/>
    <w:rsid w:val="00FC46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46D8"/>
  </w:style>
  <w:style w:type="paragraph" w:styleId="TOC1">
    <w:name w:val="toc 1"/>
    <w:basedOn w:val="Normal"/>
    <w:rsid w:val="005323A0"/>
    <w:pPr>
      <w:tabs>
        <w:tab w:val="left" w:pos="964"/>
        <w:tab w:val="left" w:leader="dot" w:pos="8789"/>
        <w:tab w:val="right" w:pos="9639"/>
      </w:tabs>
      <w:spacing w:before="240"/>
      <w:ind w:left="964" w:hanging="964"/>
    </w:pPr>
  </w:style>
  <w:style w:type="paragraph" w:styleId="Index1">
    <w:name w:val="index 1"/>
    <w:basedOn w:val="Normal"/>
    <w:next w:val="Normal"/>
    <w:rsid w:val="005323A0"/>
  </w:style>
  <w:style w:type="paragraph" w:styleId="Footer">
    <w:name w:val="footer"/>
    <w:basedOn w:val="Normal"/>
    <w:rsid w:val="005323A0"/>
    <w:pPr>
      <w:tabs>
        <w:tab w:val="left" w:pos="5954"/>
        <w:tab w:val="right" w:pos="9639"/>
      </w:tabs>
    </w:pPr>
    <w:rPr>
      <w:caps/>
      <w:noProof/>
      <w:sz w:val="16"/>
    </w:rPr>
  </w:style>
  <w:style w:type="paragraph" w:styleId="Header">
    <w:name w:val="header"/>
    <w:basedOn w:val="Normal"/>
    <w:link w:val="HeaderChar"/>
    <w:rsid w:val="005323A0"/>
    <w:pPr>
      <w:jc w:val="center"/>
    </w:pPr>
    <w:rPr>
      <w:sz w:val="18"/>
    </w:rPr>
  </w:style>
  <w:style w:type="paragraph" w:customStyle="1" w:styleId="TableTitle">
    <w:name w:val="Table_Title"/>
    <w:basedOn w:val="Normal"/>
    <w:next w:val="Normal"/>
    <w:rsid w:val="00DD4F77"/>
    <w:pPr>
      <w:keepNext/>
      <w:keepLines/>
      <w:tabs>
        <w:tab w:val="left" w:pos="794"/>
        <w:tab w:val="left" w:pos="1191"/>
        <w:tab w:val="left" w:pos="1588"/>
        <w:tab w:val="left" w:pos="1985"/>
      </w:tabs>
      <w:spacing w:after="120"/>
      <w:jc w:val="center"/>
    </w:pPr>
    <w:rPr>
      <w:b/>
    </w:rPr>
  </w:style>
  <w:style w:type="paragraph" w:customStyle="1" w:styleId="ASN1">
    <w:name w:val="ASN.1"/>
    <w:basedOn w:val="Normal"/>
    <w:rsid w:val="00DD4F77"/>
    <w:pPr>
      <w:tabs>
        <w:tab w:val="left" w:pos="3402"/>
        <w:tab w:val="left" w:pos="3969"/>
        <w:tab w:val="left" w:pos="4536"/>
        <w:tab w:val="left" w:pos="5103"/>
        <w:tab w:val="left" w:pos="5670"/>
      </w:tabs>
    </w:pPr>
    <w:rPr>
      <w:b/>
      <w:noProof/>
      <w:sz w:val="20"/>
    </w:rPr>
  </w:style>
  <w:style w:type="paragraph" w:styleId="BodyTextIndent2">
    <w:name w:val="Body Text Indent 2"/>
    <w:basedOn w:val="Normal"/>
    <w:rsid w:val="00DD4F77"/>
    <w:pPr>
      <w:tabs>
        <w:tab w:val="left" w:pos="794"/>
        <w:tab w:val="left" w:pos="1588"/>
        <w:tab w:val="left" w:pos="1985"/>
      </w:tabs>
      <w:ind w:left="1588" w:hanging="737"/>
    </w:pPr>
  </w:style>
  <w:style w:type="paragraph" w:styleId="BodyText2">
    <w:name w:val="Body Text 2"/>
    <w:basedOn w:val="Normal"/>
    <w:rsid w:val="00DD4F77"/>
    <w:pPr>
      <w:widowControl w:val="0"/>
      <w:tabs>
        <w:tab w:val="left" w:pos="794"/>
        <w:tab w:val="left" w:pos="1191"/>
        <w:tab w:val="left" w:pos="1588"/>
        <w:tab w:val="left" w:pos="1985"/>
      </w:tabs>
    </w:pPr>
    <w:rPr>
      <w:sz w:val="20"/>
    </w:rPr>
  </w:style>
  <w:style w:type="paragraph" w:styleId="BodyText3">
    <w:name w:val="Body Text 3"/>
    <w:basedOn w:val="Normal"/>
    <w:rsid w:val="00DD4F77"/>
    <w:pPr>
      <w:widowControl w:val="0"/>
      <w:tabs>
        <w:tab w:val="left" w:pos="195"/>
        <w:tab w:val="left" w:pos="1191"/>
        <w:tab w:val="left" w:pos="1588"/>
        <w:tab w:val="left" w:pos="1985"/>
      </w:tabs>
      <w:spacing w:after="60"/>
    </w:pPr>
    <w:rPr>
      <w:i/>
      <w:sz w:val="20"/>
    </w:rPr>
  </w:style>
  <w:style w:type="paragraph" w:styleId="BodyText">
    <w:name w:val="Body Text"/>
    <w:basedOn w:val="Normal"/>
    <w:link w:val="BodyTextChar"/>
    <w:rsid w:val="00DD4F77"/>
    <w:pPr>
      <w:jc w:val="center"/>
    </w:pPr>
    <w:rPr>
      <w:i/>
      <w:iCs/>
      <w:sz w:val="20"/>
    </w:rPr>
  </w:style>
  <w:style w:type="paragraph" w:customStyle="1" w:styleId="Source">
    <w:name w:val="Source"/>
    <w:basedOn w:val="Normal"/>
    <w:next w:val="Title1"/>
    <w:autoRedefine/>
    <w:rsid w:val="005323A0"/>
    <w:pPr>
      <w:spacing w:before="840"/>
      <w:jc w:val="center"/>
    </w:pPr>
    <w:rPr>
      <w:b/>
      <w:sz w:val="28"/>
    </w:rPr>
  </w:style>
  <w:style w:type="paragraph" w:customStyle="1" w:styleId="dnum">
    <w:name w:val="dnum"/>
    <w:basedOn w:val="Normal"/>
    <w:rsid w:val="005323A0"/>
    <w:pPr>
      <w:framePr w:hSpace="181" w:wrap="around" w:vAnchor="page" w:hAnchor="margin" w:y="852"/>
      <w:shd w:val="solid" w:color="FFFFFF" w:fill="FFFFFF"/>
      <w:tabs>
        <w:tab w:val="left" w:pos="1871"/>
      </w:tabs>
    </w:pPr>
    <w:rPr>
      <w:b/>
      <w:bCs/>
    </w:rPr>
  </w:style>
  <w:style w:type="paragraph" w:customStyle="1" w:styleId="ddate">
    <w:name w:val="ddate"/>
    <w:basedOn w:val="Normal"/>
    <w:rsid w:val="005323A0"/>
    <w:pPr>
      <w:framePr w:hSpace="181" w:wrap="around" w:vAnchor="page" w:hAnchor="margin" w:y="852"/>
      <w:shd w:val="solid" w:color="FFFFFF" w:fill="FFFFFF"/>
      <w:tabs>
        <w:tab w:val="left" w:pos="1871"/>
      </w:tabs>
    </w:pPr>
    <w:rPr>
      <w:b/>
      <w:bCs/>
    </w:rPr>
  </w:style>
  <w:style w:type="paragraph" w:customStyle="1" w:styleId="dorlang">
    <w:name w:val="dorlang"/>
    <w:basedOn w:val="Normal"/>
    <w:rsid w:val="005323A0"/>
    <w:pPr>
      <w:framePr w:hSpace="181" w:wrap="around" w:vAnchor="page" w:hAnchor="margin" w:y="852"/>
      <w:shd w:val="solid" w:color="FFFFFF" w:fill="FFFFFF"/>
      <w:tabs>
        <w:tab w:val="left" w:pos="1871"/>
      </w:tabs>
    </w:pPr>
    <w:rPr>
      <w:b/>
      <w:bCs/>
    </w:rPr>
  </w:style>
  <w:style w:type="character" w:styleId="PageNumber">
    <w:name w:val="page number"/>
    <w:basedOn w:val="DefaultParagraphFont"/>
    <w:rsid w:val="005323A0"/>
    <w:rPr>
      <w:rFonts w:ascii="Calibri" w:hAnsi="Calibri"/>
    </w:rPr>
  </w:style>
  <w:style w:type="character" w:styleId="Hyperlink">
    <w:name w:val="Hyperlink"/>
    <w:basedOn w:val="DefaultParagraphFont"/>
    <w:rsid w:val="005323A0"/>
    <w:rPr>
      <w:color w:val="0000FF"/>
      <w:u w:val="single"/>
    </w:rPr>
  </w:style>
  <w:style w:type="paragraph" w:styleId="FootnoteText">
    <w:name w:val="footnote text"/>
    <w:basedOn w:val="Normal"/>
    <w:rsid w:val="005323A0"/>
    <w:pPr>
      <w:keepLines/>
      <w:tabs>
        <w:tab w:val="left" w:pos="256"/>
      </w:tabs>
      <w:ind w:left="256" w:hanging="256"/>
    </w:pPr>
  </w:style>
  <w:style w:type="character" w:styleId="FootnoteReference">
    <w:name w:val="footnote reference"/>
    <w:basedOn w:val="DefaultParagraphFont"/>
    <w:rsid w:val="005323A0"/>
    <w:rPr>
      <w:rFonts w:ascii="Calibri" w:hAnsi="Calibri"/>
      <w:position w:val="6"/>
      <w:sz w:val="16"/>
    </w:rPr>
  </w:style>
  <w:style w:type="paragraph" w:customStyle="1" w:styleId="Title1">
    <w:name w:val="Title 1"/>
    <w:basedOn w:val="Source"/>
    <w:next w:val="Title2"/>
    <w:rsid w:val="005323A0"/>
    <w:pPr>
      <w:spacing w:before="240"/>
    </w:pPr>
    <w:rPr>
      <w:b w:val="0"/>
      <w:caps/>
    </w:rPr>
  </w:style>
  <w:style w:type="paragraph" w:styleId="BalloonText">
    <w:name w:val="Balloon Text"/>
    <w:basedOn w:val="Normal"/>
    <w:semiHidden/>
    <w:rsid w:val="006355BB"/>
    <w:rPr>
      <w:rFonts w:ascii="Tahoma" w:hAnsi="Tahoma" w:cs="Tahoma"/>
      <w:sz w:val="16"/>
      <w:szCs w:val="16"/>
    </w:rPr>
  </w:style>
  <w:style w:type="character" w:styleId="FollowedHyperlink">
    <w:name w:val="FollowedHyperlink"/>
    <w:basedOn w:val="DefaultParagraphFont"/>
    <w:rsid w:val="005323A0"/>
    <w:rPr>
      <w:color w:val="800080"/>
      <w:u w:val="single"/>
    </w:rPr>
  </w:style>
  <w:style w:type="paragraph" w:customStyle="1" w:styleId="Head">
    <w:name w:val="Head"/>
    <w:basedOn w:val="Normal"/>
    <w:rsid w:val="005323A0"/>
    <w:pPr>
      <w:tabs>
        <w:tab w:val="left" w:pos="6663"/>
      </w:tabs>
    </w:pPr>
  </w:style>
  <w:style w:type="character" w:customStyle="1" w:styleId="Heading4Char">
    <w:name w:val="Heading 4 Char"/>
    <w:basedOn w:val="DefaultParagraphFont"/>
    <w:link w:val="Heading4"/>
    <w:rsid w:val="00D4552D"/>
    <w:rPr>
      <w:rFonts w:ascii="Calibri" w:hAnsi="Calibri"/>
      <w:b/>
      <w:sz w:val="24"/>
      <w:lang w:val="en-GB" w:eastAsia="en-US"/>
    </w:rPr>
  </w:style>
  <w:style w:type="character" w:customStyle="1" w:styleId="BodyTextChar">
    <w:name w:val="Body Text Char"/>
    <w:basedOn w:val="DefaultParagraphFont"/>
    <w:link w:val="BodyText"/>
    <w:rsid w:val="00D4552D"/>
    <w:rPr>
      <w:i/>
      <w:iCs/>
      <w:szCs w:val="24"/>
      <w:lang w:val="en-GB" w:eastAsia="en-US"/>
    </w:rPr>
  </w:style>
  <w:style w:type="character" w:customStyle="1" w:styleId="Heading5Char">
    <w:name w:val="Heading 5 Char"/>
    <w:basedOn w:val="DefaultParagraphFont"/>
    <w:link w:val="Heading5"/>
    <w:rsid w:val="00D4552D"/>
    <w:rPr>
      <w:rFonts w:ascii="Calibri" w:hAnsi="Calibri"/>
      <w:b/>
      <w:sz w:val="24"/>
      <w:lang w:val="en-GB" w:eastAsia="en-US"/>
    </w:rPr>
  </w:style>
  <w:style w:type="character" w:customStyle="1" w:styleId="Heading6Char">
    <w:name w:val="Heading 6 Char"/>
    <w:basedOn w:val="DefaultParagraphFont"/>
    <w:link w:val="Heading6"/>
    <w:rsid w:val="00D4552D"/>
    <w:rPr>
      <w:rFonts w:ascii="Calibri" w:hAnsi="Calibri"/>
      <w:b/>
      <w:sz w:val="24"/>
      <w:lang w:val="en-GB" w:eastAsia="en-US"/>
    </w:rPr>
  </w:style>
  <w:style w:type="character" w:customStyle="1" w:styleId="Heading7Char">
    <w:name w:val="Heading 7 Char"/>
    <w:basedOn w:val="DefaultParagraphFont"/>
    <w:link w:val="Heading7"/>
    <w:rsid w:val="00D4552D"/>
    <w:rPr>
      <w:rFonts w:ascii="Calibri" w:hAnsi="Calibri"/>
      <w:b/>
      <w:sz w:val="24"/>
      <w:lang w:val="en-GB" w:eastAsia="en-US"/>
    </w:rPr>
  </w:style>
  <w:style w:type="character" w:customStyle="1" w:styleId="Heading8Char">
    <w:name w:val="Heading 8 Char"/>
    <w:basedOn w:val="DefaultParagraphFont"/>
    <w:link w:val="Heading8"/>
    <w:rsid w:val="00D4552D"/>
    <w:rPr>
      <w:rFonts w:ascii="Calibri" w:hAnsi="Calibri"/>
      <w:b/>
      <w:sz w:val="24"/>
      <w:lang w:val="en-GB" w:eastAsia="en-US"/>
    </w:rPr>
  </w:style>
  <w:style w:type="character" w:customStyle="1" w:styleId="Heading9Char">
    <w:name w:val="Heading 9 Char"/>
    <w:basedOn w:val="DefaultParagraphFont"/>
    <w:link w:val="Heading9"/>
    <w:rsid w:val="00D4552D"/>
    <w:rPr>
      <w:rFonts w:ascii="Calibri" w:hAnsi="Calibri"/>
      <w:b/>
      <w:sz w:val="24"/>
      <w:lang w:val="en-GB" w:eastAsia="en-US"/>
    </w:rPr>
  </w:style>
  <w:style w:type="paragraph" w:styleId="TOC8">
    <w:name w:val="toc 8"/>
    <w:basedOn w:val="Normal"/>
    <w:next w:val="Normal"/>
    <w:rsid w:val="005323A0"/>
    <w:pPr>
      <w:tabs>
        <w:tab w:val="left" w:pos="964"/>
        <w:tab w:val="left" w:leader="dot" w:pos="8789"/>
        <w:tab w:val="right" w:pos="9639"/>
      </w:tabs>
      <w:ind w:left="964" w:hanging="964"/>
    </w:pPr>
  </w:style>
  <w:style w:type="paragraph" w:styleId="TOC4">
    <w:name w:val="toc 4"/>
    <w:basedOn w:val="Normal"/>
    <w:next w:val="Normal"/>
    <w:rsid w:val="005323A0"/>
    <w:pPr>
      <w:tabs>
        <w:tab w:val="left" w:pos="964"/>
        <w:tab w:val="left" w:pos="8789"/>
        <w:tab w:val="right" w:pos="9639"/>
      </w:tabs>
      <w:ind w:left="964" w:hanging="964"/>
    </w:pPr>
  </w:style>
  <w:style w:type="paragraph" w:styleId="TOC3">
    <w:name w:val="toc 3"/>
    <w:basedOn w:val="Normal"/>
    <w:next w:val="Normal"/>
    <w:rsid w:val="005323A0"/>
    <w:pPr>
      <w:tabs>
        <w:tab w:val="left" w:pos="964"/>
        <w:tab w:val="left" w:leader="dot" w:pos="8789"/>
        <w:tab w:val="right" w:pos="9639"/>
      </w:tabs>
      <w:ind w:left="964" w:hanging="964"/>
    </w:pPr>
  </w:style>
  <w:style w:type="paragraph" w:styleId="TOC2">
    <w:name w:val="toc 2"/>
    <w:basedOn w:val="Normal"/>
    <w:next w:val="Normal"/>
    <w:rsid w:val="005323A0"/>
    <w:pPr>
      <w:tabs>
        <w:tab w:val="left" w:pos="964"/>
        <w:tab w:val="left" w:leader="dot" w:pos="8789"/>
        <w:tab w:val="right" w:pos="9639"/>
      </w:tabs>
      <w:ind w:left="964" w:hanging="964"/>
    </w:pPr>
  </w:style>
  <w:style w:type="paragraph" w:styleId="TOC7">
    <w:name w:val="toc 7"/>
    <w:basedOn w:val="Normal"/>
    <w:next w:val="Normal"/>
    <w:rsid w:val="005323A0"/>
    <w:pPr>
      <w:tabs>
        <w:tab w:val="left" w:pos="964"/>
        <w:tab w:val="left" w:leader="dot" w:pos="8789"/>
        <w:tab w:val="right" w:pos="9639"/>
      </w:tabs>
      <w:ind w:left="964" w:hanging="964"/>
    </w:pPr>
  </w:style>
  <w:style w:type="paragraph" w:styleId="TOC6">
    <w:name w:val="toc 6"/>
    <w:basedOn w:val="Normal"/>
    <w:next w:val="Normal"/>
    <w:rsid w:val="005323A0"/>
    <w:pPr>
      <w:tabs>
        <w:tab w:val="left" w:pos="964"/>
        <w:tab w:val="left" w:leader="dot" w:pos="8789"/>
        <w:tab w:val="right" w:pos="9639"/>
      </w:tabs>
      <w:ind w:left="964" w:hanging="964"/>
    </w:pPr>
  </w:style>
  <w:style w:type="paragraph" w:styleId="TOC5">
    <w:name w:val="toc 5"/>
    <w:basedOn w:val="Normal"/>
    <w:next w:val="Normal"/>
    <w:rsid w:val="005323A0"/>
    <w:pPr>
      <w:tabs>
        <w:tab w:val="left" w:pos="964"/>
        <w:tab w:val="left" w:leader="dot" w:pos="8789"/>
        <w:tab w:val="right" w:pos="9639"/>
      </w:tabs>
      <w:ind w:left="964" w:hanging="964"/>
    </w:pPr>
  </w:style>
  <w:style w:type="paragraph" w:styleId="Index7">
    <w:name w:val="index 7"/>
    <w:basedOn w:val="Normal"/>
    <w:next w:val="Normal"/>
    <w:rsid w:val="005323A0"/>
    <w:pPr>
      <w:ind w:left="1698"/>
    </w:pPr>
  </w:style>
  <w:style w:type="paragraph" w:styleId="Index6">
    <w:name w:val="index 6"/>
    <w:basedOn w:val="Normal"/>
    <w:next w:val="Normal"/>
    <w:rsid w:val="005323A0"/>
    <w:pPr>
      <w:ind w:left="1415"/>
    </w:pPr>
  </w:style>
  <w:style w:type="paragraph" w:styleId="Index5">
    <w:name w:val="index 5"/>
    <w:basedOn w:val="Normal"/>
    <w:next w:val="Normal"/>
    <w:rsid w:val="005323A0"/>
    <w:pPr>
      <w:ind w:left="1132"/>
    </w:pPr>
  </w:style>
  <w:style w:type="paragraph" w:styleId="Index4">
    <w:name w:val="index 4"/>
    <w:basedOn w:val="Normal"/>
    <w:next w:val="Normal"/>
    <w:rsid w:val="005323A0"/>
    <w:pPr>
      <w:ind w:left="849"/>
    </w:pPr>
  </w:style>
  <w:style w:type="paragraph" w:styleId="Index3">
    <w:name w:val="index 3"/>
    <w:basedOn w:val="Normal"/>
    <w:next w:val="Normal"/>
    <w:rsid w:val="005323A0"/>
    <w:pPr>
      <w:ind w:left="566"/>
    </w:pPr>
  </w:style>
  <w:style w:type="paragraph" w:styleId="Index2">
    <w:name w:val="index 2"/>
    <w:basedOn w:val="Normal"/>
    <w:next w:val="Normal"/>
    <w:rsid w:val="005323A0"/>
    <w:pPr>
      <w:ind w:left="283"/>
    </w:pPr>
  </w:style>
  <w:style w:type="character" w:styleId="LineNumber">
    <w:name w:val="line number"/>
    <w:basedOn w:val="DefaultParagraphFont"/>
    <w:rsid w:val="005323A0"/>
  </w:style>
  <w:style w:type="paragraph" w:styleId="IndexHeading">
    <w:name w:val="index heading"/>
    <w:basedOn w:val="Normal"/>
    <w:next w:val="Index1"/>
    <w:rsid w:val="005323A0"/>
  </w:style>
  <w:style w:type="paragraph" w:styleId="NormalIndent">
    <w:name w:val="Normal Indent"/>
    <w:basedOn w:val="Normal"/>
    <w:rsid w:val="005323A0"/>
    <w:pPr>
      <w:ind w:left="567"/>
    </w:pPr>
  </w:style>
  <w:style w:type="paragraph" w:customStyle="1" w:styleId="enumlev1">
    <w:name w:val="enumlev1"/>
    <w:basedOn w:val="Normal"/>
    <w:rsid w:val="005323A0"/>
    <w:pPr>
      <w:spacing w:before="86"/>
      <w:ind w:left="567" w:hanging="567"/>
    </w:pPr>
  </w:style>
  <w:style w:type="paragraph" w:customStyle="1" w:styleId="enumlev2">
    <w:name w:val="enumlev2"/>
    <w:basedOn w:val="enumlev1"/>
    <w:rsid w:val="005323A0"/>
    <w:pPr>
      <w:ind w:left="1134"/>
    </w:pPr>
  </w:style>
  <w:style w:type="paragraph" w:customStyle="1" w:styleId="enumlev3">
    <w:name w:val="enumlev3"/>
    <w:basedOn w:val="enumlev2"/>
    <w:rsid w:val="005323A0"/>
    <w:pPr>
      <w:ind w:left="1701"/>
    </w:pPr>
  </w:style>
  <w:style w:type="paragraph" w:customStyle="1" w:styleId="Normalaftertitle">
    <w:name w:val="Normal after title"/>
    <w:basedOn w:val="Normal"/>
    <w:next w:val="Normal"/>
    <w:rsid w:val="005323A0"/>
    <w:pPr>
      <w:spacing w:before="240"/>
    </w:pPr>
  </w:style>
  <w:style w:type="paragraph" w:customStyle="1" w:styleId="Equation">
    <w:name w:val="Equation"/>
    <w:basedOn w:val="Normal"/>
    <w:rsid w:val="005323A0"/>
    <w:pPr>
      <w:tabs>
        <w:tab w:val="center" w:pos="4820"/>
        <w:tab w:val="right" w:pos="9639"/>
      </w:tabs>
    </w:pPr>
  </w:style>
  <w:style w:type="paragraph" w:customStyle="1" w:styleId="toc0">
    <w:name w:val="toc 0"/>
    <w:basedOn w:val="Normal"/>
    <w:next w:val="TOC1"/>
    <w:rsid w:val="005323A0"/>
    <w:pPr>
      <w:tabs>
        <w:tab w:val="right" w:pos="9781"/>
      </w:tabs>
    </w:pPr>
    <w:rPr>
      <w:b/>
    </w:rPr>
  </w:style>
  <w:style w:type="paragraph" w:styleId="List">
    <w:name w:val="List"/>
    <w:basedOn w:val="Normal"/>
    <w:rsid w:val="005323A0"/>
    <w:pPr>
      <w:tabs>
        <w:tab w:val="left" w:pos="2127"/>
      </w:tabs>
      <w:ind w:left="2127" w:hanging="2127"/>
    </w:pPr>
  </w:style>
  <w:style w:type="paragraph" w:customStyle="1" w:styleId="Part">
    <w:name w:val="Part"/>
    <w:basedOn w:val="Normal"/>
    <w:next w:val="Normal"/>
    <w:rsid w:val="005323A0"/>
    <w:pPr>
      <w:spacing w:before="600"/>
      <w:jc w:val="center"/>
    </w:pPr>
    <w:rPr>
      <w:caps/>
      <w:sz w:val="28"/>
    </w:rPr>
  </w:style>
  <w:style w:type="paragraph" w:customStyle="1" w:styleId="docnoted">
    <w:name w:val="docnoted"/>
    <w:basedOn w:val="Normal"/>
    <w:next w:val="Head"/>
    <w:rsid w:val="00541396"/>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5323A0"/>
    <w:pPr>
      <w:tabs>
        <w:tab w:val="left" w:pos="7371"/>
      </w:tabs>
      <w:spacing w:after="567"/>
    </w:pPr>
  </w:style>
  <w:style w:type="paragraph" w:customStyle="1" w:styleId="Subject">
    <w:name w:val="Subject"/>
    <w:basedOn w:val="Normal"/>
    <w:next w:val="Source"/>
    <w:rsid w:val="005323A0"/>
    <w:pPr>
      <w:ind w:left="1134" w:hanging="1134"/>
    </w:pPr>
  </w:style>
  <w:style w:type="paragraph" w:customStyle="1" w:styleId="Object">
    <w:name w:val="Object"/>
    <w:basedOn w:val="Subject"/>
    <w:next w:val="Subject"/>
    <w:rsid w:val="005323A0"/>
  </w:style>
  <w:style w:type="paragraph" w:customStyle="1" w:styleId="Data">
    <w:name w:val="Data"/>
    <w:basedOn w:val="Subject"/>
    <w:next w:val="Subject"/>
    <w:rsid w:val="005323A0"/>
  </w:style>
  <w:style w:type="paragraph" w:customStyle="1" w:styleId="Reasons">
    <w:name w:val="Reasons"/>
    <w:basedOn w:val="Normal"/>
    <w:rsid w:val="005323A0"/>
  </w:style>
  <w:style w:type="paragraph" w:customStyle="1" w:styleId="FirstFooter">
    <w:name w:val="FirstFooter"/>
    <w:basedOn w:val="Footer"/>
    <w:rsid w:val="005323A0"/>
    <w:rPr>
      <w:caps w:val="0"/>
    </w:rPr>
  </w:style>
  <w:style w:type="paragraph" w:customStyle="1" w:styleId="Note">
    <w:name w:val="Note"/>
    <w:basedOn w:val="Normal"/>
    <w:rsid w:val="005323A0"/>
    <w:pPr>
      <w:tabs>
        <w:tab w:val="left" w:pos="851"/>
      </w:tabs>
    </w:pPr>
  </w:style>
  <w:style w:type="paragraph" w:styleId="TOC9">
    <w:name w:val="toc 9"/>
    <w:basedOn w:val="TOC4"/>
    <w:rsid w:val="005323A0"/>
  </w:style>
  <w:style w:type="paragraph" w:customStyle="1" w:styleId="Headingb">
    <w:name w:val="Heading_b"/>
    <w:basedOn w:val="Heading3"/>
    <w:next w:val="Normal"/>
    <w:rsid w:val="005323A0"/>
    <w:pPr>
      <w:spacing w:before="160"/>
      <w:outlineLvl w:val="0"/>
    </w:pPr>
  </w:style>
  <w:style w:type="paragraph" w:customStyle="1" w:styleId="Title2">
    <w:name w:val="Title 2"/>
    <w:basedOn w:val="Source"/>
    <w:next w:val="Title3"/>
    <w:rsid w:val="005323A0"/>
    <w:pPr>
      <w:spacing w:before="240"/>
    </w:pPr>
    <w:rPr>
      <w:b w:val="0"/>
      <w:caps/>
    </w:rPr>
  </w:style>
  <w:style w:type="paragraph" w:customStyle="1" w:styleId="Title3">
    <w:name w:val="Title 3"/>
    <w:basedOn w:val="Title2"/>
    <w:next w:val="Normalaftertitle"/>
    <w:rsid w:val="005323A0"/>
    <w:rPr>
      <w:caps w:val="0"/>
    </w:rPr>
  </w:style>
  <w:style w:type="paragraph" w:customStyle="1" w:styleId="Title4">
    <w:name w:val="Title 4"/>
    <w:basedOn w:val="Title3"/>
    <w:next w:val="Heading1"/>
    <w:rsid w:val="005323A0"/>
    <w:rPr>
      <w:b/>
    </w:rPr>
  </w:style>
  <w:style w:type="paragraph" w:customStyle="1" w:styleId="AnnexNo">
    <w:name w:val="Annex_No"/>
    <w:basedOn w:val="Normal"/>
    <w:next w:val="Annexref"/>
    <w:rsid w:val="005323A0"/>
    <w:pPr>
      <w:spacing w:before="720"/>
      <w:jc w:val="center"/>
    </w:pPr>
    <w:rPr>
      <w:caps/>
      <w:sz w:val="28"/>
    </w:rPr>
  </w:style>
  <w:style w:type="paragraph" w:customStyle="1" w:styleId="Annextitle">
    <w:name w:val="Annex_title"/>
    <w:basedOn w:val="Normal"/>
    <w:next w:val="Normal"/>
    <w:link w:val="AnnextitleChar"/>
    <w:rsid w:val="005323A0"/>
    <w:pPr>
      <w:spacing w:before="240" w:after="240"/>
      <w:jc w:val="center"/>
    </w:pPr>
    <w:rPr>
      <w:b/>
      <w:sz w:val="28"/>
    </w:rPr>
  </w:style>
  <w:style w:type="paragraph" w:customStyle="1" w:styleId="Annexref">
    <w:name w:val="Annex_ref"/>
    <w:basedOn w:val="Normal"/>
    <w:next w:val="Annextitle"/>
    <w:rsid w:val="005323A0"/>
    <w:pPr>
      <w:jc w:val="center"/>
    </w:pPr>
  </w:style>
  <w:style w:type="paragraph" w:customStyle="1" w:styleId="AppendixNo">
    <w:name w:val="Appendix_No"/>
    <w:basedOn w:val="AnnexNo"/>
    <w:next w:val="Appendixref"/>
    <w:rsid w:val="005323A0"/>
  </w:style>
  <w:style w:type="paragraph" w:customStyle="1" w:styleId="Appendixtitle">
    <w:name w:val="Appendix_title"/>
    <w:basedOn w:val="Annextitle"/>
    <w:next w:val="Normal"/>
    <w:rsid w:val="005323A0"/>
  </w:style>
  <w:style w:type="paragraph" w:customStyle="1" w:styleId="Appendixref">
    <w:name w:val="Appendix_ref"/>
    <w:basedOn w:val="Annexref"/>
    <w:next w:val="Appendixtitle"/>
    <w:rsid w:val="005323A0"/>
  </w:style>
  <w:style w:type="paragraph" w:customStyle="1" w:styleId="Call">
    <w:name w:val="Call"/>
    <w:basedOn w:val="Normal"/>
    <w:next w:val="Normal"/>
    <w:rsid w:val="005323A0"/>
    <w:pPr>
      <w:keepNext/>
      <w:keepLines/>
      <w:spacing w:before="160"/>
      <w:ind w:left="567"/>
    </w:pPr>
    <w:rPr>
      <w:i/>
    </w:rPr>
  </w:style>
  <w:style w:type="character" w:styleId="EndnoteReference">
    <w:name w:val="endnote reference"/>
    <w:basedOn w:val="DefaultParagraphFont"/>
    <w:rsid w:val="00541396"/>
    <w:rPr>
      <w:vertAlign w:val="superscript"/>
    </w:rPr>
  </w:style>
  <w:style w:type="paragraph" w:customStyle="1" w:styleId="Equationlegend">
    <w:name w:val="Equation_legend"/>
    <w:basedOn w:val="Normal"/>
    <w:rsid w:val="005323A0"/>
    <w:pPr>
      <w:tabs>
        <w:tab w:val="right" w:pos="1531"/>
      </w:tabs>
      <w:spacing w:before="80"/>
      <w:ind w:left="1701" w:hanging="1701"/>
    </w:pPr>
  </w:style>
  <w:style w:type="paragraph" w:customStyle="1" w:styleId="Figure">
    <w:name w:val="Figure"/>
    <w:basedOn w:val="Normal"/>
    <w:next w:val="Figuretitle"/>
    <w:rsid w:val="005323A0"/>
    <w:pPr>
      <w:keepNext/>
      <w:keepLines/>
      <w:spacing w:after="120"/>
      <w:jc w:val="center"/>
    </w:pPr>
  </w:style>
  <w:style w:type="paragraph" w:customStyle="1" w:styleId="Figuretitle">
    <w:name w:val="Figure_title"/>
    <w:basedOn w:val="Tabletitle0"/>
    <w:next w:val="Normalaftertitle"/>
    <w:rsid w:val="005323A0"/>
    <w:pPr>
      <w:spacing w:before="240" w:after="480"/>
    </w:pPr>
  </w:style>
  <w:style w:type="paragraph" w:customStyle="1" w:styleId="Tabletitle0">
    <w:name w:val="Table_title"/>
    <w:basedOn w:val="TableNo"/>
    <w:next w:val="Tabletext"/>
    <w:rsid w:val="005323A0"/>
    <w:pPr>
      <w:tabs>
        <w:tab w:val="left" w:pos="2948"/>
        <w:tab w:val="left" w:pos="4082"/>
      </w:tabs>
      <w:spacing w:before="0"/>
    </w:pPr>
    <w:rPr>
      <w:b/>
      <w:caps w:val="0"/>
    </w:rPr>
  </w:style>
  <w:style w:type="paragraph" w:customStyle="1" w:styleId="TableNo">
    <w:name w:val="Table_No"/>
    <w:basedOn w:val="Normal"/>
    <w:next w:val="Tabletitle0"/>
    <w:rsid w:val="005323A0"/>
    <w:pPr>
      <w:keepNext/>
      <w:spacing w:before="560" w:after="120"/>
      <w:jc w:val="center"/>
    </w:pPr>
    <w:rPr>
      <w:caps/>
    </w:rPr>
  </w:style>
  <w:style w:type="paragraph" w:customStyle="1" w:styleId="Tabletext">
    <w:name w:val="Table_text"/>
    <w:basedOn w:val="Normal"/>
    <w:rsid w:val="005323A0"/>
    <w:pPr>
      <w:spacing w:before="60" w:after="60"/>
    </w:pPr>
  </w:style>
  <w:style w:type="paragraph" w:customStyle="1" w:styleId="Figurelegend">
    <w:name w:val="Figure_legend"/>
    <w:basedOn w:val="Normal"/>
    <w:rsid w:val="005323A0"/>
    <w:pPr>
      <w:keepNext/>
      <w:keepLines/>
      <w:spacing w:before="20" w:after="20"/>
    </w:pPr>
    <w:rPr>
      <w:sz w:val="18"/>
    </w:rPr>
  </w:style>
  <w:style w:type="paragraph" w:customStyle="1" w:styleId="FigureNo">
    <w:name w:val="Figure_No"/>
    <w:basedOn w:val="Normal"/>
    <w:next w:val="Figuretitle"/>
    <w:rsid w:val="005323A0"/>
    <w:pPr>
      <w:keepNext/>
      <w:keepLines/>
      <w:spacing w:before="240" w:after="120"/>
      <w:jc w:val="center"/>
    </w:pPr>
    <w:rPr>
      <w:caps/>
    </w:rPr>
  </w:style>
  <w:style w:type="paragraph" w:customStyle="1" w:styleId="Figurewithouttitle">
    <w:name w:val="Figure_without_title"/>
    <w:basedOn w:val="Figure"/>
    <w:next w:val="Normalaftertitle"/>
    <w:rsid w:val="005323A0"/>
    <w:pPr>
      <w:keepNext w:val="0"/>
      <w:spacing w:after="240"/>
    </w:pPr>
  </w:style>
  <w:style w:type="paragraph" w:customStyle="1" w:styleId="Headingi">
    <w:name w:val="Heading_i"/>
    <w:basedOn w:val="Heading3"/>
    <w:next w:val="Normal"/>
    <w:rsid w:val="005323A0"/>
    <w:pPr>
      <w:spacing w:before="160"/>
      <w:outlineLvl w:val="0"/>
    </w:pPr>
    <w:rPr>
      <w:b w:val="0"/>
      <w:i/>
    </w:rPr>
  </w:style>
  <w:style w:type="paragraph" w:customStyle="1" w:styleId="PartNo">
    <w:name w:val="Part_No"/>
    <w:basedOn w:val="AnnexNo"/>
    <w:next w:val="Parttitle"/>
    <w:rsid w:val="005323A0"/>
  </w:style>
  <w:style w:type="paragraph" w:customStyle="1" w:styleId="Parttitle">
    <w:name w:val="Part_title"/>
    <w:basedOn w:val="Annextitle"/>
    <w:next w:val="Partref"/>
    <w:rsid w:val="005323A0"/>
  </w:style>
  <w:style w:type="paragraph" w:customStyle="1" w:styleId="Partref">
    <w:name w:val="Part_ref"/>
    <w:basedOn w:val="Annexref"/>
    <w:next w:val="Normalaftertitle"/>
    <w:rsid w:val="005323A0"/>
  </w:style>
  <w:style w:type="paragraph" w:customStyle="1" w:styleId="RecNo">
    <w:name w:val="Rec_No"/>
    <w:basedOn w:val="Normal"/>
    <w:next w:val="Rectitle"/>
    <w:rsid w:val="005323A0"/>
    <w:pPr>
      <w:spacing w:before="720"/>
      <w:jc w:val="center"/>
    </w:pPr>
    <w:rPr>
      <w:caps/>
      <w:sz w:val="28"/>
    </w:rPr>
  </w:style>
  <w:style w:type="paragraph" w:customStyle="1" w:styleId="Rectitle">
    <w:name w:val="Rec_title"/>
    <w:basedOn w:val="Normal"/>
    <w:next w:val="Heading1"/>
    <w:rsid w:val="005323A0"/>
    <w:pPr>
      <w:spacing w:before="240"/>
      <w:jc w:val="center"/>
    </w:pPr>
    <w:rPr>
      <w:b/>
      <w:sz w:val="28"/>
    </w:rPr>
  </w:style>
  <w:style w:type="paragraph" w:customStyle="1" w:styleId="Recref">
    <w:name w:val="Rec_ref"/>
    <w:basedOn w:val="Rectitle"/>
    <w:next w:val="Recdate"/>
    <w:rsid w:val="005323A0"/>
    <w:pPr>
      <w:spacing w:before="120"/>
    </w:pPr>
    <w:rPr>
      <w:rFonts w:ascii="Times New Roman" w:hAnsi="Times New Roman"/>
      <w:b w:val="0"/>
      <w:sz w:val="24"/>
    </w:rPr>
  </w:style>
  <w:style w:type="paragraph" w:customStyle="1" w:styleId="Recdate">
    <w:name w:val="Rec_date"/>
    <w:basedOn w:val="Recref"/>
    <w:next w:val="Normalaftertitle"/>
    <w:rsid w:val="005323A0"/>
    <w:pPr>
      <w:jc w:val="right"/>
    </w:pPr>
    <w:rPr>
      <w:sz w:val="22"/>
    </w:rPr>
  </w:style>
  <w:style w:type="paragraph" w:customStyle="1" w:styleId="Questiondate">
    <w:name w:val="Question_date"/>
    <w:basedOn w:val="Recdate"/>
    <w:next w:val="Normalaftertitle"/>
    <w:rsid w:val="005323A0"/>
  </w:style>
  <w:style w:type="paragraph" w:customStyle="1" w:styleId="QuestionNo">
    <w:name w:val="Question_No"/>
    <w:basedOn w:val="RecNo"/>
    <w:next w:val="Questiontitle"/>
    <w:rsid w:val="005323A0"/>
  </w:style>
  <w:style w:type="paragraph" w:customStyle="1" w:styleId="Questionref">
    <w:name w:val="Question_ref"/>
    <w:basedOn w:val="Recref"/>
    <w:next w:val="Questiondate"/>
    <w:rsid w:val="005323A0"/>
  </w:style>
  <w:style w:type="paragraph" w:customStyle="1" w:styleId="Questiontitle">
    <w:name w:val="Question_title"/>
    <w:basedOn w:val="Rectitle"/>
    <w:next w:val="Questionref"/>
    <w:rsid w:val="005323A0"/>
  </w:style>
  <w:style w:type="paragraph" w:customStyle="1" w:styleId="Reftext">
    <w:name w:val="Ref_text"/>
    <w:basedOn w:val="Normal"/>
    <w:rsid w:val="005323A0"/>
    <w:pPr>
      <w:ind w:left="567" w:hanging="567"/>
    </w:pPr>
  </w:style>
  <w:style w:type="paragraph" w:customStyle="1" w:styleId="Reftitle">
    <w:name w:val="Ref_title"/>
    <w:basedOn w:val="Normal"/>
    <w:next w:val="Reftext"/>
    <w:rsid w:val="005323A0"/>
    <w:pPr>
      <w:spacing w:before="480"/>
      <w:jc w:val="center"/>
    </w:pPr>
    <w:rPr>
      <w:caps/>
      <w:sz w:val="28"/>
    </w:rPr>
  </w:style>
  <w:style w:type="paragraph" w:customStyle="1" w:styleId="Repdate">
    <w:name w:val="Rep_date"/>
    <w:basedOn w:val="Recdate"/>
    <w:next w:val="Normalaftertitle"/>
    <w:rsid w:val="005323A0"/>
  </w:style>
  <w:style w:type="paragraph" w:customStyle="1" w:styleId="RepNo">
    <w:name w:val="Rep_No"/>
    <w:basedOn w:val="RecNo"/>
    <w:next w:val="Reptitle"/>
    <w:rsid w:val="005323A0"/>
  </w:style>
  <w:style w:type="paragraph" w:customStyle="1" w:styleId="Reptitle">
    <w:name w:val="Rep_title"/>
    <w:basedOn w:val="Rectitle"/>
    <w:next w:val="Repref"/>
    <w:rsid w:val="005323A0"/>
  </w:style>
  <w:style w:type="paragraph" w:customStyle="1" w:styleId="Repref">
    <w:name w:val="Rep_ref"/>
    <w:basedOn w:val="Recref"/>
    <w:next w:val="Repdate"/>
    <w:rsid w:val="005323A0"/>
  </w:style>
  <w:style w:type="paragraph" w:customStyle="1" w:styleId="Resdate">
    <w:name w:val="Res_date"/>
    <w:basedOn w:val="Recdate"/>
    <w:next w:val="Normalaftertitle"/>
    <w:rsid w:val="005323A0"/>
  </w:style>
  <w:style w:type="paragraph" w:customStyle="1" w:styleId="ResNo">
    <w:name w:val="Res_No"/>
    <w:basedOn w:val="AnnexNo"/>
    <w:next w:val="Restitle"/>
    <w:rsid w:val="005323A0"/>
  </w:style>
  <w:style w:type="paragraph" w:customStyle="1" w:styleId="Restitle">
    <w:name w:val="Res_title"/>
    <w:basedOn w:val="Annextitle"/>
    <w:next w:val="Normal"/>
    <w:rsid w:val="005323A0"/>
  </w:style>
  <w:style w:type="paragraph" w:customStyle="1" w:styleId="Resref">
    <w:name w:val="Res_ref"/>
    <w:basedOn w:val="Recref"/>
    <w:next w:val="Resdate"/>
    <w:rsid w:val="005323A0"/>
  </w:style>
  <w:style w:type="paragraph" w:customStyle="1" w:styleId="SectionNo">
    <w:name w:val="Section_No"/>
    <w:basedOn w:val="AnnexNo"/>
    <w:next w:val="Sectiontitle"/>
    <w:rsid w:val="005323A0"/>
  </w:style>
  <w:style w:type="paragraph" w:customStyle="1" w:styleId="Sectiontitle">
    <w:name w:val="Section_title"/>
    <w:basedOn w:val="Normal"/>
    <w:next w:val="Normalaftertitle"/>
    <w:rsid w:val="005323A0"/>
    <w:rPr>
      <w:sz w:val="28"/>
    </w:rPr>
  </w:style>
  <w:style w:type="paragraph" w:customStyle="1" w:styleId="SpecialFooter">
    <w:name w:val="Special Footer"/>
    <w:basedOn w:val="Footer"/>
    <w:rsid w:val="005323A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5323A0"/>
    <w:pPr>
      <w:spacing w:before="120" w:after="120"/>
      <w:jc w:val="center"/>
    </w:pPr>
    <w:rPr>
      <w:b/>
    </w:rPr>
  </w:style>
  <w:style w:type="paragraph" w:customStyle="1" w:styleId="Tablelegend">
    <w:name w:val="Table_legend"/>
    <w:basedOn w:val="Tabletext"/>
    <w:rsid w:val="005323A0"/>
    <w:pPr>
      <w:spacing w:before="120"/>
    </w:pPr>
  </w:style>
  <w:style w:type="paragraph" w:customStyle="1" w:styleId="Tableref">
    <w:name w:val="Table_ref"/>
    <w:basedOn w:val="Normal"/>
    <w:next w:val="Tabletitle0"/>
    <w:rsid w:val="005323A0"/>
    <w:pPr>
      <w:keepNext/>
      <w:spacing w:before="567"/>
      <w:jc w:val="center"/>
    </w:pPr>
  </w:style>
  <w:style w:type="paragraph" w:customStyle="1" w:styleId="Artheading">
    <w:name w:val="Art_heading"/>
    <w:basedOn w:val="Normal"/>
    <w:next w:val="Normalaftertitle"/>
    <w:rsid w:val="005323A0"/>
    <w:pPr>
      <w:spacing w:before="480"/>
      <w:jc w:val="center"/>
    </w:pPr>
    <w:rPr>
      <w:b/>
    </w:rPr>
  </w:style>
  <w:style w:type="paragraph" w:customStyle="1" w:styleId="ArtNo">
    <w:name w:val="Art_No"/>
    <w:basedOn w:val="Normal"/>
    <w:next w:val="Arttitle"/>
    <w:rsid w:val="005323A0"/>
    <w:pPr>
      <w:spacing w:before="600"/>
      <w:jc w:val="center"/>
    </w:pPr>
    <w:rPr>
      <w:caps/>
      <w:sz w:val="28"/>
    </w:rPr>
  </w:style>
  <w:style w:type="paragraph" w:customStyle="1" w:styleId="Arttitle">
    <w:name w:val="Art_title"/>
    <w:basedOn w:val="Normal"/>
    <w:next w:val="Normal"/>
    <w:rsid w:val="005323A0"/>
    <w:pPr>
      <w:spacing w:before="240" w:after="240"/>
      <w:jc w:val="center"/>
    </w:pPr>
    <w:rPr>
      <w:b/>
      <w:sz w:val="28"/>
    </w:rPr>
  </w:style>
  <w:style w:type="paragraph" w:customStyle="1" w:styleId="ChapNo">
    <w:name w:val="Chap_No"/>
    <w:basedOn w:val="ArtNo"/>
    <w:next w:val="Chaptitle"/>
    <w:rsid w:val="005323A0"/>
  </w:style>
  <w:style w:type="paragraph" w:customStyle="1" w:styleId="Chaptitle">
    <w:name w:val="Chap_title"/>
    <w:basedOn w:val="Arttitle"/>
    <w:next w:val="Normal"/>
    <w:rsid w:val="005323A0"/>
  </w:style>
  <w:style w:type="paragraph" w:customStyle="1" w:styleId="firstfooter0">
    <w:name w:val="firstfooter"/>
    <w:basedOn w:val="Normal"/>
    <w:rsid w:val="00541396"/>
    <w:pPr>
      <w:spacing w:before="100" w:beforeAutospacing="1" w:after="100" w:afterAutospacing="1"/>
    </w:pPr>
    <w:rPr>
      <w:rFonts w:eastAsia="SimSun"/>
      <w:szCs w:val="24"/>
    </w:rPr>
  </w:style>
  <w:style w:type="paragraph" w:customStyle="1" w:styleId="Table">
    <w:name w:val="Table_#"/>
    <w:basedOn w:val="Normal"/>
    <w:next w:val="Normal"/>
    <w:rsid w:val="005323A0"/>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AnnextitleChar">
    <w:name w:val="Annex_title Char"/>
    <w:basedOn w:val="DefaultParagraphFont"/>
    <w:link w:val="Annextitle"/>
    <w:locked/>
    <w:rsid w:val="00BB421A"/>
    <w:rPr>
      <w:rFonts w:ascii="Calibri" w:hAnsi="Calibri"/>
      <w:b/>
      <w:sz w:val="28"/>
      <w:lang w:val="en-GB" w:eastAsia="en-US"/>
    </w:rPr>
  </w:style>
  <w:style w:type="character" w:customStyle="1" w:styleId="HeaderChar">
    <w:name w:val="Header Char"/>
    <w:basedOn w:val="DefaultParagraphFont"/>
    <w:link w:val="Header"/>
    <w:rsid w:val="00E121E6"/>
    <w:rPr>
      <w:rFonts w:ascii="Calibri" w:hAnsi="Calibri"/>
      <w:sz w:val="18"/>
      <w:lang w:val="en-GB" w:eastAsia="en-US"/>
    </w:rPr>
  </w:style>
  <w:style w:type="table" w:styleId="TableGrid">
    <w:name w:val="Table Grid"/>
    <w:basedOn w:val="TableNormal"/>
    <w:rsid w:val="0039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7D12"/>
    <w:rPr>
      <w:color w:val="605E5C"/>
      <w:shd w:val="clear" w:color="auto" w:fill="E1DFDD"/>
    </w:rPr>
  </w:style>
  <w:style w:type="paragraph" w:styleId="ListParagraph">
    <w:name w:val="List Paragraph"/>
    <w:basedOn w:val="Normal"/>
    <w:uiPriority w:val="34"/>
    <w:qFormat/>
    <w:rsid w:val="00757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DM-CIR-01011/en" TargetMode="External"/><Relationship Id="rId13" Type="http://schemas.openxmlformats.org/officeDocument/2006/relationships/hyperlink" Target="https://www.itu.int/md/S20-CL-C-0085/en" TargetMode="External"/><Relationship Id="rId18" Type="http://schemas.openxmlformats.org/officeDocument/2006/relationships/hyperlink" Target="https://www.itu.int/md/S20-CL-C-0070/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S20-CL-C-0082/en" TargetMode="External"/><Relationship Id="rId17" Type="http://schemas.openxmlformats.org/officeDocument/2006/relationships/hyperlink" Target="https://www.itu.int/md/S20-CL-C-00079" TargetMode="External"/><Relationship Id="rId2" Type="http://schemas.openxmlformats.org/officeDocument/2006/relationships/styles" Target="styles.xml"/><Relationship Id="rId16" Type="http://schemas.openxmlformats.org/officeDocument/2006/relationships/hyperlink" Target="https://www.itu.int/md/S20-CL-C-0084/en" TargetMode="External"/><Relationship Id="rId20" Type="http://schemas.openxmlformats.org/officeDocument/2006/relationships/hyperlink" Target="https://www.itu.int/md/S20-CL-C-008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80/e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0-CL-C-0083/en" TargetMode="External"/><Relationship Id="rId23" Type="http://schemas.openxmlformats.org/officeDocument/2006/relationships/fontTable" Target="fontTable.xml"/><Relationship Id="rId10" Type="http://schemas.openxmlformats.org/officeDocument/2006/relationships/hyperlink" Target="https://www.itu.int/md/S20-CL-C-0069/en" TargetMode="External"/><Relationship Id="rId19" Type="http://schemas.openxmlformats.org/officeDocument/2006/relationships/hyperlink" Target="https://www.itu.int/md/S20-CL-C-0070/en" TargetMode="External"/><Relationship Id="rId4" Type="http://schemas.openxmlformats.org/officeDocument/2006/relationships/webSettings" Target="webSettings.xml"/><Relationship Id="rId9" Type="http://schemas.openxmlformats.org/officeDocument/2006/relationships/hyperlink" Target="https://www.itu.int/md/S20-DM-CIR-01022/en" TargetMode="External"/><Relationship Id="rId14" Type="http://schemas.openxmlformats.org/officeDocument/2006/relationships/hyperlink" Target="https://www.itu.int/md/S20-CL-C-0071/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334</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List of Resolutions and Decisions</vt:lpstr>
    </vt:vector>
  </TitlesOfParts>
  <Company>ITU</Company>
  <LinksUpToDate>false</LinksUpToDate>
  <CharactersWithSpaces>3082</CharactersWithSpaces>
  <SharedDoc>false</SharedDoc>
  <HLinks>
    <vt:vector size="6" baseType="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Resolutions and Decisions</dc:title>
  <dc:subject>Council 2017</dc:subject>
  <dc:creator>Janin</dc:creator>
  <cp:keywords>C2018, C18</cp:keywords>
  <dc:description/>
  <cp:lastModifiedBy>Janin, Patricia</cp:lastModifiedBy>
  <cp:revision>6</cp:revision>
  <cp:lastPrinted>2018-04-25T07:43:00Z</cp:lastPrinted>
  <dcterms:created xsi:type="dcterms:W3CDTF">2020-12-09T15:37:00Z</dcterms:created>
  <dcterms:modified xsi:type="dcterms:W3CDTF">2020-12-17T14:04:00Z</dcterms:modified>
  <cp:category>Conference document</cp:category>
</cp:coreProperties>
</file>