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90" w:type="dxa"/>
        <w:tblLayout w:type="fixed"/>
        <w:tblLook w:val="0000" w:firstRow="0" w:lastRow="0" w:firstColumn="0" w:lastColumn="0" w:noHBand="0" w:noVBand="0"/>
      </w:tblPr>
      <w:tblGrid>
        <w:gridCol w:w="6379"/>
        <w:gridCol w:w="2711"/>
      </w:tblGrid>
      <w:tr w:rsidR="00335550" w:rsidRPr="008F5578" w14:paraId="04AD6B95" w14:textId="77777777" w:rsidTr="001D6682">
        <w:trPr>
          <w:cantSplit/>
          <w:trHeight w:val="1276"/>
        </w:trPr>
        <w:tc>
          <w:tcPr>
            <w:tcW w:w="6379" w:type="dxa"/>
          </w:tcPr>
          <w:p w14:paraId="2EEC53F2" w14:textId="77777777" w:rsidR="00335550" w:rsidRPr="008F5578" w:rsidRDefault="00335550" w:rsidP="0005128D">
            <w:pPr>
              <w:spacing w:before="360" w:after="48" w:line="240" w:lineRule="atLeast"/>
              <w:rPr>
                <w:rFonts w:asciiTheme="minorHAnsi" w:hAnsiTheme="minorHAnsi" w:cstheme="minorHAnsi"/>
                <w:b/>
                <w:bCs/>
                <w:position w:val="6"/>
                <w:sz w:val="26"/>
                <w:szCs w:val="26"/>
                <w:lang w:val="en-GB"/>
              </w:rPr>
            </w:pPr>
            <w:r w:rsidRPr="008F5578">
              <w:rPr>
                <w:rFonts w:asciiTheme="minorHAnsi" w:hAnsiTheme="minorHAnsi" w:cstheme="minorHAnsi"/>
                <w:b/>
                <w:bCs/>
                <w:position w:val="6"/>
                <w:sz w:val="26"/>
                <w:szCs w:val="26"/>
                <w:lang w:val="en-GB"/>
              </w:rPr>
              <w:t xml:space="preserve">Virtual consultation of councillors </w:t>
            </w:r>
            <w:r w:rsidRPr="008F5578">
              <w:rPr>
                <w:rFonts w:asciiTheme="minorHAnsi" w:hAnsiTheme="minorHAnsi" w:cstheme="minorHAnsi"/>
                <w:b/>
                <w:bCs/>
                <w:position w:val="6"/>
                <w:sz w:val="26"/>
                <w:szCs w:val="26"/>
                <w:lang w:val="en-GB"/>
              </w:rPr>
              <w:br/>
              <w:t>starting 9 June 2020</w:t>
            </w:r>
          </w:p>
        </w:tc>
        <w:tc>
          <w:tcPr>
            <w:tcW w:w="2711" w:type="dxa"/>
            <w:vAlign w:val="center"/>
          </w:tcPr>
          <w:p w14:paraId="3B5D485A" w14:textId="77777777" w:rsidR="00335550" w:rsidRPr="008F5578" w:rsidRDefault="00335550" w:rsidP="0005128D">
            <w:pPr>
              <w:spacing w:line="240" w:lineRule="atLeast"/>
              <w:rPr>
                <w:rFonts w:asciiTheme="minorHAnsi" w:hAnsiTheme="minorHAnsi" w:cstheme="minorHAnsi"/>
              </w:rPr>
            </w:pPr>
            <w:bookmarkStart w:id="0" w:name="ditulogo"/>
            <w:bookmarkEnd w:id="0"/>
            <w:r w:rsidRPr="008F5578">
              <w:rPr>
                <w:rFonts w:asciiTheme="minorHAnsi" w:hAnsiTheme="minorHAnsi" w:cstheme="minorHAnsi"/>
                <w:noProof/>
                <w:lang w:eastAsia="en-IN" w:bidi="hi-IN"/>
              </w:rPr>
              <w:drawing>
                <wp:inline distT="0" distB="0" distL="0" distR="0" wp14:anchorId="40E64BD4" wp14:editId="5DF7DE8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35550" w:rsidRPr="008F5578" w14:paraId="6CEB78F9" w14:textId="77777777" w:rsidTr="001D6682">
        <w:trPr>
          <w:cantSplit/>
        </w:trPr>
        <w:tc>
          <w:tcPr>
            <w:tcW w:w="6379" w:type="dxa"/>
            <w:tcBorders>
              <w:bottom w:val="single" w:sz="12" w:space="0" w:color="auto"/>
            </w:tcBorders>
          </w:tcPr>
          <w:p w14:paraId="0C04E02A" w14:textId="77777777" w:rsidR="00335550" w:rsidRPr="008F5578" w:rsidRDefault="00335550" w:rsidP="001D6682">
            <w:pPr>
              <w:spacing w:after="0" w:line="240" w:lineRule="auto"/>
              <w:rPr>
                <w:rFonts w:asciiTheme="minorHAnsi" w:hAnsiTheme="minorHAnsi" w:cstheme="minorHAnsi"/>
                <w:b/>
                <w:smallCaps/>
                <w:szCs w:val="24"/>
              </w:rPr>
            </w:pPr>
          </w:p>
        </w:tc>
        <w:tc>
          <w:tcPr>
            <w:tcW w:w="2711" w:type="dxa"/>
            <w:tcBorders>
              <w:bottom w:val="single" w:sz="12" w:space="0" w:color="auto"/>
            </w:tcBorders>
          </w:tcPr>
          <w:p w14:paraId="3218651B" w14:textId="77777777" w:rsidR="00335550" w:rsidRPr="008F5578" w:rsidRDefault="00335550" w:rsidP="001D6682">
            <w:pPr>
              <w:spacing w:after="0" w:line="240" w:lineRule="auto"/>
              <w:rPr>
                <w:rFonts w:asciiTheme="minorHAnsi" w:hAnsiTheme="minorHAnsi" w:cstheme="minorHAnsi"/>
                <w:szCs w:val="24"/>
              </w:rPr>
            </w:pPr>
          </w:p>
        </w:tc>
      </w:tr>
      <w:tr w:rsidR="00335550" w:rsidRPr="008F5578" w14:paraId="5D448C49" w14:textId="77777777" w:rsidTr="001D6682">
        <w:trPr>
          <w:cantSplit/>
        </w:trPr>
        <w:tc>
          <w:tcPr>
            <w:tcW w:w="6379" w:type="dxa"/>
            <w:tcBorders>
              <w:top w:val="single" w:sz="12" w:space="0" w:color="auto"/>
            </w:tcBorders>
          </w:tcPr>
          <w:p w14:paraId="208CE331" w14:textId="77777777" w:rsidR="00335550" w:rsidRPr="008F5578" w:rsidRDefault="00335550" w:rsidP="0005128D">
            <w:pPr>
              <w:spacing w:after="48" w:line="240" w:lineRule="atLeast"/>
              <w:rPr>
                <w:rFonts w:asciiTheme="minorHAnsi" w:hAnsiTheme="minorHAnsi" w:cstheme="minorHAnsi"/>
                <w:b/>
                <w:smallCaps/>
                <w:szCs w:val="24"/>
              </w:rPr>
            </w:pPr>
          </w:p>
        </w:tc>
        <w:tc>
          <w:tcPr>
            <w:tcW w:w="2711" w:type="dxa"/>
            <w:tcBorders>
              <w:top w:val="single" w:sz="12" w:space="0" w:color="auto"/>
            </w:tcBorders>
          </w:tcPr>
          <w:p w14:paraId="71CABDC0" w14:textId="08D46060" w:rsidR="001D6682" w:rsidRPr="008A1838" w:rsidRDefault="001D6682" w:rsidP="001D6682">
            <w:pPr>
              <w:spacing w:before="240" w:after="0" w:line="240" w:lineRule="auto"/>
              <w:rPr>
                <w:b/>
                <w:bCs/>
                <w:sz w:val="24"/>
                <w:szCs w:val="24"/>
              </w:rPr>
            </w:pPr>
            <w:r w:rsidRPr="008A1838">
              <w:rPr>
                <w:b/>
                <w:bCs/>
                <w:sz w:val="24"/>
                <w:szCs w:val="24"/>
              </w:rPr>
              <w:t>Document VC\</w:t>
            </w:r>
            <w:r w:rsidR="00245B22">
              <w:rPr>
                <w:b/>
                <w:bCs/>
                <w:sz w:val="24"/>
                <w:szCs w:val="24"/>
              </w:rPr>
              <w:t>8</w:t>
            </w:r>
            <w:r w:rsidRPr="008A1838">
              <w:rPr>
                <w:b/>
                <w:bCs/>
                <w:sz w:val="24"/>
                <w:szCs w:val="24"/>
              </w:rPr>
              <w:t>-E</w:t>
            </w:r>
          </w:p>
          <w:p w14:paraId="09DE6C09" w14:textId="79C00336" w:rsidR="001D6682" w:rsidRPr="008A1838" w:rsidRDefault="001D6682" w:rsidP="001D6682">
            <w:pPr>
              <w:spacing w:after="0" w:line="240" w:lineRule="auto"/>
              <w:rPr>
                <w:b/>
                <w:bCs/>
                <w:sz w:val="24"/>
                <w:szCs w:val="24"/>
              </w:rPr>
            </w:pPr>
            <w:r w:rsidRPr="008A1838">
              <w:rPr>
                <w:b/>
                <w:bCs/>
                <w:sz w:val="24"/>
                <w:szCs w:val="24"/>
              </w:rPr>
              <w:t>2</w:t>
            </w:r>
            <w:r>
              <w:rPr>
                <w:b/>
                <w:bCs/>
                <w:sz w:val="24"/>
                <w:szCs w:val="24"/>
              </w:rPr>
              <w:t>9</w:t>
            </w:r>
            <w:r w:rsidRPr="008A1838">
              <w:rPr>
                <w:b/>
                <w:bCs/>
                <w:sz w:val="24"/>
                <w:szCs w:val="24"/>
              </w:rPr>
              <w:t xml:space="preserve"> May 2020</w:t>
            </w:r>
          </w:p>
          <w:p w14:paraId="57F496A8" w14:textId="34E33D5B" w:rsidR="00335550" w:rsidRPr="008F5578" w:rsidRDefault="001D6682" w:rsidP="001D6682">
            <w:pPr>
              <w:spacing w:after="0" w:line="240" w:lineRule="auto"/>
              <w:rPr>
                <w:rFonts w:asciiTheme="minorHAnsi" w:hAnsiTheme="minorHAnsi" w:cstheme="minorHAnsi"/>
                <w:szCs w:val="24"/>
              </w:rPr>
            </w:pPr>
            <w:r w:rsidRPr="008A1838">
              <w:rPr>
                <w:b/>
                <w:bCs/>
                <w:sz w:val="24"/>
                <w:szCs w:val="24"/>
              </w:rPr>
              <w:t>Original English</w:t>
            </w:r>
          </w:p>
        </w:tc>
      </w:tr>
    </w:tbl>
    <w:p w14:paraId="49557624" w14:textId="77777777" w:rsidR="00335550" w:rsidRPr="008F5578" w:rsidRDefault="00335550" w:rsidP="00245B22">
      <w:pPr>
        <w:spacing w:after="120"/>
        <w:rPr>
          <w:rFonts w:asciiTheme="minorHAnsi" w:hAnsiTheme="minorHAnsi" w:cstheme="minorHAnsi"/>
          <w:b/>
          <w:bCs/>
          <w:sz w:val="28"/>
        </w:rPr>
      </w:pPr>
      <w:bookmarkStart w:id="1" w:name="dorlang" w:colFirst="1" w:colLast="1"/>
    </w:p>
    <w:tbl>
      <w:tblPr>
        <w:tblW w:w="9090" w:type="dxa"/>
        <w:tblLayout w:type="fixed"/>
        <w:tblLook w:val="0000" w:firstRow="0" w:lastRow="0" w:firstColumn="0" w:lastColumn="0" w:noHBand="0" w:noVBand="0"/>
      </w:tblPr>
      <w:tblGrid>
        <w:gridCol w:w="2520"/>
        <w:gridCol w:w="6570"/>
      </w:tblGrid>
      <w:tr w:rsidR="00335550" w:rsidRPr="008F5578" w14:paraId="757C9B57" w14:textId="77777777" w:rsidTr="008F5578">
        <w:trPr>
          <w:cantSplit/>
        </w:trPr>
        <w:tc>
          <w:tcPr>
            <w:tcW w:w="2520" w:type="dxa"/>
            <w:tcBorders>
              <w:right w:val="single" w:sz="12" w:space="0" w:color="auto"/>
            </w:tcBorders>
            <w:vAlign w:val="center"/>
          </w:tcPr>
          <w:p w14:paraId="6EA21007" w14:textId="77777777" w:rsidR="00335550" w:rsidRPr="008F5578" w:rsidRDefault="00335550" w:rsidP="008F5578">
            <w:pPr>
              <w:spacing w:after="0"/>
              <w:rPr>
                <w:rFonts w:asciiTheme="minorHAnsi" w:hAnsiTheme="minorHAnsi" w:cstheme="minorHAnsi"/>
                <w:b/>
                <w:bCs/>
              </w:rPr>
            </w:pPr>
            <w:bookmarkStart w:id="2" w:name="dsource" w:colFirst="0" w:colLast="0"/>
            <w:bookmarkEnd w:id="1"/>
            <w:r w:rsidRPr="008F5578">
              <w:rPr>
                <w:rFonts w:asciiTheme="minorHAnsi" w:hAnsiTheme="minorHAnsi" w:cstheme="minorHAnsi"/>
                <w:b/>
                <w:bCs/>
              </w:rPr>
              <w:t>Name of the submitting Member State(s):</w:t>
            </w:r>
          </w:p>
        </w:tc>
        <w:tc>
          <w:tcPr>
            <w:tcW w:w="6570" w:type="dxa"/>
            <w:tcBorders>
              <w:top w:val="single" w:sz="12" w:space="0" w:color="auto"/>
              <w:left w:val="single" w:sz="12" w:space="0" w:color="auto"/>
              <w:bottom w:val="single" w:sz="12" w:space="0" w:color="auto"/>
              <w:right w:val="single" w:sz="12" w:space="0" w:color="auto"/>
            </w:tcBorders>
            <w:vAlign w:val="center"/>
          </w:tcPr>
          <w:p w14:paraId="5A4DCB49" w14:textId="4FF051E2" w:rsidR="00335550" w:rsidRPr="001D6682" w:rsidRDefault="00245B22" w:rsidP="008F5578">
            <w:pPr>
              <w:spacing w:after="0"/>
              <w:rPr>
                <w:rFonts w:asciiTheme="minorHAnsi" w:hAnsiTheme="minorHAnsi" w:cstheme="minorHAnsi"/>
                <w:b/>
                <w:bCs/>
              </w:rPr>
            </w:pPr>
            <w:r w:rsidRPr="00245B22">
              <w:rPr>
                <w:rFonts w:asciiTheme="minorHAnsi" w:hAnsiTheme="minorHAnsi" w:cstheme="minorHAnsi"/>
                <w:b/>
                <w:bCs/>
                <w:sz w:val="24"/>
                <w:szCs w:val="24"/>
              </w:rPr>
              <w:t>United States of America</w:t>
            </w:r>
          </w:p>
        </w:tc>
      </w:tr>
      <w:tr w:rsidR="00335550" w:rsidRPr="008F5578" w14:paraId="331B3326" w14:textId="77777777" w:rsidTr="008F5578">
        <w:trPr>
          <w:cantSplit/>
        </w:trPr>
        <w:tc>
          <w:tcPr>
            <w:tcW w:w="2520" w:type="dxa"/>
            <w:vAlign w:val="center"/>
          </w:tcPr>
          <w:p w14:paraId="4860410E" w14:textId="77777777" w:rsidR="00335550" w:rsidRPr="008F5578" w:rsidRDefault="00335550" w:rsidP="008F5578">
            <w:pPr>
              <w:spacing w:after="0" w:line="240" w:lineRule="auto"/>
              <w:rPr>
                <w:rFonts w:asciiTheme="minorHAnsi" w:hAnsiTheme="minorHAnsi" w:cstheme="minorHAnsi"/>
                <w:sz w:val="16"/>
                <w:szCs w:val="16"/>
              </w:rPr>
            </w:pPr>
          </w:p>
        </w:tc>
        <w:tc>
          <w:tcPr>
            <w:tcW w:w="6570" w:type="dxa"/>
            <w:tcBorders>
              <w:top w:val="single" w:sz="12" w:space="0" w:color="auto"/>
              <w:bottom w:val="single" w:sz="12" w:space="0" w:color="auto"/>
            </w:tcBorders>
            <w:vAlign w:val="center"/>
          </w:tcPr>
          <w:p w14:paraId="2FAC9805" w14:textId="77777777" w:rsidR="00335550" w:rsidRDefault="00335550" w:rsidP="008F5578">
            <w:pPr>
              <w:spacing w:after="0" w:line="240" w:lineRule="auto"/>
              <w:rPr>
                <w:rFonts w:asciiTheme="minorHAnsi" w:hAnsiTheme="minorHAnsi" w:cstheme="minorHAnsi"/>
                <w:sz w:val="16"/>
                <w:szCs w:val="16"/>
              </w:rPr>
            </w:pPr>
          </w:p>
          <w:p w14:paraId="0B50BACE" w14:textId="77777777" w:rsidR="008F5578" w:rsidRPr="008F5578" w:rsidRDefault="008F5578" w:rsidP="008F5578">
            <w:pPr>
              <w:spacing w:after="0" w:line="240" w:lineRule="auto"/>
              <w:rPr>
                <w:rFonts w:asciiTheme="minorHAnsi" w:hAnsiTheme="minorHAnsi" w:cstheme="minorHAnsi"/>
                <w:sz w:val="16"/>
                <w:szCs w:val="16"/>
              </w:rPr>
            </w:pPr>
          </w:p>
        </w:tc>
      </w:tr>
      <w:tr w:rsidR="00335550" w:rsidRPr="008F5578" w14:paraId="4509794F" w14:textId="77777777" w:rsidTr="008F5578">
        <w:trPr>
          <w:cantSplit/>
        </w:trPr>
        <w:tc>
          <w:tcPr>
            <w:tcW w:w="2520" w:type="dxa"/>
            <w:tcBorders>
              <w:right w:val="single" w:sz="12" w:space="0" w:color="auto"/>
            </w:tcBorders>
            <w:vAlign w:val="center"/>
          </w:tcPr>
          <w:p w14:paraId="35860921" w14:textId="77777777" w:rsidR="00335550" w:rsidRPr="008F5578" w:rsidRDefault="00335550" w:rsidP="008F5578">
            <w:pPr>
              <w:spacing w:after="0"/>
              <w:rPr>
                <w:rFonts w:asciiTheme="minorHAnsi" w:hAnsiTheme="minorHAnsi" w:cstheme="minorHAnsi"/>
                <w:b/>
                <w:bCs/>
              </w:rPr>
            </w:pPr>
            <w:r w:rsidRPr="008F5578">
              <w:rPr>
                <w:rFonts w:asciiTheme="minorHAnsi" w:hAnsiTheme="minorHAnsi" w:cstheme="minorHAnsi"/>
                <w:b/>
                <w:bCs/>
              </w:rPr>
              <w:t>Document title:</w:t>
            </w:r>
          </w:p>
        </w:tc>
        <w:tc>
          <w:tcPr>
            <w:tcW w:w="6570" w:type="dxa"/>
            <w:tcBorders>
              <w:top w:val="single" w:sz="12" w:space="0" w:color="auto"/>
              <w:left w:val="single" w:sz="12" w:space="0" w:color="auto"/>
              <w:bottom w:val="single" w:sz="12" w:space="0" w:color="auto"/>
              <w:right w:val="single" w:sz="12" w:space="0" w:color="auto"/>
            </w:tcBorders>
            <w:vAlign w:val="center"/>
          </w:tcPr>
          <w:p w14:paraId="72190609" w14:textId="581EEE49" w:rsidR="00335550" w:rsidRPr="001D6682" w:rsidRDefault="00245B22" w:rsidP="005B317D">
            <w:pPr>
              <w:spacing w:after="0"/>
              <w:rPr>
                <w:rFonts w:asciiTheme="minorHAnsi" w:hAnsiTheme="minorHAnsi" w:cstheme="minorHAnsi"/>
                <w:b/>
                <w:bCs/>
              </w:rPr>
            </w:pPr>
            <w:r w:rsidRPr="00245B22">
              <w:rPr>
                <w:rFonts w:asciiTheme="minorHAnsi" w:hAnsiTheme="minorHAnsi" w:cstheme="minorHAnsi"/>
                <w:b/>
                <w:bCs/>
              </w:rPr>
              <w:t>Proposal of New Investigation Function Terms of Reference and Process</w:t>
            </w:r>
          </w:p>
        </w:tc>
      </w:tr>
      <w:tr w:rsidR="00335550" w:rsidRPr="008F5578" w14:paraId="78173725" w14:textId="77777777" w:rsidTr="008F5578">
        <w:trPr>
          <w:cantSplit/>
          <w:trHeight w:val="269"/>
        </w:trPr>
        <w:tc>
          <w:tcPr>
            <w:tcW w:w="2520" w:type="dxa"/>
            <w:vAlign w:val="center"/>
          </w:tcPr>
          <w:p w14:paraId="177FB739" w14:textId="77777777" w:rsidR="00335550" w:rsidRPr="008F5578" w:rsidRDefault="00335550" w:rsidP="008F5578">
            <w:pPr>
              <w:spacing w:after="0" w:line="240" w:lineRule="auto"/>
              <w:rPr>
                <w:rFonts w:asciiTheme="minorHAnsi" w:hAnsiTheme="minorHAnsi" w:cstheme="minorHAnsi"/>
                <w:sz w:val="16"/>
                <w:szCs w:val="16"/>
              </w:rPr>
            </w:pPr>
          </w:p>
        </w:tc>
        <w:tc>
          <w:tcPr>
            <w:tcW w:w="6570" w:type="dxa"/>
            <w:tcBorders>
              <w:top w:val="single" w:sz="12" w:space="0" w:color="auto"/>
              <w:bottom w:val="single" w:sz="12" w:space="0" w:color="auto"/>
            </w:tcBorders>
            <w:vAlign w:val="center"/>
          </w:tcPr>
          <w:p w14:paraId="19A4D249" w14:textId="77777777" w:rsidR="00335550" w:rsidRDefault="00335550" w:rsidP="008F5578">
            <w:pPr>
              <w:spacing w:after="0" w:line="240" w:lineRule="auto"/>
              <w:rPr>
                <w:rFonts w:asciiTheme="minorHAnsi" w:hAnsiTheme="minorHAnsi" w:cstheme="minorHAnsi"/>
                <w:sz w:val="16"/>
                <w:szCs w:val="16"/>
              </w:rPr>
            </w:pPr>
          </w:p>
          <w:p w14:paraId="6324066C" w14:textId="77777777" w:rsidR="008F5578" w:rsidRPr="008F5578" w:rsidRDefault="008F5578" w:rsidP="008F5578">
            <w:pPr>
              <w:spacing w:after="0" w:line="240" w:lineRule="auto"/>
              <w:rPr>
                <w:rFonts w:asciiTheme="minorHAnsi" w:hAnsiTheme="minorHAnsi" w:cstheme="minorHAnsi"/>
                <w:sz w:val="16"/>
                <w:szCs w:val="16"/>
              </w:rPr>
            </w:pPr>
          </w:p>
        </w:tc>
      </w:tr>
      <w:tr w:rsidR="00335550" w:rsidRPr="008F5578" w14:paraId="1DA0570C" w14:textId="77777777" w:rsidTr="008F5578">
        <w:trPr>
          <w:cantSplit/>
          <w:trHeight w:val="668"/>
        </w:trPr>
        <w:tc>
          <w:tcPr>
            <w:tcW w:w="2520" w:type="dxa"/>
            <w:tcBorders>
              <w:right w:val="single" w:sz="12" w:space="0" w:color="auto"/>
            </w:tcBorders>
            <w:vAlign w:val="center"/>
          </w:tcPr>
          <w:p w14:paraId="2DAB8572" w14:textId="77777777" w:rsidR="00335550" w:rsidRPr="008F5578" w:rsidRDefault="00335550" w:rsidP="008F5578">
            <w:pPr>
              <w:spacing w:after="0"/>
              <w:rPr>
                <w:rFonts w:asciiTheme="minorHAnsi" w:hAnsiTheme="minorHAnsi" w:cstheme="minorHAnsi"/>
                <w:b/>
                <w:bCs/>
              </w:rPr>
            </w:pPr>
            <w:r w:rsidRPr="008F5578">
              <w:rPr>
                <w:rFonts w:asciiTheme="minorHAnsi" w:hAnsiTheme="minorHAnsi" w:cstheme="minorHAnsi"/>
                <w:b/>
                <w:bCs/>
              </w:rPr>
              <w:t>Ref. to draft agenda of the virtual consultation:</w:t>
            </w:r>
          </w:p>
        </w:tc>
        <w:tc>
          <w:tcPr>
            <w:tcW w:w="6570" w:type="dxa"/>
            <w:tcBorders>
              <w:top w:val="single" w:sz="12" w:space="0" w:color="auto"/>
              <w:left w:val="single" w:sz="12" w:space="0" w:color="auto"/>
              <w:bottom w:val="single" w:sz="12" w:space="0" w:color="auto"/>
              <w:right w:val="single" w:sz="12" w:space="0" w:color="auto"/>
            </w:tcBorders>
            <w:vAlign w:val="center"/>
          </w:tcPr>
          <w:p w14:paraId="282B3BC2" w14:textId="27976CD2" w:rsidR="00335550" w:rsidRPr="008F5578" w:rsidRDefault="00DF2CA7" w:rsidP="008F5578">
            <w:pPr>
              <w:spacing w:after="0"/>
              <w:rPr>
                <w:rFonts w:asciiTheme="minorHAnsi" w:hAnsiTheme="minorHAnsi" w:cstheme="minorHAnsi"/>
                <w:b/>
                <w:bCs/>
              </w:rPr>
            </w:pPr>
            <w:hyperlink r:id="rId8" w:history="1">
              <w:r w:rsidR="00335550" w:rsidRPr="001D6682">
                <w:rPr>
                  <w:rStyle w:val="Hyperlink"/>
                  <w:rFonts w:asciiTheme="minorHAnsi" w:hAnsiTheme="minorHAnsi" w:cstheme="minorHAnsi"/>
                  <w:b/>
                  <w:bCs/>
                </w:rPr>
                <w:t>Document C20/</w:t>
              </w:r>
              <w:r w:rsidR="00245B22">
                <w:rPr>
                  <w:rStyle w:val="Hyperlink"/>
                  <w:rFonts w:asciiTheme="minorHAnsi" w:hAnsiTheme="minorHAnsi" w:cstheme="minorHAnsi"/>
                  <w:b/>
                  <w:bCs/>
                </w:rPr>
                <w:t>60</w:t>
              </w:r>
            </w:hyperlink>
          </w:p>
        </w:tc>
      </w:tr>
      <w:tr w:rsidR="00335550" w:rsidRPr="008F5578" w14:paraId="056B70A1" w14:textId="77777777" w:rsidTr="008F5578">
        <w:trPr>
          <w:cantSplit/>
          <w:trHeight w:val="156"/>
        </w:trPr>
        <w:tc>
          <w:tcPr>
            <w:tcW w:w="2520" w:type="dxa"/>
            <w:tcBorders>
              <w:bottom w:val="single" w:sz="4" w:space="0" w:color="auto"/>
            </w:tcBorders>
          </w:tcPr>
          <w:p w14:paraId="2B382B79" w14:textId="77777777" w:rsidR="00335550" w:rsidRPr="008F5578" w:rsidRDefault="00335550" w:rsidP="0005128D">
            <w:pPr>
              <w:spacing w:line="240" w:lineRule="auto"/>
              <w:rPr>
                <w:rFonts w:asciiTheme="minorHAnsi" w:hAnsiTheme="minorHAnsi" w:cstheme="minorHAnsi"/>
                <w:sz w:val="16"/>
                <w:szCs w:val="16"/>
              </w:rPr>
            </w:pPr>
          </w:p>
        </w:tc>
        <w:tc>
          <w:tcPr>
            <w:tcW w:w="6570" w:type="dxa"/>
            <w:tcBorders>
              <w:top w:val="single" w:sz="12" w:space="0" w:color="auto"/>
              <w:bottom w:val="single" w:sz="4" w:space="0" w:color="auto"/>
            </w:tcBorders>
          </w:tcPr>
          <w:p w14:paraId="24E878B5" w14:textId="77777777" w:rsidR="00335550" w:rsidRPr="008F5578" w:rsidRDefault="00335550" w:rsidP="0005128D">
            <w:pPr>
              <w:spacing w:line="240" w:lineRule="auto"/>
              <w:rPr>
                <w:rFonts w:asciiTheme="minorHAnsi" w:hAnsiTheme="minorHAnsi" w:cstheme="minorHAnsi"/>
                <w:sz w:val="16"/>
                <w:szCs w:val="16"/>
              </w:rPr>
            </w:pPr>
          </w:p>
        </w:tc>
      </w:tr>
    </w:tbl>
    <w:p w14:paraId="6CDB15A9" w14:textId="77777777" w:rsidR="00245B22" w:rsidRPr="008F5578" w:rsidRDefault="00245B22" w:rsidP="00245B22">
      <w:pPr>
        <w:spacing w:before="480" w:after="0"/>
        <w:rPr>
          <w:rFonts w:asciiTheme="minorHAnsi" w:hAnsiTheme="minorHAnsi" w:cstheme="minorHAnsi"/>
          <w:sz w:val="4"/>
          <w:szCs w:val="4"/>
        </w:rPr>
      </w:pPr>
    </w:p>
    <w:bookmarkEnd w:id="2"/>
    <w:p w14:paraId="7D9308DD" w14:textId="5044D10F" w:rsidR="00245B22" w:rsidRPr="00AA65BF" w:rsidRDefault="00245B22" w:rsidP="00245B22">
      <w:pPr>
        <w:rPr>
          <w:b/>
        </w:rPr>
      </w:pPr>
      <w:r w:rsidRPr="00AA65BF">
        <w:rPr>
          <w:b/>
        </w:rPr>
        <w:t xml:space="preserve">Comments relating to Document </w:t>
      </w:r>
      <w:hyperlink r:id="rId9" w:history="1">
        <w:r w:rsidRPr="0054596E">
          <w:rPr>
            <w:rStyle w:val="Hyperlink"/>
            <w:b/>
          </w:rPr>
          <w:t>C20/60</w:t>
        </w:r>
      </w:hyperlink>
    </w:p>
    <w:p w14:paraId="0CC7F1F6" w14:textId="70C754BE" w:rsidR="00245B22" w:rsidRPr="00AA65BF" w:rsidRDefault="00245B22" w:rsidP="00245B22">
      <w:r>
        <w:t xml:space="preserve">In response to the Union’s proposal in Document C20/60: Creation and Funding of a New Investigation Function, and taking into account Document </w:t>
      </w:r>
      <w:hyperlink r:id="rId10">
        <w:r w:rsidRPr="4C9C140B">
          <w:rPr>
            <w:rStyle w:val="Hyperlink"/>
          </w:rPr>
          <w:t>CWG-FHR-11/15</w:t>
        </w:r>
      </w:hyperlink>
      <w:r>
        <w:t>: Contribution by the United States - Proposal for a New Investigation Function and Process, the United States proposes for Council’s consideration terms of reference for the new investigation function and reforming the investigation process that reflects best practice in the UN system.</w:t>
      </w:r>
    </w:p>
    <w:p w14:paraId="6D9A1E97" w14:textId="77777777" w:rsidR="00245B22" w:rsidRPr="00AA65BF" w:rsidRDefault="00245B22" w:rsidP="00245B22">
      <w:r w:rsidRPr="00AA65BF">
        <w:t>The new investigation function would be an additional oversight mechanism in the organization, complementary to the current oversight offices in ITU: Internal Audit Unit and the Ethics Office.  To operate effectively, and conduct its work independently, this new function requires the same protections as ITU’s other oversight mechanisms, and should follow best practice of other investigation functions in the UN System.  According to best practice of other UN organizations, the organization’s oversight charter should include the terms of reference of the investigation function</w:t>
      </w:r>
      <w:r w:rsidRPr="00AA65BF">
        <w:rPr>
          <w:vertAlign w:val="superscript"/>
        </w:rPr>
        <w:footnoteReference w:id="1"/>
      </w:r>
      <w:r w:rsidRPr="00AA65BF">
        <w:t xml:space="preserve">  ITU’s current Internal Audit Charter should be amended to include the investigation function’s terms of reference and mandate.  The terms of reference would also reflect the new function’s authority and role as it relates to the investigation process.</w:t>
      </w:r>
    </w:p>
    <w:p w14:paraId="4C9477D9" w14:textId="77777777" w:rsidR="00245B22" w:rsidRPr="00AA65BF" w:rsidRDefault="00245B22" w:rsidP="00245B22">
      <w:pPr>
        <w:rPr>
          <w:b/>
        </w:rPr>
      </w:pPr>
      <w:r w:rsidRPr="00AA65BF">
        <w:rPr>
          <w:b/>
        </w:rPr>
        <w:t>Proposed way forward</w:t>
      </w:r>
    </w:p>
    <w:p w14:paraId="76C6965F" w14:textId="77777777" w:rsidR="00245B22" w:rsidRPr="00AA65BF" w:rsidRDefault="00245B22" w:rsidP="00245B22">
      <w:r w:rsidRPr="00AA65BF">
        <w:t xml:space="preserve">The United States proposes that based on JIU recommendations and best practice in the UN system, the </w:t>
      </w:r>
      <w:r>
        <w:t>Internal Audit Charter include the following terms of reference</w:t>
      </w:r>
      <w:r w:rsidRPr="00AA65BF">
        <w:t xml:space="preserve"> for this new function</w:t>
      </w:r>
      <w:r w:rsidRPr="00AA65BF">
        <w:rPr>
          <w:vertAlign w:val="superscript"/>
        </w:rPr>
        <w:footnoteReference w:id="2"/>
      </w:r>
      <w:r w:rsidRPr="00AA65BF">
        <w:t>:</w:t>
      </w:r>
    </w:p>
    <w:p w14:paraId="3B83B2D9" w14:textId="77777777" w:rsidR="00245B22" w:rsidRPr="00AA65BF" w:rsidRDefault="00245B22" w:rsidP="00245B22">
      <w:pPr>
        <w:numPr>
          <w:ilvl w:val="0"/>
          <w:numId w:val="4"/>
        </w:numPr>
        <w:spacing w:after="160" w:line="259" w:lineRule="auto"/>
      </w:pPr>
      <w:r>
        <w:lastRenderedPageBreak/>
        <w:t>The new investigator has sole responsibility for the conduct of all investigations in ITU and the authority to initiate investigations;</w:t>
      </w:r>
    </w:p>
    <w:p w14:paraId="4670FDE2" w14:textId="77777777" w:rsidR="00245B22" w:rsidRPr="00AA65BF" w:rsidRDefault="00245B22" w:rsidP="00245B22">
      <w:pPr>
        <w:numPr>
          <w:ilvl w:val="0"/>
          <w:numId w:val="4"/>
        </w:numPr>
        <w:spacing w:after="160" w:line="259" w:lineRule="auto"/>
      </w:pPr>
      <w:r>
        <w:t>The investigator exercises operational independence in the conduct of his/her duties; S/he shall remain free from any interference, including regarding the selection, scope, procedures, frequency and timing of the investigation function's activities, access to records and the communication of results;</w:t>
      </w:r>
    </w:p>
    <w:p w14:paraId="77C892C7" w14:textId="77777777" w:rsidR="00245B22" w:rsidRPr="00AA65BF" w:rsidRDefault="00245B22" w:rsidP="00245B22">
      <w:pPr>
        <w:numPr>
          <w:ilvl w:val="0"/>
          <w:numId w:val="4"/>
        </w:numPr>
        <w:spacing w:after="160" w:line="259" w:lineRule="auto"/>
      </w:pPr>
      <w:r>
        <w:t>The investigation function has free and unrestricted access to the Independent Management Advisory Committee (IMAC), ITU Council, Internal Auditor, and the External Auditor;</w:t>
      </w:r>
    </w:p>
    <w:p w14:paraId="64B3C7AA" w14:textId="77777777" w:rsidR="00245B22" w:rsidRPr="00AA65BF" w:rsidRDefault="00245B22" w:rsidP="00245B22">
      <w:pPr>
        <w:numPr>
          <w:ilvl w:val="0"/>
          <w:numId w:val="4"/>
        </w:numPr>
        <w:spacing w:after="160" w:line="259" w:lineRule="auto"/>
      </w:pPr>
      <w:r>
        <w:t>The appointment of the position will be made on the advice of IMAC and after consultation with the ITU Council. The appointment of the Investigator can only be terminated for cause after consultation with IMAC and ITU Council;</w:t>
      </w:r>
    </w:p>
    <w:p w14:paraId="5FFFA9D6" w14:textId="77777777" w:rsidR="00245B22" w:rsidRDefault="00245B22" w:rsidP="00245B22">
      <w:pPr>
        <w:numPr>
          <w:ilvl w:val="0"/>
          <w:numId w:val="4"/>
        </w:numPr>
        <w:spacing w:after="160" w:line="259" w:lineRule="auto"/>
      </w:pPr>
      <w:r>
        <w:t>A clear process for handling any conflicts of interest with a potential investigation, including any allegations of wrongdoing that may involve an ITU senior elected official;</w:t>
      </w:r>
    </w:p>
    <w:p w14:paraId="6E2351DA" w14:textId="77777777" w:rsidR="00245B22" w:rsidRDefault="00245B22" w:rsidP="00245B22">
      <w:pPr>
        <w:numPr>
          <w:ilvl w:val="0"/>
          <w:numId w:val="4"/>
        </w:numPr>
        <w:spacing w:after="160" w:line="259" w:lineRule="auto"/>
      </w:pPr>
      <w:r>
        <w:t>Taking into account confidentiality, the ITU Investigator shall submit annually a report to ITU Council on any investigations of wrongdoing undertaken during the year --specifically what has been alleged as well as the findings and outcomes --including administrative actions taken;</w:t>
      </w:r>
    </w:p>
    <w:p w14:paraId="5C08139A" w14:textId="77777777" w:rsidR="00245B22" w:rsidRPr="00AA65BF" w:rsidRDefault="00245B22" w:rsidP="00245B22">
      <w:pPr>
        <w:numPr>
          <w:ilvl w:val="0"/>
          <w:numId w:val="4"/>
        </w:numPr>
        <w:spacing w:after="160" w:line="259" w:lineRule="auto"/>
      </w:pPr>
      <w:r>
        <w:t>A reformed investigation process as described in #2 of “</w:t>
      </w:r>
      <w:hyperlink r:id="rId11">
        <w:r w:rsidRPr="4C9C140B">
          <w:rPr>
            <w:rStyle w:val="Hyperlink"/>
          </w:rPr>
          <w:t>CWG-FHR-11/15</w:t>
        </w:r>
      </w:hyperlink>
      <w:r>
        <w:t>: Contribution by the United States - proposal for a new investigation function and process.”</w:t>
      </w:r>
    </w:p>
    <w:p w14:paraId="3CE4DB14" w14:textId="20614AA0" w:rsidR="00245B22" w:rsidRDefault="00245B22" w:rsidP="00245B22">
      <w:r>
        <w:t xml:space="preserve">These terms can be incorporated into the Internal Audit Charter for Council’s decision at the next session, as well as any other relevant changes or additions to the Charter for the new function and investigation process.  Therefore, Council should consider amending the decision language in </w:t>
      </w:r>
      <w:r w:rsidRPr="4C9C140B">
        <w:rPr>
          <w:b/>
          <w:bCs/>
        </w:rPr>
        <w:t>Document C20/</w:t>
      </w:r>
      <w:r w:rsidR="00DF2CA7">
        <w:rPr>
          <w:b/>
          <w:bCs/>
        </w:rPr>
        <w:t xml:space="preserve">60 </w:t>
      </w:r>
      <w:r w:rsidRPr="4C9C140B">
        <w:rPr>
          <w:b/>
          <w:bCs/>
        </w:rPr>
        <w:t xml:space="preserve">ADM 27 </w:t>
      </w:r>
      <w:r>
        <w:t>to include requesting that the Secretariat incorporate in the Internal Audit Charter the new investigation function terms of reference as proposed above for Council consideration.</w:t>
      </w:r>
    </w:p>
    <w:p w14:paraId="27FAD113" w14:textId="6E59955D" w:rsidR="002E40A4" w:rsidRDefault="00245B22" w:rsidP="00245B22">
      <w:pPr>
        <w:spacing w:before="840" w:after="0" w:line="240" w:lineRule="auto"/>
        <w:jc w:val="center"/>
        <w:rPr>
          <w:rFonts w:asciiTheme="minorHAnsi" w:hAnsiTheme="minorHAnsi" w:cstheme="minorHAnsi"/>
        </w:rPr>
      </w:pPr>
      <w:r>
        <w:rPr>
          <w:rFonts w:asciiTheme="minorHAnsi" w:hAnsiTheme="minorHAnsi" w:cstheme="minorHAnsi"/>
        </w:rPr>
        <w:t>__________________</w:t>
      </w:r>
    </w:p>
    <w:sectPr w:rsidR="002E40A4" w:rsidSect="00D455CE">
      <w:headerReference w:type="default" r:id="rId12"/>
      <w:pgSz w:w="11906" w:h="16838" w:code="9"/>
      <w:pgMar w:top="851" w:right="1469" w:bottom="851" w:left="1440" w:header="437" w:footer="0"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386E8" w14:textId="77777777" w:rsidR="00B74EAC" w:rsidRDefault="00B74EAC" w:rsidP="00507A3C">
      <w:pPr>
        <w:spacing w:after="0" w:line="240" w:lineRule="auto"/>
      </w:pPr>
      <w:r>
        <w:separator/>
      </w:r>
    </w:p>
  </w:endnote>
  <w:endnote w:type="continuationSeparator" w:id="0">
    <w:p w14:paraId="30CBE98D" w14:textId="77777777" w:rsidR="00B74EAC" w:rsidRDefault="00B74EAC" w:rsidP="0050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0CB12" w14:textId="77777777" w:rsidR="00B74EAC" w:rsidRDefault="00B74EAC" w:rsidP="00507A3C">
      <w:pPr>
        <w:spacing w:after="0" w:line="240" w:lineRule="auto"/>
      </w:pPr>
      <w:r>
        <w:separator/>
      </w:r>
    </w:p>
  </w:footnote>
  <w:footnote w:type="continuationSeparator" w:id="0">
    <w:p w14:paraId="0E877AB5" w14:textId="77777777" w:rsidR="00B74EAC" w:rsidRDefault="00B74EAC" w:rsidP="00507A3C">
      <w:pPr>
        <w:spacing w:after="0" w:line="240" w:lineRule="auto"/>
      </w:pPr>
      <w:r>
        <w:continuationSeparator/>
      </w:r>
    </w:p>
  </w:footnote>
  <w:footnote w:id="1">
    <w:p w14:paraId="32B569D4" w14:textId="77777777" w:rsidR="00245B22" w:rsidRPr="007B628F" w:rsidRDefault="00245B22" w:rsidP="00245B22">
      <w:pPr>
        <w:pStyle w:val="FootnoteText"/>
      </w:pPr>
      <w:r>
        <w:rPr>
          <w:rStyle w:val="FootnoteReference"/>
        </w:rPr>
        <w:footnoteRef/>
      </w:r>
      <w:r>
        <w:t xml:space="preserve"> See recommendation 2 from the JIU Report, “</w:t>
      </w:r>
      <w:hyperlink r:id="rId1" w:history="1">
        <w:r w:rsidRPr="00E805FF">
          <w:rPr>
            <w:rStyle w:val="Hyperlink"/>
            <w:i/>
          </w:rPr>
          <w:t>The Investigations Function in the United Nations System (A/67/140</w:t>
        </w:r>
        <w:r>
          <w:rPr>
            <w:rStyle w:val="Hyperlink"/>
            <w:i/>
          </w:rPr>
          <w:t>”</w:t>
        </w:r>
        <w:r w:rsidRPr="00E805FF">
          <w:rPr>
            <w:rStyle w:val="Hyperlink"/>
            <w:i/>
          </w:rPr>
          <w:t>)</w:t>
        </w:r>
      </w:hyperlink>
      <w:r>
        <w:rPr>
          <w:rStyle w:val="Hyperlink"/>
        </w:rPr>
        <w:t xml:space="preserve"> </w:t>
      </w:r>
      <w:r w:rsidRPr="007B628F">
        <w:rPr>
          <w:rStyle w:val="Hyperlink"/>
          <w:color w:val="000000" w:themeColor="text1"/>
        </w:rPr>
        <w:t>and</w:t>
      </w:r>
      <w:r>
        <w:rPr>
          <w:rStyle w:val="Hyperlink"/>
          <w:color w:val="000000" w:themeColor="text1"/>
        </w:rPr>
        <w:t xml:space="preserve"> as examples of best practice: the </w:t>
      </w:r>
      <w:hyperlink r:id="rId2" w:history="1">
        <w:r w:rsidRPr="002F3A8A">
          <w:rPr>
            <w:rStyle w:val="Hyperlink"/>
          </w:rPr>
          <w:t>World Intellectual Property Organization’s Internal Oversight Charter</w:t>
        </w:r>
      </w:hyperlink>
      <w:r>
        <w:rPr>
          <w:rStyle w:val="Hyperlink"/>
          <w:color w:val="000000" w:themeColor="text1"/>
        </w:rPr>
        <w:t xml:space="preserve"> and </w:t>
      </w:r>
      <w:hyperlink r:id="rId3" w:history="1">
        <w:r w:rsidRPr="002F3A8A">
          <w:rPr>
            <w:rStyle w:val="Hyperlink"/>
          </w:rPr>
          <w:t>Food and Agri</w:t>
        </w:r>
        <w:r>
          <w:rPr>
            <w:rStyle w:val="Hyperlink"/>
          </w:rPr>
          <w:t>culture Organization’s</w:t>
        </w:r>
        <w:r w:rsidRPr="002F3A8A">
          <w:rPr>
            <w:rStyle w:val="Hyperlink"/>
          </w:rPr>
          <w:t xml:space="preserve"> Charter</w:t>
        </w:r>
      </w:hyperlink>
      <w:r>
        <w:rPr>
          <w:rStyle w:val="Hyperlink"/>
        </w:rPr>
        <w:t xml:space="preserve"> of the Office of the Inspector General</w:t>
      </w:r>
      <w:r>
        <w:rPr>
          <w:rStyle w:val="Hyperlink"/>
          <w:color w:val="000000" w:themeColor="text1"/>
        </w:rPr>
        <w:t>.</w:t>
      </w:r>
    </w:p>
  </w:footnote>
  <w:footnote w:id="2">
    <w:p w14:paraId="74A9C281" w14:textId="77777777" w:rsidR="00245B22" w:rsidRDefault="00245B22" w:rsidP="00245B22">
      <w:pPr>
        <w:pStyle w:val="FootnoteText"/>
      </w:pPr>
      <w:r>
        <w:rPr>
          <w:rStyle w:val="FootnoteReference"/>
        </w:rPr>
        <w:footnoteRef/>
      </w:r>
      <w:r>
        <w:t xml:space="preserve"> Propose terms align with recommendations 2 and 4 from JIU report </w:t>
      </w:r>
      <w:hyperlink r:id="rId4" w:history="1">
        <w:r w:rsidRPr="004C3569">
          <w:rPr>
            <w:rStyle w:val="Hyperlink"/>
          </w:rPr>
          <w:t>The Investigations Function in the United Nations System (A/67/140</w:t>
        </w:r>
        <w:r w:rsidRPr="00AA65BF">
          <w:rPr>
            <w:rStyle w:val="Hyperlink"/>
            <w:i/>
          </w:rPr>
          <w:t>)</w:t>
        </w:r>
      </w:hyperlink>
      <w:r w:rsidRPr="00AA65BF">
        <w:rPr>
          <w:u w:val="single"/>
        </w:rPr>
        <w:t xml:space="preserve"> </w:t>
      </w:r>
      <w:r w:rsidRPr="00AA65BF">
        <w:t>and</w:t>
      </w:r>
      <w:r>
        <w:t xml:space="preserve"> recommendation 7 from </w:t>
      </w:r>
      <w:hyperlink r:id="rId5" w:history="1">
        <w:r w:rsidRPr="004C3569">
          <w:rPr>
            <w:rStyle w:val="Hyperlink"/>
          </w:rPr>
          <w:t>Oversight Lacunae in the United Nations system</w:t>
        </w:r>
      </w:hyperlink>
      <w:r>
        <w:t>, as well as UN system best practice, see</w:t>
      </w:r>
      <w:r w:rsidRPr="00AA65BF">
        <w:t xml:space="preserve"> </w:t>
      </w:r>
      <w:hyperlink r:id="rId6" w:history="1">
        <w:r w:rsidRPr="0034051A">
          <w:rPr>
            <w:rStyle w:val="Hyperlink"/>
          </w:rPr>
          <w:t>World Intellectual Property Organization’s Internal Oversight Charter</w:t>
        </w:r>
      </w:hyperlink>
      <w:r>
        <w:rPr>
          <w:rStyle w:val="Hyperlink"/>
        </w:rPr>
        <w:t xml:space="preserve"> </w:t>
      </w:r>
      <w:r w:rsidRPr="00AA65BF">
        <w:t xml:space="preserve">and </w:t>
      </w:r>
      <w:hyperlink r:id="rId7" w:history="1">
        <w:r w:rsidRPr="002F3A8A">
          <w:rPr>
            <w:rStyle w:val="Hyperlink"/>
          </w:rPr>
          <w:t>Food and Agric</w:t>
        </w:r>
        <w:r>
          <w:rPr>
            <w:rStyle w:val="Hyperlink"/>
          </w:rPr>
          <w:t xml:space="preserve">ulture Organization’s </w:t>
        </w:r>
        <w:r w:rsidRPr="002F3A8A">
          <w:rPr>
            <w:rStyle w:val="Hyperlink"/>
          </w:rPr>
          <w:t>Charter</w:t>
        </w:r>
      </w:hyperlink>
      <w:r>
        <w:rPr>
          <w:rStyle w:val="Hyperlink"/>
        </w:rPr>
        <w:t xml:space="preserve"> of the Office of the Inspector General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7B11C" w14:textId="342318AD" w:rsidR="00D455CE" w:rsidRPr="004E19F9" w:rsidRDefault="00D455CE" w:rsidP="00D455CE">
    <w:pPr>
      <w:pStyle w:val="Header"/>
      <w:spacing w:after="0" w:line="240" w:lineRule="auto"/>
      <w:jc w:val="center"/>
      <w:rPr>
        <w:sz w:val="20"/>
        <w:szCs w:val="20"/>
      </w:rPr>
    </w:pPr>
    <w:r w:rsidRPr="004E19F9">
      <w:rPr>
        <w:sz w:val="20"/>
        <w:szCs w:val="20"/>
      </w:rPr>
      <w:fldChar w:fldCharType="begin"/>
    </w:r>
    <w:r w:rsidRPr="004E19F9">
      <w:rPr>
        <w:sz w:val="20"/>
        <w:szCs w:val="20"/>
      </w:rPr>
      <w:instrText xml:space="preserve"> PAGE   \* MERGEFORMAT </w:instrText>
    </w:r>
    <w:r w:rsidRPr="004E19F9">
      <w:rPr>
        <w:sz w:val="20"/>
        <w:szCs w:val="20"/>
      </w:rPr>
      <w:fldChar w:fldCharType="separate"/>
    </w:r>
    <w:r>
      <w:rPr>
        <w:sz w:val="20"/>
        <w:szCs w:val="20"/>
      </w:rPr>
      <w:t>2</w:t>
    </w:r>
    <w:r w:rsidRPr="004E19F9">
      <w:rPr>
        <w:noProof/>
        <w:sz w:val="20"/>
        <w:szCs w:val="20"/>
      </w:rPr>
      <w:fldChar w:fldCharType="end"/>
    </w:r>
    <w:r w:rsidRPr="004E19F9">
      <w:rPr>
        <w:noProof/>
        <w:sz w:val="20"/>
        <w:szCs w:val="20"/>
      </w:rPr>
      <w:br/>
      <w:t>VC\</w:t>
    </w:r>
    <w:r w:rsidR="00245B22">
      <w:rPr>
        <w:noProof/>
        <w:sz w:val="20"/>
        <w:szCs w:val="20"/>
      </w:rPr>
      <w:t>8</w:t>
    </w:r>
    <w:r w:rsidRPr="004E19F9">
      <w:rPr>
        <w:noProof/>
        <w:sz w:val="20"/>
        <w:szCs w:val="20"/>
      </w:rPr>
      <w:t>-E</w:t>
    </w:r>
  </w:p>
  <w:p w14:paraId="43185221" w14:textId="77777777" w:rsidR="00D455CE" w:rsidRDefault="00D455CE" w:rsidP="00D455CE">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585B"/>
    <w:multiLevelType w:val="hybridMultilevel"/>
    <w:tmpl w:val="890C3792"/>
    <w:lvl w:ilvl="0" w:tplc="796E0D1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266115"/>
    <w:multiLevelType w:val="hybridMultilevel"/>
    <w:tmpl w:val="0E22A214"/>
    <w:lvl w:ilvl="0" w:tplc="1366A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12AAF"/>
    <w:multiLevelType w:val="hybridMultilevel"/>
    <w:tmpl w:val="775EC7D4"/>
    <w:lvl w:ilvl="0" w:tplc="B27E25D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2550944"/>
    <w:multiLevelType w:val="hybridMultilevel"/>
    <w:tmpl w:val="80FCAC9C"/>
    <w:lvl w:ilvl="0" w:tplc="8A5C8B68">
      <w:start w:val="1"/>
      <w:numFmt w:val="lowerLetter"/>
      <w:lvlText w:val="%1)"/>
      <w:lvlJc w:val="left"/>
      <w:pPr>
        <w:ind w:left="360" w:hanging="360"/>
      </w:pPr>
      <w:rPr>
        <w:rFonts w:hint="default"/>
        <w:b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3AF"/>
    <w:rsid w:val="00006754"/>
    <w:rsid w:val="00044656"/>
    <w:rsid w:val="000D0633"/>
    <w:rsid w:val="00107AE3"/>
    <w:rsid w:val="00160AC7"/>
    <w:rsid w:val="001B0B7F"/>
    <w:rsid w:val="001D6682"/>
    <w:rsid w:val="00245B22"/>
    <w:rsid w:val="00274F78"/>
    <w:rsid w:val="002B7A8B"/>
    <w:rsid w:val="002E40A4"/>
    <w:rsid w:val="00315837"/>
    <w:rsid w:val="00335550"/>
    <w:rsid w:val="003534EE"/>
    <w:rsid w:val="003742AA"/>
    <w:rsid w:val="00381760"/>
    <w:rsid w:val="003B00AE"/>
    <w:rsid w:val="003C506D"/>
    <w:rsid w:val="004E7DD7"/>
    <w:rsid w:val="00507A3C"/>
    <w:rsid w:val="0054596E"/>
    <w:rsid w:val="005B317D"/>
    <w:rsid w:val="005C54E0"/>
    <w:rsid w:val="006265AE"/>
    <w:rsid w:val="006B2CD5"/>
    <w:rsid w:val="006B6814"/>
    <w:rsid w:val="006F0ECA"/>
    <w:rsid w:val="00742CA6"/>
    <w:rsid w:val="007E21F5"/>
    <w:rsid w:val="00806053"/>
    <w:rsid w:val="008657CA"/>
    <w:rsid w:val="008F5578"/>
    <w:rsid w:val="00931AA6"/>
    <w:rsid w:val="009540BD"/>
    <w:rsid w:val="0098771A"/>
    <w:rsid w:val="009F17DA"/>
    <w:rsid w:val="00A37545"/>
    <w:rsid w:val="00A42C8C"/>
    <w:rsid w:val="00B24E29"/>
    <w:rsid w:val="00B74EAC"/>
    <w:rsid w:val="00BB70EC"/>
    <w:rsid w:val="00D44C63"/>
    <w:rsid w:val="00D455CE"/>
    <w:rsid w:val="00D553AF"/>
    <w:rsid w:val="00DB4ECB"/>
    <w:rsid w:val="00DD2FA2"/>
    <w:rsid w:val="00DF1569"/>
    <w:rsid w:val="00DF2CA7"/>
    <w:rsid w:val="00E555FC"/>
    <w:rsid w:val="00EB6DB7"/>
    <w:rsid w:val="00FB2C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060B39"/>
  <w15:chartTrackingRefBased/>
  <w15:docId w15:val="{14D9949E-522B-4658-B8D2-DE7CD291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A3C"/>
    <w:pPr>
      <w:spacing w:after="200" w:line="276" w:lineRule="auto"/>
    </w:pPr>
    <w:rPr>
      <w:rFonts w:ascii="Calibri" w:eastAsia="Calibri" w:hAnsi="Calibri" w:cs="Mangal"/>
    </w:rPr>
  </w:style>
  <w:style w:type="paragraph" w:styleId="Heading1">
    <w:name w:val="heading 1"/>
    <w:basedOn w:val="Normal"/>
    <w:next w:val="Normal"/>
    <w:link w:val="Heading1Char"/>
    <w:uiPriority w:val="9"/>
    <w:qFormat/>
    <w:rsid w:val="00507A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507A3C"/>
    <w:pPr>
      <w:tabs>
        <w:tab w:val="left" w:pos="567"/>
        <w:tab w:val="left" w:pos="1134"/>
        <w:tab w:val="left" w:pos="1701"/>
        <w:tab w:val="left" w:pos="2268"/>
        <w:tab w:val="left" w:pos="2835"/>
      </w:tabs>
      <w:overflowPunct w:val="0"/>
      <w:autoSpaceDE w:val="0"/>
      <w:autoSpaceDN w:val="0"/>
      <w:adjustRightInd w:val="0"/>
      <w:spacing w:before="320" w:line="240" w:lineRule="auto"/>
      <w:ind w:left="567" w:hanging="567"/>
      <w:textAlignment w:val="baseline"/>
      <w:outlineLvl w:val="1"/>
    </w:pPr>
    <w:rPr>
      <w:rFonts w:ascii="Calibri" w:eastAsia="Times New Roman" w:hAnsi="Calibri"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A3C"/>
    <w:pPr>
      <w:ind w:left="720"/>
      <w:contextualSpacing/>
    </w:pPr>
    <w:rPr>
      <w:rFonts w:eastAsia="Times New Roman" w:cs="Times New Roman"/>
      <w:lang w:eastAsia="en-IN"/>
    </w:rPr>
  </w:style>
  <w:style w:type="paragraph" w:styleId="Header">
    <w:name w:val="header"/>
    <w:basedOn w:val="Normal"/>
    <w:link w:val="HeaderChar"/>
    <w:uiPriority w:val="99"/>
    <w:unhideWhenUsed/>
    <w:rsid w:val="00507A3C"/>
    <w:pPr>
      <w:tabs>
        <w:tab w:val="center" w:pos="4513"/>
        <w:tab w:val="right" w:pos="9026"/>
      </w:tabs>
    </w:pPr>
  </w:style>
  <w:style w:type="character" w:customStyle="1" w:styleId="HeaderChar">
    <w:name w:val="Header Char"/>
    <w:basedOn w:val="DefaultParagraphFont"/>
    <w:link w:val="Header"/>
    <w:uiPriority w:val="99"/>
    <w:rsid w:val="00507A3C"/>
    <w:rPr>
      <w:rFonts w:ascii="Calibri" w:eastAsia="Calibri" w:hAnsi="Calibri" w:cs="Mangal"/>
    </w:rPr>
  </w:style>
  <w:style w:type="paragraph" w:styleId="Footer">
    <w:name w:val="footer"/>
    <w:basedOn w:val="Normal"/>
    <w:link w:val="FooterChar"/>
    <w:uiPriority w:val="99"/>
    <w:unhideWhenUsed/>
    <w:rsid w:val="00507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A3C"/>
    <w:rPr>
      <w:rFonts w:ascii="Calibri" w:eastAsia="Calibri" w:hAnsi="Calibri" w:cs="Mangal"/>
    </w:rPr>
  </w:style>
  <w:style w:type="character" w:customStyle="1" w:styleId="Heading2Char">
    <w:name w:val="Heading 2 Char"/>
    <w:basedOn w:val="DefaultParagraphFont"/>
    <w:link w:val="Heading2"/>
    <w:rsid w:val="00507A3C"/>
    <w:rPr>
      <w:rFonts w:ascii="Calibri" w:eastAsia="Times New Roman" w:hAnsi="Calibri" w:cs="Times New Roman"/>
      <w:b/>
      <w:sz w:val="24"/>
      <w:szCs w:val="20"/>
      <w:lang w:val="en-GB"/>
    </w:rPr>
  </w:style>
  <w:style w:type="paragraph" w:customStyle="1" w:styleId="Title1">
    <w:name w:val="Title 1"/>
    <w:basedOn w:val="Normal"/>
    <w:next w:val="Normal"/>
    <w:rsid w:val="00507A3C"/>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pPr>
    <w:rPr>
      <w:rFonts w:eastAsia="Times New Roman" w:cs="Times New Roman"/>
      <w:caps/>
      <w:sz w:val="28"/>
      <w:szCs w:val="20"/>
      <w:lang w:val="en-GB"/>
    </w:rPr>
  </w:style>
  <w:style w:type="character" w:customStyle="1" w:styleId="Heading1Char">
    <w:name w:val="Heading 1 Char"/>
    <w:basedOn w:val="DefaultParagraphFont"/>
    <w:link w:val="Heading1"/>
    <w:uiPriority w:val="9"/>
    <w:rsid w:val="00507A3C"/>
    <w:rPr>
      <w:rFonts w:asciiTheme="majorHAnsi" w:eastAsiaTheme="majorEastAsia" w:hAnsiTheme="majorHAnsi" w:cstheme="majorBidi"/>
      <w:color w:val="2E74B5" w:themeColor="accent1" w:themeShade="BF"/>
      <w:sz w:val="32"/>
      <w:szCs w:val="32"/>
    </w:rPr>
  </w:style>
  <w:style w:type="paragraph" w:customStyle="1" w:styleId="Call">
    <w:name w:val="Call"/>
    <w:basedOn w:val="Normal"/>
    <w:next w:val="Normal"/>
    <w:rsid w:val="00044656"/>
    <w:pPr>
      <w:keepNext/>
      <w:keepLines/>
      <w:tabs>
        <w:tab w:val="left" w:pos="567"/>
      </w:tabs>
      <w:overflowPunct w:val="0"/>
      <w:autoSpaceDE w:val="0"/>
      <w:autoSpaceDN w:val="0"/>
      <w:adjustRightInd w:val="0"/>
      <w:spacing w:before="160" w:after="0" w:line="240" w:lineRule="auto"/>
      <w:ind w:left="567"/>
      <w:textAlignment w:val="baseline"/>
    </w:pPr>
    <w:rPr>
      <w:rFonts w:eastAsia="Times New Roman" w:cs="Times New Roman"/>
      <w:i/>
      <w:sz w:val="24"/>
      <w:szCs w:val="20"/>
      <w:lang w:val="en-GB"/>
    </w:rPr>
  </w:style>
  <w:style w:type="paragraph" w:customStyle="1" w:styleId="Default">
    <w:name w:val="Default"/>
    <w:rsid w:val="00FB2C2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81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760"/>
    <w:rPr>
      <w:rFonts w:ascii="Segoe UI" w:eastAsia="Calibri" w:hAnsi="Segoe UI" w:cs="Segoe UI"/>
      <w:sz w:val="18"/>
      <w:szCs w:val="18"/>
    </w:rPr>
  </w:style>
  <w:style w:type="paragraph" w:customStyle="1" w:styleId="Headingb">
    <w:name w:val="Heading_b"/>
    <w:basedOn w:val="Normal"/>
    <w:next w:val="Normal"/>
    <w:rsid w:val="00335550"/>
    <w:pPr>
      <w:keepNext/>
      <w:tabs>
        <w:tab w:val="left" w:pos="794"/>
        <w:tab w:val="left" w:pos="1191"/>
        <w:tab w:val="left" w:pos="1588"/>
        <w:tab w:val="left" w:pos="1985"/>
      </w:tabs>
      <w:overflowPunct w:val="0"/>
      <w:autoSpaceDE w:val="0"/>
      <w:autoSpaceDN w:val="0"/>
      <w:adjustRightInd w:val="0"/>
      <w:spacing w:before="240" w:after="0" w:line="280" w:lineRule="exact"/>
      <w:ind w:left="794" w:hanging="794"/>
      <w:jc w:val="both"/>
      <w:textAlignment w:val="baseline"/>
    </w:pPr>
    <w:rPr>
      <w:rFonts w:eastAsia="MS Mincho" w:cs="Calibri"/>
      <w:b/>
      <w:lang w:val="en-US"/>
    </w:rPr>
  </w:style>
  <w:style w:type="character" w:styleId="Hyperlink">
    <w:name w:val="Hyperlink"/>
    <w:basedOn w:val="DefaultParagraphFont"/>
    <w:rsid w:val="00335550"/>
    <w:rPr>
      <w:color w:val="0000FF"/>
      <w:u w:val="single"/>
    </w:rPr>
  </w:style>
  <w:style w:type="table" w:styleId="TableGrid">
    <w:name w:val="Table Grid"/>
    <w:basedOn w:val="TableNormal"/>
    <w:uiPriority w:val="39"/>
    <w:rsid w:val="00335550"/>
    <w:pPr>
      <w:spacing w:after="0" w:line="240" w:lineRule="auto"/>
    </w:pPr>
    <w:rPr>
      <w:rFonts w:ascii="Calibri" w:eastAsia="Times New Roman" w:hAnsi="Calibri" w:cs="Calibri"/>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6682"/>
    <w:rPr>
      <w:color w:val="605E5C"/>
      <w:shd w:val="clear" w:color="auto" w:fill="E1DFDD"/>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nhideWhenUsed/>
    <w:rsid w:val="00245B22"/>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245B22"/>
    <w:rPr>
      <w:sz w:val="20"/>
      <w:szCs w:val="20"/>
      <w:lang w:val="en-US"/>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nhideWhenUsed/>
    <w:qFormat/>
    <w:rsid w:val="00245B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60/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0-CWGFHR11-C-0015/en" TargetMode="External"/><Relationship Id="rId5" Type="http://schemas.openxmlformats.org/officeDocument/2006/relationships/footnotes" Target="footnotes.xml"/><Relationship Id="rId10" Type="http://schemas.openxmlformats.org/officeDocument/2006/relationships/hyperlink" Target="https://www.itu.int/md/S20-CWGFHR11-C-0015/en" TargetMode="External"/><Relationship Id="rId4" Type="http://schemas.openxmlformats.org/officeDocument/2006/relationships/webSettings" Target="webSettings.xml"/><Relationship Id="rId9" Type="http://schemas.openxmlformats.org/officeDocument/2006/relationships/hyperlink" Target="https://www.itu.int/md/S20-CL-C-0060/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about/who-we-are/departments/office-of-the-inspector-general/en/" TargetMode="External"/><Relationship Id="rId7" Type="http://schemas.openxmlformats.org/officeDocument/2006/relationships/hyperlink" Target="http://www.fao.org/about/who-we-are/departments/office-of-the-inspector-general/en/" TargetMode="External"/><Relationship Id="rId2" Type="http://schemas.openxmlformats.org/officeDocument/2006/relationships/hyperlink" Target="https://www.wipo.int/about-wipo/en/oversight/iaod/index.html" TargetMode="External"/><Relationship Id="rId1" Type="http://schemas.openxmlformats.org/officeDocument/2006/relationships/hyperlink" Target="https://www.unjiu.org/content/reports" TargetMode="External"/><Relationship Id="rId6" Type="http://schemas.openxmlformats.org/officeDocument/2006/relationships/hyperlink" Target="https://www.wipo.int/about-wipo/en/oversight/iaod/index.html" TargetMode="External"/><Relationship Id="rId5" Type="http://schemas.openxmlformats.org/officeDocument/2006/relationships/hyperlink" Target="https://www.unjiu.org/content/reports" TargetMode="External"/><Relationship Id="rId4" Type="http://schemas.openxmlformats.org/officeDocument/2006/relationships/hyperlink" Target="https://www.unjiu.org/content/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Virtual consultation of councillors 2020</dc:subject>
  <dc:creator>Windows User</dc:creator>
  <cp:keywords>VCC</cp:keywords>
  <dc:description/>
  <cp:lastModifiedBy>Brouard, Ricarda</cp:lastModifiedBy>
  <cp:revision>3</cp:revision>
  <cp:lastPrinted>2020-05-28T06:43:00Z</cp:lastPrinted>
  <dcterms:created xsi:type="dcterms:W3CDTF">2020-05-29T15:24:00Z</dcterms:created>
  <dcterms:modified xsi:type="dcterms:W3CDTF">2020-05-29T17:46:00Z</dcterms:modified>
</cp:coreProperties>
</file>