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ED4F28" w:rsidRPr="00CD6140" w14:paraId="5EBA1C00" w14:textId="77777777" w:rsidTr="00FA7FCF">
        <w:trPr>
          <w:cantSplit/>
          <w:trHeight w:val="1276"/>
        </w:trPr>
        <w:tc>
          <w:tcPr>
            <w:tcW w:w="6911" w:type="dxa"/>
          </w:tcPr>
          <w:p w14:paraId="31AD0730" w14:textId="77777777" w:rsidR="00ED4F28" w:rsidRPr="00CD6140" w:rsidRDefault="00ED4F28" w:rsidP="00FA7FCF">
            <w:pPr>
              <w:spacing w:before="360" w:after="48" w:line="240" w:lineRule="auto"/>
              <w:jc w:val="left"/>
              <w:rPr>
                <w:b/>
                <w:bCs/>
                <w:position w:val="6"/>
                <w:sz w:val="26"/>
                <w:szCs w:val="26"/>
              </w:rPr>
            </w:pPr>
            <w:r w:rsidRPr="00CD6140">
              <w:rPr>
                <w:b/>
                <w:bCs/>
                <w:position w:val="6"/>
                <w:sz w:val="26"/>
                <w:szCs w:val="26"/>
              </w:rPr>
              <w:t xml:space="preserve">Consultation virtuelle des Conseillers </w:t>
            </w:r>
            <w:r w:rsidRPr="00CD6140">
              <w:rPr>
                <w:b/>
                <w:bCs/>
                <w:position w:val="6"/>
                <w:sz w:val="26"/>
                <w:szCs w:val="26"/>
              </w:rPr>
              <w:br/>
              <w:t>débutant le 9 juin 2020</w:t>
            </w:r>
          </w:p>
        </w:tc>
        <w:tc>
          <w:tcPr>
            <w:tcW w:w="3120" w:type="dxa"/>
            <w:vAlign w:val="center"/>
          </w:tcPr>
          <w:p w14:paraId="55F97995" w14:textId="77777777" w:rsidR="00ED4F28" w:rsidRPr="00CD6140" w:rsidRDefault="00ED4F28" w:rsidP="00FA7FCF">
            <w:pPr>
              <w:spacing w:before="0" w:line="240" w:lineRule="auto"/>
            </w:pPr>
            <w:bookmarkStart w:id="0" w:name="ditulogo"/>
            <w:bookmarkEnd w:id="0"/>
            <w:r w:rsidRPr="00CD6140">
              <w:rPr>
                <w:noProof/>
                <w:lang w:val="en-US"/>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CD6140" w14:paraId="5AD08796" w14:textId="77777777" w:rsidTr="00FA7FCF">
        <w:trPr>
          <w:cantSplit/>
        </w:trPr>
        <w:tc>
          <w:tcPr>
            <w:tcW w:w="6911" w:type="dxa"/>
            <w:tcBorders>
              <w:bottom w:val="single" w:sz="12" w:space="0" w:color="auto"/>
            </w:tcBorders>
          </w:tcPr>
          <w:p w14:paraId="24D101CB" w14:textId="77777777" w:rsidR="00ED4F28" w:rsidRPr="00CD6140" w:rsidRDefault="00ED4F28" w:rsidP="00FA7FCF">
            <w:pPr>
              <w:spacing w:before="0" w:after="48" w:line="240" w:lineRule="auto"/>
              <w:rPr>
                <w:b/>
                <w:smallCaps/>
                <w:szCs w:val="24"/>
              </w:rPr>
            </w:pPr>
          </w:p>
        </w:tc>
        <w:tc>
          <w:tcPr>
            <w:tcW w:w="3120" w:type="dxa"/>
            <w:tcBorders>
              <w:bottom w:val="single" w:sz="12" w:space="0" w:color="auto"/>
            </w:tcBorders>
          </w:tcPr>
          <w:p w14:paraId="013EA1C4" w14:textId="77777777" w:rsidR="00ED4F28" w:rsidRPr="00CD6140" w:rsidRDefault="00ED4F28" w:rsidP="00FA7FCF">
            <w:pPr>
              <w:spacing w:before="0" w:line="240" w:lineRule="auto"/>
              <w:rPr>
                <w:szCs w:val="24"/>
              </w:rPr>
            </w:pPr>
          </w:p>
        </w:tc>
      </w:tr>
      <w:tr w:rsidR="00ED4F28" w:rsidRPr="006D1268" w14:paraId="3E6FF050" w14:textId="77777777" w:rsidTr="00FA7FCF">
        <w:trPr>
          <w:cantSplit/>
        </w:trPr>
        <w:tc>
          <w:tcPr>
            <w:tcW w:w="6911" w:type="dxa"/>
            <w:tcBorders>
              <w:top w:val="single" w:sz="12" w:space="0" w:color="auto"/>
            </w:tcBorders>
          </w:tcPr>
          <w:p w14:paraId="0CEE65DB" w14:textId="77777777" w:rsidR="00ED4F28" w:rsidRPr="006D1268" w:rsidRDefault="00ED4F28" w:rsidP="00FA7FCF">
            <w:pPr>
              <w:spacing w:before="0" w:after="48" w:line="240" w:lineRule="auto"/>
              <w:rPr>
                <w:b/>
                <w:smallCaps/>
                <w:sz w:val="24"/>
                <w:szCs w:val="24"/>
              </w:rPr>
            </w:pPr>
          </w:p>
        </w:tc>
        <w:tc>
          <w:tcPr>
            <w:tcW w:w="3120" w:type="dxa"/>
            <w:tcBorders>
              <w:top w:val="single" w:sz="12" w:space="0" w:color="auto"/>
            </w:tcBorders>
          </w:tcPr>
          <w:p w14:paraId="6EA12AD3" w14:textId="1708923D" w:rsidR="00ED4F28" w:rsidRPr="006D1268" w:rsidRDefault="00ED4F28" w:rsidP="00ED4F28">
            <w:pPr>
              <w:spacing w:before="240" w:line="240" w:lineRule="atLeast"/>
              <w:rPr>
                <w:b/>
                <w:bCs/>
                <w:sz w:val="24"/>
                <w:szCs w:val="24"/>
              </w:rPr>
            </w:pPr>
            <w:r w:rsidRPr="006D1268">
              <w:rPr>
                <w:b/>
                <w:bCs/>
                <w:sz w:val="24"/>
                <w:szCs w:val="24"/>
              </w:rPr>
              <w:t>Document VC/</w:t>
            </w:r>
            <w:r w:rsidR="00262AF3" w:rsidRPr="006D1268">
              <w:rPr>
                <w:b/>
                <w:bCs/>
                <w:sz w:val="24"/>
                <w:szCs w:val="24"/>
              </w:rPr>
              <w:t>8</w:t>
            </w:r>
            <w:r w:rsidRPr="006D1268">
              <w:rPr>
                <w:b/>
                <w:bCs/>
                <w:sz w:val="24"/>
                <w:szCs w:val="24"/>
              </w:rPr>
              <w:t>-F</w:t>
            </w:r>
          </w:p>
          <w:p w14:paraId="37F4C522" w14:textId="327B755F" w:rsidR="00ED4F28" w:rsidRPr="006D1268" w:rsidRDefault="00262AF3" w:rsidP="00ED4F28">
            <w:pPr>
              <w:spacing w:before="0" w:line="240" w:lineRule="atLeast"/>
              <w:rPr>
                <w:b/>
                <w:bCs/>
                <w:sz w:val="24"/>
                <w:szCs w:val="24"/>
              </w:rPr>
            </w:pPr>
            <w:r w:rsidRPr="006D1268">
              <w:rPr>
                <w:b/>
                <w:bCs/>
                <w:sz w:val="24"/>
                <w:szCs w:val="24"/>
              </w:rPr>
              <w:t>29 mai</w:t>
            </w:r>
            <w:r w:rsidR="00ED4F28" w:rsidRPr="006D1268">
              <w:rPr>
                <w:b/>
                <w:bCs/>
                <w:sz w:val="24"/>
                <w:szCs w:val="24"/>
              </w:rPr>
              <w:t xml:space="preserve"> 2020</w:t>
            </w:r>
          </w:p>
          <w:p w14:paraId="30C631C4" w14:textId="1D2AABE1" w:rsidR="00ED4F28" w:rsidRPr="006D1268" w:rsidRDefault="00ED4F28" w:rsidP="00ED4F28">
            <w:pPr>
              <w:spacing w:before="0" w:line="240" w:lineRule="auto"/>
              <w:rPr>
                <w:sz w:val="24"/>
                <w:szCs w:val="24"/>
              </w:rPr>
            </w:pPr>
            <w:r w:rsidRPr="006D1268">
              <w:rPr>
                <w:b/>
                <w:bCs/>
                <w:sz w:val="24"/>
                <w:szCs w:val="24"/>
              </w:rPr>
              <w:t>Original: anglais</w:t>
            </w:r>
          </w:p>
        </w:tc>
      </w:tr>
    </w:tbl>
    <w:p w14:paraId="5DB07637" w14:textId="77777777" w:rsidR="00ED4F28" w:rsidRPr="006D1268" w:rsidRDefault="00ED4F28" w:rsidP="00ED4F28">
      <w:pPr>
        <w:spacing w:before="0" w:line="240" w:lineRule="auto"/>
        <w:rPr>
          <w:b/>
          <w:bCs/>
          <w:sz w:val="24"/>
          <w:szCs w:val="24"/>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262AF3" w:rsidRPr="006D1268" w14:paraId="5223D652" w14:textId="77777777" w:rsidTr="002A4FDE">
        <w:trPr>
          <w:cantSplit/>
        </w:trPr>
        <w:tc>
          <w:tcPr>
            <w:tcW w:w="2835" w:type="dxa"/>
            <w:tcBorders>
              <w:right w:val="single" w:sz="12" w:space="0" w:color="auto"/>
            </w:tcBorders>
            <w:vAlign w:val="center"/>
          </w:tcPr>
          <w:p w14:paraId="55B41703" w14:textId="533EFD4B" w:rsidR="00262AF3" w:rsidRPr="006D1268" w:rsidRDefault="006D1268" w:rsidP="00262AF3">
            <w:pPr>
              <w:spacing w:before="0" w:line="240" w:lineRule="auto"/>
              <w:jc w:val="left"/>
              <w:rPr>
                <w:b/>
                <w:bCs/>
                <w:sz w:val="24"/>
                <w:szCs w:val="24"/>
              </w:rPr>
            </w:pPr>
            <w:bookmarkStart w:id="2" w:name="dsource" w:colFirst="0" w:colLast="0"/>
            <w:bookmarkEnd w:id="1"/>
            <w:r w:rsidRPr="006D1268">
              <w:rPr>
                <w:b/>
                <w:bCs/>
                <w:sz w:val="24"/>
                <w:szCs w:val="24"/>
              </w:rPr>
              <w:t>Nom</w:t>
            </w:r>
            <w:r w:rsidR="00B55D89">
              <w:rPr>
                <w:b/>
                <w:bCs/>
                <w:sz w:val="24"/>
                <w:szCs w:val="24"/>
              </w:rPr>
              <w:t>(s)</w:t>
            </w:r>
            <w:bookmarkStart w:id="3" w:name="_GoBack"/>
            <w:bookmarkEnd w:id="3"/>
            <w:r w:rsidR="00262AF3" w:rsidRPr="006D1268">
              <w:rPr>
                <w:b/>
                <w:bCs/>
                <w:sz w:val="24"/>
                <w:szCs w:val="24"/>
              </w:rPr>
              <w:t xml:space="preserve">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78E3B1AB" w14:textId="3D760E07" w:rsidR="00262AF3" w:rsidRPr="006D1268" w:rsidRDefault="00262AF3" w:rsidP="00262AF3">
            <w:pPr>
              <w:spacing w:before="0" w:line="240" w:lineRule="auto"/>
              <w:rPr>
                <w:sz w:val="24"/>
                <w:szCs w:val="24"/>
              </w:rPr>
            </w:pPr>
            <w:r w:rsidRPr="006D1268">
              <w:rPr>
                <w:b/>
                <w:bCs/>
                <w:sz w:val="24"/>
                <w:szCs w:val="24"/>
              </w:rPr>
              <w:t>États-Unis d'Amérique</w:t>
            </w:r>
          </w:p>
        </w:tc>
      </w:tr>
      <w:tr w:rsidR="00262AF3" w:rsidRPr="006D1268" w14:paraId="0D2E87FA" w14:textId="77777777" w:rsidTr="002A4FDE">
        <w:trPr>
          <w:cantSplit/>
        </w:trPr>
        <w:tc>
          <w:tcPr>
            <w:tcW w:w="2835" w:type="dxa"/>
          </w:tcPr>
          <w:p w14:paraId="43E1E287" w14:textId="77777777" w:rsidR="00262AF3" w:rsidRPr="006D1268" w:rsidRDefault="00262AF3" w:rsidP="00262AF3">
            <w:pPr>
              <w:spacing w:before="0" w:line="240" w:lineRule="auto"/>
              <w:rPr>
                <w:sz w:val="24"/>
                <w:szCs w:val="24"/>
              </w:rPr>
            </w:pPr>
          </w:p>
        </w:tc>
        <w:tc>
          <w:tcPr>
            <w:tcW w:w="7258" w:type="dxa"/>
            <w:tcBorders>
              <w:top w:val="single" w:sz="12" w:space="0" w:color="auto"/>
              <w:bottom w:val="single" w:sz="12" w:space="0" w:color="auto"/>
            </w:tcBorders>
          </w:tcPr>
          <w:p w14:paraId="4BBC2D9C" w14:textId="77777777" w:rsidR="00262AF3" w:rsidRPr="006D1268" w:rsidRDefault="00262AF3" w:rsidP="00262AF3">
            <w:pPr>
              <w:spacing w:before="0" w:line="240" w:lineRule="auto"/>
              <w:rPr>
                <w:sz w:val="24"/>
                <w:szCs w:val="24"/>
              </w:rPr>
            </w:pPr>
          </w:p>
        </w:tc>
      </w:tr>
      <w:tr w:rsidR="00262AF3" w:rsidRPr="006D1268" w14:paraId="386535EF" w14:textId="77777777" w:rsidTr="002A4FDE">
        <w:trPr>
          <w:cantSplit/>
        </w:trPr>
        <w:tc>
          <w:tcPr>
            <w:tcW w:w="2835" w:type="dxa"/>
            <w:tcBorders>
              <w:right w:val="single" w:sz="12" w:space="0" w:color="auto"/>
            </w:tcBorders>
          </w:tcPr>
          <w:p w14:paraId="4D232E2D" w14:textId="77777777" w:rsidR="00262AF3" w:rsidRPr="006D1268" w:rsidRDefault="00262AF3" w:rsidP="00262AF3">
            <w:pPr>
              <w:spacing w:after="120" w:line="240" w:lineRule="auto"/>
              <w:rPr>
                <w:b/>
                <w:bCs/>
                <w:sz w:val="24"/>
                <w:szCs w:val="24"/>
              </w:rPr>
            </w:pPr>
            <w:r w:rsidRPr="006D1268">
              <w:rPr>
                <w:b/>
                <w:bCs/>
                <w:sz w:val="24"/>
                <w:szCs w:val="24"/>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9AF6291" w14:textId="023F67EC" w:rsidR="00262AF3" w:rsidRPr="006D1268" w:rsidRDefault="00262AF3" w:rsidP="006D1268">
            <w:pPr>
              <w:spacing w:after="120" w:line="240" w:lineRule="auto"/>
              <w:jc w:val="left"/>
              <w:rPr>
                <w:sz w:val="24"/>
                <w:szCs w:val="24"/>
              </w:rPr>
            </w:pPr>
            <w:r w:rsidRPr="006D1268">
              <w:rPr>
                <w:b/>
                <w:bCs/>
                <w:sz w:val="24"/>
                <w:szCs w:val="24"/>
              </w:rPr>
              <w:t>Proposition concernant le mandat de la nouvelle fonction d'investigation et le processus d'enquête</w:t>
            </w:r>
          </w:p>
        </w:tc>
      </w:tr>
      <w:tr w:rsidR="00262AF3" w:rsidRPr="006D1268" w14:paraId="49CD4840" w14:textId="77777777" w:rsidTr="002A4FDE">
        <w:trPr>
          <w:cantSplit/>
          <w:trHeight w:val="269"/>
        </w:trPr>
        <w:tc>
          <w:tcPr>
            <w:tcW w:w="2835" w:type="dxa"/>
          </w:tcPr>
          <w:p w14:paraId="1DD2E2D3" w14:textId="77777777" w:rsidR="00262AF3" w:rsidRPr="006D1268" w:rsidRDefault="00262AF3" w:rsidP="00262AF3">
            <w:pPr>
              <w:spacing w:before="0" w:line="240" w:lineRule="auto"/>
              <w:rPr>
                <w:sz w:val="24"/>
                <w:szCs w:val="24"/>
              </w:rPr>
            </w:pPr>
          </w:p>
        </w:tc>
        <w:tc>
          <w:tcPr>
            <w:tcW w:w="7258" w:type="dxa"/>
            <w:tcBorders>
              <w:top w:val="single" w:sz="12" w:space="0" w:color="auto"/>
              <w:bottom w:val="single" w:sz="12" w:space="0" w:color="auto"/>
            </w:tcBorders>
          </w:tcPr>
          <w:p w14:paraId="3E5479B1" w14:textId="77777777" w:rsidR="00262AF3" w:rsidRPr="006D1268" w:rsidRDefault="00262AF3" w:rsidP="00262AF3">
            <w:pPr>
              <w:spacing w:before="0" w:line="240" w:lineRule="auto"/>
              <w:rPr>
                <w:sz w:val="24"/>
                <w:szCs w:val="24"/>
              </w:rPr>
            </w:pPr>
          </w:p>
        </w:tc>
      </w:tr>
      <w:tr w:rsidR="00262AF3" w:rsidRPr="006D1268" w14:paraId="571A226D" w14:textId="77777777" w:rsidTr="002A4FDE">
        <w:trPr>
          <w:cantSplit/>
          <w:trHeight w:val="668"/>
        </w:trPr>
        <w:tc>
          <w:tcPr>
            <w:tcW w:w="2835" w:type="dxa"/>
            <w:tcBorders>
              <w:right w:val="single" w:sz="12" w:space="0" w:color="auto"/>
            </w:tcBorders>
            <w:vAlign w:val="center"/>
          </w:tcPr>
          <w:p w14:paraId="6359ADFE" w14:textId="77777777" w:rsidR="00262AF3" w:rsidRPr="006D1268" w:rsidRDefault="00262AF3" w:rsidP="00262AF3">
            <w:pPr>
              <w:spacing w:before="0" w:line="240" w:lineRule="auto"/>
              <w:jc w:val="left"/>
              <w:rPr>
                <w:b/>
                <w:bCs/>
                <w:sz w:val="24"/>
                <w:szCs w:val="24"/>
              </w:rPr>
            </w:pPr>
            <w:r w:rsidRPr="006D1268">
              <w:rPr>
                <w:b/>
                <w:bCs/>
                <w:sz w:val="24"/>
                <w:szCs w:val="24"/>
              </w:rPr>
              <w:t>Référence au projet d'ordre du jour de la consultation virtuelle:</w:t>
            </w:r>
          </w:p>
        </w:tc>
        <w:tc>
          <w:tcPr>
            <w:tcW w:w="7258" w:type="dxa"/>
            <w:tcBorders>
              <w:top w:val="single" w:sz="12" w:space="0" w:color="auto"/>
              <w:left w:val="single" w:sz="12" w:space="0" w:color="auto"/>
              <w:bottom w:val="single" w:sz="12" w:space="0" w:color="auto"/>
              <w:right w:val="single" w:sz="12" w:space="0" w:color="auto"/>
            </w:tcBorders>
            <w:vAlign w:val="center"/>
          </w:tcPr>
          <w:p w14:paraId="0274D4F3" w14:textId="5896825E" w:rsidR="00262AF3" w:rsidRPr="006D1268" w:rsidRDefault="00496A11" w:rsidP="002A4FDE">
            <w:pPr>
              <w:spacing w:before="0" w:line="240" w:lineRule="auto"/>
              <w:rPr>
                <w:b/>
                <w:bCs/>
                <w:sz w:val="24"/>
                <w:szCs w:val="24"/>
              </w:rPr>
            </w:pPr>
            <w:hyperlink r:id="rId9" w:history="1">
              <w:r w:rsidR="00262AF3" w:rsidRPr="006D1268">
                <w:rPr>
                  <w:rStyle w:val="Hyperlink"/>
                  <w:b/>
                  <w:bCs/>
                  <w:sz w:val="24"/>
                  <w:szCs w:val="24"/>
                </w:rPr>
                <w:t>Document C20/60</w:t>
              </w:r>
            </w:hyperlink>
          </w:p>
        </w:tc>
      </w:tr>
      <w:tr w:rsidR="00262AF3" w:rsidRPr="00CD6140" w14:paraId="7342F67D" w14:textId="77777777" w:rsidTr="002A4FDE">
        <w:trPr>
          <w:cantSplit/>
          <w:trHeight w:val="156"/>
        </w:trPr>
        <w:tc>
          <w:tcPr>
            <w:tcW w:w="2835" w:type="dxa"/>
          </w:tcPr>
          <w:p w14:paraId="20A799A0" w14:textId="77777777" w:rsidR="00262AF3" w:rsidRPr="00CD6140" w:rsidRDefault="00262AF3" w:rsidP="00262AF3">
            <w:pPr>
              <w:spacing w:before="0" w:line="240" w:lineRule="auto"/>
              <w:rPr>
                <w:sz w:val="16"/>
                <w:szCs w:val="16"/>
              </w:rPr>
            </w:pPr>
          </w:p>
        </w:tc>
        <w:tc>
          <w:tcPr>
            <w:tcW w:w="7258" w:type="dxa"/>
            <w:tcBorders>
              <w:top w:val="single" w:sz="12" w:space="0" w:color="auto"/>
            </w:tcBorders>
          </w:tcPr>
          <w:p w14:paraId="58BD5A6D" w14:textId="77777777" w:rsidR="00262AF3" w:rsidRPr="00CD6140" w:rsidRDefault="00262AF3" w:rsidP="00262AF3">
            <w:pPr>
              <w:spacing w:before="0" w:line="240" w:lineRule="auto"/>
              <w:rPr>
                <w:sz w:val="16"/>
                <w:szCs w:val="16"/>
              </w:rPr>
            </w:pPr>
          </w:p>
        </w:tc>
      </w:tr>
    </w:tbl>
    <w:p w14:paraId="6AF71304" w14:textId="77777777" w:rsidR="00ED4F28" w:rsidRPr="00CD6140"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CD6140" w14:paraId="772FC35A" w14:textId="77777777" w:rsidTr="00E16DF3">
        <w:tc>
          <w:tcPr>
            <w:tcW w:w="10093" w:type="dxa"/>
            <w:tcBorders>
              <w:top w:val="single" w:sz="12" w:space="0" w:color="auto"/>
              <w:left w:val="single" w:sz="12" w:space="0" w:color="auto"/>
              <w:bottom w:val="single" w:sz="12" w:space="0" w:color="auto"/>
              <w:right w:val="single" w:sz="12" w:space="0" w:color="auto"/>
            </w:tcBorders>
          </w:tcPr>
          <w:p w14:paraId="3D781B96" w14:textId="4FB2A0B8" w:rsidR="00ED4F28" w:rsidRPr="006D1268" w:rsidRDefault="00ED4F28" w:rsidP="00E16DF3">
            <w:pPr>
              <w:pStyle w:val="Headingb"/>
              <w:keepNext w:val="0"/>
              <w:keepLines w:val="0"/>
              <w:spacing w:before="120" w:after="120"/>
              <w:rPr>
                <w:szCs w:val="24"/>
              </w:rPr>
            </w:pPr>
            <w:r w:rsidRPr="006D1268">
              <w:rPr>
                <w:szCs w:val="24"/>
              </w:rPr>
              <w:t>Observations relatives au Document C20/</w:t>
            </w:r>
            <w:r w:rsidR="00262AF3" w:rsidRPr="006D1268">
              <w:rPr>
                <w:szCs w:val="24"/>
              </w:rPr>
              <w:t>60</w:t>
            </w:r>
          </w:p>
          <w:p w14:paraId="36099D4A" w14:textId="02353E55" w:rsidR="00262AF3" w:rsidRPr="006D1268" w:rsidRDefault="00262AF3" w:rsidP="00E16DF3">
            <w:pPr>
              <w:spacing w:after="120" w:line="240" w:lineRule="auto"/>
              <w:jc w:val="left"/>
              <w:rPr>
                <w:bCs/>
                <w:sz w:val="24"/>
                <w:szCs w:val="24"/>
                <w:lang w:eastAsia="zh-CN"/>
              </w:rPr>
            </w:pPr>
            <w:r w:rsidRPr="006D1268">
              <w:rPr>
                <w:bCs/>
                <w:sz w:val="24"/>
                <w:szCs w:val="24"/>
                <w:lang w:eastAsia="zh-CN"/>
              </w:rPr>
              <w:t>Suite à la proposition soumise par l</w:t>
            </w:r>
            <w:r w:rsidR="00E16DF3" w:rsidRPr="006D1268">
              <w:rPr>
                <w:bCs/>
                <w:sz w:val="24"/>
                <w:szCs w:val="24"/>
                <w:lang w:eastAsia="zh-CN"/>
              </w:rPr>
              <w:t>'</w:t>
            </w:r>
            <w:r w:rsidRPr="006D1268">
              <w:rPr>
                <w:bCs/>
                <w:sz w:val="24"/>
                <w:szCs w:val="24"/>
                <w:lang w:eastAsia="zh-CN"/>
              </w:rPr>
              <w:t xml:space="preserve">Union dans le Document C20/60 (Création et financement d'une nouvelle fonction d'investigation), et compte tenu du Document </w:t>
            </w:r>
            <w:hyperlink r:id="rId10" w:history="1">
              <w:r w:rsidRPr="006D1268">
                <w:rPr>
                  <w:rStyle w:val="Hyperlink"/>
                  <w:bCs/>
                  <w:sz w:val="24"/>
                  <w:szCs w:val="24"/>
                  <w:lang w:eastAsia="zh-CN"/>
                </w:rPr>
                <w:t>CWG-FHR-11/15</w:t>
              </w:r>
            </w:hyperlink>
            <w:r w:rsidRPr="006D1268">
              <w:rPr>
                <w:bCs/>
                <w:sz w:val="24"/>
                <w:szCs w:val="24"/>
                <w:lang w:eastAsia="zh-CN"/>
              </w:rPr>
              <w:t xml:space="preserve"> (Contribution des États-Unis </w:t>
            </w:r>
            <w:r w:rsidR="00E16DF3" w:rsidRPr="006D1268">
              <w:rPr>
                <w:bCs/>
                <w:sz w:val="24"/>
                <w:szCs w:val="24"/>
                <w:lang w:eastAsia="zh-CN"/>
              </w:rPr>
              <w:t>–</w:t>
            </w:r>
            <w:r w:rsidRPr="006D1268">
              <w:rPr>
                <w:bCs/>
                <w:sz w:val="24"/>
                <w:szCs w:val="24"/>
                <w:lang w:eastAsia="zh-CN"/>
              </w:rPr>
              <w:t xml:space="preserve"> Proposition relative à une nouvelle fonction d'investigation et à un nouveau processus d'enquête), les États</w:t>
            </w:r>
            <w:r w:rsidR="00E16DF3" w:rsidRPr="006D1268">
              <w:rPr>
                <w:bCs/>
                <w:sz w:val="24"/>
                <w:szCs w:val="24"/>
                <w:lang w:eastAsia="zh-CN"/>
              </w:rPr>
              <w:noBreakHyphen/>
            </w:r>
            <w:r w:rsidRPr="006D1268">
              <w:rPr>
                <w:bCs/>
                <w:sz w:val="24"/>
                <w:szCs w:val="24"/>
                <w:lang w:eastAsia="zh-CN"/>
              </w:rPr>
              <w:t>Unis soumettent au Conseil une proposition concernant le mandat</w:t>
            </w:r>
            <w:r w:rsidR="00E16DF3" w:rsidRPr="006D1268">
              <w:rPr>
                <w:bCs/>
                <w:sz w:val="24"/>
                <w:szCs w:val="24"/>
                <w:lang w:eastAsia="zh-CN"/>
              </w:rPr>
              <w:t xml:space="preserve"> </w:t>
            </w:r>
            <w:r w:rsidRPr="006D1268">
              <w:rPr>
                <w:bCs/>
                <w:sz w:val="24"/>
                <w:szCs w:val="24"/>
                <w:lang w:eastAsia="zh-CN"/>
              </w:rPr>
              <w:t>de</w:t>
            </w:r>
            <w:r w:rsidR="00E16DF3" w:rsidRPr="006D1268">
              <w:rPr>
                <w:bCs/>
                <w:sz w:val="24"/>
                <w:szCs w:val="24"/>
                <w:lang w:eastAsia="zh-CN"/>
              </w:rPr>
              <w:t xml:space="preserve"> </w:t>
            </w:r>
            <w:r w:rsidRPr="006D1268">
              <w:rPr>
                <w:bCs/>
                <w:sz w:val="24"/>
                <w:szCs w:val="24"/>
                <w:lang w:eastAsia="zh-CN"/>
              </w:rPr>
              <w:t>la nouvelle fonction d</w:t>
            </w:r>
            <w:r w:rsidR="00E16DF3" w:rsidRPr="006D1268">
              <w:rPr>
                <w:bCs/>
                <w:sz w:val="24"/>
                <w:szCs w:val="24"/>
                <w:lang w:eastAsia="zh-CN"/>
              </w:rPr>
              <w:t>'</w:t>
            </w:r>
            <w:r w:rsidRPr="006D1268">
              <w:rPr>
                <w:bCs/>
                <w:sz w:val="24"/>
                <w:szCs w:val="24"/>
                <w:lang w:eastAsia="zh-CN"/>
              </w:rPr>
              <w:t>investigation et la réforme du processus d</w:t>
            </w:r>
            <w:r w:rsidR="00E16DF3" w:rsidRPr="006D1268">
              <w:rPr>
                <w:bCs/>
                <w:sz w:val="24"/>
                <w:szCs w:val="24"/>
                <w:lang w:eastAsia="zh-CN"/>
              </w:rPr>
              <w:t>'</w:t>
            </w:r>
            <w:r w:rsidRPr="006D1268">
              <w:rPr>
                <w:bCs/>
                <w:sz w:val="24"/>
                <w:szCs w:val="24"/>
                <w:lang w:eastAsia="zh-CN"/>
              </w:rPr>
              <w:t>enquête, afin de tenir compte des bonnes pratiques au sein du système des Nations Unies.</w:t>
            </w:r>
          </w:p>
          <w:p w14:paraId="43C7147F" w14:textId="47E3A49A" w:rsidR="00ED4F28" w:rsidRPr="006D1268" w:rsidRDefault="00262AF3" w:rsidP="00E16DF3">
            <w:pPr>
              <w:spacing w:after="120" w:line="240" w:lineRule="auto"/>
              <w:jc w:val="left"/>
              <w:rPr>
                <w:sz w:val="24"/>
                <w:szCs w:val="24"/>
                <w:lang w:eastAsia="zh-CN"/>
              </w:rPr>
            </w:pPr>
            <w:r w:rsidRPr="006D1268">
              <w:rPr>
                <w:bCs/>
                <w:sz w:val="24"/>
                <w:szCs w:val="24"/>
                <w:lang w:eastAsia="zh-CN"/>
              </w:rPr>
              <w:t>La nouvelle fonction d</w:t>
            </w:r>
            <w:r w:rsidR="00E16DF3" w:rsidRPr="006D1268">
              <w:rPr>
                <w:bCs/>
                <w:sz w:val="24"/>
                <w:szCs w:val="24"/>
                <w:lang w:eastAsia="zh-CN"/>
              </w:rPr>
              <w:t>'</w:t>
            </w:r>
            <w:r w:rsidRPr="006D1268">
              <w:rPr>
                <w:bCs/>
                <w:sz w:val="24"/>
                <w:szCs w:val="24"/>
                <w:lang w:eastAsia="zh-CN"/>
              </w:rPr>
              <w:t>investigation constituera un mécanisme de supervision supplémentaire au sein de l</w:t>
            </w:r>
            <w:r w:rsidR="00E16DF3" w:rsidRPr="006D1268">
              <w:rPr>
                <w:bCs/>
                <w:sz w:val="24"/>
                <w:szCs w:val="24"/>
                <w:lang w:eastAsia="zh-CN"/>
              </w:rPr>
              <w:t>'</w:t>
            </w:r>
            <w:r w:rsidRPr="006D1268">
              <w:rPr>
                <w:bCs/>
                <w:sz w:val="24"/>
                <w:szCs w:val="24"/>
                <w:lang w:eastAsia="zh-CN"/>
              </w:rPr>
              <w:t>organisation</w:t>
            </w:r>
            <w:r w:rsidR="00E16DF3" w:rsidRPr="006D1268">
              <w:rPr>
                <w:bCs/>
                <w:sz w:val="24"/>
                <w:szCs w:val="24"/>
                <w:lang w:eastAsia="zh-CN"/>
              </w:rPr>
              <w:t>,</w:t>
            </w:r>
            <w:r w:rsidRPr="006D1268">
              <w:rPr>
                <w:bCs/>
                <w:sz w:val="24"/>
                <w:szCs w:val="24"/>
                <w:lang w:eastAsia="zh-CN"/>
              </w:rPr>
              <w:t xml:space="preserve"> qui viendra compléter</w:t>
            </w:r>
            <w:r w:rsidR="00E16DF3" w:rsidRPr="006D1268">
              <w:rPr>
                <w:bCs/>
                <w:sz w:val="24"/>
                <w:szCs w:val="24"/>
                <w:lang w:eastAsia="zh-CN"/>
              </w:rPr>
              <w:t xml:space="preserve"> </w:t>
            </w:r>
            <w:r w:rsidRPr="006D1268">
              <w:rPr>
                <w:bCs/>
                <w:sz w:val="24"/>
                <w:szCs w:val="24"/>
                <w:lang w:eastAsia="zh-CN"/>
              </w:rPr>
              <w:t>celui des bureaux de contrôle actuels de l</w:t>
            </w:r>
            <w:r w:rsidR="00E16DF3" w:rsidRPr="006D1268">
              <w:rPr>
                <w:bCs/>
                <w:sz w:val="24"/>
                <w:szCs w:val="24"/>
                <w:lang w:eastAsia="zh-CN"/>
              </w:rPr>
              <w:t>'</w:t>
            </w:r>
            <w:r w:rsidRPr="006D1268">
              <w:rPr>
                <w:bCs/>
                <w:sz w:val="24"/>
                <w:szCs w:val="24"/>
                <w:lang w:eastAsia="zh-CN"/>
              </w:rPr>
              <w:t>UIT</w:t>
            </w:r>
            <w:r w:rsidR="00E16DF3" w:rsidRPr="006D1268">
              <w:rPr>
                <w:bCs/>
                <w:sz w:val="24"/>
                <w:szCs w:val="24"/>
                <w:lang w:eastAsia="zh-CN"/>
              </w:rPr>
              <w:t xml:space="preserve">, </w:t>
            </w:r>
            <w:r w:rsidRPr="006D1268">
              <w:rPr>
                <w:bCs/>
                <w:sz w:val="24"/>
                <w:szCs w:val="24"/>
                <w:lang w:eastAsia="zh-CN"/>
              </w:rPr>
              <w:t>à savoir l</w:t>
            </w:r>
            <w:r w:rsidR="00E16DF3" w:rsidRPr="006D1268">
              <w:rPr>
                <w:bCs/>
                <w:sz w:val="24"/>
                <w:szCs w:val="24"/>
                <w:lang w:eastAsia="zh-CN"/>
              </w:rPr>
              <w:t>'</w:t>
            </w:r>
            <w:r w:rsidRPr="006D1268">
              <w:rPr>
                <w:bCs/>
                <w:sz w:val="24"/>
                <w:szCs w:val="24"/>
                <w:lang w:eastAsia="zh-CN"/>
              </w:rPr>
              <w:t>Unité d</w:t>
            </w:r>
            <w:r w:rsidR="00E16DF3" w:rsidRPr="006D1268">
              <w:rPr>
                <w:bCs/>
                <w:sz w:val="24"/>
                <w:szCs w:val="24"/>
                <w:lang w:eastAsia="zh-CN"/>
              </w:rPr>
              <w:t>'</w:t>
            </w:r>
            <w:r w:rsidRPr="006D1268">
              <w:rPr>
                <w:bCs/>
                <w:sz w:val="24"/>
                <w:szCs w:val="24"/>
                <w:lang w:eastAsia="zh-CN"/>
              </w:rPr>
              <w:t>audit interne et le Bureau de l</w:t>
            </w:r>
            <w:r w:rsidR="00E16DF3" w:rsidRPr="006D1268">
              <w:rPr>
                <w:bCs/>
                <w:sz w:val="24"/>
                <w:szCs w:val="24"/>
                <w:lang w:eastAsia="zh-CN"/>
              </w:rPr>
              <w:t>'</w:t>
            </w:r>
            <w:r w:rsidRPr="006D1268">
              <w:rPr>
                <w:bCs/>
                <w:sz w:val="24"/>
                <w:szCs w:val="24"/>
                <w:lang w:eastAsia="zh-CN"/>
              </w:rPr>
              <w:t>éthique. Afin que cette fonction soit efficace, et que les travaux qui lui sont rattachés puissent être menés en toute indépendance, la fonction d'investigation doit être protégée au même titre que les autres mécanismes de supervision de l</w:t>
            </w:r>
            <w:r w:rsidR="00E16DF3" w:rsidRPr="006D1268">
              <w:rPr>
                <w:bCs/>
                <w:sz w:val="24"/>
                <w:szCs w:val="24"/>
                <w:lang w:eastAsia="zh-CN"/>
              </w:rPr>
              <w:t>'</w:t>
            </w:r>
            <w:r w:rsidRPr="006D1268">
              <w:rPr>
                <w:bCs/>
                <w:sz w:val="24"/>
                <w:szCs w:val="24"/>
                <w:lang w:eastAsia="zh-CN"/>
              </w:rPr>
              <w:t>UIT et devrait se conformer aux bonnes pratiques liées à d</w:t>
            </w:r>
            <w:r w:rsidR="00E16DF3" w:rsidRPr="006D1268">
              <w:rPr>
                <w:bCs/>
                <w:sz w:val="24"/>
                <w:szCs w:val="24"/>
                <w:lang w:eastAsia="zh-CN"/>
              </w:rPr>
              <w:t>'</w:t>
            </w:r>
            <w:r w:rsidRPr="006D1268">
              <w:rPr>
                <w:bCs/>
                <w:sz w:val="24"/>
                <w:szCs w:val="24"/>
                <w:lang w:eastAsia="zh-CN"/>
              </w:rPr>
              <w:t>autres fonctions d</w:t>
            </w:r>
            <w:r w:rsidR="00E16DF3" w:rsidRPr="006D1268">
              <w:rPr>
                <w:bCs/>
                <w:sz w:val="24"/>
                <w:szCs w:val="24"/>
                <w:lang w:eastAsia="zh-CN"/>
              </w:rPr>
              <w:t>'</w:t>
            </w:r>
            <w:r w:rsidRPr="006D1268">
              <w:rPr>
                <w:bCs/>
                <w:sz w:val="24"/>
                <w:szCs w:val="24"/>
                <w:lang w:eastAsia="zh-CN"/>
              </w:rPr>
              <w:t>investigation au sein du système des Nations Unies. Conformément aux bonnes pratiques d</w:t>
            </w:r>
            <w:r w:rsidR="00E16DF3" w:rsidRPr="006D1268">
              <w:rPr>
                <w:bCs/>
                <w:sz w:val="24"/>
                <w:szCs w:val="24"/>
                <w:lang w:eastAsia="zh-CN"/>
              </w:rPr>
              <w:t>'</w:t>
            </w:r>
            <w:r w:rsidRPr="006D1268">
              <w:rPr>
                <w:bCs/>
                <w:sz w:val="24"/>
                <w:szCs w:val="24"/>
                <w:lang w:eastAsia="zh-CN"/>
              </w:rPr>
              <w:t>autres organismes du système des Nations Unies, le mandat de la fonction d</w:t>
            </w:r>
            <w:r w:rsidR="00E16DF3" w:rsidRPr="006D1268">
              <w:rPr>
                <w:bCs/>
                <w:sz w:val="24"/>
                <w:szCs w:val="24"/>
                <w:lang w:eastAsia="zh-CN"/>
              </w:rPr>
              <w:t>'</w:t>
            </w:r>
            <w:r w:rsidRPr="006D1268">
              <w:rPr>
                <w:bCs/>
                <w:sz w:val="24"/>
                <w:szCs w:val="24"/>
                <w:lang w:eastAsia="zh-CN"/>
              </w:rPr>
              <w:t>investigation devrait être intégré dans la charte de l</w:t>
            </w:r>
            <w:r w:rsidR="00E16DF3" w:rsidRPr="006D1268">
              <w:rPr>
                <w:bCs/>
                <w:sz w:val="24"/>
                <w:szCs w:val="24"/>
                <w:lang w:eastAsia="zh-CN"/>
              </w:rPr>
              <w:t>'</w:t>
            </w:r>
            <w:r w:rsidRPr="006D1268">
              <w:rPr>
                <w:bCs/>
                <w:sz w:val="24"/>
                <w:szCs w:val="24"/>
                <w:lang w:eastAsia="zh-CN"/>
              </w:rPr>
              <w:t>organisation en matière de supervision</w:t>
            </w:r>
            <w:r w:rsidRPr="006D1268">
              <w:rPr>
                <w:rStyle w:val="FootnoteReference"/>
                <w:sz w:val="18"/>
                <w:szCs w:val="18"/>
                <w:lang w:eastAsia="zh-CN"/>
              </w:rPr>
              <w:footnoteReference w:id="1"/>
            </w:r>
            <w:r w:rsidRPr="006D1268">
              <w:rPr>
                <w:bCs/>
                <w:sz w:val="24"/>
                <w:szCs w:val="24"/>
                <w:lang w:eastAsia="zh-CN"/>
              </w:rPr>
              <w:t>. La Charte d</w:t>
            </w:r>
            <w:r w:rsidR="00E16DF3" w:rsidRPr="006D1268">
              <w:rPr>
                <w:bCs/>
                <w:sz w:val="24"/>
                <w:szCs w:val="24"/>
                <w:lang w:eastAsia="zh-CN"/>
              </w:rPr>
              <w:t>'</w:t>
            </w:r>
            <w:r w:rsidRPr="006D1268">
              <w:rPr>
                <w:bCs/>
                <w:sz w:val="24"/>
                <w:szCs w:val="24"/>
                <w:lang w:eastAsia="zh-CN"/>
              </w:rPr>
              <w:t>audit interne actuelle de l</w:t>
            </w:r>
            <w:r w:rsidR="00E16DF3" w:rsidRPr="006D1268">
              <w:rPr>
                <w:bCs/>
                <w:sz w:val="24"/>
                <w:szCs w:val="24"/>
                <w:lang w:eastAsia="zh-CN"/>
              </w:rPr>
              <w:t>'</w:t>
            </w:r>
            <w:r w:rsidRPr="006D1268">
              <w:rPr>
                <w:bCs/>
                <w:sz w:val="24"/>
                <w:szCs w:val="24"/>
                <w:lang w:eastAsia="zh-CN"/>
              </w:rPr>
              <w:t>UIT devrait être modifiée afin d'intégrer les attributions et le mandat</w:t>
            </w:r>
            <w:r w:rsidR="00E16DF3" w:rsidRPr="006D1268">
              <w:rPr>
                <w:bCs/>
                <w:sz w:val="24"/>
                <w:szCs w:val="24"/>
                <w:lang w:eastAsia="zh-CN"/>
              </w:rPr>
              <w:t xml:space="preserve"> </w:t>
            </w:r>
            <w:r w:rsidRPr="006D1268">
              <w:rPr>
                <w:bCs/>
                <w:sz w:val="24"/>
                <w:szCs w:val="24"/>
                <w:lang w:eastAsia="zh-CN"/>
              </w:rPr>
              <w:t>de</w:t>
            </w:r>
            <w:r w:rsidR="00E16DF3" w:rsidRPr="006D1268">
              <w:rPr>
                <w:bCs/>
                <w:sz w:val="24"/>
                <w:szCs w:val="24"/>
                <w:lang w:eastAsia="zh-CN"/>
              </w:rPr>
              <w:t xml:space="preserve"> </w:t>
            </w:r>
            <w:r w:rsidRPr="006D1268">
              <w:rPr>
                <w:bCs/>
                <w:sz w:val="24"/>
                <w:szCs w:val="24"/>
                <w:lang w:eastAsia="zh-CN"/>
              </w:rPr>
              <w:t>la fonction d</w:t>
            </w:r>
            <w:r w:rsidR="00E16DF3" w:rsidRPr="006D1268">
              <w:rPr>
                <w:bCs/>
                <w:sz w:val="24"/>
                <w:szCs w:val="24"/>
                <w:lang w:eastAsia="zh-CN"/>
              </w:rPr>
              <w:t>'</w:t>
            </w:r>
            <w:r w:rsidRPr="006D1268">
              <w:rPr>
                <w:bCs/>
                <w:sz w:val="24"/>
                <w:szCs w:val="24"/>
                <w:lang w:eastAsia="zh-CN"/>
              </w:rPr>
              <w:t>investigation. Le mandat</w:t>
            </w:r>
            <w:r w:rsidR="00E16DF3" w:rsidRPr="006D1268">
              <w:rPr>
                <w:bCs/>
                <w:sz w:val="24"/>
                <w:szCs w:val="24"/>
                <w:lang w:eastAsia="zh-CN"/>
              </w:rPr>
              <w:t xml:space="preserve"> </w:t>
            </w:r>
            <w:r w:rsidRPr="006D1268">
              <w:rPr>
                <w:bCs/>
                <w:sz w:val="24"/>
                <w:szCs w:val="24"/>
                <w:lang w:eastAsia="zh-CN"/>
              </w:rPr>
              <w:t>tiendrait</w:t>
            </w:r>
            <w:r w:rsidR="00E16DF3" w:rsidRPr="006D1268">
              <w:rPr>
                <w:bCs/>
                <w:sz w:val="24"/>
                <w:szCs w:val="24"/>
                <w:lang w:eastAsia="zh-CN"/>
              </w:rPr>
              <w:t xml:space="preserve"> </w:t>
            </w:r>
            <w:r w:rsidRPr="006D1268">
              <w:rPr>
                <w:bCs/>
                <w:sz w:val="24"/>
                <w:szCs w:val="24"/>
                <w:lang w:eastAsia="zh-CN"/>
              </w:rPr>
              <w:t>également compte des prérogatives et du rôle de la nouvelle fonction, en ce qui concerne le processus d</w:t>
            </w:r>
            <w:r w:rsidR="00E16DF3" w:rsidRPr="006D1268">
              <w:rPr>
                <w:bCs/>
                <w:sz w:val="24"/>
                <w:szCs w:val="24"/>
                <w:lang w:eastAsia="zh-CN"/>
              </w:rPr>
              <w:t>'</w:t>
            </w:r>
            <w:r w:rsidRPr="006D1268">
              <w:rPr>
                <w:bCs/>
                <w:sz w:val="24"/>
                <w:szCs w:val="24"/>
                <w:lang w:eastAsia="zh-CN"/>
              </w:rPr>
              <w:t>enquête.</w:t>
            </w:r>
          </w:p>
          <w:p w14:paraId="01D8C709" w14:textId="77777777" w:rsidR="00ED4F28" w:rsidRPr="006D1268" w:rsidRDefault="00ED4F28" w:rsidP="00E16DF3">
            <w:pPr>
              <w:overflowPunct/>
              <w:spacing w:after="120" w:line="240" w:lineRule="auto"/>
              <w:jc w:val="left"/>
              <w:textAlignment w:val="auto"/>
              <w:rPr>
                <w:sz w:val="24"/>
                <w:szCs w:val="24"/>
                <w:lang w:eastAsia="zh-CN"/>
              </w:rPr>
            </w:pPr>
            <w:r w:rsidRPr="006D1268">
              <w:rPr>
                <w:b/>
                <w:sz w:val="24"/>
                <w:szCs w:val="24"/>
              </w:rPr>
              <w:lastRenderedPageBreak/>
              <w:t>Marche à suivre proposée</w:t>
            </w:r>
          </w:p>
          <w:p w14:paraId="70BB3408" w14:textId="32F73FAB" w:rsidR="00262AF3" w:rsidRPr="006D1268" w:rsidRDefault="00262AF3" w:rsidP="00E16DF3">
            <w:pPr>
              <w:overflowPunct/>
              <w:spacing w:after="120" w:line="240" w:lineRule="auto"/>
              <w:jc w:val="left"/>
              <w:textAlignment w:val="auto"/>
              <w:rPr>
                <w:bCs/>
                <w:sz w:val="24"/>
                <w:szCs w:val="24"/>
                <w:lang w:eastAsia="zh-CN"/>
              </w:rPr>
            </w:pPr>
            <w:r w:rsidRPr="006D1268">
              <w:rPr>
                <w:bCs/>
                <w:sz w:val="24"/>
                <w:szCs w:val="24"/>
                <w:lang w:eastAsia="zh-CN"/>
              </w:rPr>
              <w:t>Les États-Unis proposent que, sur la base des recommandations du CCI et des bonnes pratiques au sein du système des Nations Unies</w:t>
            </w:r>
            <w:r w:rsidRPr="002A4FDE">
              <w:rPr>
                <w:rStyle w:val="FootnoteReference"/>
                <w:sz w:val="18"/>
                <w:szCs w:val="18"/>
                <w:lang w:eastAsia="zh-CN"/>
              </w:rPr>
              <w:footnoteReference w:id="2"/>
            </w:r>
            <w:r w:rsidRPr="006D1268">
              <w:rPr>
                <w:bCs/>
                <w:sz w:val="24"/>
                <w:szCs w:val="24"/>
                <w:lang w:eastAsia="zh-CN"/>
              </w:rPr>
              <w:t>, la Charte d</w:t>
            </w:r>
            <w:r w:rsidR="00E16DF3" w:rsidRPr="006D1268">
              <w:rPr>
                <w:bCs/>
                <w:sz w:val="24"/>
                <w:szCs w:val="24"/>
                <w:lang w:eastAsia="zh-CN"/>
              </w:rPr>
              <w:t>'</w:t>
            </w:r>
            <w:r w:rsidRPr="006D1268">
              <w:rPr>
                <w:bCs/>
                <w:sz w:val="24"/>
                <w:szCs w:val="24"/>
                <w:lang w:eastAsia="zh-CN"/>
              </w:rPr>
              <w:t>audit interne intègre le mandat ci-après pour la nouvelle fonction d</w:t>
            </w:r>
            <w:r w:rsidR="00E16DF3" w:rsidRPr="006D1268">
              <w:rPr>
                <w:bCs/>
                <w:sz w:val="24"/>
                <w:szCs w:val="24"/>
                <w:lang w:eastAsia="zh-CN"/>
              </w:rPr>
              <w:t>'</w:t>
            </w:r>
            <w:r w:rsidRPr="006D1268">
              <w:rPr>
                <w:bCs/>
                <w:sz w:val="24"/>
                <w:szCs w:val="24"/>
                <w:lang w:eastAsia="zh-CN"/>
              </w:rPr>
              <w:t>investigation</w:t>
            </w:r>
            <w:r w:rsidR="00E16DF3" w:rsidRPr="006D1268">
              <w:rPr>
                <w:bCs/>
                <w:sz w:val="24"/>
                <w:szCs w:val="24"/>
                <w:lang w:eastAsia="zh-CN"/>
              </w:rPr>
              <w:t>:</w:t>
            </w:r>
          </w:p>
          <w:p w14:paraId="58C805B9" w14:textId="37E768AB" w:rsidR="00262AF3" w:rsidRPr="006D1268" w:rsidRDefault="00CD6140" w:rsidP="00CD6140">
            <w:pPr>
              <w:pStyle w:val="enumlev1"/>
              <w:rPr>
                <w:szCs w:val="24"/>
                <w:lang w:eastAsia="zh-CN"/>
              </w:rPr>
            </w:pPr>
            <w:r w:rsidRPr="006D1268">
              <w:rPr>
                <w:szCs w:val="24"/>
                <w:lang w:eastAsia="zh-CN"/>
              </w:rPr>
              <w:t>1)</w:t>
            </w:r>
            <w:r w:rsidRPr="006D1268">
              <w:rPr>
                <w:szCs w:val="24"/>
                <w:lang w:eastAsia="zh-CN"/>
              </w:rPr>
              <w:tab/>
            </w:r>
            <w:r w:rsidR="00262AF3" w:rsidRPr="006D1268">
              <w:rPr>
                <w:szCs w:val="24"/>
                <w:lang w:eastAsia="zh-CN"/>
              </w:rPr>
              <w:t>Le nouvel enquêteur est</w:t>
            </w:r>
            <w:r w:rsidR="00E16DF3" w:rsidRPr="006D1268">
              <w:rPr>
                <w:szCs w:val="24"/>
                <w:lang w:eastAsia="zh-CN"/>
              </w:rPr>
              <w:t xml:space="preserve"> </w:t>
            </w:r>
            <w:r w:rsidR="00262AF3" w:rsidRPr="006D1268">
              <w:rPr>
                <w:szCs w:val="24"/>
                <w:lang w:eastAsia="zh-CN"/>
              </w:rPr>
              <w:t>seul responsable de la réalisation de toutes les enquêtes à l</w:t>
            </w:r>
            <w:r w:rsidR="00E16DF3" w:rsidRPr="006D1268">
              <w:rPr>
                <w:szCs w:val="24"/>
                <w:lang w:eastAsia="zh-CN"/>
              </w:rPr>
              <w:t>'</w:t>
            </w:r>
            <w:r w:rsidR="00262AF3" w:rsidRPr="006D1268">
              <w:rPr>
                <w:szCs w:val="24"/>
                <w:lang w:eastAsia="zh-CN"/>
              </w:rPr>
              <w:t>UIT et est habilité à ouvrir des enquêtes</w:t>
            </w:r>
            <w:r w:rsidRPr="006D1268">
              <w:rPr>
                <w:szCs w:val="24"/>
                <w:lang w:eastAsia="zh-CN"/>
              </w:rPr>
              <w:t>.</w:t>
            </w:r>
          </w:p>
          <w:p w14:paraId="0C907CED" w14:textId="2532F47E" w:rsidR="00262AF3" w:rsidRPr="006D1268" w:rsidRDefault="00CD6140" w:rsidP="00CD6140">
            <w:pPr>
              <w:pStyle w:val="enumlev1"/>
              <w:rPr>
                <w:szCs w:val="24"/>
                <w:lang w:eastAsia="zh-CN"/>
              </w:rPr>
            </w:pPr>
            <w:r w:rsidRPr="006D1268">
              <w:rPr>
                <w:szCs w:val="24"/>
                <w:lang w:eastAsia="zh-CN"/>
              </w:rPr>
              <w:t>2)</w:t>
            </w:r>
            <w:r w:rsidRPr="006D1268">
              <w:rPr>
                <w:szCs w:val="24"/>
                <w:lang w:eastAsia="zh-CN"/>
              </w:rPr>
              <w:tab/>
            </w:r>
            <w:r w:rsidR="00262AF3" w:rsidRPr="006D1268">
              <w:rPr>
                <w:szCs w:val="24"/>
                <w:lang w:eastAsia="zh-CN"/>
              </w:rPr>
              <w:t>L</w:t>
            </w:r>
            <w:r w:rsidR="00E16DF3" w:rsidRPr="006D1268">
              <w:rPr>
                <w:szCs w:val="24"/>
                <w:lang w:eastAsia="zh-CN"/>
              </w:rPr>
              <w:t>'</w:t>
            </w:r>
            <w:r w:rsidR="00262AF3" w:rsidRPr="006D1268">
              <w:rPr>
                <w:szCs w:val="24"/>
                <w:lang w:eastAsia="zh-CN"/>
              </w:rPr>
              <w:t>enquêteur</w:t>
            </w:r>
            <w:r w:rsidR="00E16DF3" w:rsidRPr="006D1268">
              <w:rPr>
                <w:szCs w:val="24"/>
                <w:lang w:eastAsia="zh-CN"/>
              </w:rPr>
              <w:t xml:space="preserve"> </w:t>
            </w:r>
            <w:r w:rsidR="00262AF3" w:rsidRPr="006D1268">
              <w:rPr>
                <w:szCs w:val="24"/>
                <w:lang w:eastAsia="zh-CN"/>
              </w:rPr>
              <w:t>exerce</w:t>
            </w:r>
            <w:r w:rsidR="00E16DF3" w:rsidRPr="006D1268">
              <w:rPr>
                <w:szCs w:val="24"/>
                <w:lang w:eastAsia="zh-CN"/>
              </w:rPr>
              <w:t xml:space="preserve"> </w:t>
            </w:r>
            <w:r w:rsidR="00262AF3" w:rsidRPr="006D1268">
              <w:rPr>
                <w:szCs w:val="24"/>
                <w:lang w:eastAsia="zh-CN"/>
              </w:rPr>
              <w:t>ses fonctions en toute indépendance</w:t>
            </w:r>
            <w:r w:rsidR="002A4FDE">
              <w:rPr>
                <w:szCs w:val="24"/>
                <w:lang w:eastAsia="zh-CN"/>
              </w:rPr>
              <w:t>.</w:t>
            </w:r>
            <w:r w:rsidR="00262AF3" w:rsidRPr="006D1268">
              <w:rPr>
                <w:szCs w:val="24"/>
                <w:lang w:eastAsia="zh-CN"/>
              </w:rPr>
              <w:t xml:space="preserve"> Il/elle mène ses travaux</w:t>
            </w:r>
            <w:r w:rsidR="00E16DF3" w:rsidRPr="006D1268">
              <w:rPr>
                <w:szCs w:val="24"/>
                <w:lang w:eastAsia="zh-CN"/>
              </w:rPr>
              <w:t xml:space="preserve"> </w:t>
            </w:r>
            <w:r w:rsidR="00262AF3" w:rsidRPr="006D1268">
              <w:rPr>
                <w:szCs w:val="24"/>
                <w:lang w:eastAsia="zh-CN"/>
              </w:rPr>
              <w:t>sans aucune ingérence, notamment en ce qui concerne le choix,</w:t>
            </w:r>
            <w:r w:rsidR="00E16DF3" w:rsidRPr="006D1268">
              <w:rPr>
                <w:szCs w:val="24"/>
                <w:lang w:eastAsia="zh-CN"/>
              </w:rPr>
              <w:t xml:space="preserve"> </w:t>
            </w:r>
            <w:r w:rsidR="00262AF3" w:rsidRPr="006D1268">
              <w:rPr>
                <w:szCs w:val="24"/>
                <w:lang w:eastAsia="zh-CN"/>
              </w:rPr>
              <w:t>la portée, la fréquence et la planification des activités liées à la fonction d</w:t>
            </w:r>
            <w:r w:rsidR="00E16DF3" w:rsidRPr="006D1268">
              <w:rPr>
                <w:szCs w:val="24"/>
                <w:lang w:eastAsia="zh-CN"/>
              </w:rPr>
              <w:t>'</w:t>
            </w:r>
            <w:r w:rsidR="00262AF3" w:rsidRPr="006D1268">
              <w:rPr>
                <w:szCs w:val="24"/>
                <w:lang w:eastAsia="zh-CN"/>
              </w:rPr>
              <w:t>investigation, ainsi que les procédures connexes, l</w:t>
            </w:r>
            <w:r w:rsidR="00E16DF3" w:rsidRPr="006D1268">
              <w:rPr>
                <w:szCs w:val="24"/>
                <w:lang w:eastAsia="zh-CN"/>
              </w:rPr>
              <w:t>'</w:t>
            </w:r>
            <w:r w:rsidR="00262AF3" w:rsidRPr="006D1268">
              <w:rPr>
                <w:szCs w:val="24"/>
                <w:lang w:eastAsia="zh-CN"/>
              </w:rPr>
              <w:t>accès aux dossiers et la communication des résultats</w:t>
            </w:r>
            <w:r w:rsidRPr="006D1268">
              <w:rPr>
                <w:szCs w:val="24"/>
                <w:lang w:eastAsia="zh-CN"/>
              </w:rPr>
              <w:t>.</w:t>
            </w:r>
          </w:p>
          <w:p w14:paraId="1E154719" w14:textId="0A7A1B7E" w:rsidR="00262AF3" w:rsidRPr="006D1268" w:rsidRDefault="00CD6140" w:rsidP="00CD6140">
            <w:pPr>
              <w:pStyle w:val="enumlev1"/>
              <w:rPr>
                <w:szCs w:val="24"/>
                <w:lang w:eastAsia="zh-CN"/>
              </w:rPr>
            </w:pPr>
            <w:r w:rsidRPr="006D1268">
              <w:rPr>
                <w:szCs w:val="24"/>
                <w:lang w:eastAsia="zh-CN"/>
              </w:rPr>
              <w:t>3)</w:t>
            </w:r>
            <w:r w:rsidRPr="006D1268">
              <w:rPr>
                <w:szCs w:val="24"/>
                <w:lang w:eastAsia="zh-CN"/>
              </w:rPr>
              <w:tab/>
            </w:r>
            <w:r w:rsidR="00262AF3" w:rsidRPr="006D1268">
              <w:rPr>
                <w:szCs w:val="24"/>
                <w:lang w:eastAsia="zh-CN"/>
              </w:rPr>
              <w:t>La fonction d</w:t>
            </w:r>
            <w:r w:rsidR="00E16DF3" w:rsidRPr="006D1268">
              <w:rPr>
                <w:szCs w:val="24"/>
                <w:lang w:eastAsia="zh-CN"/>
              </w:rPr>
              <w:t>'</w:t>
            </w:r>
            <w:r w:rsidR="00262AF3" w:rsidRPr="006D1268">
              <w:rPr>
                <w:szCs w:val="24"/>
                <w:lang w:eastAsia="zh-CN"/>
              </w:rPr>
              <w:t>investigation a librement et sans restriction accès au Comité consultatif indépendant pour les questions de gestion (CCIG),</w:t>
            </w:r>
            <w:r w:rsidR="00E16DF3" w:rsidRPr="006D1268">
              <w:rPr>
                <w:szCs w:val="24"/>
                <w:lang w:eastAsia="zh-CN"/>
              </w:rPr>
              <w:t xml:space="preserve"> </w:t>
            </w:r>
            <w:r w:rsidR="00262AF3" w:rsidRPr="006D1268">
              <w:rPr>
                <w:szCs w:val="24"/>
                <w:lang w:eastAsia="zh-CN"/>
              </w:rPr>
              <w:t>au Conseil de l</w:t>
            </w:r>
            <w:r w:rsidR="00E16DF3" w:rsidRPr="006D1268">
              <w:rPr>
                <w:szCs w:val="24"/>
                <w:lang w:eastAsia="zh-CN"/>
              </w:rPr>
              <w:t>'</w:t>
            </w:r>
            <w:r w:rsidR="00262AF3" w:rsidRPr="006D1268">
              <w:rPr>
                <w:szCs w:val="24"/>
                <w:lang w:eastAsia="zh-CN"/>
              </w:rPr>
              <w:t>UIT, à l</w:t>
            </w:r>
            <w:r w:rsidR="00E16DF3" w:rsidRPr="006D1268">
              <w:rPr>
                <w:szCs w:val="24"/>
                <w:lang w:eastAsia="zh-CN"/>
              </w:rPr>
              <w:t>'</w:t>
            </w:r>
            <w:r w:rsidR="00262AF3" w:rsidRPr="006D1268">
              <w:rPr>
                <w:szCs w:val="24"/>
                <w:lang w:eastAsia="zh-CN"/>
              </w:rPr>
              <w:t>Auditeur interne et</w:t>
            </w:r>
            <w:r w:rsidR="00E16DF3" w:rsidRPr="006D1268">
              <w:rPr>
                <w:szCs w:val="24"/>
                <w:lang w:eastAsia="zh-CN"/>
              </w:rPr>
              <w:t xml:space="preserve"> </w:t>
            </w:r>
            <w:r w:rsidR="00262AF3" w:rsidRPr="006D1268">
              <w:rPr>
                <w:szCs w:val="24"/>
                <w:lang w:eastAsia="zh-CN"/>
              </w:rPr>
              <w:t>au Vérificateur extérieur des comptes</w:t>
            </w:r>
            <w:r w:rsidRPr="006D1268">
              <w:rPr>
                <w:szCs w:val="24"/>
                <w:lang w:eastAsia="zh-CN"/>
              </w:rPr>
              <w:t>.</w:t>
            </w:r>
          </w:p>
          <w:p w14:paraId="315549FF" w14:textId="2AE05866" w:rsidR="00262AF3" w:rsidRPr="006D1268" w:rsidRDefault="00CD6140" w:rsidP="00CD6140">
            <w:pPr>
              <w:pStyle w:val="enumlev1"/>
              <w:rPr>
                <w:szCs w:val="24"/>
                <w:lang w:eastAsia="zh-CN"/>
              </w:rPr>
            </w:pPr>
            <w:r w:rsidRPr="006D1268">
              <w:rPr>
                <w:szCs w:val="24"/>
                <w:lang w:eastAsia="zh-CN"/>
              </w:rPr>
              <w:t>4)</w:t>
            </w:r>
            <w:r w:rsidRPr="006D1268">
              <w:rPr>
                <w:szCs w:val="24"/>
                <w:lang w:eastAsia="zh-CN"/>
              </w:rPr>
              <w:tab/>
            </w:r>
            <w:r w:rsidR="00262AF3" w:rsidRPr="006D1268">
              <w:rPr>
                <w:szCs w:val="24"/>
                <w:lang w:eastAsia="zh-CN"/>
              </w:rPr>
              <w:t>Le/la titulaire du poste sera désigné(e) sur avis du CCIG et après consultation du Conseil de l</w:t>
            </w:r>
            <w:r w:rsidR="00E16DF3" w:rsidRPr="006D1268">
              <w:rPr>
                <w:szCs w:val="24"/>
                <w:lang w:eastAsia="zh-CN"/>
              </w:rPr>
              <w:t>'</w:t>
            </w:r>
            <w:r w:rsidR="00262AF3" w:rsidRPr="006D1268">
              <w:rPr>
                <w:szCs w:val="24"/>
                <w:lang w:eastAsia="zh-CN"/>
              </w:rPr>
              <w:t>UIT. Il ne peut être mis fin au mandat de l</w:t>
            </w:r>
            <w:r w:rsidR="00E16DF3" w:rsidRPr="006D1268">
              <w:rPr>
                <w:szCs w:val="24"/>
                <w:lang w:eastAsia="zh-CN"/>
              </w:rPr>
              <w:t>'</w:t>
            </w:r>
            <w:r w:rsidR="00262AF3" w:rsidRPr="006D1268">
              <w:rPr>
                <w:szCs w:val="24"/>
                <w:lang w:eastAsia="zh-CN"/>
              </w:rPr>
              <w:t>enquêteur qu</w:t>
            </w:r>
            <w:r w:rsidR="00E16DF3" w:rsidRPr="006D1268">
              <w:rPr>
                <w:szCs w:val="24"/>
                <w:lang w:eastAsia="zh-CN"/>
              </w:rPr>
              <w:t>'</w:t>
            </w:r>
            <w:r w:rsidR="00262AF3" w:rsidRPr="006D1268">
              <w:rPr>
                <w:szCs w:val="24"/>
                <w:lang w:eastAsia="zh-CN"/>
              </w:rPr>
              <w:t>avec justification et après consultation du CCIG et du Conseil de l</w:t>
            </w:r>
            <w:r w:rsidR="00E16DF3" w:rsidRPr="006D1268">
              <w:rPr>
                <w:szCs w:val="24"/>
                <w:lang w:eastAsia="zh-CN"/>
              </w:rPr>
              <w:t>'</w:t>
            </w:r>
            <w:r w:rsidR="00262AF3" w:rsidRPr="006D1268">
              <w:rPr>
                <w:szCs w:val="24"/>
                <w:lang w:eastAsia="zh-CN"/>
              </w:rPr>
              <w:t>UIT</w:t>
            </w:r>
            <w:r w:rsidRPr="006D1268">
              <w:rPr>
                <w:szCs w:val="24"/>
                <w:lang w:eastAsia="zh-CN"/>
              </w:rPr>
              <w:t>.</w:t>
            </w:r>
          </w:p>
          <w:p w14:paraId="30049327" w14:textId="102127F3" w:rsidR="00262AF3" w:rsidRPr="006D1268" w:rsidRDefault="00CD6140" w:rsidP="00CD6140">
            <w:pPr>
              <w:pStyle w:val="enumlev1"/>
              <w:rPr>
                <w:szCs w:val="24"/>
                <w:lang w:eastAsia="zh-CN"/>
              </w:rPr>
            </w:pPr>
            <w:r w:rsidRPr="006D1268">
              <w:rPr>
                <w:szCs w:val="24"/>
                <w:lang w:eastAsia="zh-CN"/>
              </w:rPr>
              <w:t>5)</w:t>
            </w:r>
            <w:r w:rsidRPr="006D1268">
              <w:rPr>
                <w:szCs w:val="24"/>
                <w:lang w:eastAsia="zh-CN"/>
              </w:rPr>
              <w:tab/>
            </w:r>
            <w:r w:rsidR="00262AF3" w:rsidRPr="006D1268">
              <w:rPr>
                <w:szCs w:val="24"/>
                <w:lang w:eastAsia="zh-CN"/>
              </w:rPr>
              <w:t>Il convient de mettre en place un processus clair pour traiter les éventuels conflits d</w:t>
            </w:r>
            <w:r w:rsidR="00E16DF3" w:rsidRPr="006D1268">
              <w:rPr>
                <w:szCs w:val="24"/>
                <w:lang w:eastAsia="zh-CN"/>
              </w:rPr>
              <w:t>'</w:t>
            </w:r>
            <w:r w:rsidR="00262AF3" w:rsidRPr="006D1268">
              <w:rPr>
                <w:szCs w:val="24"/>
                <w:lang w:eastAsia="zh-CN"/>
              </w:rPr>
              <w:t>intérêts</w:t>
            </w:r>
            <w:r w:rsidR="00E16DF3" w:rsidRPr="006D1268">
              <w:rPr>
                <w:szCs w:val="24"/>
                <w:lang w:eastAsia="zh-CN"/>
              </w:rPr>
              <w:t xml:space="preserve"> </w:t>
            </w:r>
            <w:r w:rsidR="00262AF3" w:rsidRPr="006D1268">
              <w:rPr>
                <w:szCs w:val="24"/>
                <w:lang w:eastAsia="zh-CN"/>
              </w:rPr>
              <w:t>susceptibles de faire l'objet d</w:t>
            </w:r>
            <w:r w:rsidR="00E16DF3" w:rsidRPr="006D1268">
              <w:rPr>
                <w:szCs w:val="24"/>
                <w:lang w:eastAsia="zh-CN"/>
              </w:rPr>
              <w:t>'</w:t>
            </w:r>
            <w:r w:rsidR="00262AF3" w:rsidRPr="006D1268">
              <w:rPr>
                <w:szCs w:val="24"/>
                <w:lang w:eastAsia="zh-CN"/>
              </w:rPr>
              <w:t>une enquête, notamment les allégations</w:t>
            </w:r>
            <w:r w:rsidR="00E16DF3" w:rsidRPr="006D1268">
              <w:rPr>
                <w:szCs w:val="24"/>
                <w:lang w:eastAsia="zh-CN"/>
              </w:rPr>
              <w:t xml:space="preserve"> </w:t>
            </w:r>
            <w:r w:rsidR="00262AF3" w:rsidRPr="006D1268">
              <w:rPr>
                <w:szCs w:val="24"/>
                <w:lang w:eastAsia="zh-CN"/>
              </w:rPr>
              <w:t>d</w:t>
            </w:r>
            <w:r w:rsidR="00E16DF3" w:rsidRPr="006D1268">
              <w:rPr>
                <w:szCs w:val="24"/>
                <w:lang w:eastAsia="zh-CN"/>
              </w:rPr>
              <w:t>'</w:t>
            </w:r>
            <w:r w:rsidR="00262AF3" w:rsidRPr="006D1268">
              <w:rPr>
                <w:szCs w:val="24"/>
                <w:lang w:eastAsia="zh-CN"/>
              </w:rPr>
              <w:t>irrégularités pouvant impliquer un fonctionnaire élu</w:t>
            </w:r>
            <w:r w:rsidR="00E16DF3" w:rsidRPr="006D1268">
              <w:rPr>
                <w:szCs w:val="24"/>
                <w:lang w:eastAsia="zh-CN"/>
              </w:rPr>
              <w:t xml:space="preserve"> </w:t>
            </w:r>
            <w:r w:rsidR="00262AF3" w:rsidRPr="006D1268">
              <w:rPr>
                <w:szCs w:val="24"/>
                <w:lang w:eastAsia="zh-CN"/>
              </w:rPr>
              <w:t>de l</w:t>
            </w:r>
            <w:r w:rsidR="00E16DF3" w:rsidRPr="006D1268">
              <w:rPr>
                <w:szCs w:val="24"/>
                <w:lang w:eastAsia="zh-CN"/>
              </w:rPr>
              <w:t>'</w:t>
            </w:r>
            <w:r w:rsidR="00262AF3" w:rsidRPr="006D1268">
              <w:rPr>
                <w:szCs w:val="24"/>
                <w:lang w:eastAsia="zh-CN"/>
              </w:rPr>
              <w:t>UIT</w:t>
            </w:r>
            <w:r w:rsidRPr="006D1268">
              <w:rPr>
                <w:szCs w:val="24"/>
                <w:lang w:eastAsia="zh-CN"/>
              </w:rPr>
              <w:t>.</w:t>
            </w:r>
          </w:p>
          <w:p w14:paraId="3A8E1F00" w14:textId="291ACDDD" w:rsidR="00262AF3" w:rsidRPr="006D1268" w:rsidRDefault="00CD6140" w:rsidP="00CD6140">
            <w:pPr>
              <w:pStyle w:val="enumlev1"/>
              <w:rPr>
                <w:szCs w:val="24"/>
                <w:lang w:eastAsia="zh-CN"/>
              </w:rPr>
            </w:pPr>
            <w:r w:rsidRPr="006D1268">
              <w:rPr>
                <w:szCs w:val="24"/>
                <w:lang w:eastAsia="zh-CN"/>
              </w:rPr>
              <w:t>6)</w:t>
            </w:r>
            <w:r w:rsidRPr="006D1268">
              <w:rPr>
                <w:szCs w:val="24"/>
                <w:lang w:eastAsia="zh-CN"/>
              </w:rPr>
              <w:tab/>
            </w:r>
            <w:r w:rsidR="00262AF3" w:rsidRPr="006D1268">
              <w:rPr>
                <w:szCs w:val="24"/>
                <w:lang w:eastAsia="zh-CN"/>
              </w:rPr>
              <w:t>Dans le respect de la confidentialité, l</w:t>
            </w:r>
            <w:r w:rsidR="00E16DF3" w:rsidRPr="006D1268">
              <w:rPr>
                <w:szCs w:val="24"/>
                <w:lang w:eastAsia="zh-CN"/>
              </w:rPr>
              <w:t>'</w:t>
            </w:r>
            <w:r w:rsidR="00262AF3" w:rsidRPr="006D1268">
              <w:rPr>
                <w:szCs w:val="24"/>
                <w:lang w:eastAsia="zh-CN"/>
              </w:rPr>
              <w:t>enquêteur de l</w:t>
            </w:r>
            <w:r w:rsidR="00E16DF3" w:rsidRPr="006D1268">
              <w:rPr>
                <w:szCs w:val="24"/>
                <w:lang w:eastAsia="zh-CN"/>
              </w:rPr>
              <w:t>'</w:t>
            </w:r>
            <w:r w:rsidR="00262AF3" w:rsidRPr="006D1268">
              <w:rPr>
                <w:szCs w:val="24"/>
                <w:lang w:eastAsia="zh-CN"/>
              </w:rPr>
              <w:t>UIT soumettra chaque année au Conseil de l</w:t>
            </w:r>
            <w:r w:rsidR="00E16DF3" w:rsidRPr="006D1268">
              <w:rPr>
                <w:szCs w:val="24"/>
                <w:lang w:eastAsia="zh-CN"/>
              </w:rPr>
              <w:t>'</w:t>
            </w:r>
            <w:r w:rsidR="00262AF3" w:rsidRPr="006D1268">
              <w:rPr>
                <w:szCs w:val="24"/>
                <w:lang w:eastAsia="zh-CN"/>
              </w:rPr>
              <w:t>UIT un rapport concernant les enquêtes éventuelles menées</w:t>
            </w:r>
            <w:r w:rsidR="00E16DF3" w:rsidRPr="006D1268">
              <w:rPr>
                <w:szCs w:val="24"/>
                <w:lang w:eastAsia="zh-CN"/>
              </w:rPr>
              <w:t xml:space="preserve"> </w:t>
            </w:r>
            <w:r w:rsidR="00262AF3" w:rsidRPr="006D1268">
              <w:rPr>
                <w:szCs w:val="24"/>
                <w:lang w:eastAsia="zh-CN"/>
              </w:rPr>
              <w:t>durant l</w:t>
            </w:r>
            <w:r w:rsidR="00E16DF3" w:rsidRPr="006D1268">
              <w:rPr>
                <w:szCs w:val="24"/>
                <w:lang w:eastAsia="zh-CN"/>
              </w:rPr>
              <w:t>'</w:t>
            </w:r>
            <w:r w:rsidR="00262AF3" w:rsidRPr="006D1268">
              <w:rPr>
                <w:szCs w:val="24"/>
                <w:lang w:eastAsia="zh-CN"/>
              </w:rPr>
              <w:t>année au sujet d</w:t>
            </w:r>
            <w:r w:rsidR="00E16DF3" w:rsidRPr="006D1268">
              <w:rPr>
                <w:szCs w:val="24"/>
                <w:lang w:eastAsia="zh-CN"/>
              </w:rPr>
              <w:t>'</w:t>
            </w:r>
            <w:r w:rsidR="00262AF3" w:rsidRPr="006D1268">
              <w:rPr>
                <w:szCs w:val="24"/>
                <w:lang w:eastAsia="zh-CN"/>
              </w:rPr>
              <w:t>irrégularités – portant en particulier</w:t>
            </w:r>
            <w:r w:rsidR="00E16DF3" w:rsidRPr="006D1268">
              <w:rPr>
                <w:szCs w:val="24"/>
                <w:lang w:eastAsia="zh-CN"/>
              </w:rPr>
              <w:t xml:space="preserve"> </w:t>
            </w:r>
            <w:r w:rsidR="00262AF3" w:rsidRPr="006D1268">
              <w:rPr>
                <w:szCs w:val="24"/>
                <w:lang w:eastAsia="zh-CN"/>
              </w:rPr>
              <w:t xml:space="preserve">sur les allégations ainsi que les conclusions et résultats </w:t>
            </w:r>
            <w:r w:rsidRPr="006D1268">
              <w:rPr>
                <w:szCs w:val="24"/>
                <w:lang w:eastAsia="zh-CN"/>
              </w:rPr>
              <w:t>–</w:t>
            </w:r>
            <w:r w:rsidR="00262AF3" w:rsidRPr="006D1268">
              <w:rPr>
                <w:szCs w:val="24"/>
                <w:lang w:eastAsia="zh-CN"/>
              </w:rPr>
              <w:t>, et</w:t>
            </w:r>
            <w:r w:rsidR="00E16DF3" w:rsidRPr="006D1268">
              <w:rPr>
                <w:szCs w:val="24"/>
                <w:lang w:eastAsia="zh-CN"/>
              </w:rPr>
              <w:t xml:space="preserve"> </w:t>
            </w:r>
            <w:r w:rsidR="00262AF3" w:rsidRPr="006D1268">
              <w:rPr>
                <w:szCs w:val="24"/>
                <w:lang w:eastAsia="zh-CN"/>
              </w:rPr>
              <w:t>les mesures administratives qui ont été prises</w:t>
            </w:r>
            <w:r w:rsidRPr="006D1268">
              <w:rPr>
                <w:szCs w:val="24"/>
                <w:lang w:eastAsia="zh-CN"/>
              </w:rPr>
              <w:t>.</w:t>
            </w:r>
          </w:p>
          <w:p w14:paraId="7948290D" w14:textId="5B49ABCC" w:rsidR="00262AF3" w:rsidRPr="006D1268" w:rsidRDefault="00CD6140" w:rsidP="00CD6140">
            <w:pPr>
              <w:pStyle w:val="enumlev1"/>
              <w:rPr>
                <w:szCs w:val="24"/>
                <w:lang w:eastAsia="zh-CN"/>
              </w:rPr>
            </w:pPr>
            <w:r w:rsidRPr="006D1268">
              <w:rPr>
                <w:szCs w:val="24"/>
                <w:lang w:eastAsia="zh-CN"/>
              </w:rPr>
              <w:t>7)</w:t>
            </w:r>
            <w:r w:rsidRPr="006D1268">
              <w:rPr>
                <w:szCs w:val="24"/>
                <w:lang w:eastAsia="zh-CN"/>
              </w:rPr>
              <w:tab/>
            </w:r>
            <w:r w:rsidR="00262AF3" w:rsidRPr="006D1268">
              <w:rPr>
                <w:szCs w:val="24"/>
                <w:lang w:eastAsia="zh-CN"/>
              </w:rPr>
              <w:t>Il convient de remanier le processus d</w:t>
            </w:r>
            <w:r w:rsidR="00E16DF3" w:rsidRPr="006D1268">
              <w:rPr>
                <w:szCs w:val="24"/>
                <w:lang w:eastAsia="zh-CN"/>
              </w:rPr>
              <w:t>'</w:t>
            </w:r>
            <w:r w:rsidR="00262AF3" w:rsidRPr="006D1268">
              <w:rPr>
                <w:szCs w:val="24"/>
                <w:lang w:eastAsia="zh-CN"/>
              </w:rPr>
              <w:t>investigation, comme indiqué au point 2) du Document</w:t>
            </w:r>
            <w:r w:rsidR="002A4FDE">
              <w:rPr>
                <w:szCs w:val="24"/>
                <w:lang w:eastAsia="zh-CN"/>
              </w:rPr>
              <w:t> </w:t>
            </w:r>
            <w:hyperlink r:id="rId11" w:history="1">
              <w:r w:rsidR="00262AF3" w:rsidRPr="006D1268">
                <w:rPr>
                  <w:rStyle w:val="Hyperlink"/>
                  <w:bCs/>
                  <w:szCs w:val="24"/>
                  <w:lang w:eastAsia="zh-CN"/>
                </w:rPr>
                <w:t>CWG</w:t>
              </w:r>
              <w:r w:rsidRPr="006D1268">
                <w:rPr>
                  <w:rStyle w:val="Hyperlink"/>
                  <w:bCs/>
                  <w:szCs w:val="24"/>
                  <w:lang w:eastAsia="zh-CN"/>
                </w:rPr>
                <w:noBreakHyphen/>
              </w:r>
              <w:r w:rsidR="00262AF3" w:rsidRPr="006D1268">
                <w:rPr>
                  <w:rStyle w:val="Hyperlink"/>
                  <w:bCs/>
                  <w:szCs w:val="24"/>
                  <w:lang w:eastAsia="zh-CN"/>
                </w:rPr>
                <w:t>FHR-11/15</w:t>
              </w:r>
            </w:hyperlink>
            <w:r w:rsidR="00262AF3" w:rsidRPr="006D1268">
              <w:rPr>
                <w:szCs w:val="24"/>
                <w:lang w:eastAsia="zh-CN"/>
              </w:rPr>
              <w:t xml:space="preserve">, intitulé </w:t>
            </w:r>
            <w:r w:rsidRPr="006D1268">
              <w:rPr>
                <w:szCs w:val="24"/>
                <w:lang w:eastAsia="zh-CN"/>
              </w:rPr>
              <w:t>"</w:t>
            </w:r>
            <w:r w:rsidR="00262AF3" w:rsidRPr="006D1268">
              <w:rPr>
                <w:szCs w:val="24"/>
                <w:lang w:eastAsia="zh-CN"/>
              </w:rPr>
              <w:t xml:space="preserve">Contribution des États-Unis </w:t>
            </w:r>
            <w:r w:rsidRPr="006D1268">
              <w:rPr>
                <w:szCs w:val="24"/>
                <w:lang w:eastAsia="zh-CN"/>
              </w:rPr>
              <w:t>–</w:t>
            </w:r>
            <w:r w:rsidR="00262AF3" w:rsidRPr="006D1268">
              <w:rPr>
                <w:szCs w:val="24"/>
                <w:lang w:eastAsia="zh-CN"/>
              </w:rPr>
              <w:t xml:space="preserve"> Proposition relative à une nouvelle fonction d'investigation et à un nouveau processus d'enquête</w:t>
            </w:r>
            <w:r w:rsidRPr="006D1268">
              <w:rPr>
                <w:szCs w:val="24"/>
                <w:lang w:eastAsia="zh-CN"/>
              </w:rPr>
              <w:t>".</w:t>
            </w:r>
          </w:p>
          <w:p w14:paraId="533D7148" w14:textId="04586D3B" w:rsidR="00ED4F28" w:rsidRPr="006D1268" w:rsidRDefault="00262AF3" w:rsidP="00CD6140">
            <w:pPr>
              <w:overflowPunct/>
              <w:spacing w:after="120" w:line="240" w:lineRule="auto"/>
              <w:jc w:val="left"/>
              <w:textAlignment w:val="auto"/>
              <w:rPr>
                <w:sz w:val="24"/>
                <w:szCs w:val="24"/>
                <w:lang w:eastAsia="zh-CN"/>
              </w:rPr>
            </w:pPr>
            <w:r w:rsidRPr="006D1268">
              <w:rPr>
                <w:bCs/>
                <w:sz w:val="24"/>
                <w:szCs w:val="24"/>
                <w:lang w:eastAsia="zh-CN"/>
              </w:rPr>
              <w:t>Ce mandat peut être intégré dans la Charte d</w:t>
            </w:r>
            <w:r w:rsidR="00E16DF3" w:rsidRPr="006D1268">
              <w:rPr>
                <w:bCs/>
                <w:sz w:val="24"/>
                <w:szCs w:val="24"/>
                <w:lang w:eastAsia="zh-CN"/>
              </w:rPr>
              <w:t>'</w:t>
            </w:r>
            <w:r w:rsidRPr="006D1268">
              <w:rPr>
                <w:bCs/>
                <w:sz w:val="24"/>
                <w:szCs w:val="24"/>
                <w:lang w:eastAsia="zh-CN"/>
              </w:rPr>
              <w:t>audit interne, afin que le Conseil puisse prendre une décision à cet égard à sa prochaine session, compte tenu de toute autre</w:t>
            </w:r>
            <w:r w:rsidR="00E16DF3" w:rsidRPr="006D1268">
              <w:rPr>
                <w:bCs/>
                <w:sz w:val="24"/>
                <w:szCs w:val="24"/>
                <w:lang w:eastAsia="zh-CN"/>
              </w:rPr>
              <w:t xml:space="preserve"> </w:t>
            </w:r>
            <w:r w:rsidRPr="006D1268">
              <w:rPr>
                <w:bCs/>
                <w:sz w:val="24"/>
                <w:szCs w:val="24"/>
                <w:lang w:eastAsia="zh-CN"/>
              </w:rPr>
              <w:t>modification ou adjonction pertinente</w:t>
            </w:r>
            <w:r w:rsidR="00E16DF3" w:rsidRPr="006D1268">
              <w:rPr>
                <w:bCs/>
                <w:sz w:val="24"/>
                <w:szCs w:val="24"/>
                <w:lang w:eastAsia="zh-CN"/>
              </w:rPr>
              <w:t xml:space="preserve"> </w:t>
            </w:r>
            <w:r w:rsidRPr="006D1268">
              <w:rPr>
                <w:bCs/>
                <w:sz w:val="24"/>
                <w:szCs w:val="24"/>
                <w:lang w:eastAsia="zh-CN"/>
              </w:rPr>
              <w:t>apportée à la charte concernant la nouvelle fonction d</w:t>
            </w:r>
            <w:r w:rsidR="00E16DF3" w:rsidRPr="006D1268">
              <w:rPr>
                <w:bCs/>
                <w:sz w:val="24"/>
                <w:szCs w:val="24"/>
                <w:lang w:eastAsia="zh-CN"/>
              </w:rPr>
              <w:t>'</w:t>
            </w:r>
            <w:r w:rsidRPr="006D1268">
              <w:rPr>
                <w:bCs/>
                <w:sz w:val="24"/>
                <w:szCs w:val="24"/>
                <w:lang w:eastAsia="zh-CN"/>
              </w:rPr>
              <w:t>investigation et le processus d</w:t>
            </w:r>
            <w:r w:rsidR="00E16DF3" w:rsidRPr="006D1268">
              <w:rPr>
                <w:bCs/>
                <w:sz w:val="24"/>
                <w:szCs w:val="24"/>
                <w:lang w:eastAsia="zh-CN"/>
              </w:rPr>
              <w:t>'</w:t>
            </w:r>
            <w:r w:rsidRPr="006D1268">
              <w:rPr>
                <w:bCs/>
                <w:sz w:val="24"/>
                <w:szCs w:val="24"/>
                <w:lang w:eastAsia="zh-CN"/>
              </w:rPr>
              <w:t xml:space="preserve">enquête. En conséquence, le Conseil devrait envisager de modifier la formulation de la décision figurant dans le </w:t>
            </w:r>
            <w:r w:rsidRPr="006D1268">
              <w:rPr>
                <w:b/>
                <w:sz w:val="24"/>
                <w:szCs w:val="24"/>
                <w:lang w:eastAsia="zh-CN"/>
              </w:rPr>
              <w:t>Document C20/ADM</w:t>
            </w:r>
            <w:r w:rsidR="00CD6140" w:rsidRPr="006D1268">
              <w:rPr>
                <w:b/>
                <w:sz w:val="24"/>
                <w:szCs w:val="24"/>
                <w:lang w:eastAsia="zh-CN"/>
              </w:rPr>
              <w:t> </w:t>
            </w:r>
            <w:r w:rsidRPr="006D1268">
              <w:rPr>
                <w:b/>
                <w:sz w:val="24"/>
                <w:szCs w:val="24"/>
                <w:lang w:eastAsia="zh-CN"/>
              </w:rPr>
              <w:t>27</w:t>
            </w:r>
            <w:r w:rsidR="00E16DF3" w:rsidRPr="006D1268">
              <w:rPr>
                <w:bCs/>
                <w:sz w:val="24"/>
                <w:szCs w:val="24"/>
                <w:lang w:eastAsia="zh-CN"/>
              </w:rPr>
              <w:t>,</w:t>
            </w:r>
            <w:r w:rsidRPr="006D1268">
              <w:rPr>
                <w:bCs/>
                <w:sz w:val="24"/>
                <w:szCs w:val="24"/>
                <w:lang w:eastAsia="zh-CN"/>
              </w:rPr>
              <w:t>afin qu</w:t>
            </w:r>
            <w:r w:rsidR="00E16DF3" w:rsidRPr="006D1268">
              <w:rPr>
                <w:bCs/>
                <w:sz w:val="24"/>
                <w:szCs w:val="24"/>
                <w:lang w:eastAsia="zh-CN"/>
              </w:rPr>
              <w:t>'</w:t>
            </w:r>
            <w:r w:rsidRPr="006D1268">
              <w:rPr>
                <w:bCs/>
                <w:sz w:val="24"/>
                <w:szCs w:val="24"/>
                <w:lang w:eastAsia="zh-CN"/>
              </w:rPr>
              <w:t>il soit demandé</w:t>
            </w:r>
            <w:r w:rsidR="00E16DF3" w:rsidRPr="006D1268">
              <w:rPr>
                <w:bCs/>
                <w:sz w:val="24"/>
                <w:szCs w:val="24"/>
                <w:lang w:eastAsia="zh-CN"/>
              </w:rPr>
              <w:t xml:space="preserve"> </w:t>
            </w:r>
            <w:r w:rsidRPr="006D1268">
              <w:rPr>
                <w:bCs/>
                <w:sz w:val="24"/>
                <w:szCs w:val="24"/>
                <w:lang w:eastAsia="zh-CN"/>
              </w:rPr>
              <w:t>au secrétariat d</w:t>
            </w:r>
            <w:r w:rsidR="00E16DF3" w:rsidRPr="006D1268">
              <w:rPr>
                <w:bCs/>
                <w:sz w:val="24"/>
                <w:szCs w:val="24"/>
                <w:lang w:eastAsia="zh-CN"/>
              </w:rPr>
              <w:t>'</w:t>
            </w:r>
            <w:r w:rsidRPr="006D1268">
              <w:rPr>
                <w:bCs/>
                <w:sz w:val="24"/>
                <w:szCs w:val="24"/>
                <w:lang w:eastAsia="zh-CN"/>
              </w:rPr>
              <w:t>intégrer dans la Charte d</w:t>
            </w:r>
            <w:r w:rsidR="00E16DF3" w:rsidRPr="006D1268">
              <w:rPr>
                <w:bCs/>
                <w:sz w:val="24"/>
                <w:szCs w:val="24"/>
                <w:lang w:eastAsia="zh-CN"/>
              </w:rPr>
              <w:t>'</w:t>
            </w:r>
            <w:r w:rsidRPr="006D1268">
              <w:rPr>
                <w:bCs/>
                <w:sz w:val="24"/>
                <w:szCs w:val="24"/>
                <w:lang w:eastAsia="zh-CN"/>
              </w:rPr>
              <w:t>audit interne le mandat de la nouvelle fonction d'investigation</w:t>
            </w:r>
            <w:r w:rsidR="00E16DF3" w:rsidRPr="006D1268">
              <w:rPr>
                <w:bCs/>
                <w:sz w:val="24"/>
                <w:szCs w:val="24"/>
                <w:lang w:eastAsia="zh-CN"/>
              </w:rPr>
              <w:t xml:space="preserve"> </w:t>
            </w:r>
            <w:r w:rsidRPr="006D1268">
              <w:rPr>
                <w:bCs/>
                <w:sz w:val="24"/>
                <w:szCs w:val="24"/>
                <w:lang w:eastAsia="zh-CN"/>
              </w:rPr>
              <w:t>proposé ci-dessus pour examen par le Conseil.</w:t>
            </w:r>
          </w:p>
        </w:tc>
      </w:tr>
      <w:bookmarkEnd w:id="2"/>
    </w:tbl>
    <w:p w14:paraId="6906D9DD" w14:textId="77777777" w:rsidR="002A4FDE" w:rsidRDefault="002A4FDE" w:rsidP="002A4FDE"/>
    <w:p w14:paraId="2B5C7CB0" w14:textId="0F0FB7B2" w:rsidR="00CD6140" w:rsidRPr="00CD6140" w:rsidRDefault="00CD6140" w:rsidP="00CD6140">
      <w:pPr>
        <w:spacing w:before="360"/>
        <w:jc w:val="center"/>
      </w:pPr>
      <w:r w:rsidRPr="00CD6140">
        <w:t>______________</w:t>
      </w:r>
    </w:p>
    <w:sectPr w:rsidR="00CD6140" w:rsidRPr="00CD6140"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1925" w14:textId="77777777" w:rsidR="00ED4F28" w:rsidRDefault="00ED4F28">
      <w:r>
        <w:separator/>
      </w:r>
    </w:p>
  </w:endnote>
  <w:endnote w:type="continuationSeparator" w:id="0">
    <w:p w14:paraId="2CE60E12" w14:textId="77777777" w:rsidR="00ED4F28" w:rsidRDefault="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63FE" w14:textId="139C2358" w:rsidR="00732045" w:rsidRDefault="00CD6140">
    <w:pPr>
      <w:pStyle w:val="Footer"/>
    </w:pPr>
    <w:fldSimple w:instr=" FILENAME \p \* MERGEFORMAT ">
      <w:r w:rsidR="00496A11">
        <w:t>P:\FRA\SG\CONSEIL\VC\000\008F.docx</w:t>
      </w:r>
    </w:fldSimple>
    <w:r w:rsidR="00732045">
      <w:tab/>
    </w:r>
    <w:r w:rsidR="002F1B76">
      <w:fldChar w:fldCharType="begin"/>
    </w:r>
    <w:r w:rsidR="00732045">
      <w:instrText xml:space="preserve"> savedate \@ dd.MM.yy </w:instrText>
    </w:r>
    <w:r w:rsidR="002F1B76">
      <w:fldChar w:fldCharType="separate"/>
    </w:r>
    <w:r w:rsidR="00496A11">
      <w:t>03.06.20</w:t>
    </w:r>
    <w:r w:rsidR="002F1B76">
      <w:fldChar w:fldCharType="end"/>
    </w:r>
    <w:r w:rsidR="00732045">
      <w:tab/>
    </w:r>
    <w:r w:rsidR="002F1B76">
      <w:fldChar w:fldCharType="begin"/>
    </w:r>
    <w:r w:rsidR="00732045">
      <w:instrText xml:space="preserve"> printdate \@ dd.MM.yy </w:instrText>
    </w:r>
    <w:r w:rsidR="002F1B76">
      <w:fldChar w:fldCharType="separate"/>
    </w:r>
    <w:r w:rsidR="00496A1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DFE8" w14:textId="13A8B8F6" w:rsidR="00732045" w:rsidRDefault="00CD6140">
    <w:pPr>
      <w:pStyle w:val="Footer"/>
    </w:pPr>
    <w:fldSimple w:instr=" FILENAME \p \* MERGEFORMAT ">
      <w:r w:rsidR="00496A11">
        <w:t>P:\FRA\SG\CONSEIL\VC\000\008F.docx</w:t>
      </w:r>
    </w:fldSimple>
    <w:r>
      <w:t xml:space="preserve"> (471745)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7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3656" w14:textId="77777777" w:rsidR="00ED4F28" w:rsidRDefault="00ED4F28">
      <w:r>
        <w:t>____________________</w:t>
      </w:r>
    </w:p>
  </w:footnote>
  <w:footnote w:type="continuationSeparator" w:id="0">
    <w:p w14:paraId="66F4FBE5" w14:textId="77777777" w:rsidR="00ED4F28" w:rsidRDefault="00ED4F28">
      <w:r>
        <w:continuationSeparator/>
      </w:r>
    </w:p>
  </w:footnote>
  <w:footnote w:id="1">
    <w:p w14:paraId="26388AB0" w14:textId="748E6A18" w:rsidR="00262AF3" w:rsidRPr="00825383" w:rsidRDefault="00262AF3" w:rsidP="00262AF3">
      <w:pPr>
        <w:pStyle w:val="FootnoteText"/>
      </w:pPr>
      <w:r>
        <w:rPr>
          <w:rStyle w:val="FootnoteReference"/>
        </w:rPr>
        <w:footnoteRef/>
      </w:r>
      <w:bookmarkStart w:id="4" w:name="lt_pId032"/>
      <w:r w:rsidR="00E16DF3">
        <w:tab/>
      </w:r>
      <w:r w:rsidRPr="002A4FDE">
        <w:rPr>
          <w:rStyle w:val="Hyperlink"/>
          <w:color w:val="auto"/>
          <w:szCs w:val="24"/>
          <w:u w:val="none"/>
        </w:rPr>
        <w:t xml:space="preserve">Voir la Recommandation 2 du Rapport du CCI, intitulé </w:t>
      </w:r>
      <w:r w:rsidR="00E16DF3" w:rsidRPr="002A4FDE">
        <w:rPr>
          <w:rStyle w:val="Hyperlink"/>
          <w:color w:val="auto"/>
          <w:szCs w:val="24"/>
          <w:u w:val="none"/>
        </w:rPr>
        <w:t>"</w:t>
      </w:r>
      <w:hyperlink r:id="rId1" w:history="1">
        <w:r w:rsidRPr="002A4FDE">
          <w:rPr>
            <w:rStyle w:val="Hyperlink"/>
            <w:i/>
            <w:iCs/>
            <w:szCs w:val="24"/>
          </w:rPr>
          <w:t>La fonction d</w:t>
        </w:r>
        <w:r w:rsidR="00E16DF3" w:rsidRPr="002A4FDE">
          <w:rPr>
            <w:rStyle w:val="Hyperlink"/>
            <w:i/>
            <w:iCs/>
            <w:szCs w:val="24"/>
          </w:rPr>
          <w:t>'</w:t>
        </w:r>
        <w:r w:rsidRPr="002A4FDE">
          <w:rPr>
            <w:rStyle w:val="Hyperlink"/>
            <w:i/>
            <w:iCs/>
            <w:szCs w:val="24"/>
          </w:rPr>
          <w:t>investigation dans le système des Nations Unies</w:t>
        </w:r>
        <w:r w:rsidR="00CD6140" w:rsidRPr="002A4FDE">
          <w:rPr>
            <w:rStyle w:val="Hyperlink"/>
            <w:szCs w:val="24"/>
          </w:rPr>
          <w:t>"</w:t>
        </w:r>
        <w:r w:rsidRPr="002A4FDE">
          <w:rPr>
            <w:rStyle w:val="Hyperlink"/>
            <w:szCs w:val="24"/>
          </w:rPr>
          <w:t xml:space="preserve"> (A/67/140)</w:t>
        </w:r>
      </w:hyperlink>
      <w:r w:rsidRPr="002A4FDE">
        <w:rPr>
          <w:rStyle w:val="Hyperlink"/>
          <w:color w:val="auto"/>
          <w:szCs w:val="24"/>
          <w:u w:val="none"/>
        </w:rPr>
        <w:t xml:space="preserve"> et,</w:t>
      </w:r>
      <w:r w:rsidR="00CD6140" w:rsidRPr="002A4FDE">
        <w:rPr>
          <w:rStyle w:val="Hyperlink"/>
          <w:color w:val="auto"/>
          <w:szCs w:val="24"/>
          <w:u w:val="none"/>
        </w:rPr>
        <w:t xml:space="preserve"> </w:t>
      </w:r>
      <w:r w:rsidRPr="002A4FDE">
        <w:rPr>
          <w:rStyle w:val="Hyperlink"/>
          <w:color w:val="auto"/>
          <w:szCs w:val="24"/>
          <w:u w:val="none"/>
        </w:rPr>
        <w:t xml:space="preserve">comme exemples de bonnes pratiques: la </w:t>
      </w:r>
      <w:hyperlink r:id="rId2" w:history="1">
        <w:r w:rsidRPr="002A4FDE">
          <w:rPr>
            <w:rStyle w:val="Hyperlink"/>
            <w:szCs w:val="24"/>
          </w:rPr>
          <w:t>Charte de la supervision interne de l</w:t>
        </w:r>
        <w:r w:rsidR="00E16DF3" w:rsidRPr="002A4FDE">
          <w:rPr>
            <w:rStyle w:val="Hyperlink"/>
            <w:szCs w:val="24"/>
          </w:rPr>
          <w:t>'</w:t>
        </w:r>
        <w:r w:rsidRPr="002A4FDE">
          <w:rPr>
            <w:rStyle w:val="Hyperlink"/>
            <w:szCs w:val="24"/>
          </w:rPr>
          <w:t>Organisation mondiale de la propriété intellectuelle</w:t>
        </w:r>
      </w:hyperlink>
      <w:r w:rsidRPr="002A4FDE">
        <w:rPr>
          <w:rStyle w:val="Hyperlink"/>
          <w:color w:val="auto"/>
          <w:szCs w:val="24"/>
          <w:u w:val="none"/>
        </w:rPr>
        <w:t xml:space="preserve"> (OMPI) et la </w:t>
      </w:r>
      <w:hyperlink r:id="rId3" w:history="1">
        <w:r w:rsidRPr="002A4FDE">
          <w:rPr>
            <w:rStyle w:val="Hyperlink"/>
            <w:szCs w:val="24"/>
          </w:rPr>
          <w:t>Charte du Bureau de l</w:t>
        </w:r>
        <w:r w:rsidR="00E16DF3" w:rsidRPr="002A4FDE">
          <w:rPr>
            <w:rStyle w:val="Hyperlink"/>
            <w:szCs w:val="24"/>
          </w:rPr>
          <w:t>'</w:t>
        </w:r>
        <w:r w:rsidRPr="002A4FDE">
          <w:rPr>
            <w:rStyle w:val="Hyperlink"/>
            <w:szCs w:val="24"/>
          </w:rPr>
          <w:t>inspecteur général de l</w:t>
        </w:r>
        <w:r w:rsidR="00E16DF3" w:rsidRPr="002A4FDE">
          <w:rPr>
            <w:rStyle w:val="Hyperlink"/>
            <w:szCs w:val="24"/>
          </w:rPr>
          <w:t>'</w:t>
        </w:r>
        <w:r w:rsidRPr="002A4FDE">
          <w:rPr>
            <w:rStyle w:val="Hyperlink"/>
            <w:szCs w:val="24"/>
          </w:rPr>
          <w:t>Organisation des Nations Unies pour l</w:t>
        </w:r>
        <w:r w:rsidR="00E16DF3" w:rsidRPr="002A4FDE">
          <w:rPr>
            <w:rStyle w:val="Hyperlink"/>
            <w:szCs w:val="24"/>
          </w:rPr>
          <w:t>'</w:t>
        </w:r>
        <w:r w:rsidRPr="002A4FDE">
          <w:rPr>
            <w:rStyle w:val="Hyperlink"/>
            <w:szCs w:val="24"/>
          </w:rPr>
          <w:t>alimentation et l</w:t>
        </w:r>
        <w:r w:rsidR="00E16DF3" w:rsidRPr="002A4FDE">
          <w:rPr>
            <w:rStyle w:val="Hyperlink"/>
            <w:szCs w:val="24"/>
          </w:rPr>
          <w:t>'</w:t>
        </w:r>
        <w:r w:rsidRPr="002A4FDE">
          <w:rPr>
            <w:rStyle w:val="Hyperlink"/>
            <w:szCs w:val="24"/>
          </w:rPr>
          <w:t>agriculture</w:t>
        </w:r>
      </w:hyperlink>
      <w:bookmarkEnd w:id="4"/>
      <w:r w:rsidRPr="002A4FDE">
        <w:rPr>
          <w:rStyle w:val="Hyperlink"/>
          <w:color w:val="auto"/>
          <w:szCs w:val="24"/>
          <w:u w:val="none"/>
        </w:rPr>
        <w:t xml:space="preserve"> (FAO).</w:t>
      </w:r>
    </w:p>
  </w:footnote>
  <w:footnote w:id="2">
    <w:p w14:paraId="3AFC58F0" w14:textId="22F6E8D0" w:rsidR="00262AF3" w:rsidRPr="002A4FDE" w:rsidRDefault="00262AF3" w:rsidP="00262AF3">
      <w:pPr>
        <w:pStyle w:val="FootnoteText"/>
        <w:rPr>
          <w:szCs w:val="24"/>
        </w:rPr>
      </w:pPr>
      <w:r>
        <w:rPr>
          <w:rStyle w:val="FootnoteReference"/>
        </w:rPr>
        <w:footnoteRef/>
      </w:r>
      <w:bookmarkStart w:id="5" w:name="lt_pId033"/>
      <w:r w:rsidR="00E16DF3">
        <w:tab/>
      </w:r>
      <w:r w:rsidRPr="002A4FDE">
        <w:rPr>
          <w:szCs w:val="24"/>
        </w:rPr>
        <w:t xml:space="preserve">Le mandat proposé est conforme aux Recommandations 2 et 4 du Rapport du CCI, intitulé </w:t>
      </w:r>
      <w:r w:rsidR="00E16DF3" w:rsidRPr="002A4FDE">
        <w:rPr>
          <w:szCs w:val="24"/>
        </w:rPr>
        <w:t>"</w:t>
      </w:r>
      <w:hyperlink r:id="rId4" w:history="1">
        <w:r w:rsidRPr="002A4FDE">
          <w:rPr>
            <w:rStyle w:val="Hyperlink"/>
            <w:i/>
            <w:iCs/>
            <w:szCs w:val="24"/>
          </w:rPr>
          <w:t>La fonction d</w:t>
        </w:r>
        <w:r w:rsidR="00E16DF3" w:rsidRPr="002A4FDE">
          <w:rPr>
            <w:rStyle w:val="Hyperlink"/>
            <w:i/>
            <w:iCs/>
            <w:szCs w:val="24"/>
          </w:rPr>
          <w:t>'</w:t>
        </w:r>
        <w:r w:rsidRPr="002A4FDE">
          <w:rPr>
            <w:rStyle w:val="Hyperlink"/>
            <w:i/>
            <w:iCs/>
            <w:szCs w:val="24"/>
          </w:rPr>
          <w:t>enquête dans le système des Nations Unies</w:t>
        </w:r>
        <w:r w:rsidR="00E16DF3" w:rsidRPr="002A4FDE">
          <w:rPr>
            <w:rStyle w:val="Hyperlink"/>
            <w:szCs w:val="24"/>
          </w:rPr>
          <w:t>"</w:t>
        </w:r>
        <w:r w:rsidRPr="002A4FDE">
          <w:rPr>
            <w:rStyle w:val="Hyperlink"/>
            <w:szCs w:val="24"/>
          </w:rPr>
          <w:t xml:space="preserve"> (A/67/140)</w:t>
        </w:r>
      </w:hyperlink>
      <w:r w:rsidRPr="002A4FDE">
        <w:rPr>
          <w:rStyle w:val="Hyperlink"/>
          <w:color w:val="auto"/>
          <w:szCs w:val="24"/>
          <w:u w:val="none"/>
        </w:rPr>
        <w:t xml:space="preserve"> et à la Recommandation 7 du document intitulé </w:t>
      </w:r>
      <w:r w:rsidR="00E16DF3" w:rsidRPr="002A4FDE">
        <w:rPr>
          <w:rStyle w:val="Hyperlink"/>
          <w:color w:val="auto"/>
          <w:szCs w:val="24"/>
          <w:u w:val="none"/>
        </w:rPr>
        <w:t>"</w:t>
      </w:r>
      <w:hyperlink r:id="rId5" w:history="1">
        <w:r w:rsidRPr="002A4FDE">
          <w:rPr>
            <w:rStyle w:val="Hyperlink"/>
            <w:szCs w:val="24"/>
          </w:rPr>
          <w:t>Lacunes des mécanismes de contrôle au sein du système des Nations Unies</w:t>
        </w:r>
      </w:hyperlink>
      <w:r w:rsidR="00E16DF3" w:rsidRPr="002A4FDE">
        <w:rPr>
          <w:rStyle w:val="Hyperlink"/>
          <w:color w:val="auto"/>
          <w:szCs w:val="24"/>
          <w:u w:val="none"/>
        </w:rPr>
        <w:t>"</w:t>
      </w:r>
      <w:r w:rsidRPr="002A4FDE">
        <w:rPr>
          <w:rStyle w:val="Hyperlink"/>
          <w:color w:val="auto"/>
          <w:szCs w:val="24"/>
          <w:u w:val="none"/>
        </w:rPr>
        <w:t>, ainsi qu</w:t>
      </w:r>
      <w:r w:rsidR="00E16DF3" w:rsidRPr="002A4FDE">
        <w:rPr>
          <w:rStyle w:val="Hyperlink"/>
          <w:color w:val="auto"/>
          <w:szCs w:val="24"/>
          <w:u w:val="none"/>
        </w:rPr>
        <w:t>'</w:t>
      </w:r>
      <w:r w:rsidRPr="002A4FDE">
        <w:rPr>
          <w:rStyle w:val="Hyperlink"/>
          <w:color w:val="auto"/>
          <w:szCs w:val="24"/>
          <w:u w:val="none"/>
        </w:rPr>
        <w:t xml:space="preserve">aux les bonnes pratiques au sein du système des Nations Unies (voir la </w:t>
      </w:r>
      <w:hyperlink r:id="rId6" w:history="1">
        <w:r w:rsidRPr="002A4FDE">
          <w:rPr>
            <w:rStyle w:val="Hyperlink"/>
            <w:szCs w:val="24"/>
          </w:rPr>
          <w:t>Charte de la supervision interne de l'Organisation Mondiale de la Propriété Intellectuelle</w:t>
        </w:r>
      </w:hyperlink>
      <w:r w:rsidR="00CD6140" w:rsidRPr="002A4FDE">
        <w:rPr>
          <w:rStyle w:val="Hyperlink"/>
          <w:szCs w:val="24"/>
          <w:u w:val="none"/>
        </w:rPr>
        <w:t xml:space="preserve"> </w:t>
      </w:r>
      <w:r w:rsidRPr="002A4FDE">
        <w:rPr>
          <w:rStyle w:val="Hyperlink"/>
          <w:color w:val="auto"/>
          <w:szCs w:val="24"/>
          <w:u w:val="none"/>
        </w:rPr>
        <w:t xml:space="preserve">et la </w:t>
      </w:r>
      <w:hyperlink r:id="rId7" w:history="1">
        <w:r w:rsidRPr="002A4FDE">
          <w:rPr>
            <w:rStyle w:val="Hyperlink"/>
            <w:szCs w:val="24"/>
          </w:rPr>
          <w:t>Charte du Bureau de l</w:t>
        </w:r>
        <w:r w:rsidR="00E16DF3" w:rsidRPr="002A4FDE">
          <w:rPr>
            <w:rStyle w:val="Hyperlink"/>
            <w:szCs w:val="24"/>
          </w:rPr>
          <w:t>'</w:t>
        </w:r>
        <w:r w:rsidRPr="002A4FDE">
          <w:rPr>
            <w:rStyle w:val="Hyperlink"/>
            <w:szCs w:val="24"/>
          </w:rPr>
          <w:t>inspecteur général de l</w:t>
        </w:r>
        <w:r w:rsidR="00E16DF3" w:rsidRPr="002A4FDE">
          <w:rPr>
            <w:rStyle w:val="Hyperlink"/>
            <w:szCs w:val="24"/>
          </w:rPr>
          <w:t>'</w:t>
        </w:r>
        <w:r w:rsidRPr="002A4FDE">
          <w:rPr>
            <w:rStyle w:val="Hyperlink"/>
            <w:szCs w:val="24"/>
          </w:rPr>
          <w:t>Organisation des Nations Unies pour l</w:t>
        </w:r>
        <w:r w:rsidR="00E16DF3" w:rsidRPr="002A4FDE">
          <w:rPr>
            <w:rStyle w:val="Hyperlink"/>
            <w:szCs w:val="24"/>
          </w:rPr>
          <w:t>'</w:t>
        </w:r>
        <w:r w:rsidRPr="002A4FDE">
          <w:rPr>
            <w:rStyle w:val="Hyperlink"/>
            <w:szCs w:val="24"/>
          </w:rPr>
          <w:t>alimentation et l</w:t>
        </w:r>
        <w:r w:rsidR="00E16DF3" w:rsidRPr="002A4FDE">
          <w:rPr>
            <w:rStyle w:val="Hyperlink"/>
            <w:szCs w:val="24"/>
          </w:rPr>
          <w:t>'</w:t>
        </w:r>
        <w:r w:rsidRPr="002A4FDE">
          <w:rPr>
            <w:rStyle w:val="Hyperlink"/>
            <w:szCs w:val="24"/>
          </w:rPr>
          <w:t>agriculture</w:t>
        </w:r>
        <w:r w:rsidRPr="002A4FDE">
          <w:rPr>
            <w:rStyle w:val="Hyperlink"/>
            <w:szCs w:val="24"/>
            <w:u w:val="none"/>
          </w:rPr>
          <w:t>)</w:t>
        </w:r>
      </w:hyperlink>
      <w:bookmarkEnd w:id="5"/>
      <w:r w:rsidR="00CD6140" w:rsidRPr="002A4FDE">
        <w:rPr>
          <w:rStyle w:val="Hyperlink"/>
          <w:szCs w:val="24"/>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52F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9ADC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856D" w14:textId="3EECEB73" w:rsidR="00732045" w:rsidRDefault="00C27A7C" w:rsidP="00CD6140">
    <w:pPr>
      <w:pStyle w:val="Header"/>
      <w:tabs>
        <w:tab w:val="center" w:pos="4819"/>
        <w:tab w:val="left" w:pos="7110"/>
      </w:tabs>
    </w:pPr>
    <w:r>
      <w:fldChar w:fldCharType="begin"/>
    </w:r>
    <w:r>
      <w:instrText>PAGE</w:instrText>
    </w:r>
    <w:r>
      <w:fldChar w:fldCharType="separate"/>
    </w:r>
    <w:r w:rsidR="00496A11">
      <w:rPr>
        <w:noProof/>
      </w:rPr>
      <w:t>3</w:t>
    </w:r>
    <w:r>
      <w:rPr>
        <w:noProof/>
      </w:rPr>
      <w:fldChar w:fldCharType="end"/>
    </w:r>
  </w:p>
  <w:p w14:paraId="329B708E" w14:textId="6B349F05" w:rsidR="00732045" w:rsidRDefault="00ED4F28" w:rsidP="00106B19">
    <w:pPr>
      <w:pStyle w:val="Header"/>
    </w:pPr>
    <w:r>
      <w:t>VC</w:t>
    </w:r>
    <w:r w:rsidR="00732045">
      <w:t>/</w:t>
    </w:r>
    <w:r w:rsidR="00CD6140">
      <w:t>8</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115"/>
    <w:multiLevelType w:val="hybridMultilevel"/>
    <w:tmpl w:val="0E22A214"/>
    <w:lvl w:ilvl="0" w:tplc="3ABC93FC">
      <w:start w:val="1"/>
      <w:numFmt w:val="decimal"/>
      <w:lvlText w:val="%1.)"/>
      <w:lvlJc w:val="left"/>
      <w:pPr>
        <w:ind w:left="720" w:hanging="360"/>
      </w:pPr>
      <w:rPr>
        <w:rFonts w:hint="default"/>
      </w:rPr>
    </w:lvl>
    <w:lvl w:ilvl="1" w:tplc="A8A664EA" w:tentative="1">
      <w:start w:val="1"/>
      <w:numFmt w:val="lowerLetter"/>
      <w:lvlText w:val="%2."/>
      <w:lvlJc w:val="left"/>
      <w:pPr>
        <w:ind w:left="1440" w:hanging="360"/>
      </w:pPr>
    </w:lvl>
    <w:lvl w:ilvl="2" w:tplc="C1C2D976" w:tentative="1">
      <w:start w:val="1"/>
      <w:numFmt w:val="lowerRoman"/>
      <w:lvlText w:val="%3."/>
      <w:lvlJc w:val="right"/>
      <w:pPr>
        <w:ind w:left="2160" w:hanging="180"/>
      </w:pPr>
    </w:lvl>
    <w:lvl w:ilvl="3" w:tplc="2D96525A" w:tentative="1">
      <w:start w:val="1"/>
      <w:numFmt w:val="decimal"/>
      <w:lvlText w:val="%4."/>
      <w:lvlJc w:val="left"/>
      <w:pPr>
        <w:ind w:left="2880" w:hanging="360"/>
      </w:pPr>
    </w:lvl>
    <w:lvl w:ilvl="4" w:tplc="B42805CE" w:tentative="1">
      <w:start w:val="1"/>
      <w:numFmt w:val="lowerLetter"/>
      <w:lvlText w:val="%5."/>
      <w:lvlJc w:val="left"/>
      <w:pPr>
        <w:ind w:left="3600" w:hanging="360"/>
      </w:pPr>
    </w:lvl>
    <w:lvl w:ilvl="5" w:tplc="163422F0" w:tentative="1">
      <w:start w:val="1"/>
      <w:numFmt w:val="lowerRoman"/>
      <w:lvlText w:val="%6."/>
      <w:lvlJc w:val="right"/>
      <w:pPr>
        <w:ind w:left="4320" w:hanging="180"/>
      </w:pPr>
    </w:lvl>
    <w:lvl w:ilvl="6" w:tplc="98F2EBA0" w:tentative="1">
      <w:start w:val="1"/>
      <w:numFmt w:val="decimal"/>
      <w:lvlText w:val="%7."/>
      <w:lvlJc w:val="left"/>
      <w:pPr>
        <w:ind w:left="5040" w:hanging="360"/>
      </w:pPr>
    </w:lvl>
    <w:lvl w:ilvl="7" w:tplc="EBE6877E" w:tentative="1">
      <w:start w:val="1"/>
      <w:numFmt w:val="lowerLetter"/>
      <w:lvlText w:val="%8."/>
      <w:lvlJc w:val="left"/>
      <w:pPr>
        <w:ind w:left="5760" w:hanging="360"/>
      </w:pPr>
    </w:lvl>
    <w:lvl w:ilvl="8" w:tplc="9380058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8"/>
    <w:rsid w:val="000D0D0A"/>
    <w:rsid w:val="00103163"/>
    <w:rsid w:val="00106B19"/>
    <w:rsid w:val="00115D93"/>
    <w:rsid w:val="001247A8"/>
    <w:rsid w:val="001378C0"/>
    <w:rsid w:val="0018694A"/>
    <w:rsid w:val="001A3287"/>
    <w:rsid w:val="001A6508"/>
    <w:rsid w:val="001D4C31"/>
    <w:rsid w:val="001E4D21"/>
    <w:rsid w:val="00207CD1"/>
    <w:rsid w:val="002477A2"/>
    <w:rsid w:val="00262AF3"/>
    <w:rsid w:val="00263A51"/>
    <w:rsid w:val="00267E02"/>
    <w:rsid w:val="002A4FDE"/>
    <w:rsid w:val="002A5D44"/>
    <w:rsid w:val="002E0BC4"/>
    <w:rsid w:val="002F1B76"/>
    <w:rsid w:val="0033568E"/>
    <w:rsid w:val="00355FF5"/>
    <w:rsid w:val="00361350"/>
    <w:rsid w:val="003C3FAE"/>
    <w:rsid w:val="004038CB"/>
    <w:rsid w:val="0040546F"/>
    <w:rsid w:val="0042404A"/>
    <w:rsid w:val="0044618F"/>
    <w:rsid w:val="0046769A"/>
    <w:rsid w:val="00475FB3"/>
    <w:rsid w:val="00496A11"/>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D1268"/>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55D89"/>
    <w:rsid w:val="00B61619"/>
    <w:rsid w:val="00BB4545"/>
    <w:rsid w:val="00BD5873"/>
    <w:rsid w:val="00C04BE3"/>
    <w:rsid w:val="00C25D29"/>
    <w:rsid w:val="00C27A7C"/>
    <w:rsid w:val="00CA08ED"/>
    <w:rsid w:val="00CD6140"/>
    <w:rsid w:val="00CF183B"/>
    <w:rsid w:val="00D375CD"/>
    <w:rsid w:val="00D553A2"/>
    <w:rsid w:val="00D774D3"/>
    <w:rsid w:val="00D904E8"/>
    <w:rsid w:val="00DA08C3"/>
    <w:rsid w:val="00DB5A3E"/>
    <w:rsid w:val="00DC22AA"/>
    <w:rsid w:val="00DF74DD"/>
    <w:rsid w:val="00E16DF3"/>
    <w:rsid w:val="00E25AD0"/>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2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2"/>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 w:val="24"/>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 w:val="24"/>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 w:val="24"/>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 w:val="24"/>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 w:val="24"/>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 w:val="24"/>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 w:val="24"/>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 w:val="24"/>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4"/>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4"/>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 w:val="24"/>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 w:val="24"/>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 w:val="24"/>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 w:val="24"/>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 w:val="24"/>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 w:val="24"/>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 w:val="24"/>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 w:val="24"/>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 w:val="24"/>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 w:val="24"/>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4"/>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 w:val="24"/>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 w:val="24"/>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 w:val="24"/>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 w:val="24"/>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 w:val="24"/>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 w:val="24"/>
      <w:szCs w:val="20"/>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 w:val="24"/>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 w:val="24"/>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 w:val="24"/>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 w:val="24"/>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 w:val="24"/>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 w:val="24"/>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 w:val="24"/>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AnnexNoTitle">
    <w:name w:val="Annex_NoTitle"/>
    <w:basedOn w:val="Normal"/>
    <w:next w:val="Normal"/>
    <w:rsid w:val="00ED4F28"/>
    <w:pPr>
      <w:keepNext/>
      <w:keepLines/>
      <w:spacing w:before="720" w:after="120"/>
      <w:jc w:val="center"/>
    </w:pPr>
    <w:rPr>
      <w:b/>
      <w:sz w:val="24"/>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6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WGFHR11-C-0015/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0-CWGFHR11-C-0015/en" TargetMode="External"/><Relationship Id="rId4" Type="http://schemas.openxmlformats.org/officeDocument/2006/relationships/settings" Target="settings.xml"/><Relationship Id="rId9" Type="http://schemas.openxmlformats.org/officeDocument/2006/relationships/hyperlink" Target="https://www.itu.int/md/S20-CL-C-0060/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o.org/about/who-we-are/departments/office-of-the-inspector-general/fr/" TargetMode="External"/><Relationship Id="rId7" Type="http://schemas.openxmlformats.org/officeDocument/2006/relationships/hyperlink" Target="http://www.fao.org/about/who-we-are/departments/office-of-the-inspector-general/fr/" TargetMode="External"/><Relationship Id="rId2" Type="http://schemas.openxmlformats.org/officeDocument/2006/relationships/hyperlink" Target="https://www.wipo.int/about-wipo/fr/oversight/iaod/index.html" TargetMode="External"/><Relationship Id="rId1" Type="http://schemas.openxmlformats.org/officeDocument/2006/relationships/hyperlink" Target="https://www.unjiu.org/fr/content/rapports" TargetMode="External"/><Relationship Id="rId6" Type="http://schemas.openxmlformats.org/officeDocument/2006/relationships/hyperlink" Target="https://www.wipo.int/about-wipo/fr/oversight/iaod/index.html" TargetMode="External"/><Relationship Id="rId5" Type="http://schemas.openxmlformats.org/officeDocument/2006/relationships/hyperlink" Target="https://www.unjiu.org/fr/content/rapports" TargetMode="External"/><Relationship Id="rId4" Type="http://schemas.openxmlformats.org/officeDocument/2006/relationships/hyperlink" Target="https://www.unjiu.org/fr/content/rap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9D5C-706A-4808-8A6D-9367D79D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53</TotalTime>
  <Pages>3</Pages>
  <Words>691</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English</dc:creator>
  <cp:keywords>VC</cp:keywords>
  <dc:description/>
  <cp:lastModifiedBy>Royer, Veronique</cp:lastModifiedBy>
  <cp:revision>5</cp:revision>
  <cp:lastPrinted>2000-07-18T08:55:00Z</cp:lastPrinted>
  <dcterms:created xsi:type="dcterms:W3CDTF">2020-06-03T08:01:00Z</dcterms:created>
  <dcterms:modified xsi:type="dcterms:W3CDTF">2020-06-03T09:22:00Z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