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B733D7" w14:paraId="7862219C" w14:textId="77777777" w:rsidTr="00FA7FCF">
        <w:trPr>
          <w:cantSplit/>
          <w:trHeight w:val="1276"/>
        </w:trPr>
        <w:tc>
          <w:tcPr>
            <w:tcW w:w="6911" w:type="dxa"/>
          </w:tcPr>
          <w:p w14:paraId="681E6BB6" w14:textId="77777777" w:rsidR="00ED4F28" w:rsidRPr="00B733D7" w:rsidRDefault="00ED4F28" w:rsidP="00FA7FCF">
            <w:pPr>
              <w:spacing w:before="360" w:after="48" w:line="240" w:lineRule="auto"/>
              <w:jc w:val="left"/>
              <w:rPr>
                <w:b/>
                <w:bCs/>
                <w:position w:val="6"/>
                <w:sz w:val="26"/>
                <w:szCs w:val="26"/>
              </w:rPr>
            </w:pPr>
            <w:r w:rsidRPr="00B733D7">
              <w:rPr>
                <w:b/>
                <w:bCs/>
                <w:position w:val="6"/>
                <w:sz w:val="26"/>
                <w:szCs w:val="26"/>
              </w:rPr>
              <w:t xml:space="preserve">Consultation virtuelle des Conseillers </w:t>
            </w:r>
            <w:r w:rsidRPr="00B733D7">
              <w:rPr>
                <w:b/>
                <w:bCs/>
                <w:position w:val="6"/>
                <w:sz w:val="26"/>
                <w:szCs w:val="26"/>
              </w:rPr>
              <w:br/>
              <w:t>débutant le 9 juin 2020</w:t>
            </w:r>
          </w:p>
        </w:tc>
        <w:tc>
          <w:tcPr>
            <w:tcW w:w="3120" w:type="dxa"/>
            <w:vAlign w:val="center"/>
          </w:tcPr>
          <w:p w14:paraId="72170685" w14:textId="77777777" w:rsidR="00ED4F28" w:rsidRPr="00B733D7" w:rsidRDefault="00ED4F28" w:rsidP="00FA7FCF">
            <w:pPr>
              <w:spacing w:before="0" w:line="240" w:lineRule="auto"/>
            </w:pPr>
            <w:bookmarkStart w:id="0" w:name="ditulogo"/>
            <w:bookmarkEnd w:id="0"/>
            <w:r w:rsidRPr="00B733D7">
              <w:rPr>
                <w:noProof/>
              </w:rPr>
              <w:drawing>
                <wp:inline distT="0" distB="0" distL="0" distR="0" wp14:anchorId="0070CC20" wp14:editId="02539C9A">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B733D7" w14:paraId="628D49BF" w14:textId="77777777" w:rsidTr="00FA7FCF">
        <w:trPr>
          <w:cantSplit/>
        </w:trPr>
        <w:tc>
          <w:tcPr>
            <w:tcW w:w="6911" w:type="dxa"/>
            <w:tcBorders>
              <w:bottom w:val="single" w:sz="12" w:space="0" w:color="auto"/>
            </w:tcBorders>
          </w:tcPr>
          <w:p w14:paraId="67B06344" w14:textId="77777777" w:rsidR="00ED4F28" w:rsidRPr="00B733D7" w:rsidRDefault="00ED4F28" w:rsidP="00FA7FCF">
            <w:pPr>
              <w:spacing w:before="0" w:after="48" w:line="240" w:lineRule="auto"/>
              <w:rPr>
                <w:b/>
                <w:smallCaps/>
                <w:szCs w:val="24"/>
              </w:rPr>
            </w:pPr>
          </w:p>
        </w:tc>
        <w:tc>
          <w:tcPr>
            <w:tcW w:w="3120" w:type="dxa"/>
            <w:tcBorders>
              <w:bottom w:val="single" w:sz="12" w:space="0" w:color="auto"/>
            </w:tcBorders>
          </w:tcPr>
          <w:p w14:paraId="74DD22CF" w14:textId="77777777" w:rsidR="00ED4F28" w:rsidRPr="00B733D7" w:rsidRDefault="00ED4F28" w:rsidP="00FA7FCF">
            <w:pPr>
              <w:spacing w:before="0" w:line="240" w:lineRule="auto"/>
              <w:rPr>
                <w:szCs w:val="24"/>
              </w:rPr>
            </w:pPr>
          </w:p>
        </w:tc>
      </w:tr>
      <w:tr w:rsidR="00ED4F28" w:rsidRPr="00B733D7" w14:paraId="3D1F1223" w14:textId="77777777" w:rsidTr="00FA7FCF">
        <w:trPr>
          <w:cantSplit/>
        </w:trPr>
        <w:tc>
          <w:tcPr>
            <w:tcW w:w="6911" w:type="dxa"/>
            <w:tcBorders>
              <w:top w:val="single" w:sz="12" w:space="0" w:color="auto"/>
            </w:tcBorders>
          </w:tcPr>
          <w:p w14:paraId="6153099D" w14:textId="77777777" w:rsidR="00ED4F28" w:rsidRPr="00B733D7" w:rsidRDefault="00ED4F28" w:rsidP="00FA7FCF">
            <w:pPr>
              <w:spacing w:before="0" w:after="48" w:line="240" w:lineRule="auto"/>
              <w:rPr>
                <w:b/>
                <w:smallCaps/>
                <w:szCs w:val="24"/>
              </w:rPr>
            </w:pPr>
          </w:p>
        </w:tc>
        <w:tc>
          <w:tcPr>
            <w:tcW w:w="3120" w:type="dxa"/>
            <w:tcBorders>
              <w:top w:val="single" w:sz="12" w:space="0" w:color="auto"/>
            </w:tcBorders>
          </w:tcPr>
          <w:p w14:paraId="49A4B516" w14:textId="77777777" w:rsidR="00ED4F28" w:rsidRPr="00B733D7" w:rsidRDefault="00E74F5D" w:rsidP="00ED4F28">
            <w:pPr>
              <w:spacing w:before="240" w:line="240" w:lineRule="atLeast"/>
              <w:rPr>
                <w:b/>
                <w:bCs/>
                <w:szCs w:val="24"/>
              </w:rPr>
            </w:pPr>
            <w:r w:rsidRPr="00B733D7">
              <w:rPr>
                <w:b/>
                <w:bCs/>
              </w:rPr>
              <w:t>Document VC/11</w:t>
            </w:r>
            <w:r w:rsidR="00ED4F28" w:rsidRPr="00B733D7">
              <w:rPr>
                <w:b/>
                <w:bCs/>
              </w:rPr>
              <w:t>-F</w:t>
            </w:r>
          </w:p>
          <w:p w14:paraId="4EC3D9CB" w14:textId="77777777" w:rsidR="00ED4F28" w:rsidRPr="00B733D7" w:rsidRDefault="00E74F5D" w:rsidP="00ED4F28">
            <w:pPr>
              <w:spacing w:before="0" w:line="240" w:lineRule="atLeast"/>
              <w:rPr>
                <w:b/>
                <w:bCs/>
                <w:szCs w:val="24"/>
              </w:rPr>
            </w:pPr>
            <w:r w:rsidRPr="00B733D7">
              <w:rPr>
                <w:b/>
                <w:bCs/>
              </w:rPr>
              <w:t>2 juin</w:t>
            </w:r>
            <w:r w:rsidR="00ED4F28" w:rsidRPr="00B733D7">
              <w:rPr>
                <w:b/>
                <w:bCs/>
              </w:rPr>
              <w:t xml:space="preserve"> 2020</w:t>
            </w:r>
          </w:p>
          <w:p w14:paraId="4A87218E" w14:textId="77777777" w:rsidR="00ED4F28" w:rsidRPr="00B733D7" w:rsidRDefault="00ED4F28" w:rsidP="00ED4F28">
            <w:pPr>
              <w:spacing w:before="0" w:line="240" w:lineRule="auto"/>
              <w:rPr>
                <w:szCs w:val="24"/>
              </w:rPr>
            </w:pPr>
            <w:r w:rsidRPr="00B733D7">
              <w:rPr>
                <w:b/>
                <w:bCs/>
              </w:rPr>
              <w:t>Original: anglais</w:t>
            </w:r>
          </w:p>
        </w:tc>
      </w:tr>
    </w:tbl>
    <w:p w14:paraId="6C07A27A" w14:textId="77777777" w:rsidR="00ED4F28" w:rsidRPr="00B733D7"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B733D7" w14:paraId="0912E81F" w14:textId="77777777" w:rsidTr="00FA7FCF">
        <w:trPr>
          <w:cantSplit/>
        </w:trPr>
        <w:tc>
          <w:tcPr>
            <w:tcW w:w="2835" w:type="dxa"/>
            <w:tcBorders>
              <w:right w:val="single" w:sz="12" w:space="0" w:color="auto"/>
            </w:tcBorders>
            <w:vAlign w:val="center"/>
          </w:tcPr>
          <w:p w14:paraId="7BF11362" w14:textId="77777777" w:rsidR="00ED4F28" w:rsidRPr="00B733D7" w:rsidRDefault="00ED4F28" w:rsidP="00FA7FCF">
            <w:pPr>
              <w:spacing w:before="0" w:line="240" w:lineRule="auto"/>
              <w:jc w:val="left"/>
              <w:rPr>
                <w:b/>
                <w:bCs/>
              </w:rPr>
            </w:pPr>
            <w:bookmarkStart w:id="2" w:name="dsource" w:colFirst="0" w:colLast="0"/>
            <w:bookmarkEnd w:id="1"/>
            <w:r w:rsidRPr="00B733D7">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6A819A8C" w14:textId="77777777" w:rsidR="00ED4F28" w:rsidRPr="00B733D7" w:rsidRDefault="00E74F5D" w:rsidP="00E74F5D">
            <w:pPr>
              <w:spacing w:before="0" w:line="240" w:lineRule="auto"/>
              <w:jc w:val="left"/>
              <w:rPr>
                <w:b/>
                <w:bCs/>
              </w:rPr>
            </w:pPr>
            <w:r w:rsidRPr="00B733D7">
              <w:rPr>
                <w:b/>
                <w:bCs/>
              </w:rPr>
              <w:t xml:space="preserve">Kenya (République du), Rwanda (République du), Sudafricaine (République), République tunisienne </w:t>
            </w:r>
          </w:p>
        </w:tc>
      </w:tr>
      <w:tr w:rsidR="00ED4F28" w:rsidRPr="00B733D7" w14:paraId="1743AF88" w14:textId="77777777" w:rsidTr="00FA7FCF">
        <w:trPr>
          <w:cantSplit/>
        </w:trPr>
        <w:tc>
          <w:tcPr>
            <w:tcW w:w="2835" w:type="dxa"/>
          </w:tcPr>
          <w:p w14:paraId="355F9905"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2F7E31A7" w14:textId="77777777" w:rsidR="00ED4F28" w:rsidRPr="00B733D7" w:rsidRDefault="00ED4F28" w:rsidP="00FA7FCF">
            <w:pPr>
              <w:spacing w:before="0" w:line="240" w:lineRule="auto"/>
              <w:rPr>
                <w:sz w:val="16"/>
                <w:szCs w:val="16"/>
              </w:rPr>
            </w:pPr>
          </w:p>
        </w:tc>
      </w:tr>
      <w:tr w:rsidR="00ED4F28" w:rsidRPr="00B733D7" w14:paraId="1D3FA49E" w14:textId="77777777" w:rsidTr="00FA7FCF">
        <w:trPr>
          <w:cantSplit/>
        </w:trPr>
        <w:tc>
          <w:tcPr>
            <w:tcW w:w="2835" w:type="dxa"/>
            <w:tcBorders>
              <w:right w:val="single" w:sz="12" w:space="0" w:color="auto"/>
            </w:tcBorders>
          </w:tcPr>
          <w:p w14:paraId="1AB1C269" w14:textId="77777777" w:rsidR="00ED4F28" w:rsidRPr="00B733D7" w:rsidRDefault="00ED4F28" w:rsidP="00FA7FCF">
            <w:pPr>
              <w:spacing w:after="120" w:line="240" w:lineRule="auto"/>
              <w:rPr>
                <w:b/>
                <w:bCs/>
              </w:rPr>
            </w:pPr>
            <w:r w:rsidRPr="00B733D7">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307BECFE" w14:textId="371CCDFE" w:rsidR="00ED4F28" w:rsidRPr="00B733D7" w:rsidRDefault="00E74F5D" w:rsidP="00E74F5D">
            <w:pPr>
              <w:spacing w:after="120" w:line="240" w:lineRule="auto"/>
              <w:jc w:val="left"/>
              <w:rPr>
                <w:b/>
                <w:bCs/>
              </w:rPr>
            </w:pPr>
            <w:r w:rsidRPr="00B733D7">
              <w:rPr>
                <w:b/>
                <w:bCs/>
              </w:rPr>
              <w:t xml:space="preserve">Mise en œuvre de la Résolution 559 (CMR-19) par les </w:t>
            </w:r>
            <w:r w:rsidR="005524F0" w:rsidRPr="00B733D7">
              <w:rPr>
                <w:b/>
                <w:bCs/>
              </w:rPr>
              <w:t>A</w:t>
            </w:r>
            <w:r w:rsidRPr="00B733D7">
              <w:rPr>
                <w:b/>
                <w:bCs/>
              </w:rPr>
              <w:t xml:space="preserve">dministrations des Régions 1 et 3 qui satisfont aux prescriptions indiquées au § 1 de la Pièce jointe à cette Résolution </w:t>
            </w:r>
          </w:p>
        </w:tc>
      </w:tr>
      <w:tr w:rsidR="00ED4F28" w:rsidRPr="00B733D7" w14:paraId="2622DE1D" w14:textId="77777777" w:rsidTr="00FA7FCF">
        <w:trPr>
          <w:cantSplit/>
          <w:trHeight w:val="269"/>
        </w:trPr>
        <w:tc>
          <w:tcPr>
            <w:tcW w:w="2835" w:type="dxa"/>
          </w:tcPr>
          <w:p w14:paraId="2D9AFACC"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2D941CD5" w14:textId="77777777" w:rsidR="00ED4F28" w:rsidRPr="00B733D7" w:rsidRDefault="00ED4F28" w:rsidP="00FA7FCF">
            <w:pPr>
              <w:spacing w:before="0" w:line="240" w:lineRule="auto"/>
              <w:rPr>
                <w:sz w:val="16"/>
                <w:szCs w:val="16"/>
              </w:rPr>
            </w:pPr>
          </w:p>
        </w:tc>
      </w:tr>
      <w:tr w:rsidR="00ED4F28" w:rsidRPr="00B733D7" w14:paraId="0973CDFE" w14:textId="77777777" w:rsidTr="00FA7FCF">
        <w:trPr>
          <w:cantSplit/>
          <w:trHeight w:val="668"/>
        </w:trPr>
        <w:tc>
          <w:tcPr>
            <w:tcW w:w="2835" w:type="dxa"/>
            <w:tcBorders>
              <w:right w:val="single" w:sz="2" w:space="0" w:color="auto"/>
            </w:tcBorders>
            <w:vAlign w:val="center"/>
          </w:tcPr>
          <w:p w14:paraId="22AFC3FF" w14:textId="77777777" w:rsidR="00ED4F28" w:rsidRPr="00B733D7" w:rsidRDefault="00ED4F28" w:rsidP="00FA7FCF">
            <w:pPr>
              <w:spacing w:before="0" w:line="240" w:lineRule="auto"/>
              <w:jc w:val="left"/>
              <w:rPr>
                <w:b/>
                <w:bCs/>
              </w:rPr>
            </w:pPr>
            <w:r w:rsidRPr="00B733D7">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4BFECFB9" w14:textId="77777777" w:rsidR="00ED4F28" w:rsidRPr="00B733D7" w:rsidRDefault="002467A8" w:rsidP="00FA7FCF">
            <w:pPr>
              <w:spacing w:before="240" w:after="120" w:line="240" w:lineRule="auto"/>
              <w:rPr>
                <w:b/>
                <w:bCs/>
              </w:rPr>
            </w:pPr>
            <w:hyperlink r:id="rId8" w:history="1">
              <w:r w:rsidR="00E74F5D" w:rsidRPr="00B733D7">
                <w:rPr>
                  <w:rStyle w:val="Hyperlink"/>
                  <w:b/>
                  <w:bCs/>
                </w:rPr>
                <w:t>Document C20/27</w:t>
              </w:r>
            </w:hyperlink>
          </w:p>
        </w:tc>
      </w:tr>
      <w:tr w:rsidR="00ED4F28" w:rsidRPr="00B733D7" w14:paraId="21A6AF54" w14:textId="77777777" w:rsidTr="00FA7FCF">
        <w:trPr>
          <w:cantSplit/>
          <w:trHeight w:val="156"/>
        </w:trPr>
        <w:tc>
          <w:tcPr>
            <w:tcW w:w="2835" w:type="dxa"/>
          </w:tcPr>
          <w:p w14:paraId="3AB23E53" w14:textId="77777777" w:rsidR="00ED4F28" w:rsidRPr="00B733D7"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630DC0B4" w14:textId="77777777" w:rsidR="00ED4F28" w:rsidRPr="00B733D7" w:rsidRDefault="00ED4F28" w:rsidP="00FA7FCF">
            <w:pPr>
              <w:spacing w:before="0" w:line="240" w:lineRule="auto"/>
              <w:rPr>
                <w:sz w:val="16"/>
                <w:szCs w:val="16"/>
              </w:rPr>
            </w:pPr>
          </w:p>
        </w:tc>
      </w:tr>
    </w:tbl>
    <w:p w14:paraId="12A0FF9C" w14:textId="77777777" w:rsidR="00ED4F28" w:rsidRPr="00B733D7"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B733D7" w14:paraId="304F01AE"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457AD232" w14:textId="77777777" w:rsidR="00ED4F28" w:rsidRPr="00B733D7" w:rsidRDefault="00ED4F28" w:rsidP="00B60862">
            <w:pPr>
              <w:pStyle w:val="Headingb"/>
              <w:spacing w:before="120" w:after="120"/>
            </w:pPr>
            <w:r w:rsidRPr="00B733D7">
              <w:lastRenderedPageBreak/>
              <w:t xml:space="preserve">Observations relatives au </w:t>
            </w:r>
            <w:hyperlink r:id="rId9" w:history="1">
              <w:r w:rsidRPr="00B733D7">
                <w:rPr>
                  <w:rStyle w:val="Hyperlink"/>
                </w:rPr>
                <w:t>Document C20/</w:t>
              </w:r>
              <w:r w:rsidR="00E74F5D" w:rsidRPr="00B733D7">
                <w:rPr>
                  <w:rStyle w:val="Hyperlink"/>
                </w:rPr>
                <w:t>27</w:t>
              </w:r>
            </w:hyperlink>
          </w:p>
          <w:p w14:paraId="13DEAFCB" w14:textId="6717504E" w:rsidR="00E74F5D" w:rsidRPr="00B733D7" w:rsidRDefault="00E74F5D" w:rsidP="00B60862">
            <w:pPr>
              <w:spacing w:before="120"/>
              <w:jc w:val="left"/>
              <w:rPr>
                <w:lang w:eastAsia="zh-CN"/>
              </w:rPr>
            </w:pPr>
            <w:r w:rsidRPr="00B733D7">
              <w:rPr>
                <w:lang w:eastAsia="zh-CN"/>
              </w:rPr>
              <w:t>Le présent document vise à porter à l'attention du Conseil des questions soulevées par les Administrations concernées au sujet de la mise en œuvre de la Résolution 559</w:t>
            </w:r>
            <w:r w:rsidR="005524F0">
              <w:rPr>
                <w:lang w:eastAsia="zh-CN"/>
              </w:rPr>
              <w:t xml:space="preserve"> </w:t>
            </w:r>
            <w:r w:rsidRPr="00B733D7">
              <w:rPr>
                <w:lang w:eastAsia="zh-CN"/>
              </w:rPr>
              <w:t>(CMR-19)</w:t>
            </w:r>
            <w:r w:rsidR="00B60862" w:rsidRPr="00B733D7">
              <w:rPr>
                <w:lang w:eastAsia="zh-CN"/>
              </w:rPr>
              <w:t>.</w:t>
            </w:r>
          </w:p>
          <w:p w14:paraId="610ABA3D" w14:textId="77777777" w:rsidR="00E74F5D" w:rsidRPr="00B733D7" w:rsidRDefault="00E74F5D" w:rsidP="00B60862">
            <w:pPr>
              <w:spacing w:before="120"/>
              <w:jc w:val="left"/>
              <w:rPr>
                <w:lang w:eastAsia="zh-CN"/>
              </w:rPr>
            </w:pPr>
            <w:r w:rsidRPr="00B733D7">
              <w:rPr>
                <w:lang w:eastAsia="zh-CN"/>
              </w:rPr>
              <w:t>Les créneaux orbitaux/bandes de fréquences réservés aux pays en développement dans les Plans pour le SRS et le SFS (Appendices 30, 30A et 30B) ont été affectés en raison du manque de ressources pour procéder à une bonne coordination. La Conférence mondiale des radiocommunications (CMR-19) a adopté la Résolution 559 (CMR-19), qui aidera les administrations dont des assignations figurant dans le Plan pour le SRS ont subi une dégradation à remplacer ces assignations par des assignations qui conviennent mieux.</w:t>
            </w:r>
          </w:p>
          <w:p w14:paraId="7397988A" w14:textId="77777777" w:rsidR="00E74F5D" w:rsidRPr="00B733D7" w:rsidRDefault="00E74F5D" w:rsidP="00B60862">
            <w:pPr>
              <w:spacing w:before="120"/>
              <w:jc w:val="left"/>
              <w:rPr>
                <w:lang w:eastAsia="zh-CN"/>
              </w:rPr>
            </w:pPr>
            <w:r w:rsidRPr="00B733D7">
              <w:rPr>
                <w:lang w:eastAsia="zh-CN"/>
              </w:rPr>
              <w:t>Le Bureau des radiocommunications de l</w:t>
            </w:r>
            <w:r w:rsidR="00B60862" w:rsidRPr="00B733D7">
              <w:rPr>
                <w:lang w:eastAsia="zh-CN"/>
              </w:rPr>
              <w:t>'</w:t>
            </w:r>
            <w:r w:rsidRPr="00B733D7">
              <w:rPr>
                <w:lang w:eastAsia="zh-CN"/>
              </w:rPr>
              <w:t>UIT a aidé les administrations concernées à trouver de nouveaux créneaux</w:t>
            </w:r>
            <w:r w:rsidR="00B60862" w:rsidRPr="00B733D7">
              <w:rPr>
                <w:lang w:eastAsia="zh-CN"/>
              </w:rPr>
              <w:t xml:space="preserve"> orbitaux</w:t>
            </w:r>
            <w:r w:rsidRPr="00B733D7">
              <w:rPr>
                <w:lang w:eastAsia="zh-CN"/>
              </w:rPr>
              <w:t>/de nouvelles bandes de fréquences. Un atelier organisé par l'Union africaine des télécommunications (UAT), à l'invitation de l'Autorité des communications du Kenya (CA) et à l'initiative du Bureau des radiocommunications de l'UIT, s'est tenu à Nairobi (Kenya) du 17</w:t>
            </w:r>
            <w:r w:rsidR="00B60862" w:rsidRPr="00B733D7">
              <w:rPr>
                <w:lang w:eastAsia="zh-CN"/>
              </w:rPr>
              <w:t> </w:t>
            </w:r>
            <w:r w:rsidRPr="00B733D7">
              <w:rPr>
                <w:lang w:eastAsia="zh-CN"/>
              </w:rPr>
              <w:t>au 21 février 2020. L'objectif de cet atelier était d'aider trente et un (31) Administrations de pays africains concernées par la Résolution 559 (CMR-19) à trouver de nouveaux créneaux</w:t>
            </w:r>
            <w:r w:rsidR="00B60862" w:rsidRPr="00B733D7">
              <w:rPr>
                <w:lang w:eastAsia="zh-CN"/>
              </w:rPr>
              <w:t xml:space="preserve"> orbitaux</w:t>
            </w:r>
            <w:r w:rsidRPr="00B733D7">
              <w:rPr>
                <w:lang w:eastAsia="zh-CN"/>
              </w:rPr>
              <w:t>/de nouvelles bandes de fréquences pour remplacer leurs assignations figurant dans le Plan pour le SRS qui ont subi une dégradation</w:t>
            </w:r>
            <w:r w:rsidR="00B60862" w:rsidRPr="00B733D7">
              <w:rPr>
                <w:lang w:eastAsia="zh-CN"/>
              </w:rPr>
              <w:t>.</w:t>
            </w:r>
          </w:p>
          <w:p w14:paraId="19C3D2EE" w14:textId="77777777" w:rsidR="00E74F5D" w:rsidRPr="00B733D7" w:rsidRDefault="00E74F5D" w:rsidP="00B60862">
            <w:pPr>
              <w:spacing w:before="120"/>
              <w:jc w:val="left"/>
              <w:rPr>
                <w:lang w:eastAsia="zh-CN"/>
              </w:rPr>
            </w:pPr>
            <w:r w:rsidRPr="00B733D7">
              <w:rPr>
                <w:lang w:eastAsia="zh-CN"/>
              </w:rPr>
              <w:t>Bien que l</w:t>
            </w:r>
            <w:r w:rsidR="00B60862" w:rsidRPr="00B733D7">
              <w:rPr>
                <w:lang w:eastAsia="zh-CN"/>
              </w:rPr>
              <w:t>'</w:t>
            </w:r>
            <w:r w:rsidRPr="00B733D7">
              <w:rPr>
                <w:lang w:eastAsia="zh-CN"/>
              </w:rPr>
              <w:t>atelier de Nairobi ait été un succès, certaines administrations ont soulevé trois préoccupations à l</w:t>
            </w:r>
            <w:r w:rsidR="00B60862" w:rsidRPr="00B733D7">
              <w:rPr>
                <w:lang w:eastAsia="zh-CN"/>
              </w:rPr>
              <w:t>'</w:t>
            </w:r>
            <w:r w:rsidRPr="00B733D7">
              <w:rPr>
                <w:lang w:eastAsia="zh-CN"/>
              </w:rPr>
              <w:t>occasion de cet atelier:</w:t>
            </w:r>
          </w:p>
          <w:p w14:paraId="087FC46A" w14:textId="77777777" w:rsidR="00E74F5D" w:rsidRPr="00B733D7" w:rsidRDefault="00B60862" w:rsidP="00B60862">
            <w:pPr>
              <w:pStyle w:val="enumlev1"/>
              <w:spacing w:before="120"/>
              <w:rPr>
                <w:lang w:eastAsia="zh-CN"/>
              </w:rPr>
            </w:pPr>
            <w:r w:rsidRPr="00B733D7">
              <w:rPr>
                <w:lang w:eastAsia="zh-CN"/>
              </w:rPr>
              <w:t>–</w:t>
            </w:r>
            <w:r w:rsidRPr="00B733D7">
              <w:rPr>
                <w:lang w:eastAsia="zh-CN"/>
              </w:rPr>
              <w:tab/>
            </w:r>
            <w:r w:rsidR="00E74F5D" w:rsidRPr="00B733D7">
              <w:rPr>
                <w:lang w:eastAsia="zh-CN"/>
              </w:rPr>
              <w:t>L</w:t>
            </w:r>
            <w:r w:rsidRPr="00B733D7">
              <w:rPr>
                <w:lang w:eastAsia="zh-CN"/>
              </w:rPr>
              <w:t>es nouveaux créneaux orbitaux/</w:t>
            </w:r>
            <w:r w:rsidR="00E74F5D" w:rsidRPr="00B733D7">
              <w:rPr>
                <w:lang w:eastAsia="zh-CN"/>
              </w:rPr>
              <w:t>nouvelles bandes de fréquences identifiés lors de l</w:t>
            </w:r>
            <w:r w:rsidRPr="00B733D7">
              <w:rPr>
                <w:lang w:eastAsia="zh-CN"/>
              </w:rPr>
              <w:t>'</w:t>
            </w:r>
            <w:r w:rsidR="00E74F5D" w:rsidRPr="00B733D7">
              <w:rPr>
                <w:lang w:eastAsia="zh-CN"/>
              </w:rPr>
              <w:t>atelier de Nairobi pourraient être affectés par les soumissions présentées au titre du § 4.1.12 des Appendices 30 et 30A, dans le cas où les soumissions connexes au titre du § 4.1.3 desdits Appendices ont été reçues avant le 22 mai 2020.</w:t>
            </w:r>
          </w:p>
          <w:p w14:paraId="289EC2B8" w14:textId="77777777" w:rsidR="00E74F5D" w:rsidRPr="00B733D7" w:rsidRDefault="00B60862" w:rsidP="00B60862">
            <w:pPr>
              <w:pStyle w:val="enumlev1"/>
              <w:spacing w:before="120"/>
              <w:rPr>
                <w:lang w:eastAsia="zh-CN"/>
              </w:rPr>
            </w:pPr>
            <w:r w:rsidRPr="00B733D7">
              <w:rPr>
                <w:lang w:eastAsia="zh-CN"/>
              </w:rPr>
              <w:t>–</w:t>
            </w:r>
            <w:r w:rsidRPr="00B733D7">
              <w:rPr>
                <w:lang w:eastAsia="zh-CN"/>
              </w:rPr>
              <w:tab/>
            </w:r>
            <w:r w:rsidR="00E74F5D" w:rsidRPr="00B733D7">
              <w:rPr>
                <w:lang w:eastAsia="zh-CN"/>
              </w:rPr>
              <w:t>Sept Administrations africaines concernées par la Résolution 559 n</w:t>
            </w:r>
            <w:r w:rsidRPr="00B733D7">
              <w:rPr>
                <w:lang w:eastAsia="zh-CN"/>
              </w:rPr>
              <w:t>'</w:t>
            </w:r>
            <w:r w:rsidR="00E74F5D" w:rsidRPr="00B733D7">
              <w:rPr>
                <w:lang w:eastAsia="zh-CN"/>
              </w:rPr>
              <w:t>ont pas participé à l</w:t>
            </w:r>
            <w:r w:rsidRPr="00B733D7">
              <w:rPr>
                <w:lang w:eastAsia="zh-CN"/>
              </w:rPr>
              <w:t>'</w:t>
            </w:r>
            <w:r w:rsidR="00E74F5D" w:rsidRPr="00B733D7">
              <w:rPr>
                <w:lang w:eastAsia="zh-CN"/>
              </w:rPr>
              <w:t>atelier de Nairobi. L</w:t>
            </w:r>
            <w:r w:rsidRPr="00B733D7">
              <w:rPr>
                <w:lang w:eastAsia="zh-CN"/>
              </w:rPr>
              <w:t>'</w:t>
            </w:r>
            <w:r w:rsidR="00E74F5D" w:rsidRPr="00B733D7">
              <w:rPr>
                <w:lang w:eastAsia="zh-CN"/>
              </w:rPr>
              <w:t>Union africaine des télécommunications a aidé ces administrations à créer des fiches de notification et à les soumettre au Bureau de l</w:t>
            </w:r>
            <w:r w:rsidRPr="00B733D7">
              <w:rPr>
                <w:lang w:eastAsia="zh-CN"/>
              </w:rPr>
              <w:t>'</w:t>
            </w:r>
            <w:r w:rsidR="00E74F5D" w:rsidRPr="00B733D7">
              <w:rPr>
                <w:lang w:eastAsia="zh-CN"/>
              </w:rPr>
              <w:t>UIT-R avant la date limite du 21</w:t>
            </w:r>
            <w:r w:rsidR="00B733D7" w:rsidRPr="00B733D7">
              <w:rPr>
                <w:lang w:eastAsia="zh-CN"/>
              </w:rPr>
              <w:t> </w:t>
            </w:r>
            <w:r w:rsidR="00E74F5D" w:rsidRPr="00B733D7">
              <w:rPr>
                <w:lang w:eastAsia="zh-CN"/>
              </w:rPr>
              <w:t>mai</w:t>
            </w:r>
            <w:r w:rsidR="00B733D7" w:rsidRPr="00B733D7">
              <w:rPr>
                <w:lang w:eastAsia="zh-CN"/>
              </w:rPr>
              <w:t> </w:t>
            </w:r>
            <w:r w:rsidR="00E74F5D" w:rsidRPr="00B733D7">
              <w:rPr>
                <w:lang w:eastAsia="zh-CN"/>
              </w:rPr>
              <w:t>2020. Cependant, deux administrations africaines, à savoir la Guinée équatoriale et l</w:t>
            </w:r>
            <w:r w:rsidRPr="00B733D7">
              <w:rPr>
                <w:lang w:eastAsia="zh-CN"/>
              </w:rPr>
              <w:t>'</w:t>
            </w:r>
            <w:r w:rsidR="00E74F5D" w:rsidRPr="00B733D7">
              <w:rPr>
                <w:lang w:eastAsia="zh-CN"/>
              </w:rPr>
              <w:t>Union des Comores, n</w:t>
            </w:r>
            <w:r w:rsidRPr="00B733D7">
              <w:rPr>
                <w:lang w:eastAsia="zh-CN"/>
              </w:rPr>
              <w:t>'</w:t>
            </w:r>
            <w:r w:rsidR="00E74F5D" w:rsidRPr="00B733D7">
              <w:rPr>
                <w:lang w:eastAsia="zh-CN"/>
              </w:rPr>
              <w:t>ont pas respecté cette date limite.</w:t>
            </w:r>
          </w:p>
          <w:p w14:paraId="6DA0C6C3" w14:textId="77777777" w:rsidR="00E74F5D" w:rsidRPr="00B733D7" w:rsidRDefault="00B60862" w:rsidP="00B60862">
            <w:pPr>
              <w:pStyle w:val="enumlev1"/>
              <w:spacing w:before="120"/>
              <w:rPr>
                <w:lang w:eastAsia="zh-CN"/>
              </w:rPr>
            </w:pPr>
            <w:r w:rsidRPr="00B733D7">
              <w:rPr>
                <w:lang w:eastAsia="zh-CN"/>
              </w:rPr>
              <w:t>–</w:t>
            </w:r>
            <w:r w:rsidRPr="00B733D7">
              <w:rPr>
                <w:lang w:eastAsia="zh-CN"/>
              </w:rPr>
              <w:tab/>
            </w:r>
            <w:r w:rsidR="00E74F5D" w:rsidRPr="00B733D7">
              <w:rPr>
                <w:lang w:eastAsia="zh-CN"/>
              </w:rPr>
              <w:t>Les soumissions au titre de la Résolution 559 (CMR-19) visent à remplacer les assignations figurant dans le Plan du SRS ayant subi une dégradation, de sorte qu</w:t>
            </w:r>
            <w:r w:rsidRPr="00B733D7">
              <w:rPr>
                <w:lang w:eastAsia="zh-CN"/>
              </w:rPr>
              <w:t>'</w:t>
            </w:r>
            <w:r w:rsidR="00E74F5D" w:rsidRPr="00B733D7">
              <w:rPr>
                <w:lang w:eastAsia="zh-CN"/>
              </w:rPr>
              <w:t xml:space="preserve">aucun droit ne devrait être appliqué au titre du recouvrement des coûts. </w:t>
            </w:r>
          </w:p>
          <w:p w14:paraId="4BF61057" w14:textId="77777777" w:rsidR="00E74F5D" w:rsidRPr="00B733D7" w:rsidRDefault="00E74F5D" w:rsidP="00B60862">
            <w:pPr>
              <w:spacing w:before="120" w:after="120" w:line="240" w:lineRule="auto"/>
              <w:jc w:val="left"/>
              <w:rPr>
                <w:szCs w:val="24"/>
                <w:lang w:eastAsia="zh-CN"/>
              </w:rPr>
            </w:pPr>
            <w:r w:rsidRPr="00B733D7">
              <w:rPr>
                <w:szCs w:val="24"/>
                <w:lang w:eastAsia="zh-CN"/>
              </w:rPr>
              <w:t xml:space="preserve">En raison des préoccupations évoquées ci-dessus, une contribution élaborée par trente (30) pays </w:t>
            </w:r>
            <w:r w:rsidR="00B733D7" w:rsidRPr="00B733D7">
              <w:rPr>
                <w:szCs w:val="24"/>
                <w:lang w:eastAsia="zh-CN"/>
              </w:rPr>
              <w:t>africains a été soumise à la 83ème</w:t>
            </w:r>
            <w:r w:rsidRPr="00B733D7">
              <w:rPr>
                <w:szCs w:val="24"/>
                <w:lang w:eastAsia="zh-CN"/>
              </w:rPr>
              <w:t xml:space="preserve"> réunion du Comité du Règlement des radiocommunications (RRB), qui s</w:t>
            </w:r>
            <w:r w:rsidR="00B60862" w:rsidRPr="00B733D7">
              <w:rPr>
                <w:szCs w:val="24"/>
                <w:lang w:eastAsia="zh-CN"/>
              </w:rPr>
              <w:t>'</w:t>
            </w:r>
            <w:r w:rsidRPr="00B733D7">
              <w:rPr>
                <w:szCs w:val="24"/>
                <w:lang w:eastAsia="zh-CN"/>
              </w:rPr>
              <w:t>est tenue le 25 mars 2020. Les participants à la réunion du RRB ont pris note des préoccupations exprimées et ont pris les décisions indiquées dans le résumé des décisions de cette réunion</w:t>
            </w:r>
            <w:r w:rsidR="00B733D7" w:rsidRPr="00B733D7">
              <w:rPr>
                <w:szCs w:val="24"/>
                <w:lang w:eastAsia="zh-CN"/>
              </w:rPr>
              <w:t>.</w:t>
            </w:r>
          </w:p>
          <w:p w14:paraId="39DDA9DB" w14:textId="77777777" w:rsidR="00ED4F28" w:rsidRPr="00B733D7" w:rsidRDefault="00ED4F28" w:rsidP="00B733D7">
            <w:pPr>
              <w:pStyle w:val="Headingb"/>
              <w:rPr>
                <w:szCs w:val="28"/>
                <w:lang w:eastAsia="zh-CN"/>
              </w:rPr>
            </w:pPr>
            <w:r w:rsidRPr="00B733D7">
              <w:t>Marche à suivre proposée</w:t>
            </w:r>
          </w:p>
          <w:p w14:paraId="07C9FEA5" w14:textId="77777777" w:rsidR="00E74F5D" w:rsidRPr="00B733D7" w:rsidRDefault="00E74F5D" w:rsidP="00B60862">
            <w:pPr>
              <w:overflowPunct/>
              <w:spacing w:before="120" w:after="120" w:line="240" w:lineRule="auto"/>
              <w:jc w:val="left"/>
              <w:textAlignment w:val="auto"/>
              <w:rPr>
                <w:szCs w:val="24"/>
                <w:lang w:eastAsia="zh-CN"/>
              </w:rPr>
            </w:pPr>
            <w:r w:rsidRPr="00B733D7">
              <w:rPr>
                <w:szCs w:val="24"/>
                <w:lang w:eastAsia="zh-CN"/>
              </w:rPr>
              <w:t>Afin que les préoccupations susmentionnées soient prises en considération, les Administrations cosignataires du présent document demandent au Conseil:</w:t>
            </w:r>
          </w:p>
          <w:p w14:paraId="6B3AA960" w14:textId="77777777" w:rsidR="00E74F5D" w:rsidRPr="00B733D7" w:rsidRDefault="00B733D7" w:rsidP="00B60862">
            <w:pPr>
              <w:overflowPunct/>
              <w:spacing w:before="120" w:after="120" w:line="240" w:lineRule="auto"/>
              <w:jc w:val="left"/>
              <w:textAlignment w:val="auto"/>
              <w:rPr>
                <w:szCs w:val="24"/>
                <w:lang w:eastAsia="zh-CN"/>
              </w:rPr>
            </w:pPr>
            <w:r w:rsidRPr="00B733D7">
              <w:rPr>
                <w:szCs w:val="24"/>
                <w:lang w:eastAsia="zh-CN"/>
              </w:rPr>
              <w:t>D</w:t>
            </w:r>
            <w:r w:rsidR="00E74F5D" w:rsidRPr="00B733D7">
              <w:rPr>
                <w:szCs w:val="24"/>
                <w:lang w:eastAsia="zh-CN"/>
              </w:rPr>
              <w:t>e faire figurer dans le procès-verbal de la réunion du Conseil le texte suivant:</w:t>
            </w:r>
          </w:p>
          <w:p w14:paraId="4480B2DF" w14:textId="6FF6F516" w:rsidR="00E74F5D" w:rsidRPr="00B733D7" w:rsidRDefault="00B733D7" w:rsidP="00B733D7">
            <w:pPr>
              <w:keepNext/>
              <w:keepLines/>
              <w:overflowPunct/>
              <w:spacing w:before="120" w:after="120" w:line="240" w:lineRule="auto"/>
              <w:jc w:val="left"/>
              <w:textAlignment w:val="auto"/>
              <w:rPr>
                <w:i/>
                <w:szCs w:val="24"/>
                <w:lang w:eastAsia="zh-CN"/>
              </w:rPr>
            </w:pPr>
            <w:r w:rsidRPr="00B733D7">
              <w:rPr>
                <w:i/>
                <w:szCs w:val="24"/>
                <w:lang w:eastAsia="zh-CN"/>
              </w:rPr>
              <w:t>"</w:t>
            </w:r>
            <w:r w:rsidR="00E74F5D" w:rsidRPr="00B733D7">
              <w:rPr>
                <w:i/>
                <w:szCs w:val="24"/>
                <w:lang w:eastAsia="zh-CN"/>
              </w:rPr>
              <w:t>Lors de la consultation virtuelle tenue du 9 au 15 juin 2020, le Conseil a examiné et salué les efforts considérables déployés par le Bureau des radiocommunications de l</w:t>
            </w:r>
            <w:r w:rsidR="00B60862" w:rsidRPr="00B733D7">
              <w:rPr>
                <w:i/>
                <w:szCs w:val="24"/>
                <w:lang w:eastAsia="zh-CN"/>
              </w:rPr>
              <w:t>'</w:t>
            </w:r>
            <w:r w:rsidR="00E74F5D" w:rsidRPr="00B733D7">
              <w:rPr>
                <w:i/>
                <w:szCs w:val="24"/>
                <w:lang w:eastAsia="zh-CN"/>
              </w:rPr>
              <w:t xml:space="preserve">UIT pour aider les </w:t>
            </w:r>
            <w:r w:rsidR="005524F0" w:rsidRPr="00B733D7">
              <w:rPr>
                <w:i/>
                <w:szCs w:val="24"/>
                <w:lang w:eastAsia="zh-CN"/>
              </w:rPr>
              <w:lastRenderedPageBreak/>
              <w:t>A</w:t>
            </w:r>
            <w:r w:rsidR="00E74F5D" w:rsidRPr="00B733D7">
              <w:rPr>
                <w:i/>
                <w:szCs w:val="24"/>
                <w:lang w:eastAsia="zh-CN"/>
              </w:rPr>
              <w:t xml:space="preserve">dministrations de la Région 1 concernées par la Résolution 559 à identifier des créneaux orbitaux et des bandes de fréquences appropriés (dénommés ci-après soumissions au titre de la Résolution 559), afin de remplacer les assignations affectées figurant dans le Plan pour le service de radiodiffusion par satellite </w:t>
            </w:r>
            <w:r w:rsidRPr="00B733D7">
              <w:rPr>
                <w:i/>
                <w:szCs w:val="24"/>
                <w:lang w:eastAsia="zh-CN"/>
              </w:rPr>
              <w:t>des Appendices 30 et 30A.</w:t>
            </w:r>
          </w:p>
          <w:p w14:paraId="185AFD8A" w14:textId="77777777" w:rsidR="00E74F5D" w:rsidRPr="00B733D7" w:rsidRDefault="00E74F5D" w:rsidP="00B60862">
            <w:pPr>
              <w:overflowPunct/>
              <w:spacing w:before="120" w:after="120" w:line="240" w:lineRule="auto"/>
              <w:jc w:val="left"/>
              <w:textAlignment w:val="auto"/>
              <w:rPr>
                <w:i/>
                <w:szCs w:val="24"/>
                <w:lang w:eastAsia="zh-CN"/>
              </w:rPr>
            </w:pPr>
            <w:r w:rsidRPr="00B733D7">
              <w:rPr>
                <w:i/>
                <w:szCs w:val="24"/>
                <w:lang w:eastAsia="zh-CN"/>
              </w:rPr>
              <w:t xml:space="preserve">Le Conseil a pris note des préoccupations soumises par les administrations assujetties aux dispositions de la Résolution 559 (CMR-19) à </w:t>
            </w:r>
            <w:r w:rsidR="00B733D7" w:rsidRPr="00B733D7">
              <w:rPr>
                <w:i/>
                <w:szCs w:val="24"/>
                <w:lang w:eastAsia="zh-CN"/>
              </w:rPr>
              <w:t>la 83ème</w:t>
            </w:r>
            <w:r w:rsidRPr="00B733D7">
              <w:rPr>
                <w:i/>
                <w:szCs w:val="24"/>
                <w:lang w:eastAsia="zh-CN"/>
              </w:rPr>
              <w:t xml:space="preserve"> réunion du Comité du Règlement des radiocommunications tenue le 25 mars 2020, en particulier de la question des soumissions présentées au titre du § 4.1.12 des Appendices 30 et 30A, dans le cas où les soumissions connexes au titre du § 4.1.3 desdits Appendices risquent d</w:t>
            </w:r>
            <w:r w:rsidR="00B60862" w:rsidRPr="00B733D7">
              <w:rPr>
                <w:i/>
                <w:szCs w:val="24"/>
                <w:lang w:eastAsia="zh-CN"/>
              </w:rPr>
              <w:t>'</w:t>
            </w:r>
            <w:r w:rsidRPr="00B733D7">
              <w:rPr>
                <w:i/>
                <w:szCs w:val="24"/>
                <w:lang w:eastAsia="zh-CN"/>
              </w:rPr>
              <w:t>entraîner une dégradation des niveaux de la MPE associés aux soumissions présentées conformément à la Résolution 559</w:t>
            </w:r>
            <w:r w:rsidR="00B733D7" w:rsidRPr="00B733D7">
              <w:rPr>
                <w:i/>
                <w:szCs w:val="24"/>
                <w:lang w:eastAsia="zh-CN"/>
              </w:rPr>
              <w:t>.</w:t>
            </w:r>
          </w:p>
          <w:p w14:paraId="75BD5984" w14:textId="77777777" w:rsidR="00E74F5D" w:rsidRPr="00B733D7" w:rsidRDefault="00E74F5D" w:rsidP="00B60862">
            <w:pPr>
              <w:overflowPunct/>
              <w:spacing w:before="120" w:after="120" w:line="240" w:lineRule="auto"/>
              <w:jc w:val="left"/>
              <w:textAlignment w:val="auto"/>
              <w:rPr>
                <w:i/>
                <w:szCs w:val="24"/>
                <w:lang w:eastAsia="zh-CN"/>
              </w:rPr>
            </w:pPr>
            <w:r w:rsidRPr="00B733D7">
              <w:rPr>
                <w:i/>
                <w:szCs w:val="24"/>
                <w:lang w:eastAsia="zh-CN"/>
              </w:rPr>
              <w:t>Le Conseil a pris note des mesures adoptées par le RRB en ce qui concerne les préoccupations visées ci-dessus, telles qu</w:t>
            </w:r>
            <w:r w:rsidR="00B60862" w:rsidRPr="00B733D7">
              <w:rPr>
                <w:i/>
                <w:szCs w:val="24"/>
                <w:lang w:eastAsia="zh-CN"/>
              </w:rPr>
              <w:t>'</w:t>
            </w:r>
            <w:r w:rsidRPr="00B733D7">
              <w:rPr>
                <w:i/>
                <w:szCs w:val="24"/>
                <w:lang w:eastAsia="zh-CN"/>
              </w:rPr>
              <w:t>elles figurent dans le résumé des décisions de cette réunion.</w:t>
            </w:r>
          </w:p>
          <w:p w14:paraId="7C201A9B" w14:textId="72A6D0E2" w:rsidR="00E74F5D" w:rsidRPr="00B733D7" w:rsidRDefault="00E74F5D" w:rsidP="00B60862">
            <w:pPr>
              <w:overflowPunct/>
              <w:spacing w:before="120" w:after="120" w:line="240" w:lineRule="auto"/>
              <w:jc w:val="left"/>
              <w:textAlignment w:val="auto"/>
              <w:rPr>
                <w:i/>
                <w:szCs w:val="24"/>
                <w:lang w:eastAsia="zh-CN"/>
              </w:rPr>
            </w:pPr>
            <w:r w:rsidRPr="00B733D7">
              <w:rPr>
                <w:i/>
                <w:szCs w:val="24"/>
                <w:lang w:eastAsia="zh-CN"/>
              </w:rPr>
              <w:t xml:space="preserve">Étant donné que la Résolution 559 (CMR-19) offre une occasion unique aux </w:t>
            </w:r>
            <w:r w:rsidR="00E676FF" w:rsidRPr="00B733D7">
              <w:rPr>
                <w:i/>
                <w:szCs w:val="24"/>
                <w:lang w:eastAsia="zh-CN"/>
              </w:rPr>
              <w:t>A</w:t>
            </w:r>
            <w:r w:rsidRPr="00B733D7">
              <w:rPr>
                <w:i/>
                <w:szCs w:val="24"/>
                <w:lang w:eastAsia="zh-CN"/>
              </w:rPr>
              <w:t xml:space="preserve">dministrations de la Région 1 </w:t>
            </w:r>
            <w:r w:rsidR="00B733D7" w:rsidRPr="00B733D7">
              <w:rPr>
                <w:i/>
                <w:szCs w:val="24"/>
                <w:lang w:eastAsia="zh-CN"/>
              </w:rPr>
              <w:t>d'obtenir</w:t>
            </w:r>
            <w:r w:rsidRPr="00B733D7">
              <w:rPr>
                <w:i/>
                <w:szCs w:val="24"/>
                <w:lang w:eastAsia="zh-CN"/>
              </w:rPr>
              <w:t xml:space="preserve"> des assignations</w:t>
            </w:r>
            <w:r w:rsidRPr="00B733D7">
              <w:rPr>
                <w:szCs w:val="24"/>
                <w:lang w:eastAsia="zh-CN"/>
              </w:rPr>
              <w:t xml:space="preserve"> </w:t>
            </w:r>
            <w:r w:rsidRPr="00B733D7">
              <w:rPr>
                <w:i/>
                <w:szCs w:val="24"/>
                <w:lang w:eastAsia="zh-CN"/>
              </w:rPr>
              <w:t>dans les Appendices 30 et 30A pour couvrir leur territoire national, le Conseil charge le Bureau des radiocommunications:</w:t>
            </w:r>
          </w:p>
          <w:p w14:paraId="76A99DAC" w14:textId="3DDC3646" w:rsidR="00E74F5D" w:rsidRPr="00B733D7" w:rsidRDefault="00B60862" w:rsidP="00B733D7">
            <w:pPr>
              <w:pStyle w:val="enumlev1"/>
              <w:rPr>
                <w:rFonts w:eastAsia="Calibri"/>
                <w:i/>
              </w:rPr>
            </w:pPr>
            <w:r w:rsidRPr="00B733D7">
              <w:rPr>
                <w:i/>
              </w:rPr>
              <w:t>1)</w:t>
            </w:r>
            <w:r w:rsidRPr="00B733D7">
              <w:rPr>
                <w:i/>
              </w:rPr>
              <w:tab/>
            </w:r>
            <w:r w:rsidR="002467A8">
              <w:rPr>
                <w:i/>
              </w:rPr>
              <w:t>D</w:t>
            </w:r>
            <w:r w:rsidR="00E74F5D" w:rsidRPr="00B733D7">
              <w:rPr>
                <w:rFonts w:eastAsia="Calibri"/>
                <w:i/>
              </w:rPr>
              <w:t>e prendre les mesures nécessaires pour donner suite aux préoccupations soulevées ci-dessus lors de la mise en œuvre des soumissions au titre de la</w:t>
            </w:r>
            <w:r w:rsidR="00E74F5D" w:rsidRPr="00B733D7">
              <w:rPr>
                <w:i/>
              </w:rPr>
              <w:t xml:space="preserve"> </w:t>
            </w:r>
            <w:r w:rsidR="00E74F5D" w:rsidRPr="00B733D7">
              <w:rPr>
                <w:rFonts w:eastAsia="Calibri"/>
                <w:i/>
              </w:rPr>
              <w:t>Résolution 559</w:t>
            </w:r>
            <w:r w:rsidR="002467A8">
              <w:rPr>
                <w:i/>
              </w:rPr>
              <w:t>.</w:t>
            </w:r>
          </w:p>
          <w:p w14:paraId="6412C8F1" w14:textId="0C47B475" w:rsidR="00E74F5D" w:rsidRPr="00B733D7" w:rsidRDefault="00B60862" w:rsidP="00B733D7">
            <w:pPr>
              <w:pStyle w:val="enumlev1"/>
              <w:rPr>
                <w:rFonts w:eastAsia="Calibri"/>
                <w:i/>
              </w:rPr>
            </w:pPr>
            <w:r w:rsidRPr="00B733D7">
              <w:rPr>
                <w:i/>
              </w:rPr>
              <w:t>2)</w:t>
            </w:r>
            <w:r w:rsidRPr="00B733D7">
              <w:rPr>
                <w:i/>
              </w:rPr>
              <w:tab/>
            </w:r>
            <w:r w:rsidR="002467A8">
              <w:rPr>
                <w:i/>
              </w:rPr>
              <w:t>D</w:t>
            </w:r>
            <w:r w:rsidR="00E74F5D" w:rsidRPr="00B733D7">
              <w:rPr>
                <w:rFonts w:eastAsia="Calibri"/>
                <w:i/>
              </w:rPr>
              <w:t>e n</w:t>
            </w:r>
            <w:r w:rsidRPr="00B733D7">
              <w:rPr>
                <w:i/>
              </w:rPr>
              <w:t>'</w:t>
            </w:r>
            <w:r w:rsidR="00E74F5D" w:rsidRPr="00B733D7">
              <w:rPr>
                <w:rFonts w:eastAsia="Calibri"/>
                <w:i/>
              </w:rPr>
              <w:t>appliquer aucun droit au titre du recouvrement des coûts pour toutes les soumissions au titre de la</w:t>
            </w:r>
            <w:r w:rsidR="00E74F5D" w:rsidRPr="00B733D7">
              <w:rPr>
                <w:i/>
              </w:rPr>
              <w:t xml:space="preserve"> </w:t>
            </w:r>
            <w:r w:rsidR="00E74F5D" w:rsidRPr="00B733D7">
              <w:rPr>
                <w:rFonts w:eastAsia="Calibri"/>
                <w:i/>
              </w:rPr>
              <w:t>Résolution 559 (CMR-19)</w:t>
            </w:r>
            <w:r w:rsidR="00E74F5D" w:rsidRPr="00B733D7">
              <w:rPr>
                <w:i/>
              </w:rPr>
              <w:t xml:space="preserve"> </w:t>
            </w:r>
            <w:r w:rsidR="00E74F5D" w:rsidRPr="00B733D7">
              <w:rPr>
                <w:rFonts w:eastAsia="Calibri"/>
                <w:i/>
              </w:rPr>
              <w:t>(soumissions au titre de la</w:t>
            </w:r>
            <w:r w:rsidR="00E74F5D" w:rsidRPr="00B733D7">
              <w:rPr>
                <w:i/>
              </w:rPr>
              <w:t xml:space="preserve"> </w:t>
            </w:r>
            <w:r w:rsidR="00E74F5D" w:rsidRPr="00B733D7">
              <w:rPr>
                <w:rFonts w:eastAsia="Calibri"/>
                <w:i/>
              </w:rPr>
              <w:t>Partie A</w:t>
            </w:r>
            <w:r w:rsidR="00E74F5D" w:rsidRPr="00B733D7">
              <w:rPr>
                <w:i/>
              </w:rPr>
              <w:t>,</w:t>
            </w:r>
            <w:r w:rsidR="00E74F5D" w:rsidRPr="00B733D7">
              <w:rPr>
                <w:rFonts w:eastAsia="Calibri"/>
                <w:i/>
              </w:rPr>
              <w:t xml:space="preserve"> soumissions au titre de la</w:t>
            </w:r>
            <w:r w:rsidR="00E74F5D" w:rsidRPr="00B733D7">
              <w:rPr>
                <w:i/>
              </w:rPr>
              <w:t xml:space="preserve"> </w:t>
            </w:r>
            <w:r w:rsidR="00E74F5D" w:rsidRPr="00B733D7">
              <w:rPr>
                <w:rFonts w:eastAsia="Calibri"/>
                <w:i/>
              </w:rPr>
              <w:t>Partie B et</w:t>
            </w:r>
            <w:r w:rsidR="00E74F5D" w:rsidRPr="00B733D7">
              <w:rPr>
                <w:i/>
              </w:rPr>
              <w:t xml:space="preserve"> </w:t>
            </w:r>
            <w:r w:rsidR="00E74F5D" w:rsidRPr="00B733D7">
              <w:rPr>
                <w:rFonts w:eastAsia="Calibri"/>
                <w:i/>
              </w:rPr>
              <w:t>inclusion dans le</w:t>
            </w:r>
            <w:r w:rsidR="00093321">
              <w:rPr>
                <w:rFonts w:eastAsia="Calibri"/>
                <w:i/>
              </w:rPr>
              <w:t xml:space="preserve"> plan)</w:t>
            </w:r>
            <w:r w:rsidR="002467A8">
              <w:rPr>
                <w:rFonts w:eastAsia="Calibri"/>
                <w:i/>
              </w:rPr>
              <w:t>.</w:t>
            </w:r>
          </w:p>
          <w:p w14:paraId="3FB3B053" w14:textId="76CF1216" w:rsidR="00E74F5D" w:rsidRPr="00B733D7" w:rsidRDefault="00B60862" w:rsidP="00B733D7">
            <w:pPr>
              <w:pStyle w:val="enumlev1"/>
              <w:rPr>
                <w:rFonts w:eastAsia="Calibri"/>
                <w:i/>
              </w:rPr>
            </w:pPr>
            <w:r w:rsidRPr="00B733D7">
              <w:rPr>
                <w:i/>
              </w:rPr>
              <w:t>3)</w:t>
            </w:r>
            <w:r w:rsidRPr="00B733D7">
              <w:rPr>
                <w:i/>
              </w:rPr>
              <w:tab/>
            </w:r>
            <w:r w:rsidR="002467A8">
              <w:rPr>
                <w:i/>
              </w:rPr>
              <w:t>D</w:t>
            </w:r>
            <w:r w:rsidRPr="00B733D7">
              <w:rPr>
                <w:i/>
              </w:rPr>
              <w:t>'</w:t>
            </w:r>
            <w:r w:rsidR="00E74F5D" w:rsidRPr="00B733D7">
              <w:rPr>
                <w:rFonts w:eastAsia="Calibri"/>
                <w:i/>
              </w:rPr>
              <w:t>appliquer les mêmes mesures que celles qui sont décrites au § 2</w:t>
            </w:r>
            <w:r w:rsidR="00E74F5D" w:rsidRPr="00B733D7">
              <w:rPr>
                <w:i/>
              </w:rPr>
              <w:t xml:space="preserve"> </w:t>
            </w:r>
            <w:r w:rsidR="00E74F5D" w:rsidRPr="00B733D7">
              <w:rPr>
                <w:rFonts w:eastAsia="Calibri"/>
                <w:i/>
              </w:rPr>
              <w:t>ci-dessus aux autres soumissions, en vue de remplacer les assignations</w:t>
            </w:r>
            <w:r w:rsidR="00E74F5D" w:rsidRPr="00B733D7">
              <w:rPr>
                <w:i/>
              </w:rPr>
              <w:t xml:space="preserve"> figurant dans le Plan du SRS qui ont subi une dégradation, telles </w:t>
            </w:r>
            <w:r w:rsidR="00B733D7" w:rsidRPr="00B733D7">
              <w:rPr>
                <w:i/>
              </w:rPr>
              <w:t>qu'identifiées</w:t>
            </w:r>
            <w:r w:rsidR="00E74F5D" w:rsidRPr="00B733D7">
              <w:rPr>
                <w:i/>
              </w:rPr>
              <w:t xml:space="preserve"> sur la base des critères énoncés au </w:t>
            </w:r>
            <w:r w:rsidR="00E74F5D" w:rsidRPr="00B733D7">
              <w:rPr>
                <w:rFonts w:eastAsia="Calibri"/>
                <w:i/>
              </w:rPr>
              <w:t>§</w:t>
            </w:r>
            <w:r w:rsidR="00B733D7" w:rsidRPr="00B733D7">
              <w:rPr>
                <w:i/>
              </w:rPr>
              <w:t xml:space="preserve"> </w:t>
            </w:r>
            <w:r w:rsidR="00E74F5D" w:rsidRPr="00B733D7">
              <w:rPr>
                <w:rFonts w:eastAsia="Calibri"/>
                <w:i/>
              </w:rPr>
              <w:t>1 de la Pièce jointe à la</w:t>
            </w:r>
            <w:r w:rsidR="00E74F5D" w:rsidRPr="00B733D7">
              <w:rPr>
                <w:i/>
              </w:rPr>
              <w:t xml:space="preserve"> </w:t>
            </w:r>
            <w:r w:rsidR="00E74F5D" w:rsidRPr="00B733D7">
              <w:rPr>
                <w:rFonts w:eastAsia="Calibri"/>
                <w:i/>
              </w:rPr>
              <w:t>Résolution 559 (CMR</w:t>
            </w:r>
            <w:r w:rsidR="00093321">
              <w:rPr>
                <w:rFonts w:eastAsia="Calibri"/>
                <w:i/>
              </w:rPr>
              <w:t>-19)</w:t>
            </w:r>
            <w:r w:rsidR="002467A8">
              <w:rPr>
                <w:rFonts w:eastAsia="Calibri"/>
                <w:i/>
              </w:rPr>
              <w:t>.</w:t>
            </w:r>
          </w:p>
          <w:p w14:paraId="6B8033C5" w14:textId="70977FCF" w:rsidR="00ED4F28" w:rsidRPr="00B733D7" w:rsidRDefault="00B733D7" w:rsidP="00E676FF">
            <w:pPr>
              <w:pStyle w:val="enumlev1"/>
              <w:spacing w:after="120"/>
              <w:rPr>
                <w:szCs w:val="24"/>
                <w:lang w:eastAsia="zh-CN"/>
              </w:rPr>
            </w:pPr>
            <w:r w:rsidRPr="00B733D7">
              <w:rPr>
                <w:i/>
              </w:rPr>
              <w:t>4)</w:t>
            </w:r>
            <w:r w:rsidRPr="00B733D7">
              <w:rPr>
                <w:i/>
              </w:rPr>
              <w:tab/>
            </w:r>
            <w:r w:rsidR="002467A8">
              <w:rPr>
                <w:i/>
              </w:rPr>
              <w:t>D</w:t>
            </w:r>
            <w:r w:rsidR="00E74F5D" w:rsidRPr="00B733D7">
              <w:rPr>
                <w:rFonts w:eastAsia="Calibri"/>
                <w:i/>
              </w:rPr>
              <w:t>e trouver, à la demande des administrations affectées, une position</w:t>
            </w:r>
            <w:r w:rsidR="00E74F5D" w:rsidRPr="00B733D7">
              <w:rPr>
                <w:i/>
              </w:rPr>
              <w:t xml:space="preserve"> </w:t>
            </w:r>
            <w:r w:rsidRPr="00B733D7">
              <w:rPr>
                <w:rFonts w:eastAsia="Calibri"/>
                <w:i/>
              </w:rPr>
              <w:t>orbitale</w:t>
            </w:r>
            <w:r w:rsidR="00E74F5D" w:rsidRPr="00B733D7">
              <w:rPr>
                <w:rFonts w:eastAsia="Calibri"/>
                <w:i/>
              </w:rPr>
              <w:t>/bande</w:t>
            </w:r>
            <w:r w:rsidR="00E74F5D" w:rsidRPr="00B733D7">
              <w:rPr>
                <w:i/>
              </w:rPr>
              <w:t xml:space="preserve"> </w:t>
            </w:r>
            <w:r w:rsidR="00E74F5D" w:rsidRPr="00B733D7">
              <w:rPr>
                <w:rFonts w:eastAsia="Calibri"/>
                <w:i/>
              </w:rPr>
              <w:t>de fréquences appropriée</w:t>
            </w:r>
            <w:r w:rsidR="00E74F5D" w:rsidRPr="00B733D7">
              <w:rPr>
                <w:i/>
              </w:rPr>
              <w:t xml:space="preserve"> </w:t>
            </w:r>
            <w:r w:rsidR="00E74F5D" w:rsidRPr="00B733D7">
              <w:rPr>
                <w:rFonts w:eastAsia="Calibri"/>
                <w:i/>
              </w:rPr>
              <w:t>et de traiter les données associées</w:t>
            </w:r>
            <w:r w:rsidR="00E74F5D" w:rsidRPr="00B733D7">
              <w:rPr>
                <w:i/>
              </w:rPr>
              <w:t xml:space="preserve"> de l</w:t>
            </w:r>
            <w:r w:rsidR="00B60862" w:rsidRPr="00B733D7">
              <w:rPr>
                <w:i/>
              </w:rPr>
              <w:t>'</w:t>
            </w:r>
            <w:r w:rsidR="00E74F5D" w:rsidRPr="00B733D7">
              <w:rPr>
                <w:i/>
              </w:rPr>
              <w:t xml:space="preserve">Appendice </w:t>
            </w:r>
            <w:r w:rsidR="00E74F5D" w:rsidRPr="00B733D7">
              <w:rPr>
                <w:rFonts w:eastAsia="Calibri"/>
                <w:i/>
              </w:rPr>
              <w:t>4 émanant des pays absents</w:t>
            </w:r>
            <w:r w:rsidR="00E74F5D" w:rsidRPr="00B733D7">
              <w:rPr>
                <w:i/>
              </w:rPr>
              <w:t xml:space="preserve"> </w:t>
            </w:r>
            <w:r w:rsidR="00E74F5D" w:rsidRPr="00B733D7">
              <w:rPr>
                <w:rFonts w:eastAsia="Calibri"/>
                <w:i/>
              </w:rPr>
              <w:t>(pays n</w:t>
            </w:r>
            <w:r w:rsidR="00B60862" w:rsidRPr="00B733D7">
              <w:rPr>
                <w:i/>
              </w:rPr>
              <w:t>'</w:t>
            </w:r>
            <w:r w:rsidR="00E74F5D" w:rsidRPr="00B733D7">
              <w:rPr>
                <w:rFonts w:eastAsia="Calibri"/>
                <w:i/>
              </w:rPr>
              <w:t>ayant pas répondu</w:t>
            </w:r>
            <w:r w:rsidRPr="00B733D7">
              <w:rPr>
                <w:rFonts w:eastAsia="Calibri"/>
                <w:i/>
              </w:rPr>
              <w:t>/</w:t>
            </w:r>
            <w:r w:rsidR="00E74F5D" w:rsidRPr="00B733D7">
              <w:rPr>
                <w:rFonts w:eastAsia="Calibri"/>
                <w:i/>
              </w:rPr>
              <w:t>n</w:t>
            </w:r>
            <w:r w:rsidR="00B60862" w:rsidRPr="00B733D7">
              <w:rPr>
                <w:i/>
              </w:rPr>
              <w:t>'</w:t>
            </w:r>
            <w:r w:rsidR="00E74F5D" w:rsidRPr="00B733D7">
              <w:rPr>
                <w:rFonts w:eastAsia="Calibri"/>
                <w:i/>
              </w:rPr>
              <w:t>ayant pas envoyé</w:t>
            </w:r>
            <w:r w:rsidR="00E74F5D" w:rsidRPr="00B733D7">
              <w:rPr>
                <w:i/>
              </w:rPr>
              <w:t xml:space="preserve"> </w:t>
            </w:r>
            <w:r w:rsidR="00E74F5D" w:rsidRPr="00B733D7">
              <w:rPr>
                <w:rFonts w:eastAsia="Calibri"/>
                <w:i/>
              </w:rPr>
              <w:t xml:space="preserve">les données de </w:t>
            </w:r>
            <w:r w:rsidR="00E74F5D" w:rsidRPr="00B733D7">
              <w:rPr>
                <w:i/>
              </w:rPr>
              <w:t>l</w:t>
            </w:r>
            <w:r w:rsidR="00B60862" w:rsidRPr="00B733D7">
              <w:rPr>
                <w:i/>
              </w:rPr>
              <w:t>'</w:t>
            </w:r>
            <w:r w:rsidR="00E74F5D" w:rsidRPr="00B733D7">
              <w:rPr>
                <w:i/>
              </w:rPr>
              <w:t xml:space="preserve">Appendice </w:t>
            </w:r>
            <w:r w:rsidR="00E74F5D" w:rsidRPr="00B733D7">
              <w:rPr>
                <w:rFonts w:eastAsia="Calibri"/>
                <w:i/>
              </w:rPr>
              <w:t>4)</w:t>
            </w:r>
            <w:r w:rsidR="00E74F5D" w:rsidRPr="00B733D7">
              <w:rPr>
                <w:i/>
              </w:rPr>
              <w:t>,</w:t>
            </w:r>
            <w:r w:rsidR="00E74F5D" w:rsidRPr="00B733D7">
              <w:rPr>
                <w:rFonts w:eastAsia="Calibri"/>
                <w:i/>
              </w:rPr>
              <w:t xml:space="preserve"> de façon, d</w:t>
            </w:r>
            <w:r w:rsidR="00B60862" w:rsidRPr="00B733D7">
              <w:rPr>
                <w:i/>
              </w:rPr>
              <w:t>'</w:t>
            </w:r>
            <w:r w:rsidR="00E74F5D" w:rsidRPr="00B733D7">
              <w:rPr>
                <w:rFonts w:eastAsia="Calibri"/>
                <w:i/>
              </w:rPr>
              <w:t>une part,</w:t>
            </w:r>
            <w:r w:rsidR="00E74F5D" w:rsidRPr="00B733D7">
              <w:rPr>
                <w:i/>
              </w:rPr>
              <w:t xml:space="preserve"> </w:t>
            </w:r>
            <w:r w:rsidR="00E74F5D" w:rsidRPr="00B733D7">
              <w:rPr>
                <w:rFonts w:eastAsia="Calibri"/>
                <w:i/>
              </w:rPr>
              <w:t>à préserver le droit</w:t>
            </w:r>
            <w:r w:rsidR="00E74F5D" w:rsidRPr="00B733D7">
              <w:rPr>
                <w:i/>
              </w:rPr>
              <w:t xml:space="preserve"> </w:t>
            </w:r>
            <w:r w:rsidR="00E74F5D" w:rsidRPr="00B733D7">
              <w:rPr>
                <w:rFonts w:eastAsia="Calibri"/>
                <w:i/>
              </w:rPr>
              <w:t>qui est le leur</w:t>
            </w:r>
            <w:r w:rsidR="00E74F5D" w:rsidRPr="00B733D7">
              <w:rPr>
                <w:i/>
              </w:rPr>
              <w:t xml:space="preserve"> </w:t>
            </w:r>
            <w:r w:rsidR="00E74F5D" w:rsidRPr="00B733D7">
              <w:rPr>
                <w:rFonts w:eastAsia="Calibri"/>
                <w:i/>
              </w:rPr>
              <w:t>de bénéficier d</w:t>
            </w:r>
            <w:r w:rsidR="00B60862" w:rsidRPr="00B733D7">
              <w:rPr>
                <w:i/>
              </w:rPr>
              <w:t>'</w:t>
            </w:r>
            <w:r w:rsidR="00E74F5D" w:rsidRPr="00B733D7">
              <w:rPr>
                <w:rFonts w:eastAsia="Calibri"/>
                <w:i/>
              </w:rPr>
              <w:t>assignations garanties dans les Plans</w:t>
            </w:r>
            <w:r w:rsidR="00E74F5D" w:rsidRPr="00B733D7">
              <w:rPr>
                <w:i/>
              </w:rPr>
              <w:t xml:space="preserve"> pour le SRS et les liaisons de connexion associées du SRS et, d</w:t>
            </w:r>
            <w:r w:rsidR="00B60862" w:rsidRPr="00B733D7">
              <w:rPr>
                <w:i/>
              </w:rPr>
              <w:t>'</w:t>
            </w:r>
            <w:r w:rsidR="00E74F5D" w:rsidRPr="00B733D7">
              <w:rPr>
                <w:i/>
              </w:rPr>
              <w:t>autre part, à maintenir l</w:t>
            </w:r>
            <w:r w:rsidR="00B60862" w:rsidRPr="00B733D7">
              <w:rPr>
                <w:i/>
              </w:rPr>
              <w:t>'</w:t>
            </w:r>
            <w:r w:rsidR="00E74F5D" w:rsidRPr="00B733D7">
              <w:rPr>
                <w:i/>
              </w:rPr>
              <w:t>intégrité</w:t>
            </w:r>
            <w:r w:rsidR="00E74F5D" w:rsidRPr="00B733D7">
              <w:rPr>
                <w:rFonts w:eastAsia="Calibri"/>
                <w:i/>
              </w:rPr>
              <w:t xml:space="preserve"> de la </w:t>
            </w:r>
            <w:r w:rsidR="00E74F5D" w:rsidRPr="00B733D7">
              <w:rPr>
                <w:i/>
              </w:rPr>
              <w:t>replanification</w:t>
            </w:r>
            <w:r w:rsidR="00E74F5D" w:rsidRPr="00B733D7">
              <w:rPr>
                <w:rFonts w:eastAsia="Calibri"/>
                <w:i/>
              </w:rPr>
              <w:t xml:space="preserve"> effectuée</w:t>
            </w:r>
            <w:r w:rsidR="00E74F5D" w:rsidRPr="00B733D7">
              <w:rPr>
                <w:i/>
              </w:rPr>
              <w:t xml:space="preserve"> </w:t>
            </w:r>
            <w:r w:rsidR="00E74F5D" w:rsidRPr="00B733D7">
              <w:rPr>
                <w:rFonts w:eastAsia="Calibri"/>
                <w:i/>
              </w:rPr>
              <w:t>par le Bureau</w:t>
            </w:r>
            <w:r w:rsidR="00E74F5D" w:rsidRPr="00B733D7">
              <w:rPr>
                <w:i/>
              </w:rPr>
              <w:t xml:space="preserve"> </w:t>
            </w:r>
            <w:r w:rsidR="00E74F5D" w:rsidRPr="00B733D7">
              <w:rPr>
                <w:rFonts w:eastAsia="Calibri"/>
                <w:i/>
              </w:rPr>
              <w:t>à l</w:t>
            </w:r>
            <w:r w:rsidR="00B60862" w:rsidRPr="00B733D7">
              <w:rPr>
                <w:i/>
              </w:rPr>
              <w:t>'</w:t>
            </w:r>
            <w:r w:rsidR="00E74F5D" w:rsidRPr="00B733D7">
              <w:rPr>
                <w:rFonts w:eastAsia="Calibri"/>
                <w:i/>
              </w:rPr>
              <w:t>issue d</w:t>
            </w:r>
            <w:r w:rsidR="00B60862" w:rsidRPr="00B733D7">
              <w:rPr>
                <w:i/>
              </w:rPr>
              <w:t>'</w:t>
            </w:r>
            <w:r w:rsidR="00E74F5D" w:rsidRPr="00B733D7">
              <w:rPr>
                <w:rFonts w:eastAsia="Calibri"/>
                <w:i/>
              </w:rPr>
              <w:t>efforts nombreux et intenses</w:t>
            </w:r>
            <w:r w:rsidR="00E74F5D" w:rsidRPr="00B733D7">
              <w:rPr>
                <w:i/>
              </w:rPr>
              <w:t>, d</w:t>
            </w:r>
            <w:r w:rsidR="00B60862" w:rsidRPr="00B733D7">
              <w:rPr>
                <w:i/>
              </w:rPr>
              <w:t>'</w:t>
            </w:r>
            <w:r w:rsidR="00E74F5D" w:rsidRPr="00B733D7">
              <w:rPr>
                <w:i/>
              </w:rPr>
              <w:t xml:space="preserve">une manière harmonisée, cohérente et coordonnée. Ces soumissions seront considérées comme reçues le 21 mai </w:t>
            </w:r>
            <w:r w:rsidR="00E74F5D" w:rsidRPr="00B733D7">
              <w:rPr>
                <w:rFonts w:eastAsia="Calibri"/>
                <w:i/>
              </w:rPr>
              <w:t>2020.</w:t>
            </w:r>
            <w:r w:rsidRPr="00B733D7">
              <w:rPr>
                <w:rFonts w:eastAsia="Calibri"/>
                <w:i/>
              </w:rPr>
              <w:t>"</w:t>
            </w:r>
          </w:p>
        </w:tc>
      </w:tr>
      <w:bookmarkEnd w:id="2"/>
    </w:tbl>
    <w:p w14:paraId="62004674" w14:textId="77777777" w:rsidR="00B60862" w:rsidRPr="00B733D7" w:rsidRDefault="00B60862" w:rsidP="00411C49">
      <w:pPr>
        <w:pStyle w:val="Reasons"/>
      </w:pPr>
    </w:p>
    <w:p w14:paraId="3F9BAC9A" w14:textId="77777777" w:rsidR="00B60862" w:rsidRPr="00B733D7" w:rsidRDefault="00B60862">
      <w:pPr>
        <w:jc w:val="center"/>
      </w:pPr>
      <w:r w:rsidRPr="00B733D7">
        <w:t>______________</w:t>
      </w:r>
    </w:p>
    <w:p w14:paraId="52396F54" w14:textId="77777777" w:rsidR="009C353C" w:rsidRPr="00B733D7" w:rsidRDefault="009C353C" w:rsidP="00B60862">
      <w:pPr>
        <w:jc w:val="left"/>
      </w:pPr>
    </w:p>
    <w:sectPr w:rsidR="009C353C" w:rsidRPr="00B733D7"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6DDF" w14:textId="77777777" w:rsidR="00E74F5D" w:rsidRDefault="00E74F5D">
      <w:r>
        <w:separator/>
      </w:r>
    </w:p>
  </w:endnote>
  <w:endnote w:type="continuationSeparator" w:id="0">
    <w:p w14:paraId="074B509F" w14:textId="77777777" w:rsidR="00E74F5D" w:rsidRDefault="00E7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2F4B" w14:textId="77777777" w:rsidR="00732045" w:rsidRDefault="002467A8">
    <w:pPr>
      <w:pStyle w:val="Footer"/>
    </w:pPr>
    <w:r>
      <w:fldChar w:fldCharType="begin"/>
    </w:r>
    <w:r>
      <w:instrText xml:space="preserve"> FILENAME \p \* MERGEFORMAT </w:instrText>
    </w:r>
    <w:r>
      <w:fldChar w:fldCharType="separate"/>
    </w:r>
    <w:r w:rsidR="00E74F5D">
      <w:t>Document1</w:t>
    </w:r>
    <w:r>
      <w:fldChar w:fldCharType="end"/>
    </w:r>
    <w:r w:rsidR="00732045">
      <w:tab/>
    </w:r>
    <w:r w:rsidR="002F1B76">
      <w:fldChar w:fldCharType="begin"/>
    </w:r>
    <w:r w:rsidR="00732045">
      <w:instrText xml:space="preserve"> savedate \@ dd.MM.yy </w:instrText>
    </w:r>
    <w:r w:rsidR="002F1B76">
      <w:fldChar w:fldCharType="separate"/>
    </w:r>
    <w:r w:rsidR="005524F0">
      <w:t>03.06.20</w:t>
    </w:r>
    <w:r w:rsidR="002F1B76">
      <w:fldChar w:fldCharType="end"/>
    </w:r>
    <w:r w:rsidR="00732045">
      <w:tab/>
    </w:r>
    <w:r w:rsidR="002F1B76">
      <w:fldChar w:fldCharType="begin"/>
    </w:r>
    <w:r w:rsidR="00732045">
      <w:instrText xml:space="preserve"> printdate \@ dd.MM.yy </w:instrText>
    </w:r>
    <w:r w:rsidR="002F1B76">
      <w:fldChar w:fldCharType="separate"/>
    </w:r>
    <w:r w:rsidR="00E74F5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E3975" w14:textId="77777777" w:rsidR="00732045" w:rsidRDefault="002467A8">
    <w:pPr>
      <w:pStyle w:val="Footer"/>
    </w:pPr>
    <w:r>
      <w:fldChar w:fldCharType="begin"/>
    </w:r>
    <w:r>
      <w:instrText xml:space="preserve"> FILENAME \p \* MERGEFORMAT </w:instrText>
    </w:r>
    <w:r>
      <w:fldChar w:fldCharType="separate"/>
    </w:r>
    <w:r w:rsidR="00B60862">
      <w:t>P:\FRA\SG\CONSEIL\VC\000\011F.docx</w:t>
    </w:r>
    <w:r>
      <w:fldChar w:fldCharType="end"/>
    </w:r>
    <w:r w:rsidR="00B60862">
      <w:t xml:space="preserve"> (471864)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63F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1D79A" w14:textId="77777777" w:rsidR="00E74F5D" w:rsidRDefault="00E74F5D">
      <w:r>
        <w:t>____________________</w:t>
      </w:r>
    </w:p>
  </w:footnote>
  <w:footnote w:type="continuationSeparator" w:id="0">
    <w:p w14:paraId="2A95AE29" w14:textId="77777777" w:rsidR="00E74F5D" w:rsidRDefault="00E7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CBA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AD6E08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CD0B" w14:textId="77777777" w:rsidR="00732045" w:rsidRDefault="00C27A7C" w:rsidP="00475FB3">
    <w:pPr>
      <w:pStyle w:val="Header"/>
    </w:pPr>
    <w:r>
      <w:fldChar w:fldCharType="begin"/>
    </w:r>
    <w:r>
      <w:instrText>PAGE</w:instrText>
    </w:r>
    <w:r>
      <w:fldChar w:fldCharType="separate"/>
    </w:r>
    <w:r w:rsidR="00093321">
      <w:rPr>
        <w:noProof/>
      </w:rPr>
      <w:t>3</w:t>
    </w:r>
    <w:r>
      <w:rPr>
        <w:noProof/>
      </w:rPr>
      <w:fldChar w:fldCharType="end"/>
    </w:r>
  </w:p>
  <w:p w14:paraId="07E1D925" w14:textId="77777777" w:rsidR="00732045" w:rsidRDefault="00ED4F28" w:rsidP="00106B19">
    <w:pPr>
      <w:pStyle w:val="Header"/>
    </w:pPr>
    <w:r>
      <w:t>VC</w:t>
    </w:r>
    <w:r w:rsidR="00B60862">
      <w:t>/11</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A04"/>
    <w:multiLevelType w:val="hybridMultilevel"/>
    <w:tmpl w:val="91B2C606"/>
    <w:lvl w:ilvl="0" w:tplc="72AA615A">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47FEA"/>
    <w:multiLevelType w:val="hybridMultilevel"/>
    <w:tmpl w:val="2FA88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28"/>
    <w:rsid w:val="00093321"/>
    <w:rsid w:val="000D0D0A"/>
    <w:rsid w:val="00103163"/>
    <w:rsid w:val="00106B19"/>
    <w:rsid w:val="00115D93"/>
    <w:rsid w:val="001247A8"/>
    <w:rsid w:val="001378C0"/>
    <w:rsid w:val="0018694A"/>
    <w:rsid w:val="001A3287"/>
    <w:rsid w:val="001A6508"/>
    <w:rsid w:val="001D4C31"/>
    <w:rsid w:val="001E4D21"/>
    <w:rsid w:val="00207CD1"/>
    <w:rsid w:val="002467A8"/>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524F0"/>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60862"/>
    <w:rsid w:val="00B61619"/>
    <w:rsid w:val="00B733D7"/>
    <w:rsid w:val="00BB4545"/>
    <w:rsid w:val="00BD5873"/>
    <w:rsid w:val="00C04BE3"/>
    <w:rsid w:val="00C25D29"/>
    <w:rsid w:val="00C27136"/>
    <w:rsid w:val="00C27A7C"/>
    <w:rsid w:val="00CA08ED"/>
    <w:rsid w:val="00CF183B"/>
    <w:rsid w:val="00D375CD"/>
    <w:rsid w:val="00D553A2"/>
    <w:rsid w:val="00D774D3"/>
    <w:rsid w:val="00D904E8"/>
    <w:rsid w:val="00DA08C3"/>
    <w:rsid w:val="00DB5A3E"/>
    <w:rsid w:val="00DC22AA"/>
    <w:rsid w:val="00DF74DD"/>
    <w:rsid w:val="00E25AD0"/>
    <w:rsid w:val="00E676FF"/>
    <w:rsid w:val="00E74F5D"/>
    <w:rsid w:val="00EB6350"/>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51C9B"/>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7/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C-0027/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31</TotalTime>
  <Pages>3</Pages>
  <Words>1034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Gozel, Elsa</dc:creator>
  <cp:keywords>VC</cp:keywords>
  <dc:description/>
  <cp:lastModifiedBy>French</cp:lastModifiedBy>
  <cp:revision>6</cp:revision>
  <cp:lastPrinted>2000-07-18T08:55:00Z</cp:lastPrinted>
  <dcterms:created xsi:type="dcterms:W3CDTF">2020-06-03T12:08:00Z</dcterms:created>
  <dcterms:modified xsi:type="dcterms:W3CDTF">2020-06-03T12:53:00Z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