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91DB8" w14:paraId="061034A5" w14:textId="77777777">
        <w:trPr>
          <w:cantSplit/>
        </w:trPr>
        <w:tc>
          <w:tcPr>
            <w:tcW w:w="6912" w:type="dxa"/>
          </w:tcPr>
          <w:p w14:paraId="5817485E" w14:textId="46969910" w:rsidR="00520F36" w:rsidRPr="00991DB8" w:rsidRDefault="00F21D60" w:rsidP="00E25E60">
            <w:pPr>
              <w:spacing w:before="360"/>
              <w:rPr>
                <w:sz w:val="26"/>
                <w:szCs w:val="26"/>
              </w:rPr>
            </w:pPr>
            <w:r w:rsidRPr="00991DB8">
              <w:rPr>
                <w:b/>
                <w:bCs/>
                <w:sz w:val="26"/>
                <w:szCs w:val="26"/>
              </w:rPr>
              <w:t xml:space="preserve">Seconde consultation virtuelle des Conseillers </w:t>
            </w:r>
            <w:r w:rsidRPr="00991DB8">
              <w:rPr>
                <w:b/>
                <w:bCs/>
                <w:sz w:val="26"/>
                <w:szCs w:val="26"/>
              </w:rPr>
              <w:br/>
              <w:t>débutant le 16 novembre 2020</w:t>
            </w:r>
          </w:p>
        </w:tc>
        <w:tc>
          <w:tcPr>
            <w:tcW w:w="3261" w:type="dxa"/>
          </w:tcPr>
          <w:p w14:paraId="1040191D" w14:textId="77777777" w:rsidR="00520F36" w:rsidRPr="00991DB8" w:rsidRDefault="009C353C" w:rsidP="00E25E60">
            <w:pPr>
              <w:spacing w:before="0"/>
            </w:pPr>
            <w:bookmarkStart w:id="0" w:name="ditulogo"/>
            <w:bookmarkEnd w:id="0"/>
            <w:r w:rsidRPr="00991DB8">
              <w:rPr>
                <w:noProof/>
                <w:lang w:val="en-US"/>
              </w:rPr>
              <w:drawing>
                <wp:inline distT="0" distB="0" distL="0" distR="0" wp14:anchorId="48A9F90F" wp14:editId="3BC47DF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91DB8" w14:paraId="47DB4DC9" w14:textId="77777777" w:rsidTr="00EF41DD">
        <w:trPr>
          <w:cantSplit/>
          <w:trHeight w:val="20"/>
        </w:trPr>
        <w:tc>
          <w:tcPr>
            <w:tcW w:w="6912" w:type="dxa"/>
            <w:tcBorders>
              <w:bottom w:val="single" w:sz="12" w:space="0" w:color="auto"/>
            </w:tcBorders>
            <w:vAlign w:val="center"/>
          </w:tcPr>
          <w:p w14:paraId="36C05FE1" w14:textId="77777777" w:rsidR="00520F36" w:rsidRPr="00991DB8" w:rsidRDefault="00520F36" w:rsidP="00E25E60">
            <w:pPr>
              <w:spacing w:before="0"/>
              <w:rPr>
                <w:b/>
                <w:bCs/>
                <w:sz w:val="26"/>
                <w:szCs w:val="26"/>
              </w:rPr>
            </w:pPr>
          </w:p>
        </w:tc>
        <w:tc>
          <w:tcPr>
            <w:tcW w:w="3261" w:type="dxa"/>
            <w:tcBorders>
              <w:bottom w:val="single" w:sz="12" w:space="0" w:color="auto"/>
            </w:tcBorders>
          </w:tcPr>
          <w:p w14:paraId="0D2B0E96" w14:textId="77777777" w:rsidR="00520F36" w:rsidRPr="00991DB8" w:rsidRDefault="00520F36" w:rsidP="00E25E60">
            <w:pPr>
              <w:spacing w:before="0"/>
              <w:rPr>
                <w:b/>
                <w:bCs/>
              </w:rPr>
            </w:pPr>
          </w:p>
        </w:tc>
      </w:tr>
      <w:tr w:rsidR="00520F36" w:rsidRPr="00991DB8" w14:paraId="60045A01" w14:textId="77777777">
        <w:trPr>
          <w:cantSplit/>
          <w:trHeight w:val="20"/>
        </w:trPr>
        <w:tc>
          <w:tcPr>
            <w:tcW w:w="6912" w:type="dxa"/>
            <w:tcBorders>
              <w:top w:val="single" w:sz="12" w:space="0" w:color="auto"/>
            </w:tcBorders>
          </w:tcPr>
          <w:p w14:paraId="4343E1D3" w14:textId="77777777" w:rsidR="00520F36" w:rsidRPr="00991DB8" w:rsidRDefault="00520F36" w:rsidP="00E25E60">
            <w:pPr>
              <w:spacing w:before="0"/>
              <w:rPr>
                <w:smallCaps/>
                <w:sz w:val="22"/>
              </w:rPr>
            </w:pPr>
          </w:p>
        </w:tc>
        <w:tc>
          <w:tcPr>
            <w:tcW w:w="3261" w:type="dxa"/>
            <w:tcBorders>
              <w:top w:val="single" w:sz="12" w:space="0" w:color="auto"/>
            </w:tcBorders>
          </w:tcPr>
          <w:p w14:paraId="1E3B3246" w14:textId="77777777" w:rsidR="00520F36" w:rsidRPr="00991DB8" w:rsidRDefault="00520F36" w:rsidP="00E25E60">
            <w:pPr>
              <w:spacing w:before="0"/>
              <w:rPr>
                <w:b/>
                <w:bCs/>
              </w:rPr>
            </w:pPr>
          </w:p>
        </w:tc>
      </w:tr>
      <w:tr w:rsidR="00520F36" w:rsidRPr="00991DB8" w14:paraId="42EC7FB3" w14:textId="77777777">
        <w:trPr>
          <w:cantSplit/>
          <w:trHeight w:val="20"/>
        </w:trPr>
        <w:tc>
          <w:tcPr>
            <w:tcW w:w="6912" w:type="dxa"/>
            <w:vMerge w:val="restart"/>
          </w:tcPr>
          <w:p w14:paraId="21FDC982" w14:textId="77777777" w:rsidR="00520F36" w:rsidRPr="00991DB8" w:rsidRDefault="00520F36" w:rsidP="00E25E60">
            <w:pPr>
              <w:spacing w:before="0"/>
              <w:rPr>
                <w:rFonts w:cs="Times"/>
                <w:b/>
                <w:bCs/>
                <w:szCs w:val="24"/>
              </w:rPr>
            </w:pPr>
            <w:bookmarkStart w:id="1" w:name="dnum" w:colFirst="1" w:colLast="1"/>
            <w:bookmarkStart w:id="2" w:name="dmeeting" w:colFirst="0" w:colLast="0"/>
          </w:p>
        </w:tc>
        <w:tc>
          <w:tcPr>
            <w:tcW w:w="3261" w:type="dxa"/>
          </w:tcPr>
          <w:p w14:paraId="20283E58" w14:textId="271C5BA8" w:rsidR="00520F36" w:rsidRPr="00991DB8" w:rsidRDefault="00F21D60" w:rsidP="00E25E60">
            <w:pPr>
              <w:spacing w:before="0"/>
              <w:rPr>
                <w:b/>
                <w:bCs/>
              </w:rPr>
            </w:pPr>
            <w:r w:rsidRPr="00991DB8">
              <w:rPr>
                <w:b/>
                <w:bCs/>
              </w:rPr>
              <w:t>Document VC2/3-F</w:t>
            </w:r>
          </w:p>
        </w:tc>
      </w:tr>
      <w:tr w:rsidR="00520F36" w:rsidRPr="00991DB8" w14:paraId="6BAB670C" w14:textId="77777777">
        <w:trPr>
          <w:cantSplit/>
          <w:trHeight w:val="20"/>
        </w:trPr>
        <w:tc>
          <w:tcPr>
            <w:tcW w:w="6912" w:type="dxa"/>
            <w:vMerge/>
          </w:tcPr>
          <w:p w14:paraId="05EBC5AE" w14:textId="77777777" w:rsidR="00520F36" w:rsidRPr="00991DB8" w:rsidRDefault="00520F36" w:rsidP="00E25E60">
            <w:pPr>
              <w:shd w:val="solid" w:color="FFFFFF" w:fill="FFFFFF"/>
              <w:spacing w:before="180"/>
              <w:rPr>
                <w:smallCaps/>
              </w:rPr>
            </w:pPr>
            <w:bookmarkStart w:id="3" w:name="ddate" w:colFirst="1" w:colLast="1"/>
            <w:bookmarkEnd w:id="1"/>
            <w:bookmarkEnd w:id="2"/>
          </w:p>
        </w:tc>
        <w:tc>
          <w:tcPr>
            <w:tcW w:w="3261" w:type="dxa"/>
          </w:tcPr>
          <w:p w14:paraId="410B5AE9" w14:textId="2BED9EA7" w:rsidR="00520F36" w:rsidRPr="00991DB8" w:rsidRDefault="00F21D60" w:rsidP="00E25E60">
            <w:pPr>
              <w:spacing w:before="0"/>
              <w:rPr>
                <w:b/>
                <w:bCs/>
              </w:rPr>
            </w:pPr>
            <w:r w:rsidRPr="00991DB8">
              <w:rPr>
                <w:b/>
                <w:bCs/>
              </w:rPr>
              <w:t>31 octobre 2020</w:t>
            </w:r>
          </w:p>
        </w:tc>
      </w:tr>
      <w:tr w:rsidR="00520F36" w:rsidRPr="00991DB8" w14:paraId="35E2E241" w14:textId="77777777">
        <w:trPr>
          <w:cantSplit/>
          <w:trHeight w:val="20"/>
        </w:trPr>
        <w:tc>
          <w:tcPr>
            <w:tcW w:w="6912" w:type="dxa"/>
            <w:vMerge/>
          </w:tcPr>
          <w:p w14:paraId="299D1F5D" w14:textId="77777777" w:rsidR="00520F36" w:rsidRPr="00991DB8" w:rsidRDefault="00520F36" w:rsidP="00E25E60">
            <w:pPr>
              <w:shd w:val="solid" w:color="FFFFFF" w:fill="FFFFFF"/>
              <w:spacing w:before="180"/>
              <w:rPr>
                <w:smallCaps/>
              </w:rPr>
            </w:pPr>
            <w:bookmarkStart w:id="4" w:name="dorlang" w:colFirst="1" w:colLast="1"/>
            <w:bookmarkEnd w:id="3"/>
          </w:p>
        </w:tc>
        <w:tc>
          <w:tcPr>
            <w:tcW w:w="3261" w:type="dxa"/>
          </w:tcPr>
          <w:p w14:paraId="0BC8EAC3" w14:textId="77777777" w:rsidR="00520F36" w:rsidRPr="00991DB8" w:rsidRDefault="00520F36" w:rsidP="00E25E60">
            <w:pPr>
              <w:spacing w:before="0"/>
              <w:rPr>
                <w:b/>
                <w:bCs/>
              </w:rPr>
            </w:pPr>
            <w:r w:rsidRPr="00991DB8">
              <w:rPr>
                <w:b/>
                <w:bCs/>
              </w:rPr>
              <w:t>Original: anglais</w:t>
            </w:r>
          </w:p>
        </w:tc>
      </w:tr>
      <w:tr w:rsidR="00520F36" w:rsidRPr="00991DB8" w14:paraId="3819DF13" w14:textId="77777777">
        <w:trPr>
          <w:cantSplit/>
        </w:trPr>
        <w:tc>
          <w:tcPr>
            <w:tcW w:w="10173" w:type="dxa"/>
            <w:gridSpan w:val="2"/>
          </w:tcPr>
          <w:p w14:paraId="5C0E9FEB" w14:textId="31437D42" w:rsidR="00520F36" w:rsidRPr="00991DB8" w:rsidRDefault="00F21D60" w:rsidP="00EE7891">
            <w:pPr>
              <w:pStyle w:val="Source"/>
              <w:spacing w:before="720"/>
            </w:pPr>
            <w:bookmarkStart w:id="5" w:name="dsource" w:colFirst="0" w:colLast="0"/>
            <w:bookmarkEnd w:id="4"/>
            <w:r w:rsidRPr="00991DB8">
              <w:t>Rapport du Secrétaire général</w:t>
            </w:r>
          </w:p>
        </w:tc>
      </w:tr>
      <w:tr w:rsidR="00520F36" w:rsidRPr="00991DB8" w14:paraId="4BF4036B" w14:textId="77777777">
        <w:trPr>
          <w:cantSplit/>
        </w:trPr>
        <w:tc>
          <w:tcPr>
            <w:tcW w:w="10173" w:type="dxa"/>
            <w:gridSpan w:val="2"/>
          </w:tcPr>
          <w:p w14:paraId="538FBA89" w14:textId="6FE0899A" w:rsidR="00520F36" w:rsidRPr="00991DB8" w:rsidRDefault="00F95748" w:rsidP="00E25E60">
            <w:pPr>
              <w:pStyle w:val="Title1"/>
            </w:pPr>
            <w:bookmarkStart w:id="6" w:name="dtitle1" w:colFirst="0" w:colLast="0"/>
            <w:bookmarkEnd w:id="5"/>
            <w:r w:rsidRPr="00991DB8">
              <w:t>p</w:t>
            </w:r>
            <w:r w:rsidR="00320708" w:rsidRPr="00991DB8">
              <w:t>LAN</w:t>
            </w:r>
            <w:r w:rsidRPr="00991DB8">
              <w:t xml:space="preserve"> pour la continuitÉ des travaux </w:t>
            </w:r>
            <w:r w:rsidR="00535DA9" w:rsidRPr="00991DB8">
              <w:t>de l'uit-t</w:t>
            </w:r>
            <w:r w:rsidRPr="00991DB8">
              <w:br/>
              <w:t>jusqu'À l'amnt prÉvue en fÉvrier/mars 202</w:t>
            </w:r>
            <w:r w:rsidR="006D0B8B" w:rsidRPr="00991DB8">
              <w:t>2</w:t>
            </w:r>
          </w:p>
        </w:tc>
      </w:tr>
      <w:bookmarkEnd w:id="6"/>
    </w:tbl>
    <w:p w14:paraId="6B33FE0E" w14:textId="77777777" w:rsidR="00520F36" w:rsidRPr="00991DB8" w:rsidRDefault="00520F36" w:rsidP="00E25E6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91DB8" w14:paraId="0BE1A61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4A6454A" w14:textId="77777777" w:rsidR="00520F36" w:rsidRPr="00991DB8" w:rsidRDefault="00520F36" w:rsidP="00E25E60">
            <w:pPr>
              <w:pStyle w:val="Headingb"/>
            </w:pPr>
            <w:r w:rsidRPr="00991DB8">
              <w:t>Résumé</w:t>
            </w:r>
          </w:p>
          <w:p w14:paraId="39BCF86E" w14:textId="1C32499A" w:rsidR="00520F36" w:rsidRPr="00991DB8" w:rsidRDefault="00F95748" w:rsidP="00E25E60">
            <w:r w:rsidRPr="00991DB8">
              <w:t xml:space="preserve">Compte tenu de la contribution soumise par l'Inde (Document VC2/2) à la seconde consultation virtuelle des Conseillers, dans laquelle il est proposé de reporter l'AMNT pour qu'elle se tienne du 1er au 11 mars 2022, précédée du Colloque mondial sur la normalisation (GSS) le 28 février 2022, le présent document fournit des orientations et des éléments de référence </w:t>
            </w:r>
            <w:r w:rsidR="00C842B4" w:rsidRPr="00991DB8">
              <w:t xml:space="preserve">sur le processus visant à assurer la continuité </w:t>
            </w:r>
            <w:r w:rsidR="00320708" w:rsidRPr="00991DB8">
              <w:t xml:space="preserve">des travaux et la stabilité </w:t>
            </w:r>
            <w:r w:rsidR="00C842B4" w:rsidRPr="00991DB8">
              <w:t>du Secteur de l'UIT-T.</w:t>
            </w:r>
          </w:p>
          <w:p w14:paraId="219377EB" w14:textId="77777777" w:rsidR="00520F36" w:rsidRPr="00991DB8" w:rsidRDefault="00520F36" w:rsidP="00E25E60">
            <w:pPr>
              <w:pStyle w:val="Headingb"/>
            </w:pPr>
            <w:r w:rsidRPr="00991DB8">
              <w:t>Suite à donner</w:t>
            </w:r>
          </w:p>
          <w:p w14:paraId="316C31B0" w14:textId="670A2EAA" w:rsidR="00520F36" w:rsidRPr="00991DB8" w:rsidRDefault="00112189" w:rsidP="00E25E60">
            <w:r w:rsidRPr="00991DB8">
              <w:t xml:space="preserve">Le Conseil est invité à </w:t>
            </w:r>
            <w:r w:rsidRPr="00991DB8">
              <w:rPr>
                <w:b/>
                <w:bCs/>
              </w:rPr>
              <w:t>prendre note</w:t>
            </w:r>
            <w:r w:rsidRPr="00991DB8">
              <w:t xml:space="preserve"> du présent document.</w:t>
            </w:r>
          </w:p>
          <w:p w14:paraId="1EBAF313" w14:textId="77777777" w:rsidR="00520F36" w:rsidRPr="00991DB8" w:rsidRDefault="00520F36" w:rsidP="00E25E60">
            <w:pPr>
              <w:pStyle w:val="Table"/>
              <w:keepNext w:val="0"/>
              <w:spacing w:before="0" w:after="0"/>
              <w:rPr>
                <w:rFonts w:ascii="Calibri" w:hAnsi="Calibri"/>
                <w:caps w:val="0"/>
                <w:sz w:val="22"/>
                <w:lang w:val="fr-FR"/>
              </w:rPr>
            </w:pPr>
            <w:r w:rsidRPr="00991DB8">
              <w:rPr>
                <w:rFonts w:ascii="Calibri" w:hAnsi="Calibri"/>
                <w:caps w:val="0"/>
                <w:sz w:val="22"/>
                <w:lang w:val="fr-FR"/>
              </w:rPr>
              <w:t>____________</w:t>
            </w:r>
          </w:p>
          <w:p w14:paraId="050BD3FB" w14:textId="77777777" w:rsidR="00520F36" w:rsidRPr="00991DB8" w:rsidRDefault="00520F36" w:rsidP="00E25E60">
            <w:pPr>
              <w:pStyle w:val="Headingb"/>
            </w:pPr>
            <w:r w:rsidRPr="00991DB8">
              <w:t>Références</w:t>
            </w:r>
          </w:p>
          <w:p w14:paraId="13BE702A" w14:textId="5C3884E2" w:rsidR="00520F36" w:rsidRPr="00991DB8" w:rsidRDefault="00C842B4" w:rsidP="00E25E60">
            <w:pPr>
              <w:spacing w:after="120"/>
            </w:pPr>
            <w:r w:rsidRPr="00991DB8">
              <w:t>Document du Conseil</w:t>
            </w:r>
            <w:r w:rsidR="00F21D60" w:rsidRPr="00991DB8">
              <w:t xml:space="preserve"> </w:t>
            </w:r>
            <w:hyperlink r:id="rId8" w:history="1">
              <w:r w:rsidR="00F21D60" w:rsidRPr="00991DB8">
                <w:rPr>
                  <w:rStyle w:val="Hyperlink"/>
                </w:rPr>
                <w:t>C20/24 (R</w:t>
              </w:r>
              <w:r w:rsidRPr="00991DB8">
                <w:rPr>
                  <w:rStyle w:val="Hyperlink"/>
                </w:rPr>
                <w:t>é</w:t>
              </w:r>
              <w:r w:rsidR="00F21D60" w:rsidRPr="00991DB8">
                <w:rPr>
                  <w:rStyle w:val="Hyperlink"/>
                </w:rPr>
                <w:t>v.1)</w:t>
              </w:r>
            </w:hyperlink>
            <w:r w:rsidR="00F21D60" w:rsidRPr="00991DB8">
              <w:t>,</w:t>
            </w:r>
            <w:r w:rsidR="003D3F12" w:rsidRPr="00991DB8">
              <w:t xml:space="preserve"> Document</w:t>
            </w:r>
            <w:r w:rsidR="00F21D60" w:rsidRPr="00991DB8">
              <w:t xml:space="preserve"> </w:t>
            </w:r>
            <w:hyperlink r:id="rId9" w:history="1">
              <w:r w:rsidR="00F21D60" w:rsidRPr="00991DB8">
                <w:rPr>
                  <w:rStyle w:val="Hyperlink"/>
                </w:rPr>
                <w:t>VC2/2</w:t>
              </w:r>
            </w:hyperlink>
          </w:p>
        </w:tc>
      </w:tr>
    </w:tbl>
    <w:p w14:paraId="0EF3482F" w14:textId="26EC173F" w:rsidR="00F21D60" w:rsidRPr="00991DB8" w:rsidRDefault="000C56EA" w:rsidP="00E25E60">
      <w:pPr>
        <w:spacing w:before="360"/>
      </w:pPr>
      <w:r w:rsidRPr="00991DB8">
        <w:t xml:space="preserve">Compte tenu de la contribution soumise par l'Inde (Document </w:t>
      </w:r>
      <w:hyperlink r:id="rId10" w:history="1">
        <w:r w:rsidR="00320708" w:rsidRPr="00991DB8">
          <w:rPr>
            <w:rStyle w:val="Hyperlink"/>
            <w:spacing w:val="-2"/>
          </w:rPr>
          <w:t>VC2/2</w:t>
        </w:r>
      </w:hyperlink>
      <w:r w:rsidR="00EE7891">
        <w:t>) à la seconde consultation </w:t>
      </w:r>
      <w:r w:rsidRPr="00991DB8">
        <w:t>virtuelle des Conseillers, dans laquelle il est proposé de reporter l</w:t>
      </w:r>
      <w:r w:rsidR="00EE7891">
        <w:t>'AMNT pour qu'elle se tienne du </w:t>
      </w:r>
      <w:r w:rsidRPr="00991DB8">
        <w:t xml:space="preserve">1er au 11 mars 2022, précédée du Colloque mondial sur la normalisation (GSS) le 28 février 2022, </w:t>
      </w:r>
      <w:r w:rsidR="003E766E" w:rsidRPr="00991DB8">
        <w:t xml:space="preserve">et </w:t>
      </w:r>
      <w:r w:rsidR="000A68E7" w:rsidRPr="00991DB8">
        <w:t>afin</w:t>
      </w:r>
      <w:r w:rsidR="003E766E" w:rsidRPr="00991DB8">
        <w:t xml:space="preserve"> d'assurer la continuité des travaux et la stabilité du Secteur de l'UIT-T, </w:t>
      </w:r>
      <w:r w:rsidRPr="00991DB8">
        <w:t xml:space="preserve">le </w:t>
      </w:r>
      <w:r w:rsidR="000A68E7" w:rsidRPr="00991DB8">
        <w:t>s</w:t>
      </w:r>
      <w:r w:rsidRPr="00991DB8">
        <w:t xml:space="preserve">ecrétariat a élaboré les orientations et les éléments de référence </w:t>
      </w:r>
      <w:r w:rsidR="000A68E7" w:rsidRPr="00991DB8">
        <w:t>ci-après</w:t>
      </w:r>
      <w:r w:rsidR="003E766E" w:rsidRPr="00991DB8">
        <w:t xml:space="preserve">, </w:t>
      </w:r>
      <w:r w:rsidR="000A68E7" w:rsidRPr="00991DB8">
        <w:t xml:space="preserve">pour </w:t>
      </w:r>
      <w:r w:rsidRPr="00991DB8">
        <w:t>examen</w:t>
      </w:r>
      <w:r w:rsidR="000A68E7" w:rsidRPr="00991DB8">
        <w:t xml:space="preserve"> par les membres</w:t>
      </w:r>
      <w:r w:rsidRPr="00991DB8">
        <w:t>:</w:t>
      </w:r>
    </w:p>
    <w:p w14:paraId="2624E700" w14:textId="19544EEF" w:rsidR="00F21D60" w:rsidRPr="00991DB8" w:rsidRDefault="00F21D60" w:rsidP="00E25E60">
      <w:pPr>
        <w:pStyle w:val="enumlev1"/>
      </w:pPr>
      <w:r w:rsidRPr="00991DB8">
        <w:t>1</w:t>
      </w:r>
      <w:r w:rsidR="00F20AC5" w:rsidRPr="00991DB8">
        <w:t>)</w:t>
      </w:r>
      <w:r w:rsidRPr="00991DB8">
        <w:tab/>
      </w:r>
      <w:r w:rsidR="000C56EA" w:rsidRPr="00991DB8">
        <w:t>Équipe de direction</w:t>
      </w:r>
      <w:r w:rsidRPr="00991DB8">
        <w:t xml:space="preserve"> (</w:t>
      </w:r>
      <w:r w:rsidR="000C56EA" w:rsidRPr="00991DB8">
        <w:t>Présidents et Vice-Présidents des CE/du GCNT/du SCV)</w:t>
      </w:r>
    </w:p>
    <w:p w14:paraId="70BEC01E" w14:textId="072E34C8" w:rsidR="00F21D60" w:rsidRPr="00991DB8" w:rsidRDefault="00F21D60" w:rsidP="00E25E60">
      <w:pPr>
        <w:pStyle w:val="enumlev2"/>
      </w:pPr>
      <w:r w:rsidRPr="00991DB8">
        <w:t>a)</w:t>
      </w:r>
      <w:r w:rsidRPr="00991DB8">
        <w:tab/>
      </w:r>
      <w:r w:rsidR="000C56EA" w:rsidRPr="00991DB8">
        <w:t>L'équipe de direction actuelle (Présidents et Vice-Présidents des CE/du GCNT/du SCV) est maintenue jusqu'à la prochaine AMNT qui se tiendra au premier trimestre de 2022.</w:t>
      </w:r>
    </w:p>
    <w:p w14:paraId="6AAEA2D7" w14:textId="75729C67" w:rsidR="00897553" w:rsidRPr="00991DB8" w:rsidRDefault="00F21D60" w:rsidP="00E25E60">
      <w:pPr>
        <w:pStyle w:val="enumlev3"/>
      </w:pPr>
      <w:r w:rsidRPr="00991DB8">
        <w:t>i)</w:t>
      </w:r>
      <w:r w:rsidRPr="00991DB8">
        <w:tab/>
      </w:r>
      <w:r w:rsidR="00D53CE0" w:rsidRPr="00991DB8">
        <w:t xml:space="preserve">La Résolution 35 de l'AMNT </w:t>
      </w:r>
      <w:r w:rsidR="000A68E7" w:rsidRPr="00991DB8">
        <w:t>traite de</w:t>
      </w:r>
      <w:r w:rsidR="00D53CE0" w:rsidRPr="00991DB8">
        <w:t xml:space="preserve"> la durée </w:t>
      </w:r>
      <w:r w:rsidR="000A68E7" w:rsidRPr="00991DB8">
        <w:rPr>
          <w:color w:val="000000"/>
        </w:rPr>
        <w:t>du mandat des présidents et vice</w:t>
      </w:r>
      <w:r w:rsidR="00E25E60" w:rsidRPr="00991DB8">
        <w:rPr>
          <w:color w:val="000000"/>
        </w:rPr>
        <w:noBreakHyphen/>
      </w:r>
      <w:r w:rsidR="000A68E7" w:rsidRPr="00991DB8">
        <w:rPr>
          <w:color w:val="000000"/>
        </w:rPr>
        <w:t>présidents</w:t>
      </w:r>
      <w:r w:rsidR="000A68E7" w:rsidRPr="00991DB8">
        <w:t xml:space="preserve"> </w:t>
      </w:r>
      <w:r w:rsidR="00D53CE0" w:rsidRPr="00991DB8">
        <w:t xml:space="preserve">entre deux AMNT consécutives (mais pas </w:t>
      </w:r>
      <w:r w:rsidR="007B5794" w:rsidRPr="00991DB8">
        <w:t>du</w:t>
      </w:r>
      <w:r w:rsidR="00723EAC" w:rsidRPr="00991DB8">
        <w:t xml:space="preserve"> nombre</w:t>
      </w:r>
      <w:r w:rsidR="00D53CE0" w:rsidRPr="00991DB8">
        <w:t xml:space="preserve"> d'années </w:t>
      </w:r>
      <w:r w:rsidR="007B5794" w:rsidRPr="00991DB8">
        <w:t xml:space="preserve">pendant lesquelles ces </w:t>
      </w:r>
      <w:r w:rsidR="00D53CE0" w:rsidRPr="00991DB8">
        <w:t>fonction</w:t>
      </w:r>
      <w:r w:rsidR="007B5794" w:rsidRPr="00991DB8">
        <w:t>s ont été exercées</w:t>
      </w:r>
      <w:r w:rsidR="00D53CE0" w:rsidRPr="00991DB8">
        <w:t xml:space="preserve">). </w:t>
      </w:r>
      <w:r w:rsidR="00A24106" w:rsidRPr="00991DB8">
        <w:t>À titre d'exemple</w:t>
      </w:r>
      <w:r w:rsidR="00D53CE0" w:rsidRPr="00991DB8">
        <w:t xml:space="preserve">, le point 4 du </w:t>
      </w:r>
      <w:r w:rsidR="00D53CE0" w:rsidRPr="00991DB8">
        <w:rPr>
          <w:i/>
          <w:iCs/>
        </w:rPr>
        <w:t>décide</w:t>
      </w:r>
      <w:r w:rsidR="007B5794" w:rsidRPr="00991DB8">
        <w:t xml:space="preserve"> dispose </w:t>
      </w:r>
      <w:r w:rsidRPr="00991DB8">
        <w:t>"</w:t>
      </w:r>
      <w:r w:rsidRPr="00991DB8">
        <w:rPr>
          <w:i/>
          <w:iCs/>
        </w:rPr>
        <w:t>que la durée du mandat des présidents et des vice-présidents ne devra pas dépasser deux intervalles entre des assemblées consécutives</w:t>
      </w:r>
      <w:r w:rsidRPr="00991DB8">
        <w:t>"</w:t>
      </w:r>
      <w:r w:rsidR="004A31BA" w:rsidRPr="00991DB8">
        <w:t>.</w:t>
      </w:r>
    </w:p>
    <w:p w14:paraId="6584D248" w14:textId="6A9FAB85" w:rsidR="00F21D60" w:rsidRPr="00991DB8" w:rsidRDefault="00F21D60" w:rsidP="00E25E60">
      <w:pPr>
        <w:pStyle w:val="enumlev2"/>
      </w:pPr>
      <w:r w:rsidRPr="00991DB8">
        <w:lastRenderedPageBreak/>
        <w:t>b)</w:t>
      </w:r>
      <w:r w:rsidRPr="00991DB8">
        <w:tab/>
      </w:r>
      <w:r w:rsidR="00103EFE" w:rsidRPr="00991DB8">
        <w:t xml:space="preserve">Si un Président ou un Vice-Président n'est plus </w:t>
      </w:r>
      <w:r w:rsidR="007B5794" w:rsidRPr="00991DB8">
        <w:t>disponible pour</w:t>
      </w:r>
      <w:r w:rsidR="00320708" w:rsidRPr="00991DB8">
        <w:t xml:space="preserve"> </w:t>
      </w:r>
      <w:r w:rsidR="007B5794" w:rsidRPr="00991DB8">
        <w:t>rester en fonction</w:t>
      </w:r>
      <w:r w:rsidR="003276FF" w:rsidRPr="00991DB8">
        <w:t>s</w:t>
      </w:r>
      <w:r w:rsidR="00103EFE" w:rsidRPr="00991DB8">
        <w:t xml:space="preserve"> jusqu'à la prochaine AMNT, il </w:t>
      </w:r>
      <w:r w:rsidR="00DF478D" w:rsidRPr="00991DB8">
        <w:t xml:space="preserve">faudra alors </w:t>
      </w:r>
      <w:r w:rsidR="00103EFE" w:rsidRPr="00991DB8">
        <w:t>invoquer le numéro 244 de la Convention</w:t>
      </w:r>
      <w:r w:rsidRPr="00991DB8">
        <w:t>:</w:t>
      </w:r>
    </w:p>
    <w:p w14:paraId="45314F9B" w14:textId="19FA975F" w:rsidR="00F21D60" w:rsidRPr="00991DB8" w:rsidRDefault="00F21D60" w:rsidP="00E25E60">
      <w:pPr>
        <w:pStyle w:val="enumlev3"/>
      </w:pPr>
      <w:r w:rsidRPr="00991DB8">
        <w:t>i)</w:t>
      </w:r>
      <w:r w:rsidRPr="00991DB8">
        <w:tab/>
      </w:r>
      <w:r w:rsidR="00103EFE" w:rsidRPr="00991DB8">
        <w:t>Numéro 244 de la Convention</w:t>
      </w:r>
      <w:r w:rsidRPr="00991DB8">
        <w:t>: "</w:t>
      </w:r>
      <w:r w:rsidR="002918A2">
        <w:t>3</w:t>
      </w:r>
      <w:r w:rsidR="002918A2">
        <w:tab/>
      </w:r>
      <w:r w:rsidR="00112189" w:rsidRPr="00991DB8">
        <w:rPr>
          <w:i/>
          <w:iCs/>
        </w:rPr>
        <w:t>Si, dans l'intervalle entre deux assemblées ou conférences du Secteur concerné, le président d'une commission d'études n'est pas en mesure d'exercer ses fonctions et s'il n'a été nommé qu'un seul vice</w:t>
      </w:r>
      <w:r w:rsidR="00E25E60" w:rsidRPr="00991DB8">
        <w:rPr>
          <w:i/>
          <w:iCs/>
        </w:rPr>
        <w:noBreakHyphen/>
      </w:r>
      <w:r w:rsidR="00112189" w:rsidRPr="00991DB8">
        <w:rPr>
          <w:i/>
          <w:iCs/>
        </w:rPr>
        <w:t xml:space="preserve">président, celui-ci prend la place du président. Dans le cas d'une commission d'études où plusieurs vice-présidents ont été nommés, la commission d'études, au cours de sa réunion suivante, élit parmi eux son nouveau président et, si nécessaire, un nouveau vice-président parmi ses membres. Elle élit de même un nouveau vice-président au cas où </w:t>
      </w:r>
      <w:bookmarkStart w:id="7" w:name="_GoBack"/>
      <w:bookmarkEnd w:id="7"/>
      <w:r w:rsidR="00112189" w:rsidRPr="00991DB8">
        <w:rPr>
          <w:i/>
          <w:iCs/>
        </w:rPr>
        <w:t>l'un de ses vice-présidents serait empêché d'exercer ses fonctions au cours de la période concernée</w:t>
      </w:r>
      <w:r w:rsidRPr="00991DB8">
        <w:t>"</w:t>
      </w:r>
      <w:r w:rsidR="00112189" w:rsidRPr="00991DB8">
        <w:t>.</w:t>
      </w:r>
    </w:p>
    <w:p w14:paraId="31495E5C" w14:textId="3DA3A51F" w:rsidR="00F20AC5" w:rsidRPr="00991DB8" w:rsidRDefault="00F20AC5" w:rsidP="00E25E60">
      <w:pPr>
        <w:pStyle w:val="enumlev2"/>
      </w:pPr>
      <w:r w:rsidRPr="00991DB8">
        <w:t>c)</w:t>
      </w:r>
      <w:r w:rsidRPr="00991DB8">
        <w:tab/>
      </w:r>
      <w:r w:rsidR="00CB4B6D" w:rsidRPr="00991DB8">
        <w:t>Les candidat</w:t>
      </w:r>
      <w:r w:rsidR="009457B1" w:rsidRPr="00991DB8">
        <w:t>ure</w:t>
      </w:r>
      <w:r w:rsidR="00CB4B6D" w:rsidRPr="00991DB8">
        <w:t xml:space="preserve">s </w:t>
      </w:r>
      <w:r w:rsidR="007B5794" w:rsidRPr="00991DB8">
        <w:t>à la</w:t>
      </w:r>
      <w:r w:rsidR="009457B1" w:rsidRPr="00991DB8">
        <w:t xml:space="preserve"> direction reçues </w:t>
      </w:r>
      <w:r w:rsidR="00F41CB3" w:rsidRPr="00991DB8">
        <w:t>à ce jour</w:t>
      </w:r>
      <w:r w:rsidR="009457B1" w:rsidRPr="00991DB8">
        <w:t xml:space="preserve"> </w:t>
      </w:r>
      <w:r w:rsidR="004A31BA" w:rsidRPr="00991DB8">
        <w:t>en vue de</w:t>
      </w:r>
      <w:r w:rsidR="009457B1" w:rsidRPr="00991DB8">
        <w:t xml:space="preserve"> l'AMNT continueront d'être enregistrées sur le site web de l'AMNT et</w:t>
      </w:r>
      <w:r w:rsidR="0044028E" w:rsidRPr="00991DB8">
        <w:t xml:space="preserve"> pourront être révisées à tout moment par l'</w:t>
      </w:r>
      <w:r w:rsidR="009457B1" w:rsidRPr="00991DB8">
        <w:t>État Membre ou</w:t>
      </w:r>
      <w:r w:rsidR="00CF71C4" w:rsidRPr="00991DB8">
        <w:t xml:space="preserve"> </w:t>
      </w:r>
      <w:r w:rsidR="0044028E" w:rsidRPr="00991DB8">
        <w:t>le</w:t>
      </w:r>
      <w:r w:rsidR="009457B1" w:rsidRPr="00991DB8">
        <w:t xml:space="preserve"> Membre de Secteur </w:t>
      </w:r>
      <w:r w:rsidR="003276FF" w:rsidRPr="00991DB8">
        <w:t xml:space="preserve">qui présente sa </w:t>
      </w:r>
      <w:r w:rsidR="0044028E" w:rsidRPr="00991DB8">
        <w:t>candidature,</w:t>
      </w:r>
      <w:r w:rsidR="003A4F0A" w:rsidRPr="00991DB8">
        <w:t xml:space="preserve"> </w:t>
      </w:r>
      <w:r w:rsidR="009457B1" w:rsidRPr="00991DB8">
        <w:t>jusqu'</w:t>
      </w:r>
      <w:r w:rsidR="003276FF" w:rsidRPr="00991DB8">
        <w:t>à</w:t>
      </w:r>
      <w:r w:rsidR="009457B1" w:rsidRPr="00991DB8">
        <w:t xml:space="preserve"> </w:t>
      </w:r>
      <w:r w:rsidR="003276FF" w:rsidRPr="00991DB8">
        <w:t xml:space="preserve">la nouvelle </w:t>
      </w:r>
      <w:r w:rsidR="003276FF" w:rsidRPr="00991DB8">
        <w:rPr>
          <w:spacing w:val="-2"/>
        </w:rPr>
        <w:t>date limite pour la présentation des candidatures</w:t>
      </w:r>
      <w:r w:rsidR="003276FF" w:rsidRPr="00991DB8">
        <w:t xml:space="preserve"> </w:t>
      </w:r>
      <w:r w:rsidR="009457B1" w:rsidRPr="00991DB8">
        <w:t xml:space="preserve">qui sera </w:t>
      </w:r>
      <w:r w:rsidR="003276FF" w:rsidRPr="00991DB8">
        <w:t xml:space="preserve">publiée </w:t>
      </w:r>
      <w:r w:rsidR="009457B1" w:rsidRPr="00991DB8">
        <w:t>en temps voulu.</w:t>
      </w:r>
    </w:p>
    <w:p w14:paraId="7BC5F5C1" w14:textId="5CE2FA75" w:rsidR="00F20AC5" w:rsidRPr="00991DB8" w:rsidRDefault="00F20AC5" w:rsidP="00E25E60">
      <w:pPr>
        <w:pStyle w:val="enumlev1"/>
      </w:pPr>
      <w:r w:rsidRPr="00991DB8">
        <w:t>2)</w:t>
      </w:r>
      <w:r w:rsidRPr="00991DB8">
        <w:tab/>
      </w:r>
      <w:r w:rsidR="009A74BF" w:rsidRPr="00991DB8">
        <w:t>Textes des Questions</w:t>
      </w:r>
      <w:r w:rsidR="003276FF" w:rsidRPr="00991DB8">
        <w:t xml:space="preserve"> nouvelles/révisées</w:t>
      </w:r>
      <w:r w:rsidRPr="00991DB8">
        <w:t>:</w:t>
      </w:r>
    </w:p>
    <w:p w14:paraId="7471DD0E" w14:textId="5BBB79CC" w:rsidR="00F20AC5" w:rsidRPr="00991DB8" w:rsidRDefault="00F20AC5" w:rsidP="00E25E60">
      <w:pPr>
        <w:pStyle w:val="enumlev2"/>
      </w:pPr>
      <w:r w:rsidRPr="00991DB8">
        <w:t>a)</w:t>
      </w:r>
      <w:r w:rsidRPr="00991DB8">
        <w:tab/>
      </w:r>
      <w:r w:rsidR="0055798D" w:rsidRPr="00991DB8">
        <w:t xml:space="preserve">Toutes les commissions d'études ont élaboré la Partie I et la Partie II </w:t>
      </w:r>
      <w:r w:rsidR="00656A7E" w:rsidRPr="00991DB8">
        <w:t>d</w:t>
      </w:r>
      <w:r w:rsidR="0044028E" w:rsidRPr="00991DB8">
        <w:t>e leur</w:t>
      </w:r>
      <w:r w:rsidR="00656A7E" w:rsidRPr="00991DB8">
        <w:t xml:space="preserve"> </w:t>
      </w:r>
      <w:r w:rsidR="004A25A8" w:rsidRPr="00991DB8">
        <w:t>r</w:t>
      </w:r>
      <w:r w:rsidR="00656A7E" w:rsidRPr="00991DB8">
        <w:t>apport à l'AMNT</w:t>
      </w:r>
      <w:r w:rsidR="0055798D" w:rsidRPr="00991DB8">
        <w:t xml:space="preserve"> et</w:t>
      </w:r>
      <w:r w:rsidR="003276FF" w:rsidRPr="00991DB8">
        <w:t xml:space="preserve"> ont </w:t>
      </w:r>
      <w:r w:rsidR="0055798D" w:rsidRPr="00991DB8">
        <w:t>révisé</w:t>
      </w:r>
      <w:r w:rsidR="003276FF" w:rsidRPr="00991DB8">
        <w:t xml:space="preserve"> à ce titre</w:t>
      </w:r>
      <w:r w:rsidR="0055798D" w:rsidRPr="00991DB8">
        <w:t xml:space="preserve"> le texte des Questions qui leur sont confiées.</w:t>
      </w:r>
    </w:p>
    <w:p w14:paraId="4F3A4A50" w14:textId="39B194F7" w:rsidR="00F20AC5" w:rsidRPr="00991DB8" w:rsidRDefault="00F20AC5" w:rsidP="00E25E60">
      <w:pPr>
        <w:pStyle w:val="enumlev2"/>
      </w:pPr>
      <w:r w:rsidRPr="00991DB8">
        <w:t>b)</w:t>
      </w:r>
      <w:r w:rsidRPr="00991DB8">
        <w:tab/>
      </w:r>
      <w:r w:rsidR="006D2C18" w:rsidRPr="00991DB8">
        <w:t>Le § 7.2 de la Résolution 1 de l'AMNT (</w:t>
      </w:r>
      <w:r w:rsidR="00112189" w:rsidRPr="00991DB8">
        <w:rPr>
          <w:i/>
          <w:iCs/>
        </w:rPr>
        <w:t xml:space="preserve">Approbation des Questions nouvelles ou révisées entre </w:t>
      </w:r>
      <w:r w:rsidR="003276FF" w:rsidRPr="00991DB8">
        <w:rPr>
          <w:i/>
          <w:iCs/>
        </w:rPr>
        <w:t>deux</w:t>
      </w:r>
      <w:r w:rsidR="00112189" w:rsidRPr="00991DB8">
        <w:rPr>
          <w:i/>
          <w:iCs/>
        </w:rPr>
        <w:t xml:space="preserve"> AMNT</w:t>
      </w:r>
      <w:r w:rsidR="006D2C18" w:rsidRPr="00991DB8">
        <w:t>)</w:t>
      </w:r>
      <w:r w:rsidR="00112189" w:rsidRPr="00991DB8">
        <w:rPr>
          <w:i/>
          <w:iCs/>
        </w:rPr>
        <w:t xml:space="preserve"> </w:t>
      </w:r>
      <w:r w:rsidR="006D2C18" w:rsidRPr="00991DB8">
        <w:t xml:space="preserve">sera appliqué </w:t>
      </w:r>
      <w:r w:rsidR="006F470B" w:rsidRPr="00991DB8">
        <w:t>sur la base</w:t>
      </w:r>
      <w:r w:rsidR="006D2C18" w:rsidRPr="00991DB8">
        <w:t xml:space="preserve"> du texte des Questions</w:t>
      </w:r>
      <w:r w:rsidR="006F470B" w:rsidRPr="00991DB8">
        <w:t>,</w:t>
      </w:r>
      <w:r w:rsidR="006D2C18" w:rsidRPr="00991DB8">
        <w:t xml:space="preserve"> tel qu'il </w:t>
      </w:r>
      <w:r w:rsidR="00F84A86" w:rsidRPr="00991DB8">
        <w:t xml:space="preserve">figure actuellement </w:t>
      </w:r>
      <w:r w:rsidR="006D2C18" w:rsidRPr="00991DB8">
        <w:t xml:space="preserve">dans la Partie II des </w:t>
      </w:r>
      <w:r w:rsidR="004A25A8" w:rsidRPr="00991DB8">
        <w:t>r</w:t>
      </w:r>
      <w:r w:rsidR="006D2C18" w:rsidRPr="00991DB8">
        <w:t xml:space="preserve">apports </w:t>
      </w:r>
      <w:r w:rsidR="006075BA" w:rsidRPr="00991DB8">
        <w:t xml:space="preserve">des commissions d'études </w:t>
      </w:r>
      <w:r w:rsidR="006D2C18" w:rsidRPr="00991DB8">
        <w:t xml:space="preserve">à l'AMNT. </w:t>
      </w:r>
    </w:p>
    <w:p w14:paraId="0A41AC04" w14:textId="423C5E07" w:rsidR="00F20AC5" w:rsidRPr="00991DB8" w:rsidRDefault="00F20AC5" w:rsidP="00E25E60">
      <w:pPr>
        <w:pStyle w:val="enumlev2"/>
      </w:pPr>
      <w:r w:rsidRPr="00991DB8">
        <w:t>c)</w:t>
      </w:r>
      <w:r w:rsidRPr="00991DB8">
        <w:tab/>
      </w:r>
      <w:r w:rsidR="006D2C18" w:rsidRPr="00991DB8">
        <w:t>La période d'études actuelle ayant été prolongée jusqu'au premier trimestre de 2022, les commissions d'études poursuivront leurs travaux et réviseront les Parties I et II d</w:t>
      </w:r>
      <w:r w:rsidR="004A25A8" w:rsidRPr="00991DB8">
        <w:t>e leur</w:t>
      </w:r>
      <w:r w:rsidR="004A31BA" w:rsidRPr="00991DB8">
        <w:t xml:space="preserve"> </w:t>
      </w:r>
      <w:r w:rsidR="004A25A8" w:rsidRPr="00991DB8">
        <w:t>r</w:t>
      </w:r>
      <w:r w:rsidR="004A31BA" w:rsidRPr="00991DB8">
        <w:t xml:space="preserve">apport </w:t>
      </w:r>
      <w:r w:rsidR="006D2C18" w:rsidRPr="00991DB8">
        <w:t>à l'AMNT avant la dernière réunion du GCNT (dates à</w:t>
      </w:r>
      <w:r w:rsidR="003276FF" w:rsidRPr="00991DB8">
        <w:t xml:space="preserve"> déterminer)</w:t>
      </w:r>
      <w:r w:rsidRPr="00991DB8">
        <w:t xml:space="preserve"> </w:t>
      </w:r>
      <w:r w:rsidR="00AF2C62" w:rsidRPr="00991DB8">
        <w:t>précédant</w:t>
      </w:r>
      <w:r w:rsidR="00190671" w:rsidRPr="00991DB8">
        <w:t xml:space="preserve"> l'AMNT</w:t>
      </w:r>
      <w:r w:rsidRPr="00991DB8">
        <w:t xml:space="preserve">. </w:t>
      </w:r>
    </w:p>
    <w:p w14:paraId="1470DDD6" w14:textId="15F90FD3" w:rsidR="00F20AC5" w:rsidRPr="00991DB8" w:rsidRDefault="00F20AC5" w:rsidP="00E25E60">
      <w:pPr>
        <w:pStyle w:val="enumlev1"/>
      </w:pPr>
      <w:r w:rsidRPr="00991DB8">
        <w:t>3)</w:t>
      </w:r>
      <w:r w:rsidRPr="00991DB8">
        <w:tab/>
      </w:r>
      <w:r w:rsidR="005811BB" w:rsidRPr="00991DB8">
        <w:t xml:space="preserve">Les mises à jour du mandat des commissions d'études (qui, conformément aux instructions du GCNT, ne concernent pas </w:t>
      </w:r>
      <w:r w:rsidR="003100A8" w:rsidRPr="00991DB8">
        <w:t>le</w:t>
      </w:r>
      <w:r w:rsidR="00151B86" w:rsidRPr="00991DB8">
        <w:t>s</w:t>
      </w:r>
      <w:r w:rsidR="003100A8" w:rsidRPr="00991DB8">
        <w:t xml:space="preserve"> transfert</w:t>
      </w:r>
      <w:r w:rsidR="00151B86" w:rsidRPr="00991DB8">
        <w:t>s</w:t>
      </w:r>
      <w:r w:rsidR="003100A8" w:rsidRPr="00991DB8">
        <w:t xml:space="preserve"> d</w:t>
      </w:r>
      <w:r w:rsidR="00151B86" w:rsidRPr="00991DB8">
        <w:t>e</w:t>
      </w:r>
      <w:r w:rsidR="005811BB" w:rsidRPr="00991DB8">
        <w:t xml:space="preserve"> mandat d'une commission d'études à une autre)</w:t>
      </w:r>
      <w:r w:rsidRPr="00991DB8">
        <w:t xml:space="preserve"> </w:t>
      </w:r>
      <w:r w:rsidR="005811BB" w:rsidRPr="00991DB8">
        <w:t xml:space="preserve">élaborées </w:t>
      </w:r>
      <w:r w:rsidR="00151B86" w:rsidRPr="00991DB8">
        <w:t xml:space="preserve">actuellement </w:t>
      </w:r>
      <w:r w:rsidR="005811BB" w:rsidRPr="00991DB8">
        <w:t xml:space="preserve">par les commissions d'études </w:t>
      </w:r>
      <w:r w:rsidR="00AC00BD" w:rsidRPr="00991DB8">
        <w:t>(telles qu</w:t>
      </w:r>
      <w:r w:rsidR="00991DB8" w:rsidRPr="00991DB8">
        <w:t>'</w:t>
      </w:r>
      <w:r w:rsidR="00AC00BD" w:rsidRPr="00991DB8">
        <w:t>elles figurent</w:t>
      </w:r>
      <w:r w:rsidR="005811BB" w:rsidRPr="00991DB8">
        <w:t xml:space="preserve"> dans l'Annexe 2 de la Partie I des </w:t>
      </w:r>
      <w:r w:rsidR="004A25A8" w:rsidRPr="00991DB8">
        <w:t>r</w:t>
      </w:r>
      <w:r w:rsidR="005811BB" w:rsidRPr="00991DB8">
        <w:t>apports des</w:t>
      </w:r>
      <w:r w:rsidR="00F431CC" w:rsidRPr="00991DB8">
        <w:t xml:space="preserve"> commissions d'études</w:t>
      </w:r>
      <w:r w:rsidR="005811BB" w:rsidRPr="00991DB8">
        <w:t xml:space="preserve"> à l'AMNT</w:t>
      </w:r>
      <w:r w:rsidR="00AC00BD" w:rsidRPr="00991DB8">
        <w:t>)</w:t>
      </w:r>
      <w:r w:rsidR="005811BB" w:rsidRPr="00991DB8">
        <w:t xml:space="preserve"> peuvent être </w:t>
      </w:r>
      <w:r w:rsidR="00AC00BD" w:rsidRPr="00991DB8">
        <w:t>mises en application</w:t>
      </w:r>
      <w:r w:rsidR="005811BB" w:rsidRPr="00991DB8">
        <w:t xml:space="preserve"> par le GCNT</w:t>
      </w:r>
      <w:r w:rsidR="00391797" w:rsidRPr="00991DB8">
        <w:t>,</w:t>
      </w:r>
      <w:r w:rsidR="005811BB" w:rsidRPr="00991DB8">
        <w:t xml:space="preserve"> </w:t>
      </w:r>
      <w:r w:rsidR="00182313" w:rsidRPr="00991DB8">
        <w:t>en vertu</w:t>
      </w:r>
      <w:r w:rsidR="005811BB" w:rsidRPr="00991DB8">
        <w:t xml:space="preserve"> des pouvoirs qui lui ont été délégués par l'AMNT</w:t>
      </w:r>
      <w:r w:rsidR="00E25E60" w:rsidRPr="00991DB8">
        <w:noBreakHyphen/>
      </w:r>
      <w:r w:rsidR="005811BB" w:rsidRPr="00991DB8">
        <w:t xml:space="preserve">16. Les mises à jour </w:t>
      </w:r>
      <w:r w:rsidR="009905A4" w:rsidRPr="00991DB8">
        <w:t xml:space="preserve">au sein d'une commission d'études </w:t>
      </w:r>
      <w:r w:rsidR="007B5E4A" w:rsidRPr="00991DB8">
        <w:t>sont</w:t>
      </w:r>
      <w:r w:rsidR="005B6D67" w:rsidRPr="00991DB8">
        <w:t xml:space="preserve"> </w:t>
      </w:r>
      <w:r w:rsidR="00AC00BD" w:rsidRPr="00991DB8">
        <w:t xml:space="preserve">dissociées </w:t>
      </w:r>
      <w:r w:rsidR="00D13933" w:rsidRPr="00991DB8">
        <w:t xml:space="preserve">des </w:t>
      </w:r>
      <w:r w:rsidR="00AC00BD" w:rsidRPr="00991DB8">
        <w:t xml:space="preserve">résultats des </w:t>
      </w:r>
      <w:r w:rsidR="00D13933" w:rsidRPr="00991DB8">
        <w:t xml:space="preserve">discussions </w:t>
      </w:r>
      <w:r w:rsidR="00A02F03" w:rsidRPr="00991DB8">
        <w:t>relatives à la</w:t>
      </w:r>
      <w:r w:rsidR="00D13933" w:rsidRPr="00991DB8">
        <w:t xml:space="preserve"> structure des </w:t>
      </w:r>
      <w:r w:rsidR="005B71CA" w:rsidRPr="00991DB8">
        <w:t>commissions d'études</w:t>
      </w:r>
      <w:r w:rsidR="00D13933" w:rsidRPr="00991DB8">
        <w:t xml:space="preserve"> (voir le point</w:t>
      </w:r>
      <w:r w:rsidR="005D3D96" w:rsidRPr="00991DB8">
        <w:t xml:space="preserve"> suivant</w:t>
      </w:r>
      <w:r w:rsidR="00D13933" w:rsidRPr="00991DB8">
        <w:t>)</w:t>
      </w:r>
      <w:r w:rsidR="00AC00BD" w:rsidRPr="00991DB8">
        <w:t xml:space="preserve"> et ne préjugent pas de ces résultats</w:t>
      </w:r>
      <w:r w:rsidR="00D13933" w:rsidRPr="00991DB8">
        <w:t>.</w:t>
      </w:r>
      <w:r w:rsidRPr="00991DB8">
        <w:t xml:space="preserve"> </w:t>
      </w:r>
    </w:p>
    <w:p w14:paraId="6B73A88C" w14:textId="2527DEFD" w:rsidR="00F20AC5" w:rsidRPr="00991DB8" w:rsidRDefault="00F20AC5" w:rsidP="00E25E60">
      <w:pPr>
        <w:pStyle w:val="enumlev2"/>
      </w:pPr>
      <w:r w:rsidRPr="00991DB8">
        <w:t>a)</w:t>
      </w:r>
      <w:r w:rsidRPr="00991DB8">
        <w:tab/>
      </w:r>
      <w:r w:rsidR="00D13933" w:rsidRPr="00991DB8">
        <w:t xml:space="preserve">Voir le point </w:t>
      </w:r>
      <w:r w:rsidRPr="00991DB8">
        <w:t>1.c)</w:t>
      </w:r>
      <w:r w:rsidR="00112189" w:rsidRPr="00991DB8">
        <w:t xml:space="preserve"> </w:t>
      </w:r>
      <w:r w:rsidR="00D13933" w:rsidRPr="00991DB8">
        <w:t xml:space="preserve">du </w:t>
      </w:r>
      <w:r w:rsidR="00D13933" w:rsidRPr="00991DB8">
        <w:rPr>
          <w:i/>
          <w:iCs/>
        </w:rPr>
        <w:t xml:space="preserve">décide </w:t>
      </w:r>
      <w:r w:rsidR="00D13933" w:rsidRPr="00991DB8">
        <w:t>de la Résolution 22 de l'AMNT, qui dispose ce qui suit: "</w:t>
      </w:r>
      <w:r w:rsidR="00112189" w:rsidRPr="00991DB8">
        <w:rPr>
          <w:i/>
          <w:iCs/>
        </w:rPr>
        <w:t>restructurer et créer des commissions d'études de l'UIT</w:t>
      </w:r>
      <w:r w:rsidR="00112189" w:rsidRPr="00991DB8">
        <w:rPr>
          <w:i/>
          <w:iCs/>
        </w:rPr>
        <w:noBreakHyphen/>
        <w:t>T, compte tenu des besoins des membres de l'UIT</w:t>
      </w:r>
      <w:r w:rsidR="00112189" w:rsidRPr="00991DB8">
        <w:rPr>
          <w:i/>
          <w:iCs/>
        </w:rPr>
        <w:noBreakHyphen/>
        <w:t>T et pour répondre à l'évolution du marché des télécommunications, et désigner les présidents et les vice</w:t>
      </w:r>
      <w:r w:rsidR="00112189" w:rsidRPr="00991DB8">
        <w:rPr>
          <w:i/>
          <w:iCs/>
        </w:rPr>
        <w:noBreakHyphen/>
        <w:t>présidents qui agiront jusqu'à la prochaine AMNT, conformément à la Résolution 35 (Rév. Hammamet, 2016) de la présente Assemblée</w:t>
      </w:r>
      <w:r w:rsidR="00112189" w:rsidRPr="00991DB8">
        <w:t>"</w:t>
      </w:r>
      <w:r w:rsidR="005D3D96" w:rsidRPr="00991DB8">
        <w:t>.</w:t>
      </w:r>
    </w:p>
    <w:p w14:paraId="0236ABC7" w14:textId="776499A1" w:rsidR="00112189" w:rsidRPr="00991DB8" w:rsidRDefault="00112189" w:rsidP="00E25E60">
      <w:pPr>
        <w:pStyle w:val="enumlev1"/>
      </w:pPr>
      <w:r w:rsidRPr="00991DB8">
        <w:t>4)</w:t>
      </w:r>
      <w:r w:rsidRPr="00991DB8">
        <w:tab/>
      </w:r>
      <w:r w:rsidR="0007091C" w:rsidRPr="00991DB8">
        <w:t>Les discussions et les décisions relatives à la structure des commissions d'études seront examinées à la prochaine AMNT.</w:t>
      </w:r>
    </w:p>
    <w:p w14:paraId="7C30CE3B" w14:textId="77777777" w:rsidR="00991DB8" w:rsidRPr="00991DB8" w:rsidRDefault="00991DB8" w:rsidP="00E25E60">
      <w:pPr>
        <w:pStyle w:val="enumlev1"/>
      </w:pPr>
      <w:r w:rsidRPr="00991DB8">
        <w:br w:type="page"/>
      </w:r>
    </w:p>
    <w:p w14:paraId="0668B4CF" w14:textId="5946622A" w:rsidR="00112189" w:rsidRPr="00991DB8" w:rsidRDefault="00112189" w:rsidP="00E25E60">
      <w:pPr>
        <w:pStyle w:val="enumlev1"/>
      </w:pPr>
      <w:r w:rsidRPr="00991DB8">
        <w:lastRenderedPageBreak/>
        <w:t>5)</w:t>
      </w:r>
      <w:r w:rsidRPr="00991DB8">
        <w:tab/>
      </w:r>
      <w:r w:rsidR="0007091C" w:rsidRPr="00991DB8">
        <w:t>Mises à jour des méthodes de travail</w:t>
      </w:r>
    </w:p>
    <w:p w14:paraId="0BD26A6F" w14:textId="2C95A8AC" w:rsidR="00112189" w:rsidRPr="00991DB8" w:rsidRDefault="00112189" w:rsidP="00E25E60">
      <w:pPr>
        <w:pStyle w:val="enumlev2"/>
      </w:pPr>
      <w:r w:rsidRPr="00991DB8">
        <w:t>a)</w:t>
      </w:r>
      <w:r w:rsidRPr="00991DB8">
        <w:tab/>
      </w:r>
      <w:r w:rsidR="00EA4633" w:rsidRPr="00991DB8">
        <w:t xml:space="preserve">Le GCNT </w:t>
      </w:r>
      <w:r w:rsidR="00AC00BD" w:rsidRPr="00991DB8">
        <w:t>a compétence pour</w:t>
      </w:r>
      <w:r w:rsidR="00EA4633" w:rsidRPr="00991DB8">
        <w:t xml:space="preserve"> examiner et réviser les Recommandations</w:t>
      </w:r>
      <w:r w:rsidR="00582941" w:rsidRPr="00991DB8">
        <w:t xml:space="preserve"> UIT-T</w:t>
      </w:r>
      <w:r w:rsidR="00EA4633" w:rsidRPr="00991DB8">
        <w:t xml:space="preserve"> de la série A, conformément au point 1.b) du </w:t>
      </w:r>
      <w:r w:rsidR="00EA4633" w:rsidRPr="00991DB8">
        <w:rPr>
          <w:i/>
          <w:iCs/>
        </w:rPr>
        <w:t xml:space="preserve">décide </w:t>
      </w:r>
      <w:r w:rsidR="00EA4633" w:rsidRPr="00991DB8">
        <w:t xml:space="preserve">de la Résolution 22 de l'AMNT, aux termes duquel il a été décidé </w:t>
      </w:r>
      <w:r w:rsidRPr="00991DB8">
        <w:t>"</w:t>
      </w:r>
      <w:r w:rsidRPr="00991DB8">
        <w:rPr>
          <w:i/>
          <w:iCs/>
        </w:rPr>
        <w:t xml:space="preserve">de confier au GCNT les questions spécifiques suivantes relevant de sa compétence entre la présente Assemblée et la prochaine pour agir dans les domaines suivants, en consultation avec le Directeur du TSB, si nécessaire: </w:t>
      </w:r>
      <w:r w:rsidR="00582941" w:rsidRPr="00991DB8">
        <w:rPr>
          <w:i/>
          <w:iCs/>
        </w:rPr>
        <w:t xml:space="preserve">[…] </w:t>
      </w:r>
      <w:r w:rsidRPr="00991DB8">
        <w:rPr>
          <w:i/>
          <w:iCs/>
        </w:rPr>
        <w:t>assumer la responsabilité des Recommandations UIT</w:t>
      </w:r>
      <w:r w:rsidRPr="00991DB8">
        <w:rPr>
          <w:i/>
          <w:iCs/>
        </w:rPr>
        <w:noBreakHyphen/>
        <w:t>T de la série A (organisation du travail de l'UIT</w:t>
      </w:r>
      <w:r w:rsidRPr="00991DB8">
        <w:rPr>
          <w:i/>
          <w:iCs/>
        </w:rPr>
        <w:noBreakHyphen/>
        <w:t>T), et notamment celle de leur élaboration et de leur soumission pour approbation selon les procédures appropriées</w:t>
      </w:r>
      <w:r w:rsidRPr="00991DB8">
        <w:t>"</w:t>
      </w:r>
      <w:r w:rsidR="005D3D96" w:rsidRPr="00991DB8">
        <w:t>.</w:t>
      </w:r>
    </w:p>
    <w:p w14:paraId="549C4371" w14:textId="7C3680E3" w:rsidR="00112189" w:rsidRPr="00991DB8" w:rsidRDefault="00112189" w:rsidP="00E25E60">
      <w:pPr>
        <w:pStyle w:val="enumlev1"/>
      </w:pPr>
      <w:r w:rsidRPr="00991DB8">
        <w:t>6)</w:t>
      </w:r>
      <w:r w:rsidRPr="00991DB8">
        <w:tab/>
      </w:r>
      <w:r w:rsidR="00582941" w:rsidRPr="00991DB8">
        <w:t xml:space="preserve">Les propositions </w:t>
      </w:r>
      <w:r w:rsidRPr="00991DB8">
        <w:t xml:space="preserve">ADD/MOD/SUP </w:t>
      </w:r>
      <w:r w:rsidR="00672388" w:rsidRPr="00991DB8">
        <w:t xml:space="preserve">relatives aux Résolutions de l'AMNT seront examinées à la prochaine AMNT: </w:t>
      </w:r>
    </w:p>
    <w:p w14:paraId="09D43ADE" w14:textId="4B23395F" w:rsidR="00112189" w:rsidRPr="00991DB8" w:rsidRDefault="00112189" w:rsidP="00E25E60">
      <w:pPr>
        <w:pStyle w:val="enumlev2"/>
      </w:pPr>
      <w:r w:rsidRPr="00991DB8">
        <w:t>a)</w:t>
      </w:r>
      <w:r w:rsidRPr="00991DB8">
        <w:tab/>
      </w:r>
      <w:r w:rsidR="00672388" w:rsidRPr="00991DB8">
        <w:t xml:space="preserve">Les contributions reçues </w:t>
      </w:r>
      <w:r w:rsidR="00182313" w:rsidRPr="00991DB8">
        <w:t>à ce jour</w:t>
      </w:r>
      <w:r w:rsidR="00672388" w:rsidRPr="00991DB8">
        <w:t xml:space="preserve"> en vue de l'AMNT seront conservées sur la page web </w:t>
      </w:r>
      <w:r w:rsidR="005D3D96" w:rsidRPr="00991DB8">
        <w:t xml:space="preserve">correspondante </w:t>
      </w:r>
      <w:r w:rsidR="00672388" w:rsidRPr="00991DB8">
        <w:t>de l'AMNT et pourront être révisées et mises à jour jusqu'au nouveau délai qui sera fixé pour</w:t>
      </w:r>
      <w:r w:rsidR="00AC00BD" w:rsidRPr="00991DB8">
        <w:t xml:space="preserve"> la soumission des</w:t>
      </w:r>
      <w:r w:rsidR="00672388" w:rsidRPr="00991DB8">
        <w:t xml:space="preserve"> contributions, compte tenu des nouvelles dates de l'AMNT.</w:t>
      </w:r>
    </w:p>
    <w:p w14:paraId="2DE310F2" w14:textId="367167B2" w:rsidR="00112189" w:rsidRPr="00991DB8" w:rsidRDefault="00112189" w:rsidP="00E25E60">
      <w:pPr>
        <w:pStyle w:val="enumlev2"/>
      </w:pPr>
      <w:r w:rsidRPr="00991DB8">
        <w:t>b)</w:t>
      </w:r>
      <w:r w:rsidRPr="00991DB8">
        <w:tab/>
      </w:r>
      <w:r w:rsidR="00672388" w:rsidRPr="00991DB8">
        <w:t xml:space="preserve">Les membres sont invités à </w:t>
      </w:r>
      <w:r w:rsidR="006A7D04" w:rsidRPr="00991DB8">
        <w:t>continuer de rechercher un consensus concernant les Résolution</w:t>
      </w:r>
      <w:r w:rsidR="00182313" w:rsidRPr="00991DB8">
        <w:t>s</w:t>
      </w:r>
      <w:r w:rsidR="006A7D04" w:rsidRPr="00991DB8">
        <w:t xml:space="preserve"> de l'AMNT</w:t>
      </w:r>
      <w:r w:rsidR="006F470B" w:rsidRPr="00991DB8">
        <w:t>,</w:t>
      </w:r>
      <w:r w:rsidR="006A7D04" w:rsidRPr="00991DB8">
        <w:t xml:space="preserve"> </w:t>
      </w:r>
      <w:r w:rsidR="006F470B" w:rsidRPr="00991DB8">
        <w:t>dans le cadre</w:t>
      </w:r>
      <w:r w:rsidR="006A7D04" w:rsidRPr="00991DB8">
        <w:t xml:space="preserve"> des réunions du GCNT et des réunions interrégionales en vue</w:t>
      </w:r>
      <w:r w:rsidRPr="00991DB8">
        <w:t xml:space="preserve"> </w:t>
      </w:r>
      <w:r w:rsidR="006A7D04" w:rsidRPr="00991DB8">
        <w:t>de la prochaine AMNT</w:t>
      </w:r>
      <w:r w:rsidRPr="00991DB8">
        <w:t xml:space="preserve">. </w:t>
      </w:r>
    </w:p>
    <w:p w14:paraId="31AAEFB8" w14:textId="5166E621" w:rsidR="00112189" w:rsidRPr="00991DB8" w:rsidRDefault="00112189" w:rsidP="00E25E60">
      <w:pPr>
        <w:pStyle w:val="enumlev1"/>
      </w:pPr>
      <w:r w:rsidRPr="00991DB8">
        <w:t>7)</w:t>
      </w:r>
      <w:r w:rsidRPr="00991DB8">
        <w:tab/>
      </w:r>
      <w:r w:rsidR="006A7D04" w:rsidRPr="00991DB8">
        <w:t xml:space="preserve">Une fois que l'AMNT aura lieu au premier trimestre de 2022, </w:t>
      </w:r>
      <w:r w:rsidR="006F470B" w:rsidRPr="00991DB8">
        <w:t>il et à</w:t>
      </w:r>
      <w:r w:rsidR="00CB6D8A" w:rsidRPr="00991DB8">
        <w:t xml:space="preserve"> espérer que </w:t>
      </w:r>
      <w:r w:rsidR="00A2795D">
        <w:t>le cycle des </w:t>
      </w:r>
      <w:r w:rsidR="00182313" w:rsidRPr="00991DB8">
        <w:t xml:space="preserve">AMNT </w:t>
      </w:r>
      <w:r w:rsidR="006F470B" w:rsidRPr="00991DB8">
        <w:t>reprendra normalement et que l</w:t>
      </w:r>
      <w:r w:rsidR="00991DB8" w:rsidRPr="00991DB8">
        <w:t>'</w:t>
      </w:r>
      <w:r w:rsidR="006F470B" w:rsidRPr="00991DB8">
        <w:t>AMNT suivante</w:t>
      </w:r>
      <w:r w:rsidR="00404F69" w:rsidRPr="00991DB8">
        <w:t xml:space="preserve"> se tiendra</w:t>
      </w:r>
      <w:r w:rsidR="006F470B" w:rsidRPr="00991DB8">
        <w:t xml:space="preserve"> </w:t>
      </w:r>
      <w:r w:rsidR="00182313" w:rsidRPr="00991DB8">
        <w:t>en</w:t>
      </w:r>
      <w:r w:rsidR="00AB0162" w:rsidRPr="00991DB8">
        <w:t> </w:t>
      </w:r>
      <w:r w:rsidR="006A7D04" w:rsidRPr="00991DB8">
        <w:t>2024</w:t>
      </w:r>
      <w:r w:rsidRPr="00991DB8">
        <w:t>.</w:t>
      </w:r>
    </w:p>
    <w:p w14:paraId="40DAFB9A" w14:textId="77777777" w:rsidR="00112189" w:rsidRPr="00991DB8" w:rsidRDefault="00112189" w:rsidP="00E25E60">
      <w:pPr>
        <w:spacing w:before="360"/>
        <w:jc w:val="center"/>
      </w:pPr>
      <w:r w:rsidRPr="00991DB8">
        <w:t>______________</w:t>
      </w:r>
    </w:p>
    <w:sectPr w:rsidR="00112189" w:rsidRPr="00991DB8"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3CA64" w14:textId="77777777" w:rsidR="00F21D60" w:rsidRDefault="00F21D60">
      <w:r>
        <w:separator/>
      </w:r>
    </w:p>
  </w:endnote>
  <w:endnote w:type="continuationSeparator" w:id="0">
    <w:p w14:paraId="088AAEF4" w14:textId="77777777" w:rsidR="00F21D60" w:rsidRDefault="00F2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2E16A" w14:textId="7F13C707" w:rsidR="00732045" w:rsidRDefault="00991DB8">
    <w:pPr>
      <w:pStyle w:val="Footer"/>
    </w:pPr>
    <w:fldSimple w:instr=" FILENAME \p \* MERGEFORMAT ">
      <w:r w:rsidR="00F21D60">
        <w:t>Document4</w:t>
      </w:r>
    </w:fldSimple>
    <w:r w:rsidR="00732045">
      <w:tab/>
    </w:r>
    <w:r w:rsidR="002F1B76">
      <w:fldChar w:fldCharType="begin"/>
    </w:r>
    <w:r w:rsidR="00732045">
      <w:instrText xml:space="preserve"> savedate \@ dd.MM.yy </w:instrText>
    </w:r>
    <w:r w:rsidR="002F1B76">
      <w:fldChar w:fldCharType="separate"/>
    </w:r>
    <w:r w:rsidR="00EE7891">
      <w:t>06.11.20</w:t>
    </w:r>
    <w:r w:rsidR="002F1B76">
      <w:fldChar w:fldCharType="end"/>
    </w:r>
    <w:r w:rsidR="00732045">
      <w:tab/>
    </w:r>
    <w:r w:rsidR="002F1B76">
      <w:fldChar w:fldCharType="begin"/>
    </w:r>
    <w:r w:rsidR="00732045">
      <w:instrText xml:space="preserve"> printdate \@ dd.MM.yy </w:instrText>
    </w:r>
    <w:r w:rsidR="002F1B76">
      <w:fldChar w:fldCharType="separate"/>
    </w:r>
    <w:r w:rsidR="00F21D6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B2A58" w14:textId="3D89E097" w:rsidR="00732045" w:rsidRDefault="00991DB8">
    <w:pPr>
      <w:pStyle w:val="Footer"/>
    </w:pPr>
    <w:fldSimple w:instr=" FILENAME \p \* MERGEFORMAT ">
      <w:r>
        <w:t>P:\FRA\SG\CONSEIL\VC-2\000\003F.docx</w:t>
      </w:r>
    </w:fldSimple>
    <w:r w:rsidR="00112189">
      <w:t xml:space="preserve"> (479558)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AC916"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4BAD0" w14:textId="77777777" w:rsidR="00F21D60" w:rsidRDefault="00F21D60">
      <w:r>
        <w:t>____________________</w:t>
      </w:r>
    </w:p>
  </w:footnote>
  <w:footnote w:type="continuationSeparator" w:id="0">
    <w:p w14:paraId="3A57B88B" w14:textId="77777777" w:rsidR="00F21D60" w:rsidRDefault="00F2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94D9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C6396B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85CF8" w14:textId="5F40B070" w:rsidR="00732045" w:rsidRDefault="00C27A7C" w:rsidP="00475FB3">
    <w:pPr>
      <w:pStyle w:val="Header"/>
    </w:pPr>
    <w:r>
      <w:fldChar w:fldCharType="begin"/>
    </w:r>
    <w:r>
      <w:instrText>PAGE</w:instrText>
    </w:r>
    <w:r>
      <w:fldChar w:fldCharType="separate"/>
    </w:r>
    <w:r w:rsidR="002918A2">
      <w:rPr>
        <w:noProof/>
      </w:rPr>
      <w:t>2</w:t>
    </w:r>
    <w:r>
      <w:rPr>
        <w:noProof/>
      </w:rPr>
      <w:fldChar w:fldCharType="end"/>
    </w:r>
  </w:p>
  <w:p w14:paraId="5C03619F" w14:textId="17C4BB1D" w:rsidR="00732045" w:rsidRDefault="00112189" w:rsidP="00106B19">
    <w:pPr>
      <w:pStyle w:val="Header"/>
    </w:pPr>
    <w:r>
      <w:t>VC2</w:t>
    </w:r>
    <w:r w:rsidR="00732045">
      <w:t>/</w:t>
    </w:r>
    <w:r>
      <w:t>3</w:t>
    </w:r>
    <w:r w:rsidR="00732045">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0D5B"/>
    <w:multiLevelType w:val="hybridMultilevel"/>
    <w:tmpl w:val="8496D19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0564143-3E1C-4362-B407-803CDDD40CE8}"/>
    <w:docVar w:name="dgnword-eventsink" w:val="2005686540752"/>
  </w:docVars>
  <w:rsids>
    <w:rsidRoot w:val="00F21D60"/>
    <w:rsid w:val="0007091C"/>
    <w:rsid w:val="000A68E7"/>
    <w:rsid w:val="000C56EA"/>
    <w:rsid w:val="000D0D0A"/>
    <w:rsid w:val="00103163"/>
    <w:rsid w:val="00103EFE"/>
    <w:rsid w:val="00106B19"/>
    <w:rsid w:val="00112189"/>
    <w:rsid w:val="00115D93"/>
    <w:rsid w:val="001247A8"/>
    <w:rsid w:val="001378C0"/>
    <w:rsid w:val="00150D49"/>
    <w:rsid w:val="00151B86"/>
    <w:rsid w:val="00182313"/>
    <w:rsid w:val="0018694A"/>
    <w:rsid w:val="00190671"/>
    <w:rsid w:val="001A3287"/>
    <w:rsid w:val="001A6508"/>
    <w:rsid w:val="001B15E9"/>
    <w:rsid w:val="001D4C31"/>
    <w:rsid w:val="001E348B"/>
    <w:rsid w:val="001E4D21"/>
    <w:rsid w:val="00207CD1"/>
    <w:rsid w:val="002332C8"/>
    <w:rsid w:val="002477A2"/>
    <w:rsid w:val="00261A89"/>
    <w:rsid w:val="00263A51"/>
    <w:rsid w:val="00267E02"/>
    <w:rsid w:val="0029169F"/>
    <w:rsid w:val="002918A2"/>
    <w:rsid w:val="002A5D44"/>
    <w:rsid w:val="002E0BC4"/>
    <w:rsid w:val="002F1B76"/>
    <w:rsid w:val="003100A8"/>
    <w:rsid w:val="00320708"/>
    <w:rsid w:val="003276FF"/>
    <w:rsid w:val="0033568E"/>
    <w:rsid w:val="00355FF5"/>
    <w:rsid w:val="00361350"/>
    <w:rsid w:val="00391797"/>
    <w:rsid w:val="003A4F0A"/>
    <w:rsid w:val="003C3FAE"/>
    <w:rsid w:val="003D3F12"/>
    <w:rsid w:val="003E766E"/>
    <w:rsid w:val="004038CB"/>
    <w:rsid w:val="00404F69"/>
    <w:rsid w:val="0040546F"/>
    <w:rsid w:val="0042404A"/>
    <w:rsid w:val="0044028E"/>
    <w:rsid w:val="00444430"/>
    <w:rsid w:val="0044618F"/>
    <w:rsid w:val="0046769A"/>
    <w:rsid w:val="00475FB3"/>
    <w:rsid w:val="004A25A8"/>
    <w:rsid w:val="004A31BA"/>
    <w:rsid w:val="004C37A9"/>
    <w:rsid w:val="004E35A2"/>
    <w:rsid w:val="004E5FEB"/>
    <w:rsid w:val="004F259E"/>
    <w:rsid w:val="004F64DC"/>
    <w:rsid w:val="00511F1D"/>
    <w:rsid w:val="00520F36"/>
    <w:rsid w:val="00535DA9"/>
    <w:rsid w:val="00540615"/>
    <w:rsid w:val="00540A6D"/>
    <w:rsid w:val="0055798D"/>
    <w:rsid w:val="00571EEA"/>
    <w:rsid w:val="00575417"/>
    <w:rsid w:val="005768E1"/>
    <w:rsid w:val="005811BB"/>
    <w:rsid w:val="00582941"/>
    <w:rsid w:val="005B1938"/>
    <w:rsid w:val="005B6D67"/>
    <w:rsid w:val="005B71CA"/>
    <w:rsid w:val="005C3890"/>
    <w:rsid w:val="005D3D96"/>
    <w:rsid w:val="005F7BFE"/>
    <w:rsid w:val="00600017"/>
    <w:rsid w:val="006010CC"/>
    <w:rsid w:val="006075BA"/>
    <w:rsid w:val="006138B7"/>
    <w:rsid w:val="006229AE"/>
    <w:rsid w:val="006235CA"/>
    <w:rsid w:val="00647AA0"/>
    <w:rsid w:val="00656A7E"/>
    <w:rsid w:val="006643AB"/>
    <w:rsid w:val="00672388"/>
    <w:rsid w:val="006A7D04"/>
    <w:rsid w:val="006D0B8B"/>
    <w:rsid w:val="006D2C18"/>
    <w:rsid w:val="006F470B"/>
    <w:rsid w:val="007210CD"/>
    <w:rsid w:val="00723EAC"/>
    <w:rsid w:val="00732045"/>
    <w:rsid w:val="007369DB"/>
    <w:rsid w:val="00792811"/>
    <w:rsid w:val="007956C2"/>
    <w:rsid w:val="007A0A41"/>
    <w:rsid w:val="007A187E"/>
    <w:rsid w:val="007B5794"/>
    <w:rsid w:val="007B5E4A"/>
    <w:rsid w:val="007C72C2"/>
    <w:rsid w:val="007D4436"/>
    <w:rsid w:val="007F257A"/>
    <w:rsid w:val="007F3665"/>
    <w:rsid w:val="00800037"/>
    <w:rsid w:val="00861D73"/>
    <w:rsid w:val="00897553"/>
    <w:rsid w:val="008A4E87"/>
    <w:rsid w:val="008D76E6"/>
    <w:rsid w:val="0092392D"/>
    <w:rsid w:val="0093234A"/>
    <w:rsid w:val="009457B1"/>
    <w:rsid w:val="009905A4"/>
    <w:rsid w:val="00991DB8"/>
    <w:rsid w:val="009A74BF"/>
    <w:rsid w:val="009C307F"/>
    <w:rsid w:val="009C353C"/>
    <w:rsid w:val="009D13B4"/>
    <w:rsid w:val="00A02F03"/>
    <w:rsid w:val="00A1559D"/>
    <w:rsid w:val="00A2113E"/>
    <w:rsid w:val="00A23A51"/>
    <w:rsid w:val="00A24106"/>
    <w:rsid w:val="00A24607"/>
    <w:rsid w:val="00A25CD3"/>
    <w:rsid w:val="00A2795D"/>
    <w:rsid w:val="00A709FE"/>
    <w:rsid w:val="00A82767"/>
    <w:rsid w:val="00AA332F"/>
    <w:rsid w:val="00AA7BBB"/>
    <w:rsid w:val="00AB0162"/>
    <w:rsid w:val="00AB64A8"/>
    <w:rsid w:val="00AC00BD"/>
    <w:rsid w:val="00AC0266"/>
    <w:rsid w:val="00AD24EC"/>
    <w:rsid w:val="00AF2C62"/>
    <w:rsid w:val="00B06497"/>
    <w:rsid w:val="00B309F9"/>
    <w:rsid w:val="00B32B60"/>
    <w:rsid w:val="00B61619"/>
    <w:rsid w:val="00BA35DB"/>
    <w:rsid w:val="00BA7099"/>
    <w:rsid w:val="00BB4545"/>
    <w:rsid w:val="00BD5873"/>
    <w:rsid w:val="00C04BE3"/>
    <w:rsid w:val="00C25D29"/>
    <w:rsid w:val="00C27A7C"/>
    <w:rsid w:val="00C842B4"/>
    <w:rsid w:val="00CA08ED"/>
    <w:rsid w:val="00CA37AD"/>
    <w:rsid w:val="00CB4B6D"/>
    <w:rsid w:val="00CB6D8A"/>
    <w:rsid w:val="00CF183B"/>
    <w:rsid w:val="00CF71C4"/>
    <w:rsid w:val="00D13933"/>
    <w:rsid w:val="00D375CD"/>
    <w:rsid w:val="00D53CE0"/>
    <w:rsid w:val="00D553A2"/>
    <w:rsid w:val="00D774D3"/>
    <w:rsid w:val="00D904E8"/>
    <w:rsid w:val="00DA08C3"/>
    <w:rsid w:val="00DB5A3E"/>
    <w:rsid w:val="00DC22AA"/>
    <w:rsid w:val="00DF478D"/>
    <w:rsid w:val="00DF74DD"/>
    <w:rsid w:val="00E25AD0"/>
    <w:rsid w:val="00E25E60"/>
    <w:rsid w:val="00EA4633"/>
    <w:rsid w:val="00EB6350"/>
    <w:rsid w:val="00EE7891"/>
    <w:rsid w:val="00F15B57"/>
    <w:rsid w:val="00F20AC5"/>
    <w:rsid w:val="00F21D60"/>
    <w:rsid w:val="00F41CB3"/>
    <w:rsid w:val="00F427DB"/>
    <w:rsid w:val="00F431CC"/>
    <w:rsid w:val="00F84A86"/>
    <w:rsid w:val="00F95748"/>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4A8B0"/>
  <w15:docId w15:val="{44A68D63-CBF9-4909-816A-A62C7FC8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
    <w:name w:val="Unresolved Mention"/>
    <w:basedOn w:val="DefaultParagraphFont"/>
    <w:uiPriority w:val="99"/>
    <w:semiHidden/>
    <w:unhideWhenUsed/>
    <w:rsid w:val="00F21D60"/>
    <w:rPr>
      <w:color w:val="605E5C"/>
      <w:shd w:val="clear" w:color="auto" w:fill="E1DFDD"/>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F21D60"/>
    <w:pPr>
      <w:ind w:left="720"/>
      <w:contextualSpacing/>
    </w:pPr>
    <w:rPr>
      <w:lang w:val="en-GB"/>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1"/>
    <w:locked/>
    <w:rsid w:val="00F21D60"/>
    <w:rPr>
      <w:rFonts w:ascii="Calibri" w:hAnsi="Calibri"/>
      <w:sz w:val="24"/>
      <w:lang w:val="en-GB" w:eastAsia="en-US"/>
    </w:rPr>
  </w:style>
  <w:style w:type="character" w:styleId="CommentReference">
    <w:name w:val="annotation reference"/>
    <w:basedOn w:val="DefaultParagraphFont"/>
    <w:semiHidden/>
    <w:unhideWhenUsed/>
    <w:rsid w:val="00CA37AD"/>
    <w:rPr>
      <w:sz w:val="16"/>
      <w:szCs w:val="16"/>
    </w:rPr>
  </w:style>
  <w:style w:type="paragraph" w:styleId="CommentText">
    <w:name w:val="annotation text"/>
    <w:basedOn w:val="Normal"/>
    <w:link w:val="CommentTextChar"/>
    <w:semiHidden/>
    <w:unhideWhenUsed/>
    <w:rsid w:val="00CA37AD"/>
    <w:rPr>
      <w:sz w:val="20"/>
    </w:rPr>
  </w:style>
  <w:style w:type="character" w:customStyle="1" w:styleId="CommentTextChar">
    <w:name w:val="Comment Text Char"/>
    <w:basedOn w:val="DefaultParagraphFont"/>
    <w:link w:val="CommentText"/>
    <w:semiHidden/>
    <w:rsid w:val="00CA37AD"/>
    <w:rPr>
      <w:rFonts w:ascii="Calibri" w:hAnsi="Calibri"/>
      <w:lang w:val="fr-FR" w:eastAsia="en-US"/>
    </w:rPr>
  </w:style>
  <w:style w:type="paragraph" w:styleId="CommentSubject">
    <w:name w:val="annotation subject"/>
    <w:basedOn w:val="CommentText"/>
    <w:next w:val="CommentText"/>
    <w:link w:val="CommentSubjectChar"/>
    <w:semiHidden/>
    <w:unhideWhenUsed/>
    <w:rsid w:val="00CA37AD"/>
    <w:rPr>
      <w:b/>
      <w:bCs/>
    </w:rPr>
  </w:style>
  <w:style w:type="character" w:customStyle="1" w:styleId="CommentSubjectChar">
    <w:name w:val="Comment Subject Char"/>
    <w:basedOn w:val="CommentTextChar"/>
    <w:link w:val="CommentSubject"/>
    <w:semiHidden/>
    <w:rsid w:val="00CA37AD"/>
    <w:rPr>
      <w:rFonts w:ascii="Calibri" w:hAnsi="Calibri"/>
      <w:b/>
      <w:bCs/>
      <w:lang w:val="fr-FR" w:eastAsia="en-US"/>
    </w:rPr>
  </w:style>
  <w:style w:type="paragraph" w:styleId="BalloonText">
    <w:name w:val="Balloon Text"/>
    <w:basedOn w:val="Normal"/>
    <w:link w:val="BalloonTextChar"/>
    <w:semiHidden/>
    <w:unhideWhenUsed/>
    <w:rsid w:val="00CA37A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A37A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24/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itu.int/md/S20-CLVC2-C-0002/en" TargetMode="External"/><Relationship Id="rId4" Type="http://schemas.openxmlformats.org/officeDocument/2006/relationships/webSettings" Target="webSettings.xml"/><Relationship Id="rId9" Type="http://schemas.openxmlformats.org/officeDocument/2006/relationships/hyperlink" Target="https://www.itu.int/md/S20-CLVC2-C-0002/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53</TotalTime>
  <Pages>3</Pages>
  <Words>1049</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6759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C2018, C18</cp:keywords>
  <dc:description/>
  <cp:lastModifiedBy>Royer, Veronique</cp:lastModifiedBy>
  <cp:revision>7</cp:revision>
  <cp:lastPrinted>2000-07-18T08:55:00Z</cp:lastPrinted>
  <dcterms:created xsi:type="dcterms:W3CDTF">2020-11-06T08:05:00Z</dcterms:created>
  <dcterms:modified xsi:type="dcterms:W3CDTF">2020-11-06T09:49:00Z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