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1834BD" w:rsidRPr="00AD25AE" w14:paraId="3C274935" w14:textId="77777777" w:rsidTr="00FA7FCF">
        <w:trPr>
          <w:cantSplit/>
          <w:trHeight w:val="1276"/>
        </w:trPr>
        <w:tc>
          <w:tcPr>
            <w:tcW w:w="6911" w:type="dxa"/>
          </w:tcPr>
          <w:p w14:paraId="5B3F61F9" w14:textId="24F19246" w:rsidR="001834BD" w:rsidRPr="00AD25AE" w:rsidRDefault="004D2FCF" w:rsidP="00FA7FCF">
            <w:pPr>
              <w:spacing w:before="360" w:after="48"/>
              <w:rPr>
                <w:b/>
                <w:bCs/>
                <w:position w:val="6"/>
                <w:sz w:val="26"/>
                <w:szCs w:val="26"/>
              </w:rPr>
            </w:pPr>
            <w:bookmarkStart w:id="0" w:name="lt_pId446"/>
            <w:r>
              <w:rPr>
                <w:b/>
                <w:bCs/>
                <w:position w:val="6"/>
                <w:sz w:val="26"/>
                <w:szCs w:val="26"/>
              </w:rPr>
              <w:t>Segunda c</w:t>
            </w:r>
            <w:r w:rsidR="001834BD" w:rsidRPr="00AD25AE">
              <w:rPr>
                <w:b/>
                <w:bCs/>
                <w:position w:val="6"/>
                <w:sz w:val="26"/>
                <w:szCs w:val="26"/>
              </w:rPr>
              <w:t xml:space="preserve">onsulta virtual de los consejeros </w:t>
            </w:r>
            <w:bookmarkEnd w:id="0"/>
            <w:r w:rsidR="001834BD" w:rsidRPr="00AD25AE">
              <w:rPr>
                <w:b/>
                <w:bCs/>
                <w:position w:val="6"/>
                <w:sz w:val="26"/>
                <w:szCs w:val="26"/>
              </w:rPr>
              <w:br/>
            </w:r>
            <w:bookmarkStart w:id="1" w:name="lt_pId447"/>
            <w:r w:rsidR="001834BD" w:rsidRPr="00AD25AE">
              <w:rPr>
                <w:b/>
                <w:bCs/>
                <w:position w:val="6"/>
                <w:sz w:val="26"/>
                <w:szCs w:val="26"/>
              </w:rPr>
              <w:t xml:space="preserve">que comienza el </w:t>
            </w:r>
            <w:r w:rsidR="00803CB8">
              <w:rPr>
                <w:b/>
                <w:bCs/>
                <w:position w:val="6"/>
                <w:sz w:val="26"/>
                <w:szCs w:val="26"/>
              </w:rPr>
              <w:t>16</w:t>
            </w:r>
            <w:r w:rsidR="001834BD" w:rsidRPr="00AD25AE">
              <w:rPr>
                <w:b/>
                <w:bCs/>
                <w:position w:val="6"/>
                <w:sz w:val="26"/>
                <w:szCs w:val="26"/>
              </w:rPr>
              <w:t xml:space="preserve"> de </w:t>
            </w:r>
            <w:r w:rsidR="00803CB8" w:rsidRPr="00803CB8">
              <w:rPr>
                <w:b/>
                <w:bCs/>
                <w:position w:val="6"/>
                <w:sz w:val="26"/>
                <w:szCs w:val="26"/>
              </w:rPr>
              <w:t>noviembre</w:t>
            </w:r>
            <w:r w:rsidR="00803CB8">
              <w:rPr>
                <w:rFonts w:ascii="Verdana" w:hAnsi="Verdana"/>
                <w:b/>
                <w:bCs/>
                <w:position w:val="6"/>
                <w:sz w:val="17"/>
                <w:szCs w:val="17"/>
              </w:rPr>
              <w:t xml:space="preserve"> </w:t>
            </w:r>
            <w:r w:rsidR="001834BD" w:rsidRPr="00AD25AE">
              <w:rPr>
                <w:b/>
                <w:bCs/>
                <w:position w:val="6"/>
                <w:sz w:val="26"/>
                <w:szCs w:val="26"/>
              </w:rPr>
              <w:t>de 2020</w:t>
            </w:r>
            <w:bookmarkEnd w:id="1"/>
          </w:p>
        </w:tc>
        <w:tc>
          <w:tcPr>
            <w:tcW w:w="3120" w:type="dxa"/>
            <w:vAlign w:val="center"/>
          </w:tcPr>
          <w:p w14:paraId="299E6221" w14:textId="77777777" w:rsidR="001834BD" w:rsidRPr="00AD25AE" w:rsidRDefault="001834BD" w:rsidP="00FA7FCF">
            <w:pPr>
              <w:spacing w:before="0"/>
            </w:pPr>
            <w:r w:rsidRPr="00AD25AE">
              <w:rPr>
                <w:noProof/>
              </w:rPr>
              <w:drawing>
                <wp:inline distT="0" distB="0" distL="0" distR="0" wp14:anchorId="045C4355" wp14:editId="628FD54A">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834BD" w:rsidRPr="00AD25AE" w14:paraId="3C5C2B49" w14:textId="77777777" w:rsidTr="00FA7FCF">
        <w:trPr>
          <w:cantSplit/>
        </w:trPr>
        <w:tc>
          <w:tcPr>
            <w:tcW w:w="6911" w:type="dxa"/>
            <w:tcBorders>
              <w:bottom w:val="single" w:sz="12" w:space="0" w:color="auto"/>
            </w:tcBorders>
          </w:tcPr>
          <w:p w14:paraId="4A303917" w14:textId="77777777" w:rsidR="001834BD" w:rsidRPr="00AD25AE" w:rsidRDefault="001834BD" w:rsidP="00FA7FCF">
            <w:pPr>
              <w:spacing w:before="0" w:after="48"/>
              <w:rPr>
                <w:b/>
                <w:smallCaps/>
                <w:szCs w:val="24"/>
              </w:rPr>
            </w:pPr>
          </w:p>
        </w:tc>
        <w:tc>
          <w:tcPr>
            <w:tcW w:w="3120" w:type="dxa"/>
            <w:tcBorders>
              <w:bottom w:val="single" w:sz="12" w:space="0" w:color="auto"/>
            </w:tcBorders>
          </w:tcPr>
          <w:p w14:paraId="370B0218" w14:textId="77777777" w:rsidR="001834BD" w:rsidRPr="00AD25AE" w:rsidRDefault="001834BD" w:rsidP="00FA7FCF">
            <w:pPr>
              <w:spacing w:before="0"/>
              <w:rPr>
                <w:szCs w:val="24"/>
              </w:rPr>
            </w:pPr>
          </w:p>
        </w:tc>
      </w:tr>
      <w:tr w:rsidR="001834BD" w:rsidRPr="00AD25AE" w14:paraId="3C957EF2" w14:textId="77777777" w:rsidTr="00FA7FCF">
        <w:trPr>
          <w:cantSplit/>
        </w:trPr>
        <w:tc>
          <w:tcPr>
            <w:tcW w:w="6911" w:type="dxa"/>
            <w:tcBorders>
              <w:top w:val="single" w:sz="12" w:space="0" w:color="auto"/>
            </w:tcBorders>
          </w:tcPr>
          <w:p w14:paraId="36F55DD2" w14:textId="77777777" w:rsidR="001834BD" w:rsidRPr="00AD25AE" w:rsidRDefault="001834BD" w:rsidP="00FA7FCF">
            <w:pPr>
              <w:spacing w:before="0" w:after="48"/>
              <w:rPr>
                <w:b/>
                <w:smallCaps/>
                <w:szCs w:val="24"/>
              </w:rPr>
            </w:pPr>
          </w:p>
        </w:tc>
        <w:tc>
          <w:tcPr>
            <w:tcW w:w="3120" w:type="dxa"/>
            <w:tcBorders>
              <w:top w:val="single" w:sz="12" w:space="0" w:color="auto"/>
            </w:tcBorders>
          </w:tcPr>
          <w:p w14:paraId="7E1D1402" w14:textId="24E34CF1" w:rsidR="001834BD" w:rsidRPr="00AD25AE" w:rsidRDefault="001834BD" w:rsidP="001834BD">
            <w:pPr>
              <w:spacing w:before="240"/>
              <w:rPr>
                <w:szCs w:val="24"/>
              </w:rPr>
            </w:pPr>
            <w:r>
              <w:rPr>
                <w:b/>
                <w:bCs/>
                <w:szCs w:val="24"/>
              </w:rPr>
              <w:t xml:space="preserve">Documento </w:t>
            </w:r>
            <w:r w:rsidR="00491AC1">
              <w:rPr>
                <w:b/>
                <w:bCs/>
                <w:szCs w:val="24"/>
              </w:rPr>
              <w:t>VC</w:t>
            </w:r>
            <w:r w:rsidR="004D2FCF">
              <w:rPr>
                <w:b/>
                <w:bCs/>
                <w:szCs w:val="24"/>
              </w:rPr>
              <w:t>-2</w:t>
            </w:r>
            <w:r>
              <w:rPr>
                <w:b/>
                <w:bCs/>
                <w:szCs w:val="24"/>
              </w:rPr>
              <w:t>/</w:t>
            </w:r>
            <w:r w:rsidR="00A12D5A">
              <w:rPr>
                <w:b/>
                <w:bCs/>
                <w:szCs w:val="24"/>
              </w:rPr>
              <w:t>9</w:t>
            </w:r>
            <w:r>
              <w:rPr>
                <w:b/>
                <w:bCs/>
                <w:szCs w:val="24"/>
              </w:rPr>
              <w:t>-S</w:t>
            </w:r>
            <w:r>
              <w:rPr>
                <w:b/>
                <w:bCs/>
                <w:szCs w:val="24"/>
              </w:rPr>
              <w:br/>
            </w:r>
            <w:r w:rsidR="00A12D5A">
              <w:rPr>
                <w:b/>
                <w:bCs/>
                <w:szCs w:val="24"/>
              </w:rPr>
              <w:t>2</w:t>
            </w:r>
            <w:r>
              <w:rPr>
                <w:b/>
                <w:bCs/>
                <w:szCs w:val="24"/>
              </w:rPr>
              <w:t xml:space="preserve"> </w:t>
            </w:r>
            <w:r w:rsidR="00A12D5A">
              <w:rPr>
                <w:b/>
                <w:bCs/>
                <w:szCs w:val="24"/>
              </w:rPr>
              <w:t>de noviembre</w:t>
            </w:r>
            <w:r>
              <w:rPr>
                <w:b/>
                <w:bCs/>
                <w:szCs w:val="24"/>
              </w:rPr>
              <w:t xml:space="preserve"> de 2020</w:t>
            </w:r>
            <w:r>
              <w:rPr>
                <w:b/>
                <w:bCs/>
                <w:szCs w:val="24"/>
              </w:rPr>
              <w:br/>
              <w:t>Original: inglés</w:t>
            </w:r>
          </w:p>
        </w:tc>
      </w:tr>
    </w:tbl>
    <w:p w14:paraId="38D4A7DA" w14:textId="77777777" w:rsidR="001834BD" w:rsidRPr="00AD25AE" w:rsidRDefault="001834BD" w:rsidP="001834BD">
      <w:pPr>
        <w:spacing w:before="0"/>
        <w:rPr>
          <w:b/>
          <w:bCs/>
          <w:sz w:val="28"/>
        </w:rPr>
      </w:pPr>
    </w:p>
    <w:tbl>
      <w:tblPr>
        <w:tblW w:w="10093" w:type="dxa"/>
        <w:tblLayout w:type="fixed"/>
        <w:tblLook w:val="0000" w:firstRow="0" w:lastRow="0" w:firstColumn="0" w:lastColumn="0" w:noHBand="0" w:noVBand="0"/>
      </w:tblPr>
      <w:tblGrid>
        <w:gridCol w:w="2835"/>
        <w:gridCol w:w="7258"/>
      </w:tblGrid>
      <w:tr w:rsidR="001834BD" w:rsidRPr="00AD25AE" w14:paraId="60C8072A" w14:textId="77777777" w:rsidTr="00FA7FCF">
        <w:trPr>
          <w:cantSplit/>
        </w:trPr>
        <w:tc>
          <w:tcPr>
            <w:tcW w:w="2835" w:type="dxa"/>
            <w:tcBorders>
              <w:right w:val="single" w:sz="12" w:space="0" w:color="auto"/>
            </w:tcBorders>
            <w:vAlign w:val="center"/>
          </w:tcPr>
          <w:p w14:paraId="51383979" w14:textId="77777777" w:rsidR="001834BD" w:rsidRPr="00AD25AE" w:rsidRDefault="001834BD" w:rsidP="00FA7FCF">
            <w:pPr>
              <w:spacing w:before="0"/>
              <w:rPr>
                <w:b/>
                <w:bCs/>
              </w:rPr>
            </w:pPr>
            <w:bookmarkStart w:id="2" w:name="lt_pId450"/>
            <w:r w:rsidRPr="00AD25AE">
              <w:rPr>
                <w:b/>
                <w:bCs/>
              </w:rPr>
              <w:t>Nombre del/de los Estado(s) Miembro(s) que la presenta(n):</w:t>
            </w:r>
            <w:bookmarkEnd w:id="2"/>
          </w:p>
        </w:tc>
        <w:tc>
          <w:tcPr>
            <w:tcW w:w="7258" w:type="dxa"/>
            <w:tcBorders>
              <w:top w:val="single" w:sz="12" w:space="0" w:color="auto"/>
              <w:left w:val="single" w:sz="12" w:space="0" w:color="auto"/>
              <w:bottom w:val="single" w:sz="12" w:space="0" w:color="auto"/>
              <w:right w:val="single" w:sz="12" w:space="0" w:color="auto"/>
            </w:tcBorders>
            <w:vAlign w:val="center"/>
          </w:tcPr>
          <w:p w14:paraId="7501CAA5" w14:textId="64A79F5E" w:rsidR="001834BD" w:rsidRPr="00CB034A" w:rsidRDefault="00A12D5A" w:rsidP="00FA7FCF">
            <w:pPr>
              <w:spacing w:before="0"/>
              <w:rPr>
                <w:b/>
                <w:bCs/>
              </w:rPr>
            </w:pPr>
            <w:r w:rsidRPr="00A12D5A">
              <w:rPr>
                <w:b/>
                <w:bCs/>
                <w:lang w:val="es-ES"/>
              </w:rPr>
              <w:t>República Federal de Alemania, República de Bulgaria, República de Chipre, República de Croacia, Dinamarca, España, Finlandia, Francia, Grecia, Hungría, República de Lituania, Malta, Noruega, Reino de los Países Bajos, República de Polonia, República Eslovaca, República Checa, Rumania, Suecia y el Reino Unido de Gran Bretaña e Irlanda del Norte</w:t>
            </w:r>
          </w:p>
        </w:tc>
      </w:tr>
      <w:tr w:rsidR="001834BD" w:rsidRPr="00AD25AE" w14:paraId="51606197" w14:textId="77777777" w:rsidTr="00FA7FCF">
        <w:trPr>
          <w:cantSplit/>
        </w:trPr>
        <w:tc>
          <w:tcPr>
            <w:tcW w:w="2835" w:type="dxa"/>
          </w:tcPr>
          <w:p w14:paraId="74C7AD66" w14:textId="77777777" w:rsidR="001834BD" w:rsidRPr="00AD25AE" w:rsidRDefault="001834BD" w:rsidP="00FA7FCF">
            <w:pPr>
              <w:spacing w:before="0"/>
              <w:rPr>
                <w:sz w:val="16"/>
                <w:szCs w:val="16"/>
              </w:rPr>
            </w:pPr>
          </w:p>
        </w:tc>
        <w:tc>
          <w:tcPr>
            <w:tcW w:w="7258" w:type="dxa"/>
            <w:tcBorders>
              <w:top w:val="single" w:sz="12" w:space="0" w:color="auto"/>
              <w:bottom w:val="single" w:sz="12" w:space="0" w:color="auto"/>
            </w:tcBorders>
          </w:tcPr>
          <w:p w14:paraId="2B540569" w14:textId="77777777" w:rsidR="001834BD" w:rsidRPr="00AD25AE" w:rsidRDefault="001834BD" w:rsidP="00FA7FCF">
            <w:pPr>
              <w:spacing w:before="0"/>
              <w:rPr>
                <w:sz w:val="16"/>
                <w:szCs w:val="16"/>
              </w:rPr>
            </w:pPr>
          </w:p>
        </w:tc>
      </w:tr>
      <w:tr w:rsidR="001834BD" w:rsidRPr="00AD25AE" w14:paraId="01C19000" w14:textId="77777777" w:rsidTr="00FA7FCF">
        <w:trPr>
          <w:cantSplit/>
        </w:trPr>
        <w:tc>
          <w:tcPr>
            <w:tcW w:w="2835" w:type="dxa"/>
            <w:tcBorders>
              <w:right w:val="single" w:sz="12" w:space="0" w:color="auto"/>
            </w:tcBorders>
          </w:tcPr>
          <w:p w14:paraId="798CAC87" w14:textId="77777777" w:rsidR="001834BD" w:rsidRPr="00AD25AE" w:rsidRDefault="001834BD" w:rsidP="00FA7FCF">
            <w:pPr>
              <w:spacing w:after="120"/>
              <w:rPr>
                <w:b/>
                <w:bCs/>
              </w:rPr>
            </w:pPr>
            <w:bookmarkStart w:id="3" w:name="lt_pId451"/>
            <w:r w:rsidRPr="00AD25AE">
              <w:rPr>
                <w:b/>
                <w:bCs/>
              </w:rPr>
              <w:t>Título del documento:</w:t>
            </w:r>
            <w:bookmarkEnd w:id="3"/>
          </w:p>
        </w:tc>
        <w:tc>
          <w:tcPr>
            <w:tcW w:w="7258" w:type="dxa"/>
            <w:tcBorders>
              <w:top w:val="single" w:sz="12" w:space="0" w:color="auto"/>
              <w:left w:val="single" w:sz="12" w:space="0" w:color="auto"/>
              <w:bottom w:val="single" w:sz="12" w:space="0" w:color="auto"/>
              <w:right w:val="single" w:sz="12" w:space="0" w:color="auto"/>
            </w:tcBorders>
          </w:tcPr>
          <w:p w14:paraId="24C3AC9C" w14:textId="2DBA16AD" w:rsidR="001834BD" w:rsidRPr="00CB034A" w:rsidRDefault="00A12D5A" w:rsidP="00FA7FCF">
            <w:pPr>
              <w:spacing w:after="120"/>
              <w:rPr>
                <w:b/>
                <w:bCs/>
              </w:rPr>
            </w:pPr>
            <w:r w:rsidRPr="00A12D5A">
              <w:rPr>
                <w:b/>
                <w:bCs/>
                <w:lang w:val="es-ES"/>
              </w:rPr>
              <w:t>Celebración de la Asamblea Mundial de Normalización de las Telecomunicaciones (AMNT) de la UIT</w:t>
            </w:r>
          </w:p>
        </w:tc>
      </w:tr>
      <w:tr w:rsidR="001834BD" w:rsidRPr="00AD25AE" w14:paraId="284C32F1" w14:textId="77777777" w:rsidTr="004D2FCF">
        <w:trPr>
          <w:cantSplit/>
          <w:trHeight w:val="269"/>
        </w:trPr>
        <w:tc>
          <w:tcPr>
            <w:tcW w:w="2835" w:type="dxa"/>
          </w:tcPr>
          <w:p w14:paraId="79BE13BB" w14:textId="77777777" w:rsidR="001834BD" w:rsidRPr="00AD25AE" w:rsidRDefault="001834BD" w:rsidP="00FA7FCF">
            <w:pPr>
              <w:spacing w:before="0"/>
              <w:rPr>
                <w:sz w:val="16"/>
                <w:szCs w:val="16"/>
              </w:rPr>
            </w:pPr>
          </w:p>
        </w:tc>
        <w:tc>
          <w:tcPr>
            <w:tcW w:w="7258" w:type="dxa"/>
            <w:tcBorders>
              <w:top w:val="single" w:sz="12" w:space="0" w:color="auto"/>
              <w:bottom w:val="single" w:sz="12" w:space="0" w:color="auto"/>
            </w:tcBorders>
          </w:tcPr>
          <w:p w14:paraId="0C07F4EF" w14:textId="77777777" w:rsidR="001834BD" w:rsidRPr="00AD25AE" w:rsidRDefault="001834BD" w:rsidP="00FA7FCF">
            <w:pPr>
              <w:spacing w:before="0"/>
              <w:rPr>
                <w:sz w:val="16"/>
                <w:szCs w:val="16"/>
              </w:rPr>
            </w:pPr>
          </w:p>
        </w:tc>
      </w:tr>
      <w:tr w:rsidR="001834BD" w:rsidRPr="00AD25AE" w14:paraId="46F1A9E6" w14:textId="77777777" w:rsidTr="004D2FCF">
        <w:trPr>
          <w:cantSplit/>
          <w:trHeight w:val="668"/>
        </w:trPr>
        <w:tc>
          <w:tcPr>
            <w:tcW w:w="2835" w:type="dxa"/>
            <w:tcBorders>
              <w:right w:val="single" w:sz="12" w:space="0" w:color="auto"/>
            </w:tcBorders>
            <w:vAlign w:val="center"/>
          </w:tcPr>
          <w:p w14:paraId="0E4B1149" w14:textId="77777777" w:rsidR="001834BD" w:rsidRPr="00AD25AE" w:rsidRDefault="001834BD" w:rsidP="00FA7FCF">
            <w:pPr>
              <w:spacing w:before="0"/>
              <w:rPr>
                <w:b/>
                <w:bCs/>
              </w:rPr>
            </w:pPr>
            <w:bookmarkStart w:id="4" w:name="lt_pId452"/>
            <w:r w:rsidRPr="00AD25AE">
              <w:rPr>
                <w:b/>
                <w:bCs/>
              </w:rPr>
              <w:t>Referencia al proyecto de orden del día de la consulta virtual:</w:t>
            </w:r>
            <w:bookmarkEnd w:id="4"/>
          </w:p>
        </w:tc>
        <w:tc>
          <w:tcPr>
            <w:tcW w:w="7258" w:type="dxa"/>
            <w:tcBorders>
              <w:top w:val="single" w:sz="12" w:space="0" w:color="auto"/>
              <w:left w:val="single" w:sz="12" w:space="0" w:color="auto"/>
              <w:bottom w:val="single" w:sz="12" w:space="0" w:color="auto"/>
              <w:right w:val="single" w:sz="12" w:space="0" w:color="auto"/>
            </w:tcBorders>
            <w:vAlign w:val="center"/>
          </w:tcPr>
          <w:p w14:paraId="70E2C6CD" w14:textId="14F8F89A" w:rsidR="001834BD" w:rsidRPr="00AD25AE" w:rsidRDefault="00A12D5A" w:rsidP="00FA7FCF">
            <w:pPr>
              <w:spacing w:before="240" w:after="120"/>
              <w:rPr>
                <w:b/>
                <w:bCs/>
              </w:rPr>
            </w:pPr>
            <w:r w:rsidRPr="00A12D5A">
              <w:rPr>
                <w:b/>
                <w:bCs/>
                <w:lang w:val="es-ES"/>
              </w:rPr>
              <w:t xml:space="preserve">Documento </w:t>
            </w:r>
            <w:hyperlink r:id="rId9" w:history="1">
              <w:r w:rsidRPr="00A12D5A">
                <w:rPr>
                  <w:rStyle w:val="Hyperlink"/>
                  <w:b/>
                  <w:bCs/>
                  <w:lang w:val="es-ES"/>
                </w:rPr>
                <w:t>C20</w:t>
              </w:r>
              <w:r w:rsidRPr="00A12D5A">
                <w:rPr>
                  <w:rStyle w:val="Hyperlink"/>
                  <w:b/>
                  <w:bCs/>
                  <w:lang w:val="es-ES"/>
                </w:rPr>
                <w:t>/</w:t>
              </w:r>
              <w:r w:rsidRPr="00A12D5A">
                <w:rPr>
                  <w:rStyle w:val="Hyperlink"/>
                  <w:b/>
                  <w:bCs/>
                  <w:lang w:val="es-ES"/>
                </w:rPr>
                <w:t>24</w:t>
              </w:r>
            </w:hyperlink>
          </w:p>
        </w:tc>
      </w:tr>
      <w:tr w:rsidR="001834BD" w:rsidRPr="00AD25AE" w14:paraId="6A11F17A" w14:textId="77777777" w:rsidTr="004D2FCF">
        <w:trPr>
          <w:cantSplit/>
          <w:trHeight w:val="156"/>
        </w:trPr>
        <w:tc>
          <w:tcPr>
            <w:tcW w:w="2835" w:type="dxa"/>
          </w:tcPr>
          <w:p w14:paraId="400FA71C" w14:textId="77777777" w:rsidR="001834BD" w:rsidRPr="00AD25AE" w:rsidRDefault="001834BD" w:rsidP="00FA7FCF">
            <w:pPr>
              <w:spacing w:before="0"/>
              <w:rPr>
                <w:sz w:val="16"/>
                <w:szCs w:val="16"/>
              </w:rPr>
            </w:pPr>
          </w:p>
        </w:tc>
        <w:tc>
          <w:tcPr>
            <w:tcW w:w="7258" w:type="dxa"/>
            <w:tcBorders>
              <w:top w:val="single" w:sz="12" w:space="0" w:color="auto"/>
            </w:tcBorders>
          </w:tcPr>
          <w:p w14:paraId="338AACBF" w14:textId="77777777" w:rsidR="001834BD" w:rsidRPr="00AD25AE" w:rsidRDefault="001834BD" w:rsidP="00FA7FCF">
            <w:pPr>
              <w:spacing w:before="0"/>
              <w:rPr>
                <w:sz w:val="16"/>
                <w:szCs w:val="16"/>
              </w:rPr>
            </w:pPr>
          </w:p>
        </w:tc>
      </w:tr>
    </w:tbl>
    <w:p w14:paraId="4D69CA35" w14:textId="77777777" w:rsidR="001834BD" w:rsidRPr="00AD25AE" w:rsidRDefault="001834BD" w:rsidP="001834BD">
      <w:pPr>
        <w:rPr>
          <w:sz w:val="4"/>
          <w:szCs w:val="4"/>
        </w:rPr>
      </w:pPr>
    </w:p>
    <w:tbl>
      <w:tblPr>
        <w:tblW w:w="10093" w:type="dxa"/>
        <w:tblInd w:w="-15" w:type="dxa"/>
        <w:tblLayout w:type="fixed"/>
        <w:tblLook w:val="0000" w:firstRow="0" w:lastRow="0" w:firstColumn="0" w:lastColumn="0" w:noHBand="0" w:noVBand="0"/>
      </w:tblPr>
      <w:tblGrid>
        <w:gridCol w:w="10093"/>
      </w:tblGrid>
      <w:tr w:rsidR="001834BD" w:rsidRPr="00AD25AE" w14:paraId="4ABB9B52" w14:textId="77777777" w:rsidTr="00B005A8">
        <w:tc>
          <w:tcPr>
            <w:tcW w:w="10093" w:type="dxa"/>
            <w:tcBorders>
              <w:top w:val="single" w:sz="12" w:space="0" w:color="auto"/>
              <w:left w:val="single" w:sz="12" w:space="0" w:color="auto"/>
              <w:bottom w:val="single" w:sz="12" w:space="0" w:color="auto"/>
              <w:right w:val="single" w:sz="12" w:space="0" w:color="auto"/>
            </w:tcBorders>
          </w:tcPr>
          <w:p w14:paraId="5B7DC8C0" w14:textId="7858C67B" w:rsidR="001834BD" w:rsidRPr="00AD25AE" w:rsidRDefault="001834BD" w:rsidP="00B005A8">
            <w:pPr>
              <w:pStyle w:val="Headingb"/>
              <w:keepNext w:val="0"/>
              <w:keepLines w:val="0"/>
            </w:pPr>
            <w:bookmarkStart w:id="5" w:name="lt_pId455"/>
            <w:r w:rsidRPr="00B005A8">
              <w:t>Comentarios</w:t>
            </w:r>
            <w:r w:rsidRPr="00AD25AE">
              <w:t xml:space="preserve"> relativos al Documento C20/</w:t>
            </w:r>
            <w:bookmarkEnd w:id="5"/>
            <w:r w:rsidR="00A12D5A">
              <w:t>24</w:t>
            </w:r>
          </w:p>
          <w:p w14:paraId="717540BB" w14:textId="77777777" w:rsidR="00A12D5A" w:rsidRPr="00B005A8" w:rsidRDefault="00A12D5A" w:rsidP="00B005A8">
            <w:pPr>
              <w:pStyle w:val="Heading1"/>
              <w:spacing w:before="240"/>
              <w:rPr>
                <w:sz w:val="24"/>
                <w:szCs w:val="24"/>
                <w:lang w:val="es-ES" w:eastAsia="zh-CN"/>
              </w:rPr>
            </w:pPr>
            <w:r w:rsidRPr="00B005A8">
              <w:rPr>
                <w:sz w:val="24"/>
                <w:szCs w:val="24"/>
                <w:lang w:val="es-ES" w:eastAsia="zh-CN"/>
              </w:rPr>
              <w:t>1</w:t>
            </w:r>
            <w:r w:rsidRPr="00B005A8">
              <w:rPr>
                <w:sz w:val="24"/>
                <w:szCs w:val="24"/>
                <w:lang w:val="es-ES" w:eastAsia="zh-CN"/>
              </w:rPr>
              <w:tab/>
              <w:t>Antecedentes</w:t>
            </w:r>
          </w:p>
          <w:p w14:paraId="038B4220" w14:textId="40F0FE96" w:rsidR="001834BD" w:rsidRPr="00B005A8" w:rsidRDefault="00A12D5A" w:rsidP="00FA7FCF">
            <w:pPr>
              <w:spacing w:after="120"/>
              <w:rPr>
                <w:szCs w:val="24"/>
                <w:lang w:val="es-ES" w:eastAsia="zh-CN"/>
              </w:rPr>
            </w:pPr>
            <w:r w:rsidRPr="00A12D5A">
              <w:rPr>
                <w:szCs w:val="24"/>
                <w:lang w:val="es-ES" w:eastAsia="zh-CN"/>
              </w:rPr>
              <w:t>El Acuerdo 608 del Consejo (Modificado en 2020) establece que, con sujeción al acuerdo de la mayoría de los Estados Miembros, la próxima Asamblea Mundial de Normalización de las Telecomunicaciones (AMNT-20) se aplazará, siendo las nuevas fechas del 23 de febrero al 5 de marzo de 2021. Los 101 Estados Miembros respondieron favorablemente a esta propuesta y no hubo respuestas negativas. En la Carta Circular Nº CL-20/40, de 2 de septiembre de 2020, se anunciaron la fecha y el lugar de celebración. Desde entonces, ha quedado claro que los efectos de la COVID-19 se prolongarán hasta 2021 y probablemente también las restricciones a los viajes internacionales.</w:t>
            </w:r>
          </w:p>
          <w:p w14:paraId="77A20711" w14:textId="77777777" w:rsidR="00A12D5A" w:rsidRPr="00A12D5A" w:rsidRDefault="00A12D5A" w:rsidP="00B005A8">
            <w:pPr>
              <w:pStyle w:val="Heading1"/>
              <w:spacing w:before="240"/>
              <w:rPr>
                <w:sz w:val="24"/>
                <w:szCs w:val="24"/>
                <w:lang w:val="es-ES" w:eastAsia="zh-CN"/>
              </w:rPr>
            </w:pPr>
            <w:r w:rsidRPr="00A12D5A">
              <w:rPr>
                <w:sz w:val="24"/>
                <w:szCs w:val="24"/>
                <w:lang w:val="es-ES" w:eastAsia="zh-CN"/>
              </w:rPr>
              <w:t>2</w:t>
            </w:r>
            <w:r w:rsidRPr="00A12D5A">
              <w:rPr>
                <w:sz w:val="24"/>
                <w:szCs w:val="24"/>
                <w:lang w:val="es-ES" w:eastAsia="zh-CN"/>
              </w:rPr>
              <w:tab/>
              <w:t>Análisis</w:t>
            </w:r>
          </w:p>
          <w:p w14:paraId="1DF60F70" w14:textId="392541DE" w:rsidR="00A12D5A" w:rsidRPr="00A12D5A" w:rsidRDefault="00A12D5A" w:rsidP="00A12D5A">
            <w:pPr>
              <w:rPr>
                <w:lang w:val="es-ES" w:eastAsia="zh-CN"/>
              </w:rPr>
            </w:pPr>
            <w:r w:rsidRPr="00A12D5A">
              <w:rPr>
                <w:lang w:val="es-ES" w:eastAsia="zh-CN"/>
              </w:rPr>
              <w:t>2.1</w:t>
            </w:r>
            <w:r w:rsidRPr="00A12D5A">
              <w:rPr>
                <w:lang w:val="es-ES" w:eastAsia="zh-CN"/>
              </w:rPr>
              <w:tab/>
              <w:t>Apreciamos sobremanera la generosa hospitalidad del Gobierno de la India al ofrecerse a acoger la AMNT en Hyderabad y la flexibilidad que ha demostrado al estar dispuesta a aplazar las fechas. Lamentamos enormemente los terribles efectos que la COVID-19 está teniendo en los diversos países del mundo y su repercusión en muy diversas e importantes reuniones internacionales.</w:t>
            </w:r>
          </w:p>
          <w:p w14:paraId="03BB03B3" w14:textId="18204E4F" w:rsidR="00A12D5A" w:rsidRPr="00A12D5A" w:rsidRDefault="00A12D5A" w:rsidP="00B005A8">
            <w:pPr>
              <w:keepNext/>
              <w:keepLines/>
              <w:rPr>
                <w:lang w:val="es-ES" w:eastAsia="zh-CN"/>
              </w:rPr>
            </w:pPr>
            <w:r w:rsidRPr="00A12D5A">
              <w:rPr>
                <w:lang w:val="es-ES" w:eastAsia="zh-CN"/>
              </w:rPr>
              <w:lastRenderedPageBreak/>
              <w:t>2.2</w:t>
            </w:r>
            <w:r w:rsidRPr="00A12D5A">
              <w:rPr>
                <w:lang w:val="es-ES" w:eastAsia="zh-CN"/>
              </w:rPr>
              <w:tab/>
              <w:t>Aparentemente existen dos opciones principales para celebrar la AMNT-20. Una opción sería celebrar una AMNT virtual en las fechas actualmente previstas, es decir</w:t>
            </w:r>
            <w:r w:rsidR="00C36283">
              <w:rPr>
                <w:lang w:val="es-ES" w:eastAsia="zh-CN"/>
              </w:rPr>
              <w:t>,</w:t>
            </w:r>
            <w:r w:rsidRPr="00A12D5A">
              <w:rPr>
                <w:lang w:val="es-ES" w:eastAsia="zh-CN"/>
              </w:rPr>
              <w:t xml:space="preserve"> entre febrero y marzo de</w:t>
            </w:r>
            <w:r w:rsidR="00C36283">
              <w:rPr>
                <w:lang w:val="es-ES" w:eastAsia="zh-CN"/>
              </w:rPr>
              <w:t> </w:t>
            </w:r>
            <w:r w:rsidRPr="00A12D5A">
              <w:rPr>
                <w:lang w:val="es-ES" w:eastAsia="zh-CN"/>
              </w:rPr>
              <w:t>2021. El orden del día de la reunión virtual tendría que ser más reducido y estar centrado en los temas esenciales que debe abordar la AMNT. Esto implica que, de conformidad con el Artículo 13 del Convenio de la UIT, la AMNT virtual debería aprobar las recomendaciones formuladas en los informes de las Comisiones de Estudio, aprobar la estructura de las Comisiones de Estudio y de las Cuestiones de Estudio para el próximo per</w:t>
            </w:r>
            <w:r w:rsidR="00B005A8">
              <w:rPr>
                <w:lang w:val="es-ES" w:eastAsia="zh-CN"/>
              </w:rPr>
              <w:t>i</w:t>
            </w:r>
            <w:r w:rsidRPr="00A12D5A">
              <w:rPr>
                <w:lang w:val="es-ES" w:eastAsia="zh-CN"/>
              </w:rPr>
              <w:t xml:space="preserve">odo y nombrar a sus </w:t>
            </w:r>
            <w:r w:rsidR="00C36283" w:rsidRPr="00A12D5A">
              <w:rPr>
                <w:lang w:val="es-ES" w:eastAsia="zh-CN"/>
              </w:rPr>
              <w:t>p</w:t>
            </w:r>
            <w:r w:rsidRPr="00A12D5A">
              <w:rPr>
                <w:lang w:val="es-ES" w:eastAsia="zh-CN"/>
              </w:rPr>
              <w:t xml:space="preserve">residentes y </w:t>
            </w:r>
            <w:r w:rsidR="00C36283" w:rsidRPr="00A12D5A">
              <w:rPr>
                <w:lang w:val="es-ES" w:eastAsia="zh-CN"/>
              </w:rPr>
              <w:t>v</w:t>
            </w:r>
            <w:r w:rsidRPr="00A12D5A">
              <w:rPr>
                <w:lang w:val="es-ES" w:eastAsia="zh-CN"/>
              </w:rPr>
              <w:t>icepresidentes. La otra opción sería aplazar nuevamente la AMNT hasta marzo de 2020, fecha en la que se celebraría una reunión presencial en Hyderabad.</w:t>
            </w:r>
          </w:p>
          <w:p w14:paraId="38898C7F" w14:textId="78638D24" w:rsidR="00A12D5A" w:rsidRPr="00A12D5A" w:rsidRDefault="00A12D5A" w:rsidP="00A12D5A">
            <w:pPr>
              <w:rPr>
                <w:b/>
                <w:bCs/>
                <w:lang w:val="es-ES" w:eastAsia="zh-CN"/>
              </w:rPr>
            </w:pPr>
            <w:r w:rsidRPr="00A12D5A">
              <w:rPr>
                <w:lang w:val="es-ES" w:eastAsia="zh-CN"/>
              </w:rPr>
              <w:t>2.3</w:t>
            </w:r>
            <w:r w:rsidRPr="00A12D5A">
              <w:rPr>
                <w:lang w:val="es-ES" w:eastAsia="zh-CN"/>
              </w:rPr>
              <w:tab/>
              <w:t>Hemos sopesado las ventajas e inconvenientes de estas dos opciones principales, que se recogen en los dos cuadros del Anexo 1. Se trata obviamente de una decisión harto difícil para la que no existe una solución sencilla. Hemos señalado a la atención del Consejo algunos de los factores más importantes, en particular que el aplazamiento de la AMNT hasta 2022 significaría que la Secretaría de la UIT y los Miembros tendrían que prepararse para celebrar y asistir a numerosas conferencias de gran tamaño en el plazo de sólo 12 meses, a saber: la CMDT (noviembre de 2021), la AMNT (marzo de 2022), el Consejo (marzo/abril de 2022), el FMPT (junio de 2022) y la Conferencia de Plenipotenciarios (septiembre/octubre de 2022). Asimismo, no hay garantía de que las restricciones a los viajes internacionales se hayan eliminado completamente para 2022.</w:t>
            </w:r>
          </w:p>
          <w:p w14:paraId="12F88EFB" w14:textId="77777777" w:rsidR="00A12D5A" w:rsidRPr="00A12D5A" w:rsidRDefault="00A12D5A" w:rsidP="00B005A8">
            <w:pPr>
              <w:pStyle w:val="Heading1"/>
              <w:spacing w:before="240"/>
              <w:rPr>
                <w:sz w:val="24"/>
                <w:szCs w:val="24"/>
                <w:lang w:val="es-ES" w:eastAsia="zh-CN"/>
              </w:rPr>
            </w:pPr>
            <w:r w:rsidRPr="00A12D5A">
              <w:rPr>
                <w:sz w:val="24"/>
                <w:szCs w:val="24"/>
                <w:lang w:val="es-ES" w:eastAsia="zh-CN"/>
              </w:rPr>
              <w:t>3</w:t>
            </w:r>
            <w:r w:rsidRPr="00A12D5A">
              <w:rPr>
                <w:sz w:val="24"/>
                <w:szCs w:val="24"/>
                <w:lang w:val="es-ES" w:eastAsia="zh-CN"/>
              </w:rPr>
              <w:tab/>
              <w:t>Modo de proceder propuesto</w:t>
            </w:r>
          </w:p>
          <w:p w14:paraId="4F0DD340" w14:textId="21285C2B" w:rsidR="00A12D5A" w:rsidRPr="00A12D5A" w:rsidRDefault="00A12D5A" w:rsidP="00A12D5A">
            <w:pPr>
              <w:rPr>
                <w:lang w:val="es-ES" w:eastAsia="zh-CN"/>
              </w:rPr>
            </w:pPr>
            <w:r w:rsidRPr="00A12D5A">
              <w:rPr>
                <w:lang w:val="es-ES" w:eastAsia="zh-CN"/>
              </w:rPr>
              <w:t>Invitamos al Consejo a que tome en consideración detenidamente las ventajas e inconvenientes de estas dos principales opciones antes de adoptar una decisión, que repercutirá de manera importante en la labor del Sector de Normalización, cualquiera que sea la opción elegida. Reconocemos, desde luego, que no se puede dar una respuesta fácil y alentamos al Consejo a que sopese plenamente todas las ventajas e inconvenientes que figuran en el Anexo 1.</w:t>
            </w:r>
          </w:p>
          <w:p w14:paraId="606E2DAB" w14:textId="77777777" w:rsidR="00A12D5A" w:rsidRPr="00A12D5A" w:rsidRDefault="00A12D5A" w:rsidP="00B005A8">
            <w:pPr>
              <w:pStyle w:val="Headingb"/>
              <w:rPr>
                <w:lang w:val="es-ES" w:eastAsia="zh-CN"/>
              </w:rPr>
            </w:pPr>
            <w:r w:rsidRPr="00A12D5A">
              <w:rPr>
                <w:lang w:val="es-ES" w:eastAsia="zh-CN"/>
              </w:rPr>
              <w:t>Anexo</w:t>
            </w:r>
          </w:p>
          <w:p w14:paraId="45B1A2B4" w14:textId="70128E2D" w:rsidR="001834BD" w:rsidRPr="00B005A8" w:rsidRDefault="00A12D5A" w:rsidP="00B005A8">
            <w:pPr>
              <w:rPr>
                <w:bCs/>
                <w:lang w:val="es-ES" w:eastAsia="zh-CN"/>
              </w:rPr>
            </w:pPr>
            <w:r w:rsidRPr="00A12D5A">
              <w:rPr>
                <w:bCs/>
                <w:lang w:val="es-ES" w:eastAsia="zh-CN"/>
              </w:rPr>
              <w:t>Anexo 1 – Ventajas e inconvenientes de las opciones para la AMNT</w:t>
            </w:r>
          </w:p>
        </w:tc>
      </w:tr>
    </w:tbl>
    <w:p w14:paraId="4A076123" w14:textId="77777777" w:rsidR="00A12D5A" w:rsidRDefault="00A12D5A">
      <w:pPr>
        <w:tabs>
          <w:tab w:val="clear" w:pos="567"/>
          <w:tab w:val="clear" w:pos="1134"/>
          <w:tab w:val="clear" w:pos="1701"/>
          <w:tab w:val="clear" w:pos="2268"/>
          <w:tab w:val="clear" w:pos="2835"/>
        </w:tabs>
        <w:overflowPunct/>
        <w:autoSpaceDE/>
        <w:autoSpaceDN/>
        <w:adjustRightInd/>
        <w:spacing w:before="0"/>
        <w:textAlignment w:val="auto"/>
      </w:pPr>
      <w:r>
        <w:lastRenderedPageBreak/>
        <w:br w:type="page"/>
      </w:r>
    </w:p>
    <w:p w14:paraId="69AF7181" w14:textId="77777777" w:rsidR="00A12D5A" w:rsidRPr="00A12D5A" w:rsidRDefault="00A12D5A" w:rsidP="00A12D5A">
      <w:pPr>
        <w:pStyle w:val="AnnexNo"/>
        <w:rPr>
          <w:lang w:val="es-ES"/>
        </w:rPr>
      </w:pPr>
      <w:r w:rsidRPr="00A12D5A">
        <w:rPr>
          <w:lang w:val="es-ES"/>
        </w:rPr>
        <w:lastRenderedPageBreak/>
        <w:t>ANEXO 1</w:t>
      </w:r>
    </w:p>
    <w:p w14:paraId="10CD0C8B" w14:textId="77777777" w:rsidR="00A12D5A" w:rsidRPr="00A12D5A" w:rsidRDefault="00A12D5A" w:rsidP="00A12D5A">
      <w:pPr>
        <w:pStyle w:val="Annextitle"/>
        <w:rPr>
          <w:lang w:val="es-ES"/>
        </w:rPr>
      </w:pPr>
      <w:r w:rsidRPr="00A12D5A">
        <w:rPr>
          <w:lang w:val="es-ES"/>
        </w:rPr>
        <w:t>Ventajas e inconvenientes de las opciones para la AMNT</w:t>
      </w:r>
    </w:p>
    <w:p w14:paraId="78474D7D" w14:textId="77777777" w:rsidR="00A12D5A" w:rsidRPr="00A12D5A" w:rsidRDefault="00A12D5A" w:rsidP="00A12D5A">
      <w:pPr>
        <w:pStyle w:val="Tabletitle"/>
        <w:rPr>
          <w:lang w:val="es-ES"/>
        </w:rPr>
      </w:pPr>
      <w:r w:rsidRPr="00A12D5A">
        <w:rPr>
          <w:lang w:val="es-ES"/>
        </w:rPr>
        <w:t>Primera opción – AMNT virtual, del 22 de febrero – 5 de marzo de 2021</w:t>
      </w:r>
    </w:p>
    <w:tbl>
      <w:tblPr>
        <w:tblStyle w:val="TableGrid"/>
        <w:tblW w:w="10206" w:type="dxa"/>
        <w:tblInd w:w="-459" w:type="dxa"/>
        <w:tblLook w:val="04A0" w:firstRow="1" w:lastRow="0" w:firstColumn="1" w:lastColumn="0" w:noHBand="0" w:noVBand="1"/>
      </w:tblPr>
      <w:tblGrid>
        <w:gridCol w:w="2835"/>
        <w:gridCol w:w="3969"/>
        <w:gridCol w:w="3402"/>
      </w:tblGrid>
      <w:tr w:rsidR="00A12D5A" w:rsidRPr="00A12D5A" w14:paraId="735E5A47" w14:textId="77777777" w:rsidTr="00A12D5A">
        <w:tc>
          <w:tcPr>
            <w:tcW w:w="2835" w:type="dxa"/>
            <w:tcBorders>
              <w:top w:val="single" w:sz="4" w:space="0" w:color="auto"/>
              <w:left w:val="single" w:sz="4" w:space="0" w:color="auto"/>
              <w:bottom w:val="single" w:sz="4" w:space="0" w:color="auto"/>
              <w:right w:val="single" w:sz="4" w:space="0" w:color="auto"/>
            </w:tcBorders>
            <w:shd w:val="clear" w:color="auto" w:fill="B3B3B3"/>
            <w:vAlign w:val="center"/>
          </w:tcPr>
          <w:p w14:paraId="373C3310" w14:textId="0FCB2512" w:rsidR="00A12D5A" w:rsidRPr="00A12D5A" w:rsidRDefault="00A12D5A" w:rsidP="00A12D5A">
            <w:pPr>
              <w:pStyle w:val="Tablehead"/>
              <w:rPr>
                <w:lang w:val="es-ES"/>
              </w:rPr>
            </w:pPr>
            <w:r w:rsidRPr="00A12D5A">
              <w:rPr>
                <w:lang w:val="es-ES"/>
              </w:rPr>
              <w:t>Descripción</w:t>
            </w:r>
          </w:p>
        </w:tc>
        <w:tc>
          <w:tcPr>
            <w:tcW w:w="3969"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1B7FCDFF" w14:textId="77777777" w:rsidR="00A12D5A" w:rsidRPr="00A12D5A" w:rsidRDefault="00A12D5A" w:rsidP="00A12D5A">
            <w:pPr>
              <w:pStyle w:val="Tablehead"/>
              <w:rPr>
                <w:lang w:val="es-ES"/>
              </w:rPr>
            </w:pPr>
            <w:r w:rsidRPr="00A12D5A">
              <w:rPr>
                <w:lang w:val="es-ES"/>
              </w:rPr>
              <w:t>Ventajas</w:t>
            </w:r>
          </w:p>
        </w:tc>
        <w:tc>
          <w:tcPr>
            <w:tcW w:w="3402"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110E79AB" w14:textId="77777777" w:rsidR="00A12D5A" w:rsidRPr="00A12D5A" w:rsidRDefault="00A12D5A" w:rsidP="00A12D5A">
            <w:pPr>
              <w:pStyle w:val="Tablehead"/>
              <w:rPr>
                <w:lang w:val="es-ES"/>
              </w:rPr>
            </w:pPr>
            <w:r w:rsidRPr="00A12D5A">
              <w:rPr>
                <w:lang w:val="es-ES"/>
              </w:rPr>
              <w:t>Inconvenientes</w:t>
            </w:r>
          </w:p>
        </w:tc>
      </w:tr>
      <w:tr w:rsidR="00A12D5A" w:rsidRPr="00A12D5A" w14:paraId="03B6B5F9" w14:textId="77777777" w:rsidTr="00A12D5A">
        <w:tc>
          <w:tcPr>
            <w:tcW w:w="2835" w:type="dxa"/>
            <w:tcBorders>
              <w:top w:val="single" w:sz="4" w:space="0" w:color="auto"/>
              <w:left w:val="single" w:sz="4" w:space="0" w:color="auto"/>
              <w:bottom w:val="single" w:sz="4" w:space="0" w:color="auto"/>
              <w:right w:val="single" w:sz="4" w:space="0" w:color="auto"/>
            </w:tcBorders>
          </w:tcPr>
          <w:p w14:paraId="05BA48BD" w14:textId="2A68F36F" w:rsidR="00A12D5A" w:rsidRPr="00A12D5A" w:rsidRDefault="00A12D5A" w:rsidP="00B005A8">
            <w:pPr>
              <w:pStyle w:val="Tabletext"/>
              <w:rPr>
                <w:lang w:val="es-ES"/>
              </w:rPr>
            </w:pPr>
            <w:r w:rsidRPr="00A12D5A">
              <w:rPr>
                <w:lang w:val="es-ES"/>
              </w:rPr>
              <w:t>Una reunión virtual (posiblemente con algunos representantes de las Misiones presentes en Ginebra, pero con una participación mayormente virtual).</w:t>
            </w:r>
          </w:p>
          <w:p w14:paraId="56852059" w14:textId="174FAEC9" w:rsidR="00A12D5A" w:rsidRPr="00A12D5A" w:rsidRDefault="00A12D5A" w:rsidP="00B005A8">
            <w:pPr>
              <w:pStyle w:val="Tabletext"/>
              <w:rPr>
                <w:lang w:val="es-ES"/>
              </w:rPr>
            </w:pPr>
            <w:r w:rsidRPr="00A12D5A">
              <w:rPr>
                <w:lang w:val="es-ES"/>
              </w:rPr>
              <w:t>Concentrarse en las tareas indispensables para llevar a buen término el programa de trabajo (en consonancia con el Artículo 13):</w:t>
            </w:r>
          </w:p>
          <w:p w14:paraId="4C36DE2F" w14:textId="6C4F4350" w:rsidR="00A12D5A" w:rsidRPr="00A12D5A" w:rsidRDefault="00B005A8" w:rsidP="00B005A8">
            <w:pPr>
              <w:pStyle w:val="Tabletext"/>
              <w:tabs>
                <w:tab w:val="left" w:pos="349"/>
              </w:tabs>
              <w:ind w:left="349" w:hanging="349"/>
              <w:rPr>
                <w:lang w:val="es-ES"/>
              </w:rPr>
            </w:pPr>
            <w:r>
              <w:rPr>
                <w:rFonts w:cs="Calibri"/>
                <w:lang w:val="es-ES"/>
              </w:rPr>
              <w:t>•</w:t>
            </w:r>
            <w:r>
              <w:rPr>
                <w:rFonts w:cs="Calibri"/>
                <w:lang w:val="es-ES"/>
              </w:rPr>
              <w:tab/>
            </w:r>
            <w:r w:rsidR="00A12D5A" w:rsidRPr="00A12D5A">
              <w:rPr>
                <w:lang w:val="es-ES"/>
              </w:rPr>
              <w:t>acordar las recomendaciones de los informes de las CE</w:t>
            </w:r>
            <w:r>
              <w:rPr>
                <w:lang w:val="es-ES"/>
              </w:rPr>
              <w:t>;</w:t>
            </w:r>
          </w:p>
          <w:p w14:paraId="6FF68178" w14:textId="31F8E2A5" w:rsidR="00A12D5A" w:rsidRPr="00A12D5A" w:rsidRDefault="00B005A8" w:rsidP="00B005A8">
            <w:pPr>
              <w:pStyle w:val="Tabletext"/>
              <w:tabs>
                <w:tab w:val="left" w:pos="349"/>
              </w:tabs>
              <w:ind w:left="349" w:hanging="349"/>
              <w:rPr>
                <w:lang w:val="es-ES"/>
              </w:rPr>
            </w:pPr>
            <w:r>
              <w:rPr>
                <w:rFonts w:cs="Calibri"/>
                <w:lang w:val="es-ES"/>
              </w:rPr>
              <w:t>•</w:t>
            </w:r>
            <w:r>
              <w:rPr>
                <w:rFonts w:cs="Calibri"/>
                <w:lang w:val="es-ES"/>
              </w:rPr>
              <w:tab/>
            </w:r>
            <w:r w:rsidR="00A12D5A" w:rsidRPr="00A12D5A">
              <w:rPr>
                <w:lang w:val="es-ES"/>
              </w:rPr>
              <w:t>acordar las CE y las Cuestiones de estudio para el próximo per</w:t>
            </w:r>
            <w:r>
              <w:rPr>
                <w:lang w:val="es-ES"/>
              </w:rPr>
              <w:t>i</w:t>
            </w:r>
            <w:r w:rsidR="00A12D5A" w:rsidRPr="00A12D5A">
              <w:rPr>
                <w:lang w:val="es-ES"/>
              </w:rPr>
              <w:t>odo</w:t>
            </w:r>
            <w:r>
              <w:rPr>
                <w:lang w:val="es-ES"/>
              </w:rPr>
              <w:t>;</w:t>
            </w:r>
          </w:p>
          <w:p w14:paraId="5ED1D4F9" w14:textId="74121907" w:rsidR="00A12D5A" w:rsidRPr="00A12D5A" w:rsidRDefault="00B005A8" w:rsidP="00B005A8">
            <w:pPr>
              <w:pStyle w:val="Tabletext"/>
              <w:tabs>
                <w:tab w:val="left" w:pos="349"/>
              </w:tabs>
              <w:ind w:left="349" w:hanging="349"/>
              <w:rPr>
                <w:lang w:val="es-ES"/>
              </w:rPr>
            </w:pPr>
            <w:r>
              <w:rPr>
                <w:rFonts w:cs="Calibri"/>
                <w:lang w:val="es-ES"/>
              </w:rPr>
              <w:t>•</w:t>
            </w:r>
            <w:r>
              <w:rPr>
                <w:rFonts w:cs="Calibri"/>
                <w:lang w:val="es-ES"/>
              </w:rPr>
              <w:tab/>
            </w:r>
            <w:r w:rsidR="00A12D5A" w:rsidRPr="00A12D5A">
              <w:rPr>
                <w:lang w:val="es-ES"/>
              </w:rPr>
              <w:t xml:space="preserve">nombrando </w:t>
            </w:r>
            <w:r w:rsidR="00BC1F53" w:rsidRPr="00A12D5A">
              <w:rPr>
                <w:lang w:val="es-ES"/>
              </w:rPr>
              <w:t>p</w:t>
            </w:r>
            <w:r w:rsidR="00A12D5A" w:rsidRPr="00A12D5A">
              <w:rPr>
                <w:lang w:val="es-ES"/>
              </w:rPr>
              <w:t xml:space="preserve">residentes y </w:t>
            </w:r>
            <w:r w:rsidR="00BC1F53" w:rsidRPr="00A12D5A">
              <w:rPr>
                <w:lang w:val="es-ES"/>
              </w:rPr>
              <w:t>v</w:t>
            </w:r>
            <w:r w:rsidR="00A12D5A" w:rsidRPr="00A12D5A">
              <w:rPr>
                <w:lang w:val="es-ES"/>
              </w:rPr>
              <w:t>icepresidentes.</w:t>
            </w:r>
          </w:p>
          <w:p w14:paraId="3995DD3F" w14:textId="5841D384" w:rsidR="00A12D5A" w:rsidRPr="00A12D5A" w:rsidRDefault="00A12D5A" w:rsidP="00B005A8">
            <w:pPr>
              <w:pStyle w:val="Tabletext"/>
              <w:rPr>
                <w:lang w:val="es-ES"/>
              </w:rPr>
            </w:pPr>
            <w:r w:rsidRPr="00A12D5A">
              <w:rPr>
                <w:lang w:val="es-ES"/>
              </w:rPr>
              <w:t>Se suspenderán todas las demás propuestas, incluidos los cambios en los procedimientos o resoluciones.</w:t>
            </w:r>
          </w:p>
        </w:tc>
        <w:tc>
          <w:tcPr>
            <w:tcW w:w="3969" w:type="dxa"/>
            <w:tcBorders>
              <w:top w:val="single" w:sz="4" w:space="0" w:color="auto"/>
              <w:left w:val="single" w:sz="4" w:space="0" w:color="auto"/>
              <w:bottom w:val="single" w:sz="4" w:space="0" w:color="auto"/>
              <w:right w:val="single" w:sz="4" w:space="0" w:color="auto"/>
            </w:tcBorders>
          </w:tcPr>
          <w:p w14:paraId="7B230581" w14:textId="79AFE8DD" w:rsidR="00A12D5A" w:rsidRPr="00A12D5A" w:rsidRDefault="00A12D5A" w:rsidP="00B005A8">
            <w:pPr>
              <w:pStyle w:val="Tabletext"/>
              <w:rPr>
                <w:lang w:val="es-ES"/>
              </w:rPr>
            </w:pPr>
            <w:r w:rsidRPr="00A12D5A">
              <w:rPr>
                <w:lang w:val="es-ES"/>
              </w:rPr>
              <w:t xml:space="preserve">Se garantiza la continuidad de las actividades esenciales del UIT-T, permitiendo avanzar el estudio de temas fundamentales, con un retraso de sólo </w:t>
            </w:r>
            <w:r w:rsidR="00BC1F53">
              <w:rPr>
                <w:lang w:val="es-ES"/>
              </w:rPr>
              <w:t>seis</w:t>
            </w:r>
            <w:r w:rsidR="00B005A8">
              <w:rPr>
                <w:lang w:val="es-ES"/>
              </w:rPr>
              <w:t> </w:t>
            </w:r>
            <w:r w:rsidRPr="00A12D5A">
              <w:rPr>
                <w:lang w:val="es-ES"/>
              </w:rPr>
              <w:t>meses.</w:t>
            </w:r>
          </w:p>
          <w:p w14:paraId="0997162F" w14:textId="2F276D99" w:rsidR="00A12D5A" w:rsidRPr="00A12D5A" w:rsidRDefault="00A12D5A" w:rsidP="00B005A8">
            <w:pPr>
              <w:pStyle w:val="Tabletext"/>
              <w:rPr>
                <w:lang w:val="es-ES"/>
              </w:rPr>
            </w:pPr>
            <w:r w:rsidRPr="00A12D5A">
              <w:rPr>
                <w:lang w:val="es-ES"/>
              </w:rPr>
              <w:t>Se mantiene la secuencia de reuniones de la UIT y que se celebre oficialmente la</w:t>
            </w:r>
            <w:r w:rsidR="00BC1F53">
              <w:rPr>
                <w:lang w:val="es-ES"/>
              </w:rPr>
              <w:t> </w:t>
            </w:r>
            <w:r w:rsidRPr="00A12D5A">
              <w:rPr>
                <w:lang w:val="es-ES"/>
              </w:rPr>
              <w:t>AMNT, de conformidad con la Constitución y el Convenio de la UIT.</w:t>
            </w:r>
          </w:p>
          <w:p w14:paraId="5DFE2C45" w14:textId="1C0A67F1" w:rsidR="00A12D5A" w:rsidRPr="00A12D5A" w:rsidRDefault="00A12D5A" w:rsidP="00B005A8">
            <w:pPr>
              <w:pStyle w:val="Tabletext"/>
              <w:rPr>
                <w:lang w:val="es-ES"/>
              </w:rPr>
            </w:pPr>
            <w:r w:rsidRPr="00A12D5A">
              <w:rPr>
                <w:lang w:val="es-ES"/>
              </w:rPr>
              <w:t>Se evita la celebración de múltiples conferencias de la UIT en un per</w:t>
            </w:r>
            <w:r w:rsidR="00B005A8">
              <w:rPr>
                <w:lang w:val="es-ES"/>
              </w:rPr>
              <w:t>i</w:t>
            </w:r>
            <w:r w:rsidRPr="00A12D5A">
              <w:rPr>
                <w:lang w:val="es-ES"/>
              </w:rPr>
              <w:t>odo de 12 meses (es decir, la CMDT (noviembre de 2021), el Consejo (marzo de 2022), el FMPT (junio de 2022) y la Conferencia de Plenipotenciarios (septiembre/octubre de</w:t>
            </w:r>
            <w:r w:rsidR="00B005A8">
              <w:rPr>
                <w:lang w:val="es-ES"/>
              </w:rPr>
              <w:t> </w:t>
            </w:r>
            <w:r w:rsidRPr="00A12D5A">
              <w:rPr>
                <w:lang w:val="es-ES"/>
              </w:rPr>
              <w:t>2022), además de las reuniones ordinarias del GANT).</w:t>
            </w:r>
          </w:p>
          <w:p w14:paraId="2DC52F8E" w14:textId="577B8C89" w:rsidR="00A12D5A" w:rsidRPr="00A12D5A" w:rsidRDefault="00A12D5A" w:rsidP="00B005A8">
            <w:pPr>
              <w:pStyle w:val="Tabletext"/>
              <w:rPr>
                <w:lang w:val="es-ES"/>
              </w:rPr>
            </w:pPr>
            <w:r w:rsidRPr="00A12D5A">
              <w:rPr>
                <w:lang w:val="es-ES"/>
              </w:rPr>
              <w:t>Al centrarse en temas esenciales, se evita</w:t>
            </w:r>
            <w:r w:rsidR="00BC1F53">
              <w:rPr>
                <w:lang w:val="es-ES"/>
              </w:rPr>
              <w:t>n</w:t>
            </w:r>
            <w:r w:rsidRPr="00A12D5A">
              <w:rPr>
                <w:lang w:val="es-ES"/>
              </w:rPr>
              <w:t xml:space="preserve"> o reduce</w:t>
            </w:r>
            <w:r w:rsidR="00BC1F53">
              <w:rPr>
                <w:lang w:val="es-ES"/>
              </w:rPr>
              <w:t>n</w:t>
            </w:r>
            <w:r w:rsidRPr="00A12D5A">
              <w:rPr>
                <w:lang w:val="es-ES"/>
              </w:rPr>
              <w:t xml:space="preserve"> los problemas de administrar múltiples </w:t>
            </w:r>
            <w:r w:rsidR="00BC1F53">
              <w:rPr>
                <w:lang w:val="es-ES"/>
              </w:rPr>
              <w:t>c</w:t>
            </w:r>
            <w:r w:rsidRPr="00A12D5A">
              <w:rPr>
                <w:lang w:val="es-ES"/>
              </w:rPr>
              <w:t xml:space="preserve">omisiones y </w:t>
            </w:r>
            <w:r w:rsidR="00BC1F53">
              <w:rPr>
                <w:lang w:val="es-ES"/>
              </w:rPr>
              <w:t>g</w:t>
            </w:r>
            <w:r w:rsidRPr="00A12D5A">
              <w:rPr>
                <w:lang w:val="es-ES"/>
              </w:rPr>
              <w:t>rupos de redacción diferentes al mismo tiempo.</w:t>
            </w:r>
          </w:p>
          <w:p w14:paraId="188FB212" w14:textId="77777777" w:rsidR="00A12D5A" w:rsidRPr="00A12D5A" w:rsidRDefault="00A12D5A" w:rsidP="00B005A8">
            <w:pPr>
              <w:pStyle w:val="Tabletext"/>
              <w:rPr>
                <w:lang w:val="es-ES"/>
              </w:rPr>
            </w:pPr>
            <w:r w:rsidRPr="00A12D5A">
              <w:rPr>
                <w:lang w:val="es-ES"/>
              </w:rPr>
              <w:t>Se evita la incertidumbre acerca de cuándo se podrá realmente volver a viajar con normalidad por el mundo.</w:t>
            </w:r>
          </w:p>
          <w:p w14:paraId="67427866" w14:textId="77777777" w:rsidR="00A12D5A" w:rsidRPr="00A12D5A" w:rsidRDefault="00A12D5A" w:rsidP="00B005A8">
            <w:pPr>
              <w:pStyle w:val="Tabletext"/>
              <w:rPr>
                <w:lang w:val="es-ES"/>
              </w:rPr>
            </w:pPr>
            <w:r w:rsidRPr="00A12D5A">
              <w:rPr>
                <w:lang w:val="es-ES"/>
              </w:rPr>
              <w:t>Permite la plena participación de los Miembros de la UIT, con independencia de que se vean o no afectados por las restricciones de viaje.</w:t>
            </w:r>
          </w:p>
          <w:p w14:paraId="286D6ACF" w14:textId="191B61C2" w:rsidR="00A12D5A" w:rsidRPr="00A12D5A" w:rsidRDefault="00A12D5A" w:rsidP="00B005A8">
            <w:pPr>
              <w:pStyle w:val="Tabletext"/>
              <w:rPr>
                <w:lang w:val="es-ES"/>
              </w:rPr>
            </w:pPr>
            <w:r w:rsidRPr="00A12D5A">
              <w:rPr>
                <w:lang w:val="es-ES"/>
              </w:rPr>
              <w:t>Esta opción está en consonancia con el método adoptado por otras organizaciones de Naciones Unidas en Ginebra, como la OMS, la OI</w:t>
            </w:r>
            <w:r w:rsidR="004A3EB1">
              <w:rPr>
                <w:lang w:val="es-ES"/>
              </w:rPr>
              <w:t>T</w:t>
            </w:r>
            <w:r w:rsidRPr="00A12D5A">
              <w:rPr>
                <w:lang w:val="es-ES"/>
              </w:rPr>
              <w:t xml:space="preserve"> y la OMPI</w:t>
            </w:r>
            <w:r w:rsidR="00B005A8">
              <w:rPr>
                <w:lang w:val="es-ES"/>
              </w:rPr>
              <w:t>.</w:t>
            </w:r>
          </w:p>
        </w:tc>
        <w:tc>
          <w:tcPr>
            <w:tcW w:w="3402" w:type="dxa"/>
            <w:tcBorders>
              <w:top w:val="single" w:sz="4" w:space="0" w:color="auto"/>
              <w:left w:val="single" w:sz="4" w:space="0" w:color="auto"/>
              <w:bottom w:val="single" w:sz="4" w:space="0" w:color="auto"/>
              <w:right w:val="single" w:sz="4" w:space="0" w:color="auto"/>
            </w:tcBorders>
          </w:tcPr>
          <w:p w14:paraId="163485F9" w14:textId="39CB4D92" w:rsidR="00A12D5A" w:rsidRPr="00A12D5A" w:rsidRDefault="00A12D5A" w:rsidP="00B005A8">
            <w:pPr>
              <w:pStyle w:val="Tabletext"/>
              <w:rPr>
                <w:lang w:val="es-ES"/>
              </w:rPr>
            </w:pPr>
            <w:r w:rsidRPr="00A12D5A">
              <w:rPr>
                <w:lang w:val="es-ES"/>
              </w:rPr>
              <w:t>Puede resultar difícil determinar y ponerse de acuerdo sobre la lista de cuestiones esenciales y los mecanismos para gestionar la reunión virtual híbrida.</w:t>
            </w:r>
          </w:p>
          <w:p w14:paraId="5CF29BB0" w14:textId="1CE357F9" w:rsidR="00A12D5A" w:rsidRPr="00A12D5A" w:rsidRDefault="00A12D5A" w:rsidP="00B005A8">
            <w:pPr>
              <w:pStyle w:val="Tabletext"/>
              <w:rPr>
                <w:lang w:val="es-ES"/>
              </w:rPr>
            </w:pPr>
            <w:r w:rsidRPr="00A12D5A">
              <w:rPr>
                <w:lang w:val="es-ES"/>
              </w:rPr>
              <w:t>Mucho trabajo sobre las resoluciones no se utilizará inmediatamente y podría quedar obsoleto.</w:t>
            </w:r>
          </w:p>
          <w:p w14:paraId="09492F42" w14:textId="3A5E90A7" w:rsidR="00A12D5A" w:rsidRPr="00A12D5A" w:rsidRDefault="00A12D5A" w:rsidP="00B005A8">
            <w:pPr>
              <w:pStyle w:val="Tabletext"/>
              <w:rPr>
                <w:lang w:val="es-ES"/>
              </w:rPr>
            </w:pPr>
            <w:r w:rsidRPr="00A12D5A">
              <w:rPr>
                <w:lang w:val="es-ES"/>
              </w:rPr>
              <w:t>Algunas delegaci</w:t>
            </w:r>
            <w:r w:rsidR="00BC1F53">
              <w:rPr>
                <w:lang w:val="es-ES"/>
              </w:rPr>
              <w:t>o</w:t>
            </w:r>
            <w:r w:rsidRPr="00A12D5A">
              <w:rPr>
                <w:lang w:val="es-ES"/>
              </w:rPr>
              <w:t>n</w:t>
            </w:r>
            <w:r w:rsidR="00BC1F53">
              <w:rPr>
                <w:lang w:val="es-ES"/>
              </w:rPr>
              <w:t>es</w:t>
            </w:r>
            <w:r w:rsidRPr="00A12D5A">
              <w:rPr>
                <w:lang w:val="es-ES"/>
              </w:rPr>
              <w:t xml:space="preserve"> podrían experimentar dificultades para participar virtualmente.</w:t>
            </w:r>
          </w:p>
          <w:p w14:paraId="30B4EC81" w14:textId="415FF888" w:rsidR="00A12D5A" w:rsidRPr="00A12D5A" w:rsidRDefault="00A12D5A" w:rsidP="00B005A8">
            <w:pPr>
              <w:pStyle w:val="Tabletext"/>
              <w:rPr>
                <w:lang w:val="es-ES"/>
              </w:rPr>
            </w:pPr>
            <w:r w:rsidRPr="00A12D5A">
              <w:rPr>
                <w:lang w:val="es-ES"/>
              </w:rPr>
              <w:t>Es posible que haya que adaptar o crear algunos reglamentos, especialmente si se adopta un modelo híbrido.</w:t>
            </w:r>
          </w:p>
          <w:p w14:paraId="1CABBE78" w14:textId="2D0AAD61" w:rsidR="00A12D5A" w:rsidRPr="00A12D5A" w:rsidRDefault="00A12D5A" w:rsidP="00B005A8">
            <w:pPr>
              <w:pStyle w:val="Tabletext"/>
              <w:rPr>
                <w:lang w:val="es-ES"/>
              </w:rPr>
            </w:pPr>
            <w:r w:rsidRPr="00A12D5A">
              <w:rPr>
                <w:lang w:val="es-ES"/>
              </w:rPr>
              <w:t>La reunión virtual/híbrida de la</w:t>
            </w:r>
            <w:r w:rsidR="00BC1F53">
              <w:rPr>
                <w:lang w:val="es-ES"/>
              </w:rPr>
              <w:t> </w:t>
            </w:r>
            <w:r w:rsidRPr="00A12D5A">
              <w:rPr>
                <w:lang w:val="es-ES"/>
              </w:rPr>
              <w:t>AMNT o del GANT dificulta mantener conversaciones oficiosas para facilitar el consenso.</w:t>
            </w:r>
          </w:p>
        </w:tc>
      </w:tr>
    </w:tbl>
    <w:p w14:paraId="41B1F8B2" w14:textId="77777777" w:rsidR="00A12D5A" w:rsidRPr="00A12D5A" w:rsidRDefault="00A12D5A" w:rsidP="00A12D5A">
      <w:pPr>
        <w:rPr>
          <w:b/>
          <w:bCs/>
          <w:lang w:val="es-ES"/>
        </w:rPr>
      </w:pPr>
      <w:r w:rsidRPr="00A12D5A">
        <w:rPr>
          <w:b/>
          <w:bCs/>
          <w:lang w:val="es-ES"/>
        </w:rPr>
        <w:br w:type="page"/>
      </w:r>
    </w:p>
    <w:p w14:paraId="639E9762" w14:textId="77777777" w:rsidR="00A12D5A" w:rsidRPr="00A12D5A" w:rsidRDefault="00A12D5A" w:rsidP="00A12D5A">
      <w:pPr>
        <w:pStyle w:val="Tabletitle"/>
        <w:rPr>
          <w:lang w:val="es-ES"/>
        </w:rPr>
      </w:pPr>
      <w:r w:rsidRPr="00A12D5A">
        <w:rPr>
          <w:lang w:val="es-ES"/>
        </w:rPr>
        <w:lastRenderedPageBreak/>
        <w:t>Segunda opción – AMNT presencial aplazada hasta 1-15 de marzo de 2022</w:t>
      </w:r>
    </w:p>
    <w:tbl>
      <w:tblPr>
        <w:tblStyle w:val="TableGrid"/>
        <w:tblW w:w="9464" w:type="dxa"/>
        <w:tblLook w:val="04A0" w:firstRow="1" w:lastRow="0" w:firstColumn="1" w:lastColumn="0" w:noHBand="0" w:noVBand="1"/>
      </w:tblPr>
      <w:tblGrid>
        <w:gridCol w:w="2235"/>
        <w:gridCol w:w="3685"/>
        <w:gridCol w:w="3544"/>
      </w:tblGrid>
      <w:tr w:rsidR="00A12D5A" w:rsidRPr="00A12D5A" w14:paraId="3F6B043F" w14:textId="77777777" w:rsidTr="00A12D5A">
        <w:tc>
          <w:tcPr>
            <w:tcW w:w="2235" w:type="dxa"/>
            <w:tcBorders>
              <w:top w:val="single" w:sz="4" w:space="0" w:color="auto"/>
              <w:left w:val="single" w:sz="4" w:space="0" w:color="auto"/>
              <w:bottom w:val="single" w:sz="4" w:space="0" w:color="auto"/>
              <w:right w:val="single" w:sz="4" w:space="0" w:color="auto"/>
            </w:tcBorders>
            <w:shd w:val="clear" w:color="auto" w:fill="B3B3B3"/>
            <w:vAlign w:val="center"/>
          </w:tcPr>
          <w:p w14:paraId="2B1C58DC" w14:textId="71E3526A" w:rsidR="00A12D5A" w:rsidRPr="00A12D5A" w:rsidRDefault="00A12D5A" w:rsidP="00A12D5A">
            <w:pPr>
              <w:pStyle w:val="Tablehead"/>
              <w:rPr>
                <w:lang w:val="es-ES"/>
              </w:rPr>
            </w:pPr>
            <w:r w:rsidRPr="00A12D5A">
              <w:rPr>
                <w:lang w:val="es-ES"/>
              </w:rPr>
              <w:t>Descripción</w:t>
            </w:r>
          </w:p>
        </w:tc>
        <w:tc>
          <w:tcPr>
            <w:tcW w:w="3685"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7989B0F5" w14:textId="77777777" w:rsidR="00A12D5A" w:rsidRPr="00A12D5A" w:rsidRDefault="00A12D5A" w:rsidP="00A12D5A">
            <w:pPr>
              <w:pStyle w:val="Tablehead"/>
              <w:rPr>
                <w:lang w:val="es-ES"/>
              </w:rPr>
            </w:pPr>
            <w:r w:rsidRPr="00A12D5A">
              <w:rPr>
                <w:lang w:val="es-ES"/>
              </w:rPr>
              <w:t>Ventajas</w:t>
            </w:r>
          </w:p>
        </w:tc>
        <w:tc>
          <w:tcPr>
            <w:tcW w:w="354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32569A52" w14:textId="77777777" w:rsidR="00A12D5A" w:rsidRPr="00A12D5A" w:rsidRDefault="00A12D5A" w:rsidP="00A12D5A">
            <w:pPr>
              <w:pStyle w:val="Tablehead"/>
              <w:rPr>
                <w:lang w:val="es-ES"/>
              </w:rPr>
            </w:pPr>
            <w:r w:rsidRPr="00A12D5A">
              <w:rPr>
                <w:lang w:val="es-ES"/>
              </w:rPr>
              <w:t>Inconvenientes</w:t>
            </w:r>
          </w:p>
        </w:tc>
      </w:tr>
      <w:tr w:rsidR="00A12D5A" w:rsidRPr="00A12D5A" w14:paraId="74DCD751" w14:textId="77777777" w:rsidTr="00A12D5A">
        <w:tc>
          <w:tcPr>
            <w:tcW w:w="2235" w:type="dxa"/>
            <w:tcBorders>
              <w:top w:val="single" w:sz="4" w:space="0" w:color="auto"/>
              <w:left w:val="single" w:sz="4" w:space="0" w:color="auto"/>
              <w:bottom w:val="single" w:sz="4" w:space="0" w:color="auto"/>
              <w:right w:val="single" w:sz="4" w:space="0" w:color="auto"/>
            </w:tcBorders>
          </w:tcPr>
          <w:p w14:paraId="078EB12B" w14:textId="705C4D23" w:rsidR="00A12D5A" w:rsidRPr="00A12D5A" w:rsidRDefault="00A12D5A" w:rsidP="00A12D5A">
            <w:pPr>
              <w:pStyle w:val="Tabletext"/>
              <w:rPr>
                <w:lang w:val="es-ES"/>
              </w:rPr>
            </w:pPr>
            <w:r w:rsidRPr="00A12D5A">
              <w:rPr>
                <w:lang w:val="es-ES"/>
              </w:rPr>
              <w:t>Reunión presencial en Hyderabad.</w:t>
            </w:r>
          </w:p>
          <w:p w14:paraId="1EB4C0B5" w14:textId="6F1F6D59" w:rsidR="00A12D5A" w:rsidRPr="00A12D5A" w:rsidRDefault="00A12D5A" w:rsidP="00A12D5A">
            <w:pPr>
              <w:pStyle w:val="Tabletext"/>
              <w:rPr>
                <w:lang w:val="es-ES"/>
              </w:rPr>
            </w:pPr>
            <w:r w:rsidRPr="00A12D5A">
              <w:rPr>
                <w:lang w:val="es-ES"/>
              </w:rPr>
              <w:t xml:space="preserve">Algunas decisiones esenciales podrían adoptarse en reuniones virtuales del GANT, incluso las relativas a las Comisiones de Estudio y las Cuestiones de Estudio (pero no así los nombramientos de </w:t>
            </w:r>
            <w:r w:rsidR="008432D3" w:rsidRPr="00A12D5A">
              <w:rPr>
                <w:lang w:val="es-ES"/>
              </w:rPr>
              <w:t>p</w:t>
            </w:r>
            <w:r w:rsidRPr="00A12D5A">
              <w:rPr>
                <w:lang w:val="es-ES"/>
              </w:rPr>
              <w:t xml:space="preserve">residentes y </w:t>
            </w:r>
            <w:r w:rsidR="008432D3" w:rsidRPr="00A12D5A">
              <w:rPr>
                <w:lang w:val="es-ES"/>
              </w:rPr>
              <w:t>v</w:t>
            </w:r>
            <w:r w:rsidRPr="00A12D5A">
              <w:rPr>
                <w:lang w:val="es-ES"/>
              </w:rPr>
              <w:t>icepresidentes).</w:t>
            </w:r>
          </w:p>
        </w:tc>
        <w:tc>
          <w:tcPr>
            <w:tcW w:w="3685" w:type="dxa"/>
            <w:tcBorders>
              <w:top w:val="single" w:sz="4" w:space="0" w:color="auto"/>
              <w:left w:val="single" w:sz="4" w:space="0" w:color="auto"/>
              <w:bottom w:val="single" w:sz="4" w:space="0" w:color="auto"/>
              <w:right w:val="single" w:sz="4" w:space="0" w:color="auto"/>
            </w:tcBorders>
          </w:tcPr>
          <w:p w14:paraId="17519089" w14:textId="727090EB" w:rsidR="00A12D5A" w:rsidRPr="00A12D5A" w:rsidRDefault="00A12D5A" w:rsidP="00A12D5A">
            <w:pPr>
              <w:pStyle w:val="Tabletext"/>
              <w:rPr>
                <w:lang w:val="es-ES"/>
              </w:rPr>
            </w:pPr>
            <w:r w:rsidRPr="00A12D5A">
              <w:rPr>
                <w:lang w:val="es-ES"/>
              </w:rPr>
              <w:t xml:space="preserve">Se podrían finalizar íntegramente todas las funciones de la AMNT, en particular la revisión de las Resoluciones, con la posibilidad de celebrar reuniones presenciales </w:t>
            </w:r>
            <w:r w:rsidRPr="00A12D5A">
              <w:rPr>
                <w:i/>
                <w:iCs/>
                <w:lang w:val="es-ES"/>
              </w:rPr>
              <w:t>ad</w:t>
            </w:r>
            <w:r w:rsidR="00B005A8">
              <w:rPr>
                <w:i/>
                <w:iCs/>
                <w:lang w:val="es-ES"/>
              </w:rPr>
              <w:t> </w:t>
            </w:r>
            <w:r w:rsidRPr="00A12D5A">
              <w:rPr>
                <w:i/>
                <w:iCs/>
                <w:lang w:val="es-ES"/>
              </w:rPr>
              <w:t>hoc</w:t>
            </w:r>
            <w:r w:rsidRPr="00A12D5A">
              <w:rPr>
                <w:lang w:val="es-ES"/>
              </w:rPr>
              <w:t>.</w:t>
            </w:r>
          </w:p>
          <w:p w14:paraId="5CB1D122" w14:textId="77777777" w:rsidR="00A12D5A" w:rsidRPr="00A12D5A" w:rsidRDefault="00A12D5A" w:rsidP="00A12D5A">
            <w:pPr>
              <w:pStyle w:val="Tabletext"/>
              <w:rPr>
                <w:lang w:val="es-ES"/>
              </w:rPr>
            </w:pPr>
            <w:r w:rsidRPr="00A12D5A">
              <w:rPr>
                <w:lang w:val="es-ES"/>
              </w:rPr>
              <w:t>No es necesario adaptar el reglamento.</w:t>
            </w:r>
          </w:p>
          <w:p w14:paraId="1A6BF596" w14:textId="1E18A082" w:rsidR="00A12D5A" w:rsidRPr="00A12D5A" w:rsidRDefault="00A12D5A" w:rsidP="00A12D5A">
            <w:pPr>
              <w:pStyle w:val="Tabletext"/>
              <w:rPr>
                <w:lang w:val="es-ES"/>
              </w:rPr>
            </w:pPr>
            <w:r w:rsidRPr="00A12D5A">
              <w:rPr>
                <w:lang w:val="es-ES"/>
              </w:rPr>
              <w:t>Se dispone de más tiempo antes de la</w:t>
            </w:r>
            <w:r w:rsidR="008432D3">
              <w:rPr>
                <w:lang w:val="es-ES"/>
              </w:rPr>
              <w:t> </w:t>
            </w:r>
            <w:r w:rsidRPr="00A12D5A">
              <w:rPr>
                <w:lang w:val="es-ES"/>
              </w:rPr>
              <w:t>AMNT para llegar a un consenso.</w:t>
            </w:r>
          </w:p>
        </w:tc>
        <w:tc>
          <w:tcPr>
            <w:tcW w:w="3544" w:type="dxa"/>
            <w:tcBorders>
              <w:top w:val="single" w:sz="4" w:space="0" w:color="auto"/>
              <w:left w:val="single" w:sz="4" w:space="0" w:color="auto"/>
              <w:bottom w:val="single" w:sz="4" w:space="0" w:color="auto"/>
              <w:right w:val="single" w:sz="4" w:space="0" w:color="auto"/>
            </w:tcBorders>
            <w:hideMark/>
          </w:tcPr>
          <w:p w14:paraId="3AB92DFF" w14:textId="58999A3F" w:rsidR="00A12D5A" w:rsidRPr="00A12D5A" w:rsidRDefault="00A12D5A" w:rsidP="00A12D5A">
            <w:pPr>
              <w:pStyle w:val="Tabletext"/>
              <w:rPr>
                <w:lang w:val="es-ES"/>
              </w:rPr>
            </w:pPr>
            <w:r w:rsidRPr="00A12D5A">
              <w:rPr>
                <w:lang w:val="es-ES"/>
              </w:rPr>
              <w:t>En un per</w:t>
            </w:r>
            <w:r>
              <w:rPr>
                <w:lang w:val="es-ES"/>
              </w:rPr>
              <w:t>i</w:t>
            </w:r>
            <w:r w:rsidRPr="00A12D5A">
              <w:rPr>
                <w:lang w:val="es-ES"/>
              </w:rPr>
              <w:t>odo de 12 meses tendrían lugar:</w:t>
            </w:r>
          </w:p>
          <w:p w14:paraId="6D265372" w14:textId="76A3B201" w:rsidR="00A12D5A" w:rsidRPr="00A12D5A" w:rsidRDefault="00A12D5A" w:rsidP="00A12D5A">
            <w:pPr>
              <w:pStyle w:val="Tabletext"/>
              <w:tabs>
                <w:tab w:val="left" w:pos="349"/>
              </w:tabs>
              <w:rPr>
                <w:lang w:val="es-ES"/>
              </w:rPr>
            </w:pPr>
            <w:r>
              <w:rPr>
                <w:rFonts w:cs="Calibri"/>
                <w:lang w:val="es-ES"/>
              </w:rPr>
              <w:t>•</w:t>
            </w:r>
            <w:r>
              <w:rPr>
                <w:lang w:val="es-ES"/>
              </w:rPr>
              <w:tab/>
            </w:r>
            <w:r w:rsidRPr="00A12D5A">
              <w:rPr>
                <w:lang w:val="es-ES"/>
              </w:rPr>
              <w:t>CMDT (noviembre de 2021)</w:t>
            </w:r>
          </w:p>
          <w:p w14:paraId="725C2503" w14:textId="3431D420" w:rsidR="00A12D5A" w:rsidRPr="00A12D5A" w:rsidRDefault="00A12D5A" w:rsidP="00A12D5A">
            <w:pPr>
              <w:pStyle w:val="Tabletext"/>
              <w:tabs>
                <w:tab w:val="left" w:pos="349"/>
              </w:tabs>
              <w:rPr>
                <w:lang w:val="es-ES"/>
              </w:rPr>
            </w:pPr>
            <w:r>
              <w:rPr>
                <w:rFonts w:cs="Calibri"/>
                <w:lang w:val="es-ES"/>
              </w:rPr>
              <w:t>•</w:t>
            </w:r>
            <w:r>
              <w:rPr>
                <w:lang w:val="es-ES"/>
              </w:rPr>
              <w:tab/>
            </w:r>
            <w:r w:rsidRPr="00A12D5A">
              <w:rPr>
                <w:rFonts w:cs="Calibri"/>
                <w:lang w:val="es-ES"/>
              </w:rPr>
              <w:t>AMNT</w:t>
            </w:r>
            <w:r w:rsidRPr="00A12D5A">
              <w:rPr>
                <w:lang w:val="es-ES"/>
              </w:rPr>
              <w:t xml:space="preserve"> (marzo de 2022)</w:t>
            </w:r>
          </w:p>
          <w:p w14:paraId="5404D3CF" w14:textId="43266D09" w:rsidR="00A12D5A" w:rsidRPr="00A12D5A" w:rsidRDefault="00A12D5A" w:rsidP="00A12D5A">
            <w:pPr>
              <w:pStyle w:val="Tabletext"/>
              <w:tabs>
                <w:tab w:val="left" w:pos="349"/>
              </w:tabs>
              <w:rPr>
                <w:lang w:val="es-ES"/>
              </w:rPr>
            </w:pPr>
            <w:r>
              <w:rPr>
                <w:rFonts w:cs="Calibri"/>
                <w:lang w:val="es-ES"/>
              </w:rPr>
              <w:t>•</w:t>
            </w:r>
            <w:r>
              <w:rPr>
                <w:lang w:val="es-ES"/>
              </w:rPr>
              <w:tab/>
            </w:r>
            <w:r w:rsidRPr="00A12D5A">
              <w:rPr>
                <w:rFonts w:cs="Calibri"/>
                <w:lang w:val="es-ES"/>
              </w:rPr>
              <w:t>Consejo</w:t>
            </w:r>
            <w:r w:rsidRPr="00A12D5A">
              <w:rPr>
                <w:lang w:val="es-ES"/>
              </w:rPr>
              <w:t xml:space="preserve"> (marzo/abril de 2022)</w:t>
            </w:r>
          </w:p>
          <w:p w14:paraId="583E7F72" w14:textId="34E1527E" w:rsidR="00A12D5A" w:rsidRPr="00A12D5A" w:rsidRDefault="00A12D5A" w:rsidP="00A12D5A">
            <w:pPr>
              <w:pStyle w:val="Tabletext"/>
              <w:tabs>
                <w:tab w:val="left" w:pos="349"/>
              </w:tabs>
              <w:rPr>
                <w:lang w:val="es-ES"/>
              </w:rPr>
            </w:pPr>
            <w:r>
              <w:rPr>
                <w:rFonts w:cs="Calibri"/>
                <w:lang w:val="es-ES"/>
              </w:rPr>
              <w:t>•</w:t>
            </w:r>
            <w:r>
              <w:rPr>
                <w:lang w:val="es-ES"/>
              </w:rPr>
              <w:tab/>
            </w:r>
            <w:r w:rsidRPr="00A12D5A">
              <w:rPr>
                <w:rFonts w:cs="Calibri"/>
                <w:lang w:val="es-ES"/>
              </w:rPr>
              <w:t>FMPT</w:t>
            </w:r>
            <w:r w:rsidRPr="00A12D5A">
              <w:rPr>
                <w:lang w:val="es-ES"/>
              </w:rPr>
              <w:t xml:space="preserve"> (junio de 2022) y</w:t>
            </w:r>
          </w:p>
          <w:p w14:paraId="70AC0AAF" w14:textId="3F658663" w:rsidR="00A12D5A" w:rsidRPr="00A12D5A" w:rsidRDefault="00A12D5A" w:rsidP="00A12D5A">
            <w:pPr>
              <w:pStyle w:val="Tabletext"/>
              <w:tabs>
                <w:tab w:val="left" w:pos="349"/>
              </w:tabs>
              <w:ind w:left="349" w:hanging="349"/>
              <w:rPr>
                <w:lang w:val="es-ES"/>
              </w:rPr>
            </w:pPr>
            <w:r>
              <w:rPr>
                <w:rFonts w:cs="Calibri"/>
                <w:lang w:val="es-ES"/>
              </w:rPr>
              <w:t>•</w:t>
            </w:r>
            <w:r>
              <w:rPr>
                <w:lang w:val="es-ES"/>
              </w:rPr>
              <w:tab/>
            </w:r>
            <w:r w:rsidRPr="00A12D5A">
              <w:rPr>
                <w:rFonts w:cs="Calibri"/>
                <w:lang w:val="es-ES"/>
              </w:rPr>
              <w:t>Conferencia</w:t>
            </w:r>
            <w:r w:rsidRPr="00A12D5A">
              <w:rPr>
                <w:lang w:val="es-ES"/>
              </w:rPr>
              <w:t xml:space="preserve"> de Plenipotenciarios (septiembre/octubre de 2022)</w:t>
            </w:r>
          </w:p>
          <w:p w14:paraId="1322C65A" w14:textId="2F65FA38" w:rsidR="00A12D5A" w:rsidRPr="00A12D5A" w:rsidRDefault="008432D3" w:rsidP="00A12D5A">
            <w:pPr>
              <w:pStyle w:val="Tabletext"/>
              <w:rPr>
                <w:lang w:val="es-ES"/>
              </w:rPr>
            </w:pPr>
            <w:r>
              <w:rPr>
                <w:lang w:val="es-ES"/>
              </w:rPr>
              <w:t>a</w:t>
            </w:r>
            <w:r w:rsidR="00A12D5A" w:rsidRPr="00A12D5A">
              <w:rPr>
                <w:lang w:val="es-ES"/>
              </w:rPr>
              <w:t xml:space="preserve">demás </w:t>
            </w:r>
            <w:r w:rsidR="00A12D5A" w:rsidRPr="00A12D5A">
              <w:rPr>
                <w:lang w:val="es-ES"/>
              </w:rPr>
              <w:t>del GANT y otras reuniones. Es sumamente difícil pedir a la Secretaría y a las delegaciones que se preparen y asistan a tantas reuniones.</w:t>
            </w:r>
          </w:p>
          <w:p w14:paraId="38201807" w14:textId="146B5542" w:rsidR="00A12D5A" w:rsidRPr="00A12D5A" w:rsidRDefault="00A12D5A" w:rsidP="00A12D5A">
            <w:pPr>
              <w:pStyle w:val="Tabletext"/>
              <w:rPr>
                <w:lang w:val="es-ES"/>
              </w:rPr>
            </w:pPr>
            <w:r w:rsidRPr="00A12D5A">
              <w:rPr>
                <w:lang w:val="es-ES"/>
              </w:rPr>
              <w:t>Un nuevo aplazamiento retrasaría la labor del UIT-T.</w:t>
            </w:r>
          </w:p>
          <w:p w14:paraId="42469A43" w14:textId="044634FC" w:rsidR="00A12D5A" w:rsidRPr="00A12D5A" w:rsidRDefault="00A12D5A" w:rsidP="00A12D5A">
            <w:pPr>
              <w:pStyle w:val="Tabletext"/>
              <w:rPr>
                <w:lang w:val="es-ES"/>
              </w:rPr>
            </w:pPr>
            <w:r w:rsidRPr="00A12D5A">
              <w:rPr>
                <w:lang w:val="es-ES"/>
              </w:rPr>
              <w:t>Las propuestas regionales sobre Resoluciones, que comenzaron en</w:t>
            </w:r>
            <w:r w:rsidR="00B005A8">
              <w:rPr>
                <w:lang w:val="es-ES"/>
              </w:rPr>
              <w:t> </w:t>
            </w:r>
            <w:r w:rsidRPr="00A12D5A">
              <w:rPr>
                <w:lang w:val="es-ES"/>
              </w:rPr>
              <w:t>2019, podrían quedar obsoletas para marzo de 2022.</w:t>
            </w:r>
          </w:p>
          <w:p w14:paraId="2998CE63" w14:textId="77777777" w:rsidR="00A12D5A" w:rsidRPr="00A12D5A" w:rsidRDefault="00A12D5A" w:rsidP="00A12D5A">
            <w:pPr>
              <w:pStyle w:val="Tabletext"/>
              <w:rPr>
                <w:lang w:val="es-ES"/>
              </w:rPr>
            </w:pPr>
            <w:r w:rsidRPr="00A12D5A">
              <w:rPr>
                <w:lang w:val="es-ES"/>
              </w:rPr>
              <w:t>Para marzo de 2022, bastaría con aplazar algunas cuestiones intersectoriales hasta la Conferencia de Plenipotenciarios, que se pronunciaría al respecto.</w:t>
            </w:r>
          </w:p>
          <w:p w14:paraId="663281D5" w14:textId="6B60931A" w:rsidR="00A12D5A" w:rsidRPr="00A12D5A" w:rsidRDefault="00A12D5A" w:rsidP="00A12D5A">
            <w:pPr>
              <w:pStyle w:val="Tabletext"/>
              <w:rPr>
                <w:lang w:val="es-ES"/>
              </w:rPr>
            </w:pPr>
            <w:r w:rsidRPr="00A12D5A">
              <w:rPr>
                <w:lang w:val="es-ES"/>
              </w:rPr>
              <w:t>Posible incidencia negativa en la celebración de otras reuniones importantes en 2022.</w:t>
            </w:r>
          </w:p>
          <w:p w14:paraId="3AABA85D" w14:textId="2E959DD8" w:rsidR="00A12D5A" w:rsidRPr="00A12D5A" w:rsidRDefault="00A12D5A" w:rsidP="00A12D5A">
            <w:pPr>
              <w:pStyle w:val="Tabletext"/>
              <w:rPr>
                <w:lang w:val="es-ES"/>
              </w:rPr>
            </w:pPr>
            <w:r w:rsidRPr="00A12D5A">
              <w:rPr>
                <w:lang w:val="es-ES"/>
              </w:rPr>
              <w:t>Si algunas decisiones esenciales se toman en un GANT virtual, igualmente podrían tomarse en una</w:t>
            </w:r>
            <w:r w:rsidR="008432D3">
              <w:rPr>
                <w:lang w:val="es-ES"/>
              </w:rPr>
              <w:t> </w:t>
            </w:r>
            <w:r w:rsidRPr="00A12D5A">
              <w:rPr>
                <w:lang w:val="es-ES"/>
              </w:rPr>
              <w:t>AMNT virtual.</w:t>
            </w:r>
          </w:p>
          <w:p w14:paraId="6666C569" w14:textId="5B207D6A" w:rsidR="00A12D5A" w:rsidRPr="00A12D5A" w:rsidRDefault="00A12D5A" w:rsidP="00A12D5A">
            <w:pPr>
              <w:pStyle w:val="Tabletext"/>
              <w:rPr>
                <w:lang w:val="es-ES"/>
              </w:rPr>
            </w:pPr>
            <w:r w:rsidRPr="00A12D5A">
              <w:rPr>
                <w:lang w:val="es-ES"/>
              </w:rPr>
              <w:t>No hay garantías de que para marzo de 2022 se hayan eliminado ya todas las restricciones de viaje o de que la</w:t>
            </w:r>
            <w:r w:rsidR="008432D3">
              <w:rPr>
                <w:lang w:val="es-ES"/>
              </w:rPr>
              <w:t> </w:t>
            </w:r>
            <w:r w:rsidR="00B005A8" w:rsidRPr="00A12D5A">
              <w:rPr>
                <w:lang w:val="es-ES"/>
              </w:rPr>
              <w:t>COVID</w:t>
            </w:r>
            <w:r w:rsidRPr="00A12D5A">
              <w:rPr>
                <w:lang w:val="es-ES"/>
              </w:rPr>
              <w:t>-19 no siga afectando a algunas partes del mundo.</w:t>
            </w:r>
          </w:p>
          <w:p w14:paraId="0FB02DE1" w14:textId="77777777" w:rsidR="00A12D5A" w:rsidRPr="00A12D5A" w:rsidRDefault="00A12D5A" w:rsidP="00A12D5A">
            <w:pPr>
              <w:pStyle w:val="Tabletext"/>
              <w:rPr>
                <w:lang w:val="es-ES"/>
              </w:rPr>
            </w:pPr>
            <w:r w:rsidRPr="00A12D5A">
              <w:rPr>
                <w:lang w:val="es-ES"/>
              </w:rPr>
              <w:t>El impacto ambiental de los viajes.</w:t>
            </w:r>
          </w:p>
        </w:tc>
      </w:tr>
    </w:tbl>
    <w:p w14:paraId="1078E713" w14:textId="77777777" w:rsidR="00A12D5A" w:rsidRPr="00A12D5A" w:rsidRDefault="00A12D5A" w:rsidP="00A12D5A"/>
    <w:p w14:paraId="09458611" w14:textId="77777777" w:rsidR="00A12D5A" w:rsidRPr="00A12D5A" w:rsidRDefault="00A12D5A" w:rsidP="00A12D5A">
      <w:pPr>
        <w:jc w:val="center"/>
      </w:pPr>
      <w:r w:rsidRPr="00A12D5A">
        <w:t>______________</w:t>
      </w:r>
    </w:p>
    <w:sectPr w:rsidR="00A12D5A" w:rsidRPr="00A12D5A"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B0A55" w14:textId="77777777" w:rsidR="001834BD" w:rsidRDefault="001834BD">
      <w:r>
        <w:separator/>
      </w:r>
    </w:p>
  </w:endnote>
  <w:endnote w:type="continuationSeparator" w:id="0">
    <w:p w14:paraId="5A301263" w14:textId="77777777" w:rsidR="001834BD" w:rsidRDefault="0018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377DE" w14:textId="79FE3A81" w:rsidR="00760F1C" w:rsidRDefault="008432D3">
    <w:pPr>
      <w:pStyle w:val="Footer"/>
      <w:rPr>
        <w:lang w:val="en-US"/>
      </w:rPr>
    </w:pPr>
    <w:r>
      <w:fldChar w:fldCharType="begin"/>
    </w:r>
    <w:r>
      <w:instrText xml:space="preserve"> FILENAME \p \* MERGEFORMAT </w:instrText>
    </w:r>
    <w:r>
      <w:fldChar w:fldCharType="separate"/>
    </w:r>
    <w:r w:rsidR="00D1657E" w:rsidRPr="00D1657E">
      <w:rPr>
        <w:lang w:val="en-US"/>
      </w:rPr>
      <w:t>P</w:t>
    </w:r>
    <w:r w:rsidR="00D1657E">
      <w:t>:\ESP\SG\CONSEIL\VC-2\000\009S.docx</w:t>
    </w:r>
    <w:r>
      <w:rPr>
        <w:lang w:val="en-US"/>
      </w:rPr>
      <w:fldChar w:fldCharType="end"/>
    </w:r>
    <w:r w:rsidR="00D1657E">
      <w:rPr>
        <w:lang w:val="en-US"/>
      </w:rPr>
      <w:t xml:space="preserve"> (479756)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19568"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80416" w14:textId="77777777" w:rsidR="001834BD" w:rsidRDefault="001834BD">
      <w:r>
        <w:t>____________________</w:t>
      </w:r>
    </w:p>
  </w:footnote>
  <w:footnote w:type="continuationSeparator" w:id="0">
    <w:p w14:paraId="293AE437" w14:textId="77777777" w:rsidR="001834BD" w:rsidRDefault="00183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E108E"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2F9E07E8" w14:textId="408E49FA" w:rsidR="00760F1C" w:rsidRDefault="001834BD" w:rsidP="00C2727F">
    <w:pPr>
      <w:pStyle w:val="Header"/>
    </w:pPr>
    <w:r>
      <w:t>VC</w:t>
    </w:r>
    <w:r w:rsidR="00803CB8">
      <w:t>-2</w:t>
    </w:r>
    <w:r w:rsidR="00760F1C">
      <w:t>/</w:t>
    </w:r>
    <w:r w:rsidR="00D1657E">
      <w:t>9</w:t>
    </w:r>
    <w:r w:rsidR="00760F1C">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C17EFC"/>
    <w:multiLevelType w:val="hybridMultilevel"/>
    <w:tmpl w:val="A44A16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BD"/>
    <w:rsid w:val="00093EEB"/>
    <w:rsid w:val="000B0D00"/>
    <w:rsid w:val="000B7C15"/>
    <w:rsid w:val="000D1D0F"/>
    <w:rsid w:val="000F5290"/>
    <w:rsid w:val="0010165C"/>
    <w:rsid w:val="00146BFB"/>
    <w:rsid w:val="001834BD"/>
    <w:rsid w:val="001F14A2"/>
    <w:rsid w:val="002801AA"/>
    <w:rsid w:val="002C4676"/>
    <w:rsid w:val="002C70B0"/>
    <w:rsid w:val="002F3CC4"/>
    <w:rsid w:val="00491AC1"/>
    <w:rsid w:val="004A3EB1"/>
    <w:rsid w:val="004D2FCF"/>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03CB8"/>
    <w:rsid w:val="00820BE4"/>
    <w:rsid w:val="008432D3"/>
    <w:rsid w:val="008451E8"/>
    <w:rsid w:val="00913B9C"/>
    <w:rsid w:val="00956E77"/>
    <w:rsid w:val="009741A7"/>
    <w:rsid w:val="009F4811"/>
    <w:rsid w:val="00A12D5A"/>
    <w:rsid w:val="00AA390C"/>
    <w:rsid w:val="00B005A8"/>
    <w:rsid w:val="00B0200A"/>
    <w:rsid w:val="00B574DB"/>
    <w:rsid w:val="00B826C2"/>
    <w:rsid w:val="00B8298E"/>
    <w:rsid w:val="00BC1F53"/>
    <w:rsid w:val="00BD0723"/>
    <w:rsid w:val="00BD2518"/>
    <w:rsid w:val="00BF1D1C"/>
    <w:rsid w:val="00C20C59"/>
    <w:rsid w:val="00C2727F"/>
    <w:rsid w:val="00C36283"/>
    <w:rsid w:val="00C55B1F"/>
    <w:rsid w:val="00CB034A"/>
    <w:rsid w:val="00CF1A67"/>
    <w:rsid w:val="00D1657E"/>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4905CE4"/>
  <w15:docId w15:val="{E15BAF4D-7E8C-4326-8B80-9001002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AnnexNoTitle">
    <w:name w:val="Annex_NoTitle"/>
    <w:basedOn w:val="Normal"/>
    <w:next w:val="Normal"/>
    <w:rsid w:val="001834BD"/>
    <w:pPr>
      <w:keepNext/>
      <w:keepLines/>
      <w:tabs>
        <w:tab w:val="clear" w:pos="567"/>
        <w:tab w:val="clear" w:pos="1134"/>
        <w:tab w:val="clear" w:pos="1701"/>
        <w:tab w:val="clear" w:pos="2268"/>
        <w:tab w:val="clear" w:pos="2835"/>
        <w:tab w:val="left" w:pos="794"/>
        <w:tab w:val="left" w:pos="1191"/>
        <w:tab w:val="left" w:pos="1588"/>
        <w:tab w:val="left" w:pos="1985"/>
      </w:tabs>
      <w:spacing w:before="720" w:after="120" w:line="280" w:lineRule="exact"/>
      <w:jc w:val="center"/>
    </w:pPr>
    <w:rPr>
      <w:rFonts w:cs="Calibri"/>
      <w:b/>
      <w:szCs w:val="22"/>
    </w:rPr>
  </w:style>
  <w:style w:type="character" w:styleId="UnresolvedMention">
    <w:name w:val="Unresolved Mention"/>
    <w:basedOn w:val="DefaultParagraphFont"/>
    <w:uiPriority w:val="99"/>
    <w:semiHidden/>
    <w:unhideWhenUsed/>
    <w:rsid w:val="00A12D5A"/>
    <w:rPr>
      <w:color w:val="605E5C"/>
      <w:shd w:val="clear" w:color="auto" w:fill="E1DFDD"/>
    </w:rPr>
  </w:style>
  <w:style w:type="table" w:styleId="TableGrid">
    <w:name w:val="Table Grid"/>
    <w:basedOn w:val="TableNormal"/>
    <w:rsid w:val="00A12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374377">
      <w:bodyDiv w:val="1"/>
      <w:marLeft w:val="0"/>
      <w:marRight w:val="0"/>
      <w:marTop w:val="0"/>
      <w:marBottom w:val="0"/>
      <w:divBdr>
        <w:top w:val="none" w:sz="0" w:space="0" w:color="auto"/>
        <w:left w:val="none" w:sz="0" w:space="0" w:color="auto"/>
        <w:bottom w:val="none" w:sz="0" w:space="0" w:color="auto"/>
        <w:right w:val="none" w:sz="0" w:space="0" w:color="auto"/>
      </w:divBdr>
    </w:div>
    <w:div w:id="1245727724">
      <w:bodyDiv w:val="1"/>
      <w:marLeft w:val="0"/>
      <w:marRight w:val="0"/>
      <w:marTop w:val="0"/>
      <w:marBottom w:val="0"/>
      <w:divBdr>
        <w:top w:val="none" w:sz="0" w:space="0" w:color="auto"/>
        <w:left w:val="none" w:sz="0" w:space="0" w:color="auto"/>
        <w:bottom w:val="none" w:sz="0" w:space="0" w:color="auto"/>
        <w:right w:val="none" w:sz="0" w:space="0" w:color="auto"/>
      </w:divBdr>
    </w:div>
    <w:div w:id="18620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0-CLVC2-C-0024/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B4EAC-4B39-4884-BA7B-6C55FD8B4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119</TotalTime>
  <Pages>4</Pages>
  <Words>1278</Words>
  <Characters>7034</Characters>
  <Application>Microsoft Office Word</Application>
  <DocSecurity>0</DocSecurity>
  <Lines>58</Lines>
  <Paragraphs>16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8296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English</dc:creator>
  <cp:keywords>C2018, C18</cp:keywords>
  <dc:description/>
  <cp:lastModifiedBy>Spanish83</cp:lastModifiedBy>
  <cp:revision>6</cp:revision>
  <cp:lastPrinted>2006-03-24T09:51:00Z</cp:lastPrinted>
  <dcterms:created xsi:type="dcterms:W3CDTF">2020-11-12T08:24:00Z</dcterms:created>
  <dcterms:modified xsi:type="dcterms:W3CDTF">2020-11-12T10:25:00Z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