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31" w:type="dxa"/>
        <w:tblLayout w:type="fixed"/>
        <w:tblLook w:val="0000" w:firstRow="0" w:lastRow="0" w:firstColumn="0" w:lastColumn="0" w:noHBand="0" w:noVBand="0"/>
      </w:tblPr>
      <w:tblGrid>
        <w:gridCol w:w="6911"/>
        <w:gridCol w:w="3120"/>
      </w:tblGrid>
      <w:tr w:rsidR="00ED4F28" w:rsidRPr="00867263" w14:paraId="620C3B91" w14:textId="77777777" w:rsidTr="00CA5955">
        <w:trPr>
          <w:cantSplit/>
          <w:trHeight w:val="1276"/>
        </w:trPr>
        <w:tc>
          <w:tcPr>
            <w:tcW w:w="6911" w:type="dxa"/>
          </w:tcPr>
          <w:p w14:paraId="481CEFEA" w14:textId="00F6C14F" w:rsidR="00ED4F28" w:rsidRPr="00867263" w:rsidRDefault="00ED4F28" w:rsidP="00867263">
            <w:pPr>
              <w:spacing w:before="360" w:after="48" w:line="240" w:lineRule="auto"/>
              <w:rPr>
                <w:b/>
                <w:bCs/>
                <w:position w:val="6"/>
                <w:sz w:val="26"/>
                <w:szCs w:val="26"/>
              </w:rPr>
            </w:pPr>
            <w:r w:rsidRPr="00867263">
              <w:rPr>
                <w:b/>
                <w:bCs/>
                <w:position w:val="6"/>
                <w:sz w:val="26"/>
                <w:szCs w:val="26"/>
              </w:rPr>
              <w:t xml:space="preserve">Consultation virtuelle des Conseillers </w:t>
            </w:r>
            <w:r w:rsidRPr="00867263">
              <w:rPr>
                <w:b/>
                <w:bCs/>
                <w:position w:val="6"/>
                <w:sz w:val="26"/>
                <w:szCs w:val="26"/>
              </w:rPr>
              <w:br/>
              <w:t xml:space="preserve">débutant le </w:t>
            </w:r>
            <w:r w:rsidR="00E2050E" w:rsidRPr="00867263">
              <w:rPr>
                <w:b/>
                <w:bCs/>
                <w:position w:val="6"/>
                <w:sz w:val="26"/>
                <w:szCs w:val="26"/>
              </w:rPr>
              <w:t>16 novembre 2020</w:t>
            </w:r>
          </w:p>
        </w:tc>
        <w:tc>
          <w:tcPr>
            <w:tcW w:w="3120" w:type="dxa"/>
            <w:vAlign w:val="center"/>
          </w:tcPr>
          <w:p w14:paraId="192CAD97" w14:textId="77777777" w:rsidR="00ED4F28" w:rsidRPr="00867263" w:rsidRDefault="00ED4F28" w:rsidP="00867263">
            <w:pPr>
              <w:spacing w:before="0" w:line="240" w:lineRule="auto"/>
            </w:pPr>
            <w:bookmarkStart w:id="0" w:name="ditulogo"/>
            <w:bookmarkEnd w:id="0"/>
            <w:r w:rsidRPr="00867263">
              <w:rPr>
                <w:noProof/>
                <w:lang w:val="en-US"/>
              </w:rPr>
              <w:drawing>
                <wp:inline distT="0" distB="0" distL="0" distR="0" wp14:anchorId="3FD6A452" wp14:editId="286AC39E">
                  <wp:extent cx="682402" cy="720000"/>
                  <wp:effectExtent l="0" t="0" r="381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ED4F28" w:rsidRPr="00867263" w14:paraId="0F870CCA" w14:textId="77777777" w:rsidTr="00CA5955">
        <w:trPr>
          <w:cantSplit/>
        </w:trPr>
        <w:tc>
          <w:tcPr>
            <w:tcW w:w="6911" w:type="dxa"/>
            <w:tcBorders>
              <w:bottom w:val="single" w:sz="12" w:space="0" w:color="auto"/>
            </w:tcBorders>
          </w:tcPr>
          <w:p w14:paraId="0A560EFC" w14:textId="77777777" w:rsidR="00ED4F28" w:rsidRPr="00867263" w:rsidRDefault="00ED4F28" w:rsidP="00867263">
            <w:pPr>
              <w:spacing w:before="0" w:after="48" w:line="240" w:lineRule="auto"/>
              <w:rPr>
                <w:b/>
                <w:smallCaps/>
                <w:szCs w:val="24"/>
              </w:rPr>
            </w:pPr>
          </w:p>
        </w:tc>
        <w:tc>
          <w:tcPr>
            <w:tcW w:w="3120" w:type="dxa"/>
            <w:tcBorders>
              <w:bottom w:val="single" w:sz="12" w:space="0" w:color="auto"/>
            </w:tcBorders>
          </w:tcPr>
          <w:p w14:paraId="22897CD7" w14:textId="77777777" w:rsidR="00ED4F28" w:rsidRPr="00867263" w:rsidRDefault="00ED4F28" w:rsidP="00867263">
            <w:pPr>
              <w:spacing w:before="0" w:line="240" w:lineRule="auto"/>
              <w:rPr>
                <w:szCs w:val="24"/>
              </w:rPr>
            </w:pPr>
          </w:p>
        </w:tc>
      </w:tr>
      <w:tr w:rsidR="00ED4F28" w:rsidRPr="00867263" w14:paraId="00728C79" w14:textId="77777777" w:rsidTr="00CA5955">
        <w:trPr>
          <w:cantSplit/>
        </w:trPr>
        <w:tc>
          <w:tcPr>
            <w:tcW w:w="6911" w:type="dxa"/>
            <w:tcBorders>
              <w:top w:val="single" w:sz="12" w:space="0" w:color="auto"/>
            </w:tcBorders>
          </w:tcPr>
          <w:p w14:paraId="4B025C34" w14:textId="77777777" w:rsidR="00ED4F28" w:rsidRPr="00867263" w:rsidRDefault="00ED4F28" w:rsidP="00867263">
            <w:pPr>
              <w:spacing w:before="0" w:after="48" w:line="240" w:lineRule="auto"/>
              <w:rPr>
                <w:b/>
                <w:smallCaps/>
                <w:szCs w:val="24"/>
              </w:rPr>
            </w:pPr>
          </w:p>
        </w:tc>
        <w:tc>
          <w:tcPr>
            <w:tcW w:w="3120" w:type="dxa"/>
            <w:tcBorders>
              <w:top w:val="single" w:sz="12" w:space="0" w:color="auto"/>
            </w:tcBorders>
          </w:tcPr>
          <w:p w14:paraId="349800EC" w14:textId="53CA893C" w:rsidR="00ED4F28" w:rsidRPr="00867263" w:rsidRDefault="00ED4F28" w:rsidP="00867263">
            <w:pPr>
              <w:spacing w:before="240" w:line="240" w:lineRule="auto"/>
              <w:rPr>
                <w:b/>
                <w:bCs/>
                <w:szCs w:val="24"/>
              </w:rPr>
            </w:pPr>
            <w:r w:rsidRPr="00867263">
              <w:rPr>
                <w:b/>
                <w:bCs/>
              </w:rPr>
              <w:t>Document VC</w:t>
            </w:r>
            <w:r w:rsidR="00E2050E" w:rsidRPr="00867263">
              <w:rPr>
                <w:b/>
                <w:bCs/>
              </w:rPr>
              <w:t>-2</w:t>
            </w:r>
            <w:r w:rsidRPr="00867263">
              <w:rPr>
                <w:b/>
                <w:bCs/>
              </w:rPr>
              <w:t>/</w:t>
            </w:r>
            <w:r w:rsidR="00E2050E" w:rsidRPr="00867263">
              <w:rPr>
                <w:b/>
                <w:bCs/>
              </w:rPr>
              <w:t>13</w:t>
            </w:r>
            <w:r w:rsidRPr="00867263">
              <w:rPr>
                <w:b/>
                <w:bCs/>
              </w:rPr>
              <w:t>-F</w:t>
            </w:r>
          </w:p>
          <w:p w14:paraId="466822E5" w14:textId="023BFAF2" w:rsidR="00ED4F28" w:rsidRPr="00867263" w:rsidRDefault="006C57C9" w:rsidP="00867263">
            <w:pPr>
              <w:spacing w:before="0" w:line="240" w:lineRule="auto"/>
              <w:rPr>
                <w:b/>
                <w:bCs/>
                <w:szCs w:val="24"/>
              </w:rPr>
            </w:pPr>
            <w:r>
              <w:rPr>
                <w:b/>
                <w:bCs/>
              </w:rPr>
              <w:t>14 janvier</w:t>
            </w:r>
            <w:r w:rsidR="00E2050E" w:rsidRPr="00867263">
              <w:rPr>
                <w:b/>
                <w:bCs/>
              </w:rPr>
              <w:t xml:space="preserve"> </w:t>
            </w:r>
            <w:r w:rsidR="00ED4F28" w:rsidRPr="00867263">
              <w:rPr>
                <w:b/>
                <w:bCs/>
              </w:rPr>
              <w:t>202</w:t>
            </w:r>
            <w:r>
              <w:rPr>
                <w:b/>
                <w:bCs/>
              </w:rPr>
              <w:t>1</w:t>
            </w:r>
          </w:p>
          <w:p w14:paraId="240F77C5" w14:textId="77777777" w:rsidR="00ED4F28" w:rsidRPr="00867263" w:rsidRDefault="00ED4F28" w:rsidP="00867263">
            <w:pPr>
              <w:spacing w:before="0" w:line="240" w:lineRule="auto"/>
              <w:rPr>
                <w:szCs w:val="24"/>
              </w:rPr>
            </w:pPr>
            <w:proofErr w:type="gramStart"/>
            <w:r w:rsidRPr="00867263">
              <w:rPr>
                <w:b/>
                <w:bCs/>
              </w:rPr>
              <w:t>Original:</w:t>
            </w:r>
            <w:proofErr w:type="gramEnd"/>
            <w:r w:rsidRPr="00867263">
              <w:rPr>
                <w:b/>
                <w:bCs/>
              </w:rPr>
              <w:t xml:space="preserve"> anglais</w:t>
            </w:r>
          </w:p>
        </w:tc>
      </w:tr>
    </w:tbl>
    <w:p w14:paraId="22D86A92" w14:textId="77777777" w:rsidR="00E2050E" w:rsidRPr="00867263" w:rsidRDefault="00E2050E" w:rsidP="00867263">
      <w:pPr>
        <w:pStyle w:val="Title1"/>
        <w:spacing w:before="360"/>
      </w:pPr>
      <w:r w:rsidRPr="00867263">
        <w:t>COMPTE RENDU</w:t>
      </w:r>
    </w:p>
    <w:p w14:paraId="637D1D42" w14:textId="77777777" w:rsidR="00E2050E" w:rsidRPr="00867263" w:rsidRDefault="00E2050E" w:rsidP="00867263">
      <w:pPr>
        <w:pStyle w:val="Title1"/>
      </w:pPr>
      <w:r w:rsidRPr="00867263">
        <w:t>DE LA</w:t>
      </w:r>
    </w:p>
    <w:p w14:paraId="51D84BFC" w14:textId="77777777" w:rsidR="00E2050E" w:rsidRPr="00867263" w:rsidRDefault="00E2050E" w:rsidP="00867263">
      <w:pPr>
        <w:pStyle w:val="Title1"/>
      </w:pPr>
      <w:r w:rsidRPr="00867263">
        <w:t>QUATRIÈME SÉANCE</w:t>
      </w:r>
    </w:p>
    <w:p w14:paraId="71E7E8AC" w14:textId="4434F54A" w:rsidR="00E2050E" w:rsidRPr="00867263" w:rsidRDefault="00E2050E" w:rsidP="00867263">
      <w:pPr>
        <w:spacing w:line="240" w:lineRule="auto"/>
        <w:jc w:val="center"/>
        <w:rPr>
          <w:szCs w:val="24"/>
        </w:rPr>
      </w:pPr>
      <w:r w:rsidRPr="00867263">
        <w:rPr>
          <w:szCs w:val="24"/>
        </w:rPr>
        <w:t>Jeudi 19 novembre 2020, de 12 h 00 à 15 h 10</w:t>
      </w:r>
    </w:p>
    <w:p w14:paraId="68D5FE6D" w14:textId="77777777" w:rsidR="00E2050E" w:rsidRPr="00867263" w:rsidRDefault="00E2050E" w:rsidP="00867263">
      <w:pPr>
        <w:spacing w:after="240" w:line="240" w:lineRule="auto"/>
        <w:jc w:val="center"/>
        <w:rPr>
          <w:szCs w:val="24"/>
        </w:rPr>
      </w:pPr>
      <w:r w:rsidRPr="00867263">
        <w:rPr>
          <w:b/>
          <w:bCs/>
          <w:szCs w:val="24"/>
        </w:rPr>
        <w:t xml:space="preserve">Président: </w:t>
      </w:r>
      <w:r w:rsidRPr="00867263">
        <w:rPr>
          <w:szCs w:val="24"/>
        </w:rPr>
        <w:t>M. S. BIN GHELAITA (Émirats arabes unis</w:t>
      </w:r>
      <w:r w:rsidRPr="00867263">
        <w:rPr>
          <w:szCs w:val="24"/>
          <w:lang w:eastAsia="zh-CN"/>
        </w:rPr>
        <w:t>)</w:t>
      </w:r>
    </w:p>
    <w:tbl>
      <w:tblPr>
        <w:tblW w:w="5294" w:type="pct"/>
        <w:tblLook w:val="0000" w:firstRow="0" w:lastRow="0" w:firstColumn="0" w:lastColumn="0" w:noHBand="0" w:noVBand="0"/>
      </w:tblPr>
      <w:tblGrid>
        <w:gridCol w:w="504"/>
        <w:gridCol w:w="7575"/>
        <w:gridCol w:w="2127"/>
      </w:tblGrid>
      <w:tr w:rsidR="00E2050E" w:rsidRPr="00867263" w14:paraId="6D46ED75" w14:textId="77777777" w:rsidTr="00E2050E">
        <w:tc>
          <w:tcPr>
            <w:tcW w:w="247" w:type="pct"/>
          </w:tcPr>
          <w:p w14:paraId="748E83D2" w14:textId="77777777" w:rsidR="00E2050E" w:rsidRPr="00867263" w:rsidRDefault="00E2050E" w:rsidP="00867263">
            <w:pPr>
              <w:pStyle w:val="toc0"/>
              <w:spacing w:after="120"/>
              <w:rPr>
                <w:rFonts w:cs="Calibri"/>
                <w:szCs w:val="24"/>
              </w:rPr>
            </w:pPr>
            <w:r w:rsidRPr="00867263">
              <w:rPr>
                <w:rFonts w:cs="Calibri"/>
                <w:b w:val="0"/>
                <w:szCs w:val="24"/>
              </w:rPr>
              <w:br w:type="page"/>
            </w:r>
            <w:r w:rsidRPr="00867263">
              <w:rPr>
                <w:rFonts w:cs="Calibri"/>
                <w:b w:val="0"/>
                <w:szCs w:val="24"/>
              </w:rPr>
              <w:br w:type="page"/>
            </w:r>
          </w:p>
        </w:tc>
        <w:tc>
          <w:tcPr>
            <w:tcW w:w="3711" w:type="pct"/>
          </w:tcPr>
          <w:p w14:paraId="1A640288" w14:textId="77777777" w:rsidR="00E2050E" w:rsidRPr="00867263" w:rsidRDefault="00E2050E" w:rsidP="00867263">
            <w:pPr>
              <w:pStyle w:val="Tablehead"/>
              <w:jc w:val="left"/>
            </w:pPr>
            <w:r w:rsidRPr="00867263">
              <w:t>Sujets traités</w:t>
            </w:r>
          </w:p>
        </w:tc>
        <w:tc>
          <w:tcPr>
            <w:tcW w:w="1042" w:type="pct"/>
            <w:vAlign w:val="center"/>
          </w:tcPr>
          <w:p w14:paraId="09C1DCF9" w14:textId="77777777" w:rsidR="00E2050E" w:rsidRPr="00867263" w:rsidRDefault="00E2050E" w:rsidP="00867263">
            <w:pPr>
              <w:pStyle w:val="Tablehead"/>
            </w:pPr>
            <w:r w:rsidRPr="00867263">
              <w:t>Documents</w:t>
            </w:r>
          </w:p>
        </w:tc>
      </w:tr>
      <w:tr w:rsidR="00E2050E" w:rsidRPr="00867263" w14:paraId="52B20088" w14:textId="77777777" w:rsidTr="00E2050E">
        <w:tc>
          <w:tcPr>
            <w:tcW w:w="247" w:type="pct"/>
          </w:tcPr>
          <w:p w14:paraId="551099C3" w14:textId="77777777" w:rsidR="00E2050E" w:rsidRPr="00867263" w:rsidRDefault="00E2050E" w:rsidP="00867263">
            <w:pPr>
              <w:pStyle w:val="Tabletext"/>
            </w:pPr>
            <w:r w:rsidRPr="00867263">
              <w:t>1</w:t>
            </w:r>
          </w:p>
        </w:tc>
        <w:tc>
          <w:tcPr>
            <w:tcW w:w="3711" w:type="pct"/>
          </w:tcPr>
          <w:p w14:paraId="78E7BC35" w14:textId="0EF8FFAA" w:rsidR="00E2050E" w:rsidRPr="00867263" w:rsidRDefault="00E2050E" w:rsidP="00867263">
            <w:pPr>
              <w:pStyle w:val="Tabletext"/>
              <w:rPr>
                <w:bCs/>
              </w:rPr>
            </w:pPr>
            <w:r w:rsidRPr="00867263">
              <w:rPr>
                <w:bCs/>
              </w:rPr>
              <w:t>Résultats des discussions tenues le 1</w:t>
            </w:r>
            <w:r w:rsidRPr="00867263">
              <w:t>8 novembre</w:t>
            </w:r>
            <w:r w:rsidRPr="00867263">
              <w:rPr>
                <w:bCs/>
              </w:rPr>
              <w:t xml:space="preserve"> 2020</w:t>
            </w:r>
          </w:p>
        </w:tc>
        <w:tc>
          <w:tcPr>
            <w:tcW w:w="1042" w:type="pct"/>
          </w:tcPr>
          <w:p w14:paraId="6D2C2C72" w14:textId="55CEABC6" w:rsidR="00E2050E" w:rsidRPr="00867263" w:rsidRDefault="006C57C9" w:rsidP="00867263">
            <w:pPr>
              <w:pStyle w:val="Tabletext"/>
              <w:jc w:val="center"/>
              <w:rPr>
                <w:bCs/>
                <w:szCs w:val="24"/>
              </w:rPr>
            </w:pPr>
            <w:hyperlink r:id="rId8" w:history="1">
              <w:r w:rsidR="00E2050E" w:rsidRPr="00867263">
                <w:rPr>
                  <w:rStyle w:val="Hyperlink"/>
                  <w:rFonts w:cstheme="minorHAnsi"/>
                  <w:bCs/>
                  <w:szCs w:val="24"/>
                  <w:lang w:eastAsia="en-GB"/>
                </w:rPr>
                <w:t>VCC-2/DT/1(Rév.2)</w:t>
              </w:r>
            </w:hyperlink>
          </w:p>
        </w:tc>
      </w:tr>
      <w:tr w:rsidR="00E2050E" w:rsidRPr="00867263" w14:paraId="3797C2C3" w14:textId="77777777" w:rsidTr="00E2050E">
        <w:trPr>
          <w:trHeight w:val="784"/>
        </w:trPr>
        <w:tc>
          <w:tcPr>
            <w:tcW w:w="247" w:type="pct"/>
          </w:tcPr>
          <w:p w14:paraId="11CB49A2" w14:textId="77777777" w:rsidR="00E2050E" w:rsidRPr="00867263" w:rsidRDefault="00E2050E" w:rsidP="00867263">
            <w:pPr>
              <w:pStyle w:val="Tabletext"/>
            </w:pPr>
            <w:r w:rsidRPr="00867263">
              <w:t>2</w:t>
            </w:r>
          </w:p>
        </w:tc>
        <w:tc>
          <w:tcPr>
            <w:tcW w:w="3711" w:type="pct"/>
          </w:tcPr>
          <w:p w14:paraId="3ED498BA" w14:textId="07D019DA" w:rsidR="00E2050E" w:rsidRPr="00867263" w:rsidRDefault="00E2050E" w:rsidP="00867263">
            <w:pPr>
              <w:pStyle w:val="Tabletext"/>
              <w:rPr>
                <w:bCs/>
              </w:rPr>
            </w:pPr>
            <w:r w:rsidRPr="00867263">
              <w:rPr>
                <w:bCs/>
              </w:rPr>
              <w:t>D</w:t>
            </w:r>
            <w:r w:rsidR="00316628" w:rsidRPr="00867263">
              <w:rPr>
                <w:bCs/>
              </w:rPr>
              <w:t>é</w:t>
            </w:r>
            <w:r w:rsidRPr="00867263">
              <w:rPr>
                <w:bCs/>
              </w:rPr>
              <w:t xml:space="preserve">cisions </w:t>
            </w:r>
            <w:r w:rsidR="00342571" w:rsidRPr="00867263">
              <w:rPr>
                <w:bCs/>
              </w:rPr>
              <w:t xml:space="preserve">de </w:t>
            </w:r>
            <w:r w:rsidR="00316628" w:rsidRPr="00867263">
              <w:rPr>
                <w:bCs/>
              </w:rPr>
              <w:t>l</w:t>
            </w:r>
            <w:r w:rsidR="00F12A8B" w:rsidRPr="00867263">
              <w:rPr>
                <w:bCs/>
              </w:rPr>
              <w:t>'</w:t>
            </w:r>
            <w:r w:rsidR="00316628" w:rsidRPr="00867263">
              <w:rPr>
                <w:bCs/>
              </w:rPr>
              <w:t>Assemblée générale des Nation</w:t>
            </w:r>
            <w:r w:rsidR="00FE032D" w:rsidRPr="00867263">
              <w:rPr>
                <w:bCs/>
              </w:rPr>
              <w:t>s</w:t>
            </w:r>
            <w:r w:rsidR="00316628" w:rsidRPr="00867263">
              <w:rPr>
                <w:bCs/>
              </w:rPr>
              <w:t xml:space="preserve"> Unies </w:t>
            </w:r>
            <w:r w:rsidR="00342571" w:rsidRPr="00867263">
              <w:rPr>
                <w:bCs/>
              </w:rPr>
              <w:t xml:space="preserve">sur </w:t>
            </w:r>
            <w:r w:rsidR="00316628" w:rsidRPr="00867263">
              <w:rPr>
                <w:bCs/>
              </w:rPr>
              <w:t>les conditions d</w:t>
            </w:r>
            <w:r w:rsidR="00F12A8B" w:rsidRPr="00867263">
              <w:rPr>
                <w:bCs/>
              </w:rPr>
              <w:t>'</w:t>
            </w:r>
            <w:r w:rsidR="00316628" w:rsidRPr="00867263">
              <w:rPr>
                <w:bCs/>
              </w:rPr>
              <w:t xml:space="preserve">emploi dans le cadre du régime commun des Nations Unies </w:t>
            </w:r>
            <w:r w:rsidRPr="00867263">
              <w:rPr>
                <w:bCs/>
              </w:rPr>
              <w:t>(</w:t>
            </w:r>
            <w:r w:rsidR="00E60B40" w:rsidRPr="00867263">
              <w:rPr>
                <w:bCs/>
              </w:rPr>
              <w:t>s</w:t>
            </w:r>
            <w:r w:rsidR="00E60B40" w:rsidRPr="00867263">
              <w:t>uite</w:t>
            </w:r>
            <w:r w:rsidRPr="00867263">
              <w:rPr>
                <w:bCs/>
              </w:rPr>
              <w:t>)</w:t>
            </w:r>
          </w:p>
        </w:tc>
        <w:bookmarkStart w:id="1" w:name="_Hlk57810842"/>
        <w:tc>
          <w:tcPr>
            <w:tcW w:w="1042" w:type="pct"/>
          </w:tcPr>
          <w:p w14:paraId="7CF3FF58" w14:textId="2936D48A" w:rsidR="00E2050E" w:rsidRPr="00867263" w:rsidRDefault="00E2050E" w:rsidP="00867263">
            <w:pPr>
              <w:pStyle w:val="Tabletext"/>
              <w:jc w:val="center"/>
            </w:pPr>
            <w:r w:rsidRPr="00867263">
              <w:fldChar w:fldCharType="begin"/>
            </w:r>
            <w:r w:rsidRPr="00867263">
              <w:instrText xml:space="preserve"> HYPERLINK "https://www.itu.int/md/S20-CL-C-0023/en" </w:instrText>
            </w:r>
            <w:r w:rsidRPr="00867263">
              <w:fldChar w:fldCharType="separate"/>
            </w:r>
            <w:r w:rsidRPr="00867263">
              <w:rPr>
                <w:rStyle w:val="Hyperlink"/>
              </w:rPr>
              <w:t>C20/23</w:t>
            </w:r>
            <w:r w:rsidRPr="00867263">
              <w:fldChar w:fldCharType="end"/>
            </w:r>
            <w:bookmarkEnd w:id="1"/>
          </w:p>
        </w:tc>
      </w:tr>
      <w:tr w:rsidR="00E2050E" w:rsidRPr="00867263" w14:paraId="09262BD0" w14:textId="77777777" w:rsidTr="00E2050E">
        <w:trPr>
          <w:trHeight w:val="702"/>
        </w:trPr>
        <w:tc>
          <w:tcPr>
            <w:tcW w:w="247" w:type="pct"/>
          </w:tcPr>
          <w:p w14:paraId="54178CFA" w14:textId="77777777" w:rsidR="00E2050E" w:rsidRPr="00867263" w:rsidRDefault="00E2050E" w:rsidP="00867263">
            <w:pPr>
              <w:pStyle w:val="Tabletext"/>
            </w:pPr>
            <w:r w:rsidRPr="00867263">
              <w:t>3</w:t>
            </w:r>
          </w:p>
        </w:tc>
        <w:tc>
          <w:tcPr>
            <w:tcW w:w="3711" w:type="pct"/>
          </w:tcPr>
          <w:p w14:paraId="2688405E" w14:textId="2337961B" w:rsidR="00E2050E" w:rsidRPr="00867263" w:rsidRDefault="00E60B40" w:rsidP="00867263">
            <w:pPr>
              <w:pStyle w:val="Tabletext"/>
              <w:rPr>
                <w:bCs/>
              </w:rPr>
            </w:pPr>
            <w:r w:rsidRPr="00867263">
              <w:rPr>
                <w:bCs/>
              </w:rPr>
              <w:t>Nouvelle fonction</w:t>
            </w:r>
            <w:r w:rsidR="003073B9" w:rsidRPr="00867263">
              <w:rPr>
                <w:bCs/>
              </w:rPr>
              <w:t xml:space="preserve"> d</w:t>
            </w:r>
            <w:r w:rsidR="00F12A8B" w:rsidRPr="00867263">
              <w:rPr>
                <w:bCs/>
              </w:rPr>
              <w:t>'</w:t>
            </w:r>
            <w:r w:rsidR="003073B9" w:rsidRPr="00867263">
              <w:rPr>
                <w:bCs/>
              </w:rPr>
              <w:t>investigation</w:t>
            </w:r>
            <w:r w:rsidRPr="00867263">
              <w:rPr>
                <w:bCs/>
              </w:rPr>
              <w:t xml:space="preserve"> et nouveau processus en matière d'enquête</w:t>
            </w:r>
          </w:p>
        </w:tc>
        <w:tc>
          <w:tcPr>
            <w:tcW w:w="1042" w:type="pct"/>
          </w:tcPr>
          <w:p w14:paraId="541A1F0E" w14:textId="6DBF1D64" w:rsidR="00E2050E" w:rsidRPr="00867263" w:rsidRDefault="006C57C9" w:rsidP="00867263">
            <w:pPr>
              <w:pStyle w:val="Tabletext"/>
              <w:jc w:val="center"/>
              <w:rPr>
                <w:bCs/>
              </w:rPr>
            </w:pPr>
            <w:hyperlink r:id="rId9" w:history="1">
              <w:r w:rsidR="00E2050E" w:rsidRPr="00867263">
                <w:rPr>
                  <w:rStyle w:val="Hyperlink"/>
                </w:rPr>
                <w:t>C20/60</w:t>
              </w:r>
            </w:hyperlink>
            <w:r w:rsidR="00E2050E" w:rsidRPr="00867263">
              <w:rPr>
                <w:bCs/>
                <w:lang w:eastAsia="en-GB"/>
              </w:rPr>
              <w:t xml:space="preserve">, </w:t>
            </w:r>
            <w:hyperlink r:id="rId10" w:history="1">
              <w:r w:rsidR="00E2050E" w:rsidRPr="00867263">
                <w:rPr>
                  <w:rStyle w:val="Hyperlink"/>
                </w:rPr>
                <w:t>C20/78</w:t>
              </w:r>
            </w:hyperlink>
            <w:r w:rsidR="00E2050E" w:rsidRPr="00867263">
              <w:t xml:space="preserve">, </w:t>
            </w:r>
            <w:hyperlink r:id="rId11" w:history="1">
              <w:r w:rsidR="00E2050E" w:rsidRPr="00867263">
                <w:rPr>
                  <w:rStyle w:val="Hyperlink"/>
                </w:rPr>
                <w:t>VC/8</w:t>
              </w:r>
            </w:hyperlink>
          </w:p>
        </w:tc>
      </w:tr>
      <w:tr w:rsidR="00E2050E" w:rsidRPr="00867263" w14:paraId="65871D72" w14:textId="77777777" w:rsidTr="00E60B40">
        <w:trPr>
          <w:trHeight w:val="423"/>
        </w:trPr>
        <w:tc>
          <w:tcPr>
            <w:tcW w:w="247" w:type="pct"/>
          </w:tcPr>
          <w:p w14:paraId="186B883B" w14:textId="77777777" w:rsidR="00E2050E" w:rsidRPr="00867263" w:rsidRDefault="00E2050E" w:rsidP="00867263">
            <w:pPr>
              <w:pStyle w:val="Tabletext"/>
            </w:pPr>
            <w:r w:rsidRPr="00867263">
              <w:t>4</w:t>
            </w:r>
          </w:p>
        </w:tc>
        <w:tc>
          <w:tcPr>
            <w:tcW w:w="3711" w:type="pct"/>
          </w:tcPr>
          <w:p w14:paraId="705605B7" w14:textId="5C77E6AC" w:rsidR="00E2050E" w:rsidRPr="00867263" w:rsidRDefault="00E60B40" w:rsidP="00867263">
            <w:pPr>
              <w:pStyle w:val="Tabletext"/>
              <w:rPr>
                <w:bCs/>
              </w:rPr>
            </w:pPr>
            <w:r w:rsidRPr="00867263">
              <w:rPr>
                <w:bCs/>
              </w:rPr>
              <w:t>Nomination d'un nouveau Vérificateur extérieur des comptes</w:t>
            </w:r>
          </w:p>
        </w:tc>
        <w:tc>
          <w:tcPr>
            <w:tcW w:w="1042" w:type="pct"/>
          </w:tcPr>
          <w:p w14:paraId="2F2625DB" w14:textId="026F810E" w:rsidR="00E2050E" w:rsidRPr="00867263" w:rsidRDefault="006C57C9" w:rsidP="00867263">
            <w:pPr>
              <w:pStyle w:val="Tabletext"/>
              <w:jc w:val="center"/>
              <w:rPr>
                <w:bCs/>
              </w:rPr>
            </w:pPr>
            <w:hyperlink r:id="rId12" w:history="1">
              <w:r w:rsidR="00E2050E" w:rsidRPr="00867263">
                <w:rPr>
                  <w:rStyle w:val="Hyperlink"/>
                </w:rPr>
                <w:t>C20/49</w:t>
              </w:r>
            </w:hyperlink>
          </w:p>
        </w:tc>
      </w:tr>
      <w:tr w:rsidR="00E2050E" w:rsidRPr="00867263" w14:paraId="0C9B4F25" w14:textId="77777777" w:rsidTr="00E2050E">
        <w:trPr>
          <w:trHeight w:val="623"/>
        </w:trPr>
        <w:tc>
          <w:tcPr>
            <w:tcW w:w="247" w:type="pct"/>
          </w:tcPr>
          <w:p w14:paraId="0B8184EB" w14:textId="77777777" w:rsidR="00E2050E" w:rsidRPr="00867263" w:rsidRDefault="00E2050E" w:rsidP="00867263">
            <w:pPr>
              <w:pStyle w:val="Tabletext"/>
            </w:pPr>
            <w:r w:rsidRPr="00867263">
              <w:t>5</w:t>
            </w:r>
          </w:p>
        </w:tc>
        <w:tc>
          <w:tcPr>
            <w:tcW w:w="3711" w:type="pct"/>
          </w:tcPr>
          <w:p w14:paraId="02D4F16F" w14:textId="625DE680" w:rsidR="00E2050E" w:rsidRPr="00867263" w:rsidRDefault="00E60B40" w:rsidP="00867263">
            <w:pPr>
              <w:pStyle w:val="Tabletext"/>
              <w:rPr>
                <w:bCs/>
              </w:rPr>
            </w:pPr>
            <w:r w:rsidRPr="00867263">
              <w:rPr>
                <w:bCs/>
              </w:rPr>
              <w:t>Rapport sur les progrès réalisés concernant le projet de locaux du siège de l'Union et compte rendu des travaux du Groupe consultatif d'États Membres (Groupe MSAG) sur le projet de locaux du siège de l'Union</w:t>
            </w:r>
          </w:p>
        </w:tc>
        <w:bookmarkStart w:id="2" w:name="_Hlk56937921"/>
        <w:tc>
          <w:tcPr>
            <w:tcW w:w="1042" w:type="pct"/>
          </w:tcPr>
          <w:p w14:paraId="3E3EDC6E" w14:textId="74E4C804" w:rsidR="00E2050E" w:rsidRPr="00867263" w:rsidRDefault="00E2050E" w:rsidP="00867263">
            <w:pPr>
              <w:pStyle w:val="Tabletext"/>
              <w:jc w:val="center"/>
              <w:rPr>
                <w:bCs/>
              </w:rPr>
            </w:pPr>
            <w:r w:rsidRPr="00867263">
              <w:rPr>
                <w:bCs/>
                <w:lang w:eastAsia="en-GB"/>
              </w:rPr>
              <w:fldChar w:fldCharType="begin"/>
            </w:r>
            <w:r w:rsidRPr="00867263">
              <w:rPr>
                <w:bCs/>
                <w:lang w:eastAsia="en-GB"/>
              </w:rPr>
              <w:instrText xml:space="preserve"> HYPERLINK "https://www.itu.int/md/S20-CL-C-0007/en" </w:instrText>
            </w:r>
            <w:r w:rsidRPr="00867263">
              <w:rPr>
                <w:bCs/>
                <w:lang w:eastAsia="en-GB"/>
              </w:rPr>
              <w:fldChar w:fldCharType="separate"/>
            </w:r>
            <w:r w:rsidRPr="00867263">
              <w:rPr>
                <w:rStyle w:val="Hyperlink"/>
                <w:bCs/>
                <w:lang w:eastAsia="en-GB"/>
              </w:rPr>
              <w:t>C20/7(</w:t>
            </w:r>
            <w:r w:rsidRPr="00867263">
              <w:rPr>
                <w:rStyle w:val="Hyperlink"/>
                <w:bCs/>
              </w:rPr>
              <w:t>Rév.1)</w:t>
            </w:r>
            <w:r w:rsidRPr="00867263">
              <w:rPr>
                <w:bCs/>
                <w:lang w:eastAsia="en-GB"/>
              </w:rPr>
              <w:fldChar w:fldCharType="end"/>
            </w:r>
            <w:r w:rsidRPr="00867263">
              <w:rPr>
                <w:bCs/>
                <w:lang w:eastAsia="en-GB"/>
              </w:rPr>
              <w:t xml:space="preserve">, </w:t>
            </w:r>
            <w:hyperlink r:id="rId13" w:history="1">
              <w:r w:rsidRPr="00867263">
                <w:rPr>
                  <w:rStyle w:val="Hyperlink"/>
                  <w:bCs/>
                  <w:lang w:eastAsia="en-GB"/>
                </w:rPr>
                <w:t>C20/48(Rév.1)</w:t>
              </w:r>
            </w:hyperlink>
            <w:r w:rsidRPr="00867263">
              <w:rPr>
                <w:bCs/>
                <w:lang w:eastAsia="en-GB"/>
              </w:rPr>
              <w:t xml:space="preserve">, </w:t>
            </w:r>
            <w:hyperlink r:id="rId14" w:history="1">
              <w:r w:rsidRPr="00867263">
                <w:rPr>
                  <w:rStyle w:val="Hyperlink"/>
                  <w:bCs/>
                </w:rPr>
                <w:t>C20/77</w:t>
              </w:r>
            </w:hyperlink>
            <w:r w:rsidRPr="00867263">
              <w:rPr>
                <w:bCs/>
                <w:lang w:eastAsia="en-GB"/>
              </w:rPr>
              <w:t xml:space="preserve">, </w:t>
            </w:r>
            <w:hyperlink r:id="rId15" w:history="1">
              <w:r w:rsidRPr="00867263">
                <w:rPr>
                  <w:rStyle w:val="Hyperlink"/>
                  <w:bCs/>
                  <w:lang w:eastAsia="en-GB"/>
                </w:rPr>
                <w:t>C20/</w:t>
              </w:r>
              <w:r w:rsidRPr="00867263">
                <w:rPr>
                  <w:rStyle w:val="Hyperlink"/>
                  <w:bCs/>
                </w:rPr>
                <w:t>INF/20</w:t>
              </w:r>
            </w:hyperlink>
            <w:r w:rsidRPr="00867263">
              <w:rPr>
                <w:bCs/>
                <w:lang w:eastAsia="en-GB"/>
              </w:rPr>
              <w:t xml:space="preserve">, </w:t>
            </w:r>
            <w:hyperlink r:id="rId16" w:history="1">
              <w:r w:rsidRPr="00867263">
                <w:rPr>
                  <w:rStyle w:val="Hyperlink"/>
                  <w:bCs/>
                  <w:lang w:eastAsia="en-GB"/>
                </w:rPr>
                <w:t>C20/</w:t>
              </w:r>
              <w:r w:rsidRPr="00867263">
                <w:rPr>
                  <w:rStyle w:val="Hyperlink"/>
                  <w:bCs/>
                </w:rPr>
                <w:t>INF/21</w:t>
              </w:r>
              <w:bookmarkEnd w:id="2"/>
            </w:hyperlink>
          </w:p>
        </w:tc>
      </w:tr>
      <w:tr w:rsidR="00E2050E" w:rsidRPr="00867263" w14:paraId="4B086FFE" w14:textId="77777777" w:rsidTr="00E60B40">
        <w:trPr>
          <w:trHeight w:val="692"/>
        </w:trPr>
        <w:tc>
          <w:tcPr>
            <w:tcW w:w="247" w:type="pct"/>
          </w:tcPr>
          <w:p w14:paraId="3D37E721" w14:textId="77777777" w:rsidR="00E2050E" w:rsidRPr="00867263" w:rsidRDefault="00E2050E" w:rsidP="00867263">
            <w:pPr>
              <w:pStyle w:val="Tabletext"/>
            </w:pPr>
            <w:r w:rsidRPr="00867263">
              <w:t>6</w:t>
            </w:r>
          </w:p>
        </w:tc>
        <w:tc>
          <w:tcPr>
            <w:tcW w:w="3711" w:type="pct"/>
          </w:tcPr>
          <w:p w14:paraId="24AAA8AB" w14:textId="62F0A131" w:rsidR="00E2050E" w:rsidRPr="00867263" w:rsidRDefault="00E60B40" w:rsidP="00867263">
            <w:pPr>
              <w:pStyle w:val="Tabletext"/>
              <w:rPr>
                <w:bCs/>
              </w:rPr>
            </w:pPr>
            <w:r w:rsidRPr="00867263">
              <w:rPr>
                <w:bCs/>
              </w:rPr>
              <w:t>Stratégie et plan de mise en œuvre pour les conditions de travail du personnel</w:t>
            </w:r>
          </w:p>
        </w:tc>
        <w:tc>
          <w:tcPr>
            <w:tcW w:w="1042" w:type="pct"/>
          </w:tcPr>
          <w:p w14:paraId="42156D21" w14:textId="140BAD5C" w:rsidR="00E2050E" w:rsidRPr="00867263" w:rsidRDefault="006C57C9" w:rsidP="00867263">
            <w:pPr>
              <w:pStyle w:val="Tabletext"/>
              <w:jc w:val="center"/>
              <w:rPr>
                <w:bCs/>
              </w:rPr>
            </w:pPr>
            <w:hyperlink r:id="rId17" w:history="1">
              <w:r w:rsidR="00E2050E" w:rsidRPr="00867263">
                <w:rPr>
                  <w:rStyle w:val="Hyperlink"/>
                  <w:lang w:eastAsia="en-GB"/>
                </w:rPr>
                <w:t>C20/29</w:t>
              </w:r>
            </w:hyperlink>
          </w:p>
        </w:tc>
      </w:tr>
      <w:tr w:rsidR="00E2050E" w:rsidRPr="00867263" w14:paraId="02DD45D6" w14:textId="77777777" w:rsidTr="00E2050E">
        <w:trPr>
          <w:trHeight w:val="792"/>
        </w:trPr>
        <w:tc>
          <w:tcPr>
            <w:tcW w:w="247" w:type="pct"/>
          </w:tcPr>
          <w:p w14:paraId="1DBD376C" w14:textId="77777777" w:rsidR="00E2050E" w:rsidRPr="00867263" w:rsidRDefault="00E2050E" w:rsidP="00867263">
            <w:pPr>
              <w:pStyle w:val="Tabletext"/>
            </w:pPr>
            <w:r w:rsidRPr="00867263">
              <w:t>7</w:t>
            </w:r>
          </w:p>
        </w:tc>
        <w:tc>
          <w:tcPr>
            <w:tcW w:w="3711" w:type="pct"/>
          </w:tcPr>
          <w:p w14:paraId="7F03DD08" w14:textId="147005E6" w:rsidR="00E2050E" w:rsidRPr="00867263" w:rsidRDefault="00E60B40" w:rsidP="00867263">
            <w:pPr>
              <w:pStyle w:val="Tabletext"/>
              <w:rPr>
                <w:bCs/>
              </w:rPr>
            </w:pPr>
            <w:r w:rsidRPr="00867263">
              <w:rPr>
                <w:bCs/>
              </w:rPr>
              <w:t>R</w:t>
            </w:r>
            <w:r w:rsidR="00316628" w:rsidRPr="00867263">
              <w:rPr>
                <w:bCs/>
              </w:rPr>
              <w:t>ap</w:t>
            </w:r>
            <w:r w:rsidRPr="00867263">
              <w:rPr>
                <w:bCs/>
              </w:rPr>
              <w:t xml:space="preserve">ports </w:t>
            </w:r>
            <w:r w:rsidR="00316628" w:rsidRPr="00867263">
              <w:rPr>
                <w:bCs/>
              </w:rPr>
              <w:t>des Groupes de travail du Consei</w:t>
            </w:r>
            <w:r w:rsidRPr="00867263">
              <w:rPr>
                <w:bCs/>
              </w:rPr>
              <w:t>l</w:t>
            </w:r>
          </w:p>
        </w:tc>
        <w:tc>
          <w:tcPr>
            <w:tcW w:w="1042" w:type="pct"/>
          </w:tcPr>
          <w:p w14:paraId="524381F4" w14:textId="5344F144" w:rsidR="00E2050E" w:rsidRPr="00867263" w:rsidRDefault="006C57C9" w:rsidP="00867263">
            <w:pPr>
              <w:pStyle w:val="Tabletext"/>
              <w:jc w:val="center"/>
              <w:rPr>
                <w:bCs/>
              </w:rPr>
            </w:pPr>
            <w:hyperlink r:id="rId18" w:history="1">
              <w:r w:rsidR="00E2050E" w:rsidRPr="00867263">
                <w:rPr>
                  <w:rStyle w:val="Hyperlink"/>
                  <w:lang w:eastAsia="en-GB"/>
                </w:rPr>
                <w:t>C20/8</w:t>
              </w:r>
            </w:hyperlink>
            <w:r w:rsidR="00E2050E" w:rsidRPr="00867263">
              <w:rPr>
                <w:bCs/>
                <w:lang w:eastAsia="en-GB"/>
              </w:rPr>
              <w:t xml:space="preserve">, </w:t>
            </w:r>
            <w:hyperlink r:id="rId19" w:history="1">
              <w:r w:rsidR="00E2050E" w:rsidRPr="00867263">
                <w:rPr>
                  <w:rStyle w:val="Hyperlink"/>
                  <w:lang w:eastAsia="en-GB"/>
                </w:rPr>
                <w:t>C20/12</w:t>
              </w:r>
            </w:hyperlink>
            <w:r w:rsidR="00E2050E" w:rsidRPr="00867263">
              <w:rPr>
                <w:bCs/>
                <w:lang w:eastAsia="en-GB"/>
              </w:rPr>
              <w:t xml:space="preserve">, </w:t>
            </w:r>
            <w:hyperlink r:id="rId20" w:history="1">
              <w:r w:rsidR="00E2050E" w:rsidRPr="00867263">
                <w:rPr>
                  <w:rStyle w:val="Hyperlink"/>
                  <w:lang w:eastAsia="en-GB"/>
                </w:rPr>
                <w:t>C20/51</w:t>
              </w:r>
            </w:hyperlink>
            <w:r w:rsidR="00E2050E" w:rsidRPr="00867263">
              <w:rPr>
                <w:bCs/>
                <w:lang w:eastAsia="en-GB"/>
              </w:rPr>
              <w:t xml:space="preserve">, </w:t>
            </w:r>
            <w:hyperlink r:id="rId21" w:history="1">
              <w:r w:rsidR="00E2050E" w:rsidRPr="00867263">
                <w:rPr>
                  <w:rStyle w:val="Hyperlink"/>
                  <w:lang w:eastAsia="en-GB"/>
                </w:rPr>
                <w:t>C20/57</w:t>
              </w:r>
            </w:hyperlink>
            <w:r w:rsidR="00E2050E" w:rsidRPr="00867263">
              <w:rPr>
                <w:lang w:eastAsia="en-GB"/>
              </w:rPr>
              <w:t>,</w:t>
            </w:r>
            <w:r w:rsidR="00E2050E" w:rsidRPr="00867263">
              <w:t xml:space="preserve"> </w:t>
            </w:r>
            <w:hyperlink r:id="rId22" w:history="1">
              <w:r w:rsidR="00E2050E" w:rsidRPr="00867263">
                <w:rPr>
                  <w:rStyle w:val="Hyperlink"/>
                  <w:lang w:eastAsia="en-GB"/>
                </w:rPr>
                <w:t>C20/67</w:t>
              </w:r>
            </w:hyperlink>
          </w:p>
        </w:tc>
      </w:tr>
    </w:tbl>
    <w:p w14:paraId="5AF6B25E" w14:textId="77777777" w:rsidR="00E2050E" w:rsidRPr="00867263" w:rsidRDefault="00E2050E" w:rsidP="00867263">
      <w:pPr>
        <w:tabs>
          <w:tab w:val="clear" w:pos="794"/>
          <w:tab w:val="clear" w:pos="1191"/>
          <w:tab w:val="clear" w:pos="1588"/>
          <w:tab w:val="clear" w:pos="1985"/>
        </w:tabs>
        <w:overflowPunct/>
        <w:autoSpaceDE/>
        <w:autoSpaceDN/>
        <w:adjustRightInd/>
        <w:spacing w:before="0" w:after="160" w:line="240" w:lineRule="auto"/>
        <w:textAlignment w:val="auto"/>
        <w:rPr>
          <w:b/>
          <w:szCs w:val="24"/>
        </w:rPr>
      </w:pPr>
      <w:r w:rsidRPr="00867263">
        <w:rPr>
          <w:b/>
          <w:szCs w:val="24"/>
        </w:rPr>
        <w:br w:type="page"/>
      </w:r>
    </w:p>
    <w:p w14:paraId="78854AA4" w14:textId="161BFFD7" w:rsidR="00E60B40" w:rsidRPr="00867263" w:rsidRDefault="00E60B40" w:rsidP="00C71BB2">
      <w:pPr>
        <w:pStyle w:val="Heading1"/>
        <w:tabs>
          <w:tab w:val="clear" w:pos="567"/>
        </w:tabs>
        <w:ind w:left="798" w:hanging="798"/>
      </w:pPr>
      <w:r w:rsidRPr="00867263">
        <w:lastRenderedPageBreak/>
        <w:t>1</w:t>
      </w:r>
      <w:r w:rsidRPr="00867263">
        <w:tab/>
        <w:t>Résultats des discussions tenues le 18 novembre 2020 (Document</w:t>
      </w:r>
      <w:r w:rsidR="00F12A8B" w:rsidRPr="00867263">
        <w:t> </w:t>
      </w:r>
      <w:hyperlink r:id="rId23" w:history="1">
        <w:r w:rsidRPr="00867263">
          <w:rPr>
            <w:rStyle w:val="Hyperlink"/>
            <w:bCs/>
          </w:rPr>
          <w:t>VCC</w:t>
        </w:r>
        <w:r w:rsidRPr="00867263">
          <w:rPr>
            <w:rStyle w:val="Hyperlink"/>
            <w:bCs/>
          </w:rPr>
          <w:noBreakHyphen/>
          <w:t>2/DT/1(Rév.2)</w:t>
        </w:r>
      </w:hyperlink>
      <w:r w:rsidRPr="00867263">
        <w:t>)</w:t>
      </w:r>
    </w:p>
    <w:p w14:paraId="2C8D6705" w14:textId="320072C9" w:rsidR="00E60B40" w:rsidRPr="00867263" w:rsidRDefault="00E60B40" w:rsidP="00BE2D6B">
      <w:pPr>
        <w:spacing w:before="120"/>
      </w:pPr>
      <w:r w:rsidRPr="00867263">
        <w:t>1.1</w:t>
      </w:r>
      <w:r w:rsidRPr="00867263">
        <w:tab/>
      </w:r>
      <w:r w:rsidR="00C66188" w:rsidRPr="00867263">
        <w:t xml:space="preserve">Il est </w:t>
      </w:r>
      <w:r w:rsidR="00C66188" w:rsidRPr="00867263">
        <w:rPr>
          <w:b/>
        </w:rPr>
        <w:t>pris note</w:t>
      </w:r>
      <w:r w:rsidR="00C66188" w:rsidRPr="00867263">
        <w:t xml:space="preserve"> du </w:t>
      </w:r>
      <w:r w:rsidRPr="00867263">
        <w:t>Document VCC-2/DT/1(R</w:t>
      </w:r>
      <w:r w:rsidR="00C66188" w:rsidRPr="00867263">
        <w:t>é</w:t>
      </w:r>
      <w:r w:rsidRPr="00867263">
        <w:t xml:space="preserve">v.2), </w:t>
      </w:r>
      <w:r w:rsidR="00C66188" w:rsidRPr="00867263">
        <w:t>qui contient</w:t>
      </w:r>
      <w:r w:rsidRPr="00867263">
        <w:t xml:space="preserve"> </w:t>
      </w:r>
      <w:r w:rsidR="00C66188" w:rsidRPr="00867263">
        <w:t>les résultats des discussions ayant eu lieu la veille</w:t>
      </w:r>
      <w:r w:rsidRPr="00867263">
        <w:t>.</w:t>
      </w:r>
    </w:p>
    <w:p w14:paraId="47B604F4" w14:textId="125822B4" w:rsidR="00E60B40" w:rsidRPr="00867263" w:rsidRDefault="00E60B40" w:rsidP="00BE2D6B">
      <w:pPr>
        <w:spacing w:before="120"/>
      </w:pPr>
      <w:r w:rsidRPr="00867263">
        <w:t>1.2</w:t>
      </w:r>
      <w:r w:rsidRPr="00867263">
        <w:tab/>
      </w:r>
      <w:r w:rsidR="00FF6B7E" w:rsidRPr="00867263">
        <w:t>S</w:t>
      </w:r>
      <w:r w:rsidR="00F12A8B" w:rsidRPr="00867263">
        <w:t>'</w:t>
      </w:r>
      <w:r w:rsidR="00FF6B7E" w:rsidRPr="00867263">
        <w:t>agissant du</w:t>
      </w:r>
      <w:r w:rsidR="00C66188" w:rsidRPr="00867263">
        <w:t xml:space="preserve"> Forum mondial des politiques de télécommunication (FMPT)</w:t>
      </w:r>
      <w:r w:rsidRPr="00867263">
        <w:t xml:space="preserve">, </w:t>
      </w:r>
      <w:r w:rsidR="00C66188" w:rsidRPr="00867263">
        <w:t>le Président informe les participants que le</w:t>
      </w:r>
      <w:r w:rsidRPr="00867263">
        <w:t xml:space="preserve"> </w:t>
      </w:r>
      <w:r w:rsidR="00C66188" w:rsidRPr="00867263">
        <w:t>Centre international de conférences de Genève (CICG) n</w:t>
      </w:r>
      <w:r w:rsidR="00F12A8B" w:rsidRPr="00867263">
        <w:t>'</w:t>
      </w:r>
      <w:r w:rsidR="00C66188" w:rsidRPr="00867263">
        <w:t>est disponible que du 16 au 18 décembre 2021</w:t>
      </w:r>
      <w:r w:rsidRPr="00867263">
        <w:t xml:space="preserve">. </w:t>
      </w:r>
      <w:r w:rsidR="00FF6B7E" w:rsidRPr="00867263">
        <w:rPr>
          <w:rFonts w:asciiTheme="minorHAnsi" w:hAnsiTheme="minorHAnsi" w:cstheme="minorHAnsi"/>
        </w:rPr>
        <w:t>Cependant, l</w:t>
      </w:r>
      <w:r w:rsidR="00C66188" w:rsidRPr="00867263">
        <w:rPr>
          <w:rFonts w:asciiTheme="minorHAnsi" w:hAnsiTheme="minorHAnsi" w:cstheme="minorHAnsi"/>
        </w:rPr>
        <w:t xml:space="preserve">e Secrétaire général a reçu des informations selon lesquelles un État </w:t>
      </w:r>
      <w:r w:rsidR="00342571" w:rsidRPr="00867263">
        <w:rPr>
          <w:rFonts w:asciiTheme="minorHAnsi" w:hAnsiTheme="minorHAnsi" w:cstheme="minorHAnsi"/>
        </w:rPr>
        <w:t>M</w:t>
      </w:r>
      <w:r w:rsidR="00C66188" w:rsidRPr="00867263">
        <w:rPr>
          <w:rFonts w:asciiTheme="minorHAnsi" w:hAnsiTheme="minorHAnsi" w:cstheme="minorHAnsi"/>
        </w:rPr>
        <w:t xml:space="preserve">embre pourrait être intéressé par l'accueil de </w:t>
      </w:r>
      <w:r w:rsidR="00FF6B7E" w:rsidRPr="00867263">
        <w:rPr>
          <w:rFonts w:asciiTheme="minorHAnsi" w:hAnsiTheme="minorHAnsi" w:cstheme="minorHAnsi"/>
        </w:rPr>
        <w:t>la manifestation</w:t>
      </w:r>
      <w:r w:rsidR="00C66188" w:rsidRPr="00867263">
        <w:rPr>
          <w:rFonts w:asciiTheme="minorHAnsi" w:hAnsiTheme="minorHAnsi" w:cstheme="minorHAnsi"/>
        </w:rPr>
        <w:t xml:space="preserve"> et a demandé des </w:t>
      </w:r>
      <w:r w:rsidR="001D2E07" w:rsidRPr="00867263">
        <w:rPr>
          <w:rFonts w:asciiTheme="minorHAnsi" w:hAnsiTheme="minorHAnsi" w:cstheme="minorHAnsi"/>
        </w:rPr>
        <w:t xml:space="preserve">précisions </w:t>
      </w:r>
      <w:r w:rsidR="00FF6B7E" w:rsidRPr="00867263">
        <w:rPr>
          <w:rFonts w:asciiTheme="minorHAnsi" w:hAnsiTheme="minorHAnsi" w:cstheme="minorHAnsi"/>
        </w:rPr>
        <w:t>susceptibles</w:t>
      </w:r>
      <w:r w:rsidR="0023499A" w:rsidRPr="00867263">
        <w:rPr>
          <w:rFonts w:asciiTheme="minorHAnsi" w:hAnsiTheme="minorHAnsi" w:cstheme="minorHAnsi"/>
        </w:rPr>
        <w:t xml:space="preserve"> de</w:t>
      </w:r>
      <w:r w:rsidR="00C66188" w:rsidRPr="00867263">
        <w:rPr>
          <w:rFonts w:asciiTheme="minorHAnsi" w:hAnsiTheme="minorHAnsi" w:cstheme="minorHAnsi"/>
        </w:rPr>
        <w:t xml:space="preserve"> confirmer</w:t>
      </w:r>
      <w:r w:rsidR="0023499A" w:rsidRPr="00867263">
        <w:rPr>
          <w:rFonts w:asciiTheme="minorHAnsi" w:hAnsiTheme="minorHAnsi" w:cstheme="minorHAnsi"/>
        </w:rPr>
        <w:t xml:space="preserve"> cette possibilité. Le Président indique qu</w:t>
      </w:r>
      <w:r w:rsidR="00F12A8B" w:rsidRPr="00867263">
        <w:rPr>
          <w:rFonts w:asciiTheme="minorHAnsi" w:hAnsiTheme="minorHAnsi" w:cstheme="minorHAnsi"/>
        </w:rPr>
        <w:t>'</w:t>
      </w:r>
      <w:r w:rsidR="0023499A" w:rsidRPr="00867263">
        <w:rPr>
          <w:rFonts w:asciiTheme="minorHAnsi" w:hAnsiTheme="minorHAnsi" w:cstheme="minorHAnsi"/>
        </w:rPr>
        <w:t xml:space="preserve">il </w:t>
      </w:r>
      <w:r w:rsidR="00712148" w:rsidRPr="00867263">
        <w:rPr>
          <w:rFonts w:asciiTheme="minorHAnsi" w:hAnsiTheme="minorHAnsi" w:cstheme="minorHAnsi"/>
        </w:rPr>
        <w:t>reviendra</w:t>
      </w:r>
      <w:r w:rsidR="0023499A" w:rsidRPr="00867263">
        <w:rPr>
          <w:rFonts w:asciiTheme="minorHAnsi" w:hAnsiTheme="minorHAnsi" w:cstheme="minorHAnsi"/>
        </w:rPr>
        <w:t xml:space="preserve"> sur ce point</w:t>
      </w:r>
      <w:r w:rsidR="00C66188" w:rsidRPr="00867263">
        <w:rPr>
          <w:rFonts w:asciiTheme="minorHAnsi" w:hAnsiTheme="minorHAnsi" w:cstheme="minorHAnsi"/>
        </w:rPr>
        <w:t xml:space="preserve"> le lendemain</w:t>
      </w:r>
      <w:r w:rsidR="00712148" w:rsidRPr="00867263">
        <w:rPr>
          <w:rFonts w:asciiTheme="minorHAnsi" w:hAnsiTheme="minorHAnsi" w:cstheme="minorHAnsi"/>
        </w:rPr>
        <w:t xml:space="preserve"> </w:t>
      </w:r>
      <w:r w:rsidR="00C34D31" w:rsidRPr="00867263">
        <w:rPr>
          <w:rFonts w:asciiTheme="minorHAnsi" w:hAnsiTheme="minorHAnsi" w:cstheme="minorHAnsi"/>
        </w:rPr>
        <w:t xml:space="preserve">avec </w:t>
      </w:r>
      <w:r w:rsidR="00712148" w:rsidRPr="00867263">
        <w:rPr>
          <w:rFonts w:asciiTheme="minorHAnsi" w:hAnsiTheme="minorHAnsi" w:cstheme="minorHAnsi"/>
        </w:rPr>
        <w:t>davantage d</w:t>
      </w:r>
      <w:r w:rsidR="00F12A8B" w:rsidRPr="00867263">
        <w:rPr>
          <w:rFonts w:asciiTheme="minorHAnsi" w:hAnsiTheme="minorHAnsi" w:cstheme="minorHAnsi"/>
        </w:rPr>
        <w:t>'</w:t>
      </w:r>
      <w:r w:rsidR="00712148" w:rsidRPr="00867263">
        <w:rPr>
          <w:rFonts w:asciiTheme="minorHAnsi" w:hAnsiTheme="minorHAnsi" w:cstheme="minorHAnsi"/>
        </w:rPr>
        <w:t>informations</w:t>
      </w:r>
      <w:r w:rsidRPr="00867263">
        <w:t xml:space="preserve">. </w:t>
      </w:r>
    </w:p>
    <w:p w14:paraId="2CE8F230" w14:textId="33ED72FE" w:rsidR="00E60B40" w:rsidRPr="00867263" w:rsidRDefault="00E60B40" w:rsidP="00BE2D6B">
      <w:pPr>
        <w:spacing w:before="120"/>
      </w:pPr>
      <w:r w:rsidRPr="00867263">
        <w:t>1.3</w:t>
      </w:r>
      <w:r w:rsidRPr="00867263">
        <w:tab/>
      </w:r>
      <w:r w:rsidR="0023499A" w:rsidRPr="00867263">
        <w:rPr>
          <w:rFonts w:asciiTheme="minorHAnsi" w:hAnsiTheme="minorHAnsi" w:cstheme="minorHAnsi"/>
        </w:rPr>
        <w:t>Le Président rappelle que, comme indiqué</w:t>
      </w:r>
      <w:r w:rsidR="00712148" w:rsidRPr="00867263">
        <w:rPr>
          <w:rFonts w:asciiTheme="minorHAnsi" w:hAnsiTheme="minorHAnsi" w:cstheme="minorHAnsi"/>
        </w:rPr>
        <w:t xml:space="preserve"> </w:t>
      </w:r>
      <w:r w:rsidR="00342571" w:rsidRPr="00867263">
        <w:rPr>
          <w:rFonts w:asciiTheme="minorHAnsi" w:hAnsiTheme="minorHAnsi" w:cstheme="minorHAnsi"/>
        </w:rPr>
        <w:t xml:space="preserve">par </w:t>
      </w:r>
      <w:r w:rsidR="00712148" w:rsidRPr="00867263">
        <w:rPr>
          <w:rFonts w:asciiTheme="minorHAnsi" w:hAnsiTheme="minorHAnsi" w:cstheme="minorHAnsi"/>
        </w:rPr>
        <w:t>le P</w:t>
      </w:r>
      <w:r w:rsidR="0023499A" w:rsidRPr="00867263">
        <w:rPr>
          <w:rFonts w:asciiTheme="minorHAnsi" w:hAnsiTheme="minorHAnsi" w:cstheme="minorHAnsi"/>
        </w:rPr>
        <w:t>résident</w:t>
      </w:r>
      <w:r w:rsidR="0023499A" w:rsidRPr="00867263">
        <w:t> du Groupe d'experts informel (GEI)</w:t>
      </w:r>
      <w:r w:rsidRPr="00867263">
        <w:t xml:space="preserve">, </w:t>
      </w:r>
      <w:r w:rsidR="0023499A" w:rsidRPr="00867263">
        <w:rPr>
          <w:rFonts w:asciiTheme="minorHAnsi" w:hAnsiTheme="minorHAnsi" w:cstheme="minorHAnsi"/>
        </w:rPr>
        <w:t>des réunions préparatoires</w:t>
      </w:r>
      <w:r w:rsidR="00712148" w:rsidRPr="00867263">
        <w:rPr>
          <w:rFonts w:asciiTheme="minorHAnsi" w:hAnsiTheme="minorHAnsi" w:cstheme="minorHAnsi"/>
        </w:rPr>
        <w:t xml:space="preserve"> seront organisées</w:t>
      </w:r>
      <w:r w:rsidR="0023499A" w:rsidRPr="00867263">
        <w:rPr>
          <w:rFonts w:asciiTheme="minorHAnsi" w:hAnsiTheme="minorHAnsi" w:cstheme="minorHAnsi"/>
        </w:rPr>
        <w:t xml:space="preserve"> </w:t>
      </w:r>
      <w:r w:rsidR="00D40611" w:rsidRPr="00867263">
        <w:rPr>
          <w:rFonts w:asciiTheme="minorHAnsi" w:hAnsiTheme="minorHAnsi" w:cstheme="minorHAnsi"/>
        </w:rPr>
        <w:t>lors d</w:t>
      </w:r>
      <w:r w:rsidR="0023499A" w:rsidRPr="00867263">
        <w:rPr>
          <w:rFonts w:asciiTheme="minorHAnsi" w:hAnsiTheme="minorHAnsi" w:cstheme="minorHAnsi"/>
        </w:rPr>
        <w:t xml:space="preserve">es </w:t>
      </w:r>
      <w:r w:rsidR="00D40611" w:rsidRPr="00867263">
        <w:rPr>
          <w:rFonts w:asciiTheme="minorHAnsi" w:hAnsiTheme="minorHAnsi" w:cstheme="minorHAnsi"/>
        </w:rPr>
        <w:t>séries de réunions des G</w:t>
      </w:r>
      <w:r w:rsidR="0023499A" w:rsidRPr="00867263">
        <w:rPr>
          <w:rFonts w:asciiTheme="minorHAnsi" w:hAnsiTheme="minorHAnsi" w:cstheme="minorHAnsi"/>
        </w:rPr>
        <w:t>roupes de travail du Conseil (</w:t>
      </w:r>
      <w:r w:rsidR="00D40611" w:rsidRPr="00867263">
        <w:rPr>
          <w:rFonts w:asciiTheme="minorHAnsi" w:hAnsiTheme="minorHAnsi" w:cstheme="minorHAnsi"/>
        </w:rPr>
        <w:t>GTC) qui se tiendront en</w:t>
      </w:r>
      <w:r w:rsidR="0023499A" w:rsidRPr="00867263">
        <w:rPr>
          <w:rFonts w:asciiTheme="minorHAnsi" w:hAnsiTheme="minorHAnsi" w:cstheme="minorHAnsi"/>
        </w:rPr>
        <w:t xml:space="preserve"> janvier/février et </w:t>
      </w:r>
      <w:r w:rsidR="00712148" w:rsidRPr="00867263">
        <w:rPr>
          <w:rFonts w:asciiTheme="minorHAnsi" w:hAnsiTheme="minorHAnsi" w:cstheme="minorHAnsi"/>
        </w:rPr>
        <w:t xml:space="preserve">en </w:t>
      </w:r>
      <w:r w:rsidR="0023499A" w:rsidRPr="00867263">
        <w:rPr>
          <w:rFonts w:asciiTheme="minorHAnsi" w:hAnsiTheme="minorHAnsi" w:cstheme="minorHAnsi"/>
        </w:rPr>
        <w:t xml:space="preserve">septembre 2021, </w:t>
      </w:r>
      <w:r w:rsidR="00712148" w:rsidRPr="00867263">
        <w:rPr>
          <w:rFonts w:asciiTheme="minorHAnsi" w:hAnsiTheme="minorHAnsi" w:cstheme="minorHAnsi"/>
        </w:rPr>
        <w:t>et qu</w:t>
      </w:r>
      <w:r w:rsidR="00F12A8B" w:rsidRPr="00867263">
        <w:rPr>
          <w:rFonts w:asciiTheme="minorHAnsi" w:hAnsiTheme="minorHAnsi" w:cstheme="minorHAnsi"/>
        </w:rPr>
        <w:t>'</w:t>
      </w:r>
      <w:r w:rsidR="00712148" w:rsidRPr="00867263">
        <w:rPr>
          <w:rFonts w:asciiTheme="minorHAnsi" w:hAnsiTheme="minorHAnsi" w:cstheme="minorHAnsi"/>
        </w:rPr>
        <w:t>une réunion préparatoire aura lieu également au</w:t>
      </w:r>
      <w:r w:rsidR="0023499A" w:rsidRPr="00867263">
        <w:rPr>
          <w:rFonts w:asciiTheme="minorHAnsi" w:hAnsiTheme="minorHAnsi" w:cstheme="minorHAnsi"/>
        </w:rPr>
        <w:t xml:space="preserve">tour </w:t>
      </w:r>
      <w:r w:rsidR="00712148" w:rsidRPr="00867263">
        <w:rPr>
          <w:rFonts w:asciiTheme="minorHAnsi" w:hAnsiTheme="minorHAnsi" w:cstheme="minorHAnsi"/>
        </w:rPr>
        <w:t xml:space="preserve">de la période </w:t>
      </w:r>
      <w:r w:rsidR="0023499A" w:rsidRPr="00867263">
        <w:rPr>
          <w:rFonts w:asciiTheme="minorHAnsi" w:hAnsiTheme="minorHAnsi" w:cstheme="minorHAnsi"/>
        </w:rPr>
        <w:t>du Forum du SMSI</w:t>
      </w:r>
      <w:r w:rsidRPr="00867263">
        <w:t xml:space="preserve">. </w:t>
      </w:r>
    </w:p>
    <w:p w14:paraId="7F9FE457" w14:textId="1D9A96F2" w:rsidR="00E60B40" w:rsidRPr="00867263" w:rsidRDefault="00E60B40" w:rsidP="00BE2D6B">
      <w:pPr>
        <w:spacing w:before="120"/>
      </w:pPr>
      <w:r w:rsidRPr="00867263">
        <w:t>1.4</w:t>
      </w:r>
      <w:r w:rsidRPr="00867263">
        <w:tab/>
      </w:r>
      <w:r w:rsidR="00D40611" w:rsidRPr="00867263">
        <w:rPr>
          <w:rFonts w:asciiTheme="minorHAnsi" w:hAnsiTheme="minorHAnsi" w:cstheme="minorHAnsi"/>
        </w:rPr>
        <w:t>Le secrétariat publiera un document temporaire (DT)</w:t>
      </w:r>
      <w:r w:rsidR="000B33AF" w:rsidRPr="00867263">
        <w:rPr>
          <w:rFonts w:asciiTheme="minorHAnsi" w:hAnsiTheme="minorHAnsi" w:cstheme="minorHAnsi"/>
        </w:rPr>
        <w:t xml:space="preserve"> contenant </w:t>
      </w:r>
      <w:r w:rsidR="00D40611" w:rsidRPr="00867263">
        <w:rPr>
          <w:rFonts w:asciiTheme="minorHAnsi" w:hAnsiTheme="minorHAnsi" w:cstheme="minorHAnsi"/>
        </w:rPr>
        <w:t xml:space="preserve">la </w:t>
      </w:r>
      <w:r w:rsidR="00342571" w:rsidRPr="00867263">
        <w:rPr>
          <w:rFonts w:asciiTheme="minorHAnsi" w:hAnsiTheme="minorHAnsi" w:cstheme="minorHAnsi"/>
        </w:rPr>
        <w:t>D</w:t>
      </w:r>
      <w:r w:rsidR="00D40611" w:rsidRPr="00867263">
        <w:rPr>
          <w:rFonts w:asciiTheme="minorHAnsi" w:hAnsiTheme="minorHAnsi" w:cstheme="minorHAnsi"/>
        </w:rPr>
        <w:t>écision 611 modifiée et le calendrier</w:t>
      </w:r>
      <w:r w:rsidR="000B33AF" w:rsidRPr="00867263">
        <w:rPr>
          <w:rFonts w:asciiTheme="minorHAnsi" w:hAnsiTheme="minorHAnsi" w:cstheme="minorHAnsi"/>
        </w:rPr>
        <w:t xml:space="preserve"> des travaux</w:t>
      </w:r>
      <w:r w:rsidR="00D40611" w:rsidRPr="00867263">
        <w:rPr>
          <w:rFonts w:asciiTheme="minorHAnsi" w:hAnsiTheme="minorHAnsi" w:cstheme="minorHAnsi"/>
        </w:rPr>
        <w:t xml:space="preserve"> préparatoire</w:t>
      </w:r>
      <w:r w:rsidR="000B33AF" w:rsidRPr="00867263">
        <w:rPr>
          <w:rFonts w:asciiTheme="minorHAnsi" w:hAnsiTheme="minorHAnsi" w:cstheme="minorHAnsi"/>
        </w:rPr>
        <w:t>s</w:t>
      </w:r>
      <w:r w:rsidRPr="00867263">
        <w:t>.</w:t>
      </w:r>
    </w:p>
    <w:p w14:paraId="5FC81235" w14:textId="1F6CF2A6" w:rsidR="00712148" w:rsidRPr="00867263" w:rsidRDefault="00DD7A90" w:rsidP="00BE2D6B">
      <w:pPr>
        <w:spacing w:before="120"/>
      </w:pPr>
      <w:r w:rsidRPr="00867263">
        <w:t>1.5</w:t>
      </w:r>
      <w:r w:rsidRPr="00867263">
        <w:tab/>
        <w:t>Plusieurs C</w:t>
      </w:r>
      <w:r w:rsidR="00E60B40" w:rsidRPr="00867263">
        <w:t>o</w:t>
      </w:r>
      <w:r w:rsidRPr="00867263">
        <w:t>nse</w:t>
      </w:r>
      <w:r w:rsidR="00E60B40" w:rsidRPr="00867263">
        <w:t>ill</w:t>
      </w:r>
      <w:r w:rsidRPr="00867263">
        <w:t>e</w:t>
      </w:r>
      <w:r w:rsidR="00E60B40" w:rsidRPr="00867263">
        <w:t xml:space="preserve">rs </w:t>
      </w:r>
      <w:r w:rsidRPr="00867263">
        <w:t>propos</w:t>
      </w:r>
      <w:r w:rsidR="00712148" w:rsidRPr="00867263">
        <w:t>ent</w:t>
      </w:r>
      <w:r w:rsidRPr="00867263">
        <w:t xml:space="preserve"> de réduire la durée des </w:t>
      </w:r>
      <w:r w:rsidR="00FF0E04" w:rsidRPr="00867263">
        <w:t xml:space="preserve">séries de </w:t>
      </w:r>
      <w:r w:rsidR="00712148" w:rsidRPr="00867263">
        <w:t>réunions</w:t>
      </w:r>
      <w:r w:rsidR="00FF0E04" w:rsidRPr="00867263">
        <w:t xml:space="preserve"> des GTC</w:t>
      </w:r>
      <w:r w:rsidR="00E60B40" w:rsidRPr="00867263">
        <w:t xml:space="preserve"> </w:t>
      </w:r>
      <w:r w:rsidR="00FF0E04" w:rsidRPr="00867263">
        <w:t>qui se tiendront début</w:t>
      </w:r>
      <w:r w:rsidR="00E60B40" w:rsidRPr="00867263">
        <w:t xml:space="preserve"> 2022 </w:t>
      </w:r>
      <w:r w:rsidR="00FF0E04" w:rsidRPr="00867263">
        <w:t xml:space="preserve">et </w:t>
      </w:r>
      <w:r w:rsidR="00FF0E04" w:rsidRPr="00867263">
        <w:rPr>
          <w:rFonts w:asciiTheme="minorHAnsi" w:hAnsiTheme="minorHAnsi" w:cstheme="minorHAnsi"/>
        </w:rPr>
        <w:t>de ne convoquer que les groupes essentiels afin d'optimiser le calendrier des réunions</w:t>
      </w:r>
      <w:r w:rsidR="00E60B40" w:rsidRPr="00867263">
        <w:t>.</w:t>
      </w:r>
    </w:p>
    <w:p w14:paraId="6FF6D303" w14:textId="298EC91C" w:rsidR="00182F02" w:rsidRPr="00867263" w:rsidRDefault="00E60B40" w:rsidP="00BE2D6B">
      <w:pPr>
        <w:spacing w:before="120"/>
        <w:rPr>
          <w:rFonts w:asciiTheme="minorHAnsi" w:hAnsiTheme="minorHAnsi" w:cstheme="minorHAnsi"/>
        </w:rPr>
      </w:pPr>
      <w:r w:rsidRPr="00867263">
        <w:t>1.6</w:t>
      </w:r>
      <w:r w:rsidRPr="00867263">
        <w:tab/>
      </w:r>
      <w:r w:rsidR="00342571" w:rsidRPr="00867263">
        <w:t xml:space="preserve">La </w:t>
      </w:r>
      <w:r w:rsidR="00FF0E04" w:rsidRPr="00867263">
        <w:t xml:space="preserve">secrétaire de la </w:t>
      </w:r>
      <w:r w:rsidR="00342571" w:rsidRPr="00867263">
        <w:t xml:space="preserve">séance </w:t>
      </w:r>
      <w:r w:rsidR="00720E56" w:rsidRPr="00867263">
        <w:rPr>
          <w:rFonts w:asciiTheme="minorHAnsi" w:hAnsiTheme="minorHAnsi" w:cstheme="minorHAnsi"/>
        </w:rPr>
        <w:t>indique</w:t>
      </w:r>
      <w:r w:rsidR="00182F02" w:rsidRPr="00867263">
        <w:rPr>
          <w:rFonts w:asciiTheme="minorHAnsi" w:hAnsiTheme="minorHAnsi" w:cstheme="minorHAnsi"/>
        </w:rPr>
        <w:t xml:space="preserve"> qu</w:t>
      </w:r>
      <w:r w:rsidR="00F12A8B" w:rsidRPr="00867263">
        <w:rPr>
          <w:rFonts w:asciiTheme="minorHAnsi" w:hAnsiTheme="minorHAnsi" w:cstheme="minorHAnsi"/>
        </w:rPr>
        <w:t>'</w:t>
      </w:r>
      <w:r w:rsidR="00182F02" w:rsidRPr="00867263">
        <w:rPr>
          <w:rFonts w:asciiTheme="minorHAnsi" w:hAnsiTheme="minorHAnsi" w:cstheme="minorHAnsi"/>
        </w:rPr>
        <w:t xml:space="preserve">en règle générale tous les GTC se réunissent </w:t>
      </w:r>
      <w:r w:rsidR="00284EF1" w:rsidRPr="00867263">
        <w:rPr>
          <w:rFonts w:asciiTheme="minorHAnsi" w:hAnsiTheme="minorHAnsi" w:cstheme="minorHAnsi"/>
        </w:rPr>
        <w:t>dans la perspective d'une Co</w:t>
      </w:r>
      <w:r w:rsidR="00182F02" w:rsidRPr="00867263">
        <w:rPr>
          <w:rFonts w:asciiTheme="minorHAnsi" w:hAnsiTheme="minorHAnsi" w:cstheme="minorHAnsi"/>
        </w:rPr>
        <w:t>nférence de plénipotentiaires afin</w:t>
      </w:r>
      <w:r w:rsidR="00720E56" w:rsidRPr="00867263">
        <w:rPr>
          <w:rFonts w:asciiTheme="minorHAnsi" w:hAnsiTheme="minorHAnsi" w:cstheme="minorHAnsi"/>
        </w:rPr>
        <w:t xml:space="preserve"> de finaliser leurs rapports. Il se peut c</w:t>
      </w:r>
      <w:r w:rsidR="00182F02" w:rsidRPr="00867263">
        <w:rPr>
          <w:rFonts w:asciiTheme="minorHAnsi" w:hAnsiTheme="minorHAnsi" w:cstheme="minorHAnsi"/>
        </w:rPr>
        <w:t xml:space="preserve">ependant </w:t>
      </w:r>
      <w:r w:rsidR="00284EF1" w:rsidRPr="00867263">
        <w:rPr>
          <w:rFonts w:asciiTheme="minorHAnsi" w:hAnsiTheme="minorHAnsi" w:cstheme="minorHAnsi"/>
        </w:rPr>
        <w:t>que certains</w:t>
      </w:r>
      <w:r w:rsidR="00182F02" w:rsidRPr="00867263">
        <w:rPr>
          <w:rFonts w:asciiTheme="minorHAnsi" w:hAnsiTheme="minorHAnsi" w:cstheme="minorHAnsi"/>
        </w:rPr>
        <w:t xml:space="preserve"> groupes</w:t>
      </w:r>
      <w:r w:rsidR="00284EF1" w:rsidRPr="00867263">
        <w:rPr>
          <w:rFonts w:asciiTheme="minorHAnsi" w:hAnsiTheme="minorHAnsi" w:cstheme="minorHAnsi"/>
        </w:rPr>
        <w:t xml:space="preserve"> puissent </w:t>
      </w:r>
      <w:r w:rsidR="00720E56" w:rsidRPr="00867263">
        <w:rPr>
          <w:rFonts w:asciiTheme="minorHAnsi" w:hAnsiTheme="minorHAnsi" w:cstheme="minorHAnsi"/>
        </w:rPr>
        <w:t>finaliser leur rapport</w:t>
      </w:r>
      <w:r w:rsidR="00182F02" w:rsidRPr="00867263">
        <w:rPr>
          <w:rFonts w:asciiTheme="minorHAnsi" w:hAnsiTheme="minorHAnsi" w:cstheme="minorHAnsi"/>
        </w:rPr>
        <w:t xml:space="preserve"> au cours de la dernière série de réunions en 2021, ce qui permettra de raccourcir la série de réunion</w:t>
      </w:r>
      <w:r w:rsidR="000D7223" w:rsidRPr="00867263">
        <w:rPr>
          <w:rFonts w:asciiTheme="minorHAnsi" w:hAnsiTheme="minorHAnsi" w:cstheme="minorHAnsi"/>
        </w:rPr>
        <w:t>s</w:t>
      </w:r>
      <w:r w:rsidR="00182F02" w:rsidRPr="00867263">
        <w:rPr>
          <w:rFonts w:asciiTheme="minorHAnsi" w:hAnsiTheme="minorHAnsi" w:cstheme="minorHAnsi"/>
        </w:rPr>
        <w:t xml:space="preserve"> prévue début 2022. Le secrétariat examinera le calendrier des GTC pour 2022 et fournira des informations à la prochaine session du Conseil.</w:t>
      </w:r>
    </w:p>
    <w:p w14:paraId="77F8575A" w14:textId="4E00133E" w:rsidR="00087E6E" w:rsidRPr="00867263" w:rsidRDefault="00E60B40" w:rsidP="00BE2D6B">
      <w:pPr>
        <w:spacing w:before="120"/>
        <w:rPr>
          <w:rFonts w:asciiTheme="minorHAnsi" w:hAnsiTheme="minorHAnsi" w:cstheme="minorHAnsi"/>
        </w:rPr>
      </w:pPr>
      <w:r w:rsidRPr="00867263">
        <w:t>1.7</w:t>
      </w:r>
      <w:r w:rsidRPr="00867263">
        <w:tab/>
      </w:r>
      <w:r w:rsidR="00087E6E" w:rsidRPr="00867263">
        <w:t>S</w:t>
      </w:r>
      <w:r w:rsidR="00F12A8B" w:rsidRPr="00867263">
        <w:t>'</w:t>
      </w:r>
      <w:r w:rsidR="00087E6E" w:rsidRPr="00867263">
        <w:t>agissant d</w:t>
      </w:r>
      <w:r w:rsidR="00087E6E" w:rsidRPr="00867263">
        <w:rPr>
          <w:rFonts w:asciiTheme="minorHAnsi" w:hAnsiTheme="minorHAnsi" w:cstheme="minorHAnsi"/>
        </w:rPr>
        <w:t xml:space="preserve">es préparatifs de l'AMNT-20, et en réponse aux questions </w:t>
      </w:r>
      <w:r w:rsidR="00284EF1" w:rsidRPr="00867263">
        <w:rPr>
          <w:rFonts w:asciiTheme="minorHAnsi" w:hAnsiTheme="minorHAnsi" w:cstheme="minorHAnsi"/>
        </w:rPr>
        <w:t>posées par</w:t>
      </w:r>
      <w:r w:rsidR="00087E6E" w:rsidRPr="00867263">
        <w:rPr>
          <w:rFonts w:asciiTheme="minorHAnsi" w:hAnsiTheme="minorHAnsi" w:cstheme="minorHAnsi"/>
        </w:rPr>
        <w:t xml:space="preserve"> deux Conseillers </w:t>
      </w:r>
      <w:r w:rsidR="00284EF1" w:rsidRPr="00867263">
        <w:rPr>
          <w:rFonts w:asciiTheme="minorHAnsi" w:hAnsiTheme="minorHAnsi" w:cstheme="minorHAnsi"/>
        </w:rPr>
        <w:t>sur les</w:t>
      </w:r>
      <w:r w:rsidR="00087E6E" w:rsidRPr="00867263">
        <w:rPr>
          <w:rFonts w:asciiTheme="minorHAnsi" w:hAnsiTheme="minorHAnsi" w:cstheme="minorHAnsi"/>
          <w:spacing w:val="2"/>
        </w:rPr>
        <w:t xml:space="preserve"> pouvoirs décisionnels du GCNT et des commissions d'études de l'UIT-T et </w:t>
      </w:r>
      <w:r w:rsidR="00284EF1" w:rsidRPr="00867263">
        <w:rPr>
          <w:rFonts w:asciiTheme="minorHAnsi" w:hAnsiTheme="minorHAnsi" w:cstheme="minorHAnsi"/>
          <w:spacing w:val="2"/>
        </w:rPr>
        <w:t>sur</w:t>
      </w:r>
      <w:r w:rsidR="00087E6E" w:rsidRPr="00867263">
        <w:rPr>
          <w:rFonts w:asciiTheme="minorHAnsi" w:hAnsiTheme="minorHAnsi" w:cstheme="minorHAnsi"/>
          <w:spacing w:val="2"/>
        </w:rPr>
        <w:t xml:space="preserve"> la nécessité d'assurer la continuité des activités au sein de</w:t>
      </w:r>
      <w:r w:rsidR="00087E6E" w:rsidRPr="00867263">
        <w:t xml:space="preserve"> l</w:t>
      </w:r>
      <w:r w:rsidR="00F12A8B" w:rsidRPr="00867263">
        <w:t>'</w:t>
      </w:r>
      <w:r w:rsidR="00087E6E" w:rsidRPr="00867263">
        <w:t>UIT-T, l</w:t>
      </w:r>
      <w:r w:rsidR="00087E6E" w:rsidRPr="00867263">
        <w:rPr>
          <w:rFonts w:asciiTheme="minorHAnsi" w:hAnsiTheme="minorHAnsi" w:cstheme="minorHAnsi"/>
        </w:rPr>
        <w:t xml:space="preserve">e </w:t>
      </w:r>
      <w:r w:rsidR="00087E6E" w:rsidRPr="00867263">
        <w:t>C</w:t>
      </w:r>
      <w:r w:rsidR="00087E6E" w:rsidRPr="00867263">
        <w:rPr>
          <w:rFonts w:asciiTheme="minorHAnsi" w:hAnsiTheme="minorHAnsi" w:cstheme="minorHAnsi"/>
        </w:rPr>
        <w:t xml:space="preserve">hef du </w:t>
      </w:r>
      <w:r w:rsidR="002A6C12" w:rsidRPr="00867263">
        <w:rPr>
          <w:rFonts w:asciiTheme="minorHAnsi" w:hAnsiTheme="minorHAnsi" w:cstheme="minorHAnsi"/>
        </w:rPr>
        <w:t>D</w:t>
      </w:r>
      <w:r w:rsidR="00087E6E" w:rsidRPr="00867263">
        <w:rPr>
          <w:rFonts w:asciiTheme="minorHAnsi" w:hAnsiTheme="minorHAnsi" w:cstheme="minorHAnsi"/>
        </w:rPr>
        <w:t xml:space="preserve">épartement des commissions d'études de l'UIT-T </w:t>
      </w:r>
      <w:r w:rsidR="00284EF1" w:rsidRPr="00867263">
        <w:rPr>
          <w:rFonts w:asciiTheme="minorHAnsi" w:hAnsiTheme="minorHAnsi" w:cstheme="minorHAnsi"/>
        </w:rPr>
        <w:t>indique</w:t>
      </w:r>
      <w:r w:rsidR="00087E6E" w:rsidRPr="00867263">
        <w:rPr>
          <w:rFonts w:asciiTheme="minorHAnsi" w:hAnsiTheme="minorHAnsi" w:cstheme="minorHAnsi"/>
        </w:rPr>
        <w:t xml:space="preserve"> que le GCNT et les </w:t>
      </w:r>
      <w:r w:rsidR="00F12A8B" w:rsidRPr="00867263">
        <w:rPr>
          <w:rFonts w:asciiTheme="minorHAnsi" w:hAnsiTheme="minorHAnsi" w:cstheme="minorHAnsi"/>
        </w:rPr>
        <w:t>C</w:t>
      </w:r>
      <w:r w:rsidR="00087E6E" w:rsidRPr="00867263">
        <w:rPr>
          <w:rFonts w:asciiTheme="minorHAnsi" w:hAnsiTheme="minorHAnsi" w:cstheme="minorHAnsi"/>
        </w:rPr>
        <w:t>ommissions</w:t>
      </w:r>
      <w:r w:rsidR="00895BC0" w:rsidRPr="00867263">
        <w:rPr>
          <w:rFonts w:asciiTheme="minorHAnsi" w:hAnsiTheme="minorHAnsi" w:cstheme="minorHAnsi"/>
        </w:rPr>
        <w:t xml:space="preserve"> d'études de l'UIT-T fonctionn</w:t>
      </w:r>
      <w:r w:rsidR="00087E6E" w:rsidRPr="00867263">
        <w:rPr>
          <w:rFonts w:asciiTheme="minorHAnsi" w:hAnsiTheme="minorHAnsi" w:cstheme="minorHAnsi"/>
        </w:rPr>
        <w:t xml:space="preserve">ent </w:t>
      </w:r>
      <w:r w:rsidR="00895BC0" w:rsidRPr="00867263">
        <w:rPr>
          <w:rFonts w:asciiTheme="minorHAnsi" w:hAnsiTheme="minorHAnsi" w:cstheme="minorHAnsi"/>
        </w:rPr>
        <w:t>de manière</w:t>
      </w:r>
      <w:r w:rsidR="00087E6E" w:rsidRPr="00867263">
        <w:rPr>
          <w:rFonts w:asciiTheme="minorHAnsi" w:hAnsiTheme="minorHAnsi" w:cstheme="minorHAnsi"/>
        </w:rPr>
        <w:t xml:space="preserve"> virtuel</w:t>
      </w:r>
      <w:r w:rsidR="00895BC0" w:rsidRPr="00867263">
        <w:rPr>
          <w:rFonts w:asciiTheme="minorHAnsi" w:hAnsiTheme="minorHAnsi" w:cstheme="minorHAnsi"/>
        </w:rPr>
        <w:t>le</w:t>
      </w:r>
      <w:r w:rsidR="00087E6E" w:rsidRPr="00867263">
        <w:rPr>
          <w:rFonts w:asciiTheme="minorHAnsi" w:hAnsiTheme="minorHAnsi" w:cstheme="minorHAnsi"/>
        </w:rPr>
        <w:t xml:space="preserve"> depuis mars 2020 sans </w:t>
      </w:r>
      <w:r w:rsidR="00895BC0" w:rsidRPr="00867263">
        <w:rPr>
          <w:rFonts w:asciiTheme="minorHAnsi" w:hAnsiTheme="minorHAnsi" w:cstheme="minorHAnsi"/>
        </w:rPr>
        <w:t xml:space="preserve">rencontrer de </w:t>
      </w:r>
      <w:r w:rsidR="00284EF1" w:rsidRPr="00867263">
        <w:rPr>
          <w:rFonts w:asciiTheme="minorHAnsi" w:hAnsiTheme="minorHAnsi" w:cstheme="minorHAnsi"/>
        </w:rPr>
        <w:t>difficultés particulières,</w:t>
      </w:r>
      <w:r w:rsidR="00087E6E" w:rsidRPr="00867263">
        <w:rPr>
          <w:rFonts w:asciiTheme="minorHAnsi" w:hAnsiTheme="minorHAnsi" w:cstheme="minorHAnsi"/>
        </w:rPr>
        <w:t xml:space="preserve"> la situation actuelle </w:t>
      </w:r>
      <w:r w:rsidR="00895BC0" w:rsidRPr="00867263">
        <w:rPr>
          <w:rFonts w:asciiTheme="minorHAnsi" w:hAnsiTheme="minorHAnsi" w:cstheme="minorHAnsi"/>
        </w:rPr>
        <w:t>liée à l</w:t>
      </w:r>
      <w:r w:rsidR="00F12A8B" w:rsidRPr="00867263">
        <w:rPr>
          <w:rFonts w:asciiTheme="minorHAnsi" w:hAnsiTheme="minorHAnsi" w:cstheme="minorHAnsi"/>
        </w:rPr>
        <w:t>'</w:t>
      </w:r>
      <w:r w:rsidR="00895BC0" w:rsidRPr="00867263">
        <w:rPr>
          <w:rFonts w:asciiTheme="minorHAnsi" w:hAnsiTheme="minorHAnsi" w:cstheme="minorHAnsi"/>
        </w:rPr>
        <w:t>épidémie de COVID-19 ne laiss</w:t>
      </w:r>
      <w:r w:rsidR="00284EF1" w:rsidRPr="00867263">
        <w:rPr>
          <w:rFonts w:asciiTheme="minorHAnsi" w:hAnsiTheme="minorHAnsi" w:cstheme="minorHAnsi"/>
        </w:rPr>
        <w:t>ant</w:t>
      </w:r>
      <w:r w:rsidR="00895BC0" w:rsidRPr="00867263">
        <w:rPr>
          <w:rFonts w:asciiTheme="minorHAnsi" w:hAnsiTheme="minorHAnsi" w:cstheme="minorHAnsi"/>
        </w:rPr>
        <w:t xml:space="preserve"> aucune autre possibilité</w:t>
      </w:r>
      <w:r w:rsidR="00087E6E" w:rsidRPr="00867263">
        <w:rPr>
          <w:rFonts w:asciiTheme="minorHAnsi" w:hAnsiTheme="minorHAnsi" w:cstheme="minorHAnsi"/>
        </w:rPr>
        <w:t xml:space="preserve">. Comme pour le GCDT et le GCR, il </w:t>
      </w:r>
      <w:r w:rsidR="00DA02AB" w:rsidRPr="00867263">
        <w:rPr>
          <w:rFonts w:asciiTheme="minorHAnsi" w:hAnsiTheme="minorHAnsi" w:cstheme="minorHAnsi"/>
        </w:rPr>
        <w:t>est</w:t>
      </w:r>
      <w:r w:rsidR="00087E6E" w:rsidRPr="00867263">
        <w:rPr>
          <w:rFonts w:asciiTheme="minorHAnsi" w:hAnsiTheme="minorHAnsi" w:cstheme="minorHAnsi"/>
        </w:rPr>
        <w:t xml:space="preserve"> convenu au début de chaque </w:t>
      </w:r>
      <w:r w:rsidR="00DA02AB" w:rsidRPr="00867263">
        <w:rPr>
          <w:rFonts w:asciiTheme="minorHAnsi" w:hAnsiTheme="minorHAnsi" w:cstheme="minorHAnsi"/>
        </w:rPr>
        <w:t>réunion</w:t>
      </w:r>
      <w:r w:rsidR="00087E6E" w:rsidRPr="00867263">
        <w:rPr>
          <w:rFonts w:asciiTheme="minorHAnsi" w:hAnsiTheme="minorHAnsi" w:cstheme="minorHAnsi"/>
        </w:rPr>
        <w:t xml:space="preserve"> que l</w:t>
      </w:r>
      <w:r w:rsidR="00895BC0" w:rsidRPr="00867263">
        <w:rPr>
          <w:rFonts w:asciiTheme="minorHAnsi" w:hAnsiTheme="minorHAnsi" w:cstheme="minorHAnsi"/>
        </w:rPr>
        <w:t>es participants</w:t>
      </w:r>
      <w:r w:rsidR="00DA02AB" w:rsidRPr="00867263">
        <w:rPr>
          <w:rFonts w:asciiTheme="minorHAnsi" w:hAnsiTheme="minorHAnsi" w:cstheme="minorHAnsi"/>
        </w:rPr>
        <w:t xml:space="preserve"> auron</w:t>
      </w:r>
      <w:r w:rsidR="00895BC0" w:rsidRPr="00867263">
        <w:rPr>
          <w:rFonts w:asciiTheme="minorHAnsi" w:hAnsiTheme="minorHAnsi" w:cstheme="minorHAnsi"/>
        </w:rPr>
        <w:t>t</w:t>
      </w:r>
      <w:r w:rsidR="00087E6E" w:rsidRPr="00867263">
        <w:rPr>
          <w:rFonts w:asciiTheme="minorHAnsi" w:hAnsiTheme="minorHAnsi" w:cstheme="minorHAnsi"/>
        </w:rPr>
        <w:t xml:space="preserve"> le pouvoir de prendre d</w:t>
      </w:r>
      <w:r w:rsidR="00895BC0" w:rsidRPr="00867263">
        <w:rPr>
          <w:rFonts w:asciiTheme="minorHAnsi" w:hAnsiTheme="minorHAnsi" w:cstheme="minorHAnsi"/>
        </w:rPr>
        <w:t>es décisions par consensus. Le Conseiller juridique de l'UIT approuve</w:t>
      </w:r>
      <w:r w:rsidR="00087E6E" w:rsidRPr="00867263">
        <w:rPr>
          <w:rFonts w:asciiTheme="minorHAnsi" w:hAnsiTheme="minorHAnsi" w:cstheme="minorHAnsi"/>
        </w:rPr>
        <w:t xml:space="preserve"> ces </w:t>
      </w:r>
      <w:r w:rsidR="00895BC0" w:rsidRPr="00867263">
        <w:rPr>
          <w:rFonts w:asciiTheme="minorHAnsi" w:hAnsiTheme="minorHAnsi" w:cstheme="minorHAnsi"/>
        </w:rPr>
        <w:t>observations</w:t>
      </w:r>
      <w:r w:rsidR="00087E6E" w:rsidRPr="00867263">
        <w:rPr>
          <w:rFonts w:asciiTheme="minorHAnsi" w:hAnsiTheme="minorHAnsi" w:cstheme="minorHAnsi"/>
        </w:rPr>
        <w:t>: les groupes concernés continueront</w:t>
      </w:r>
      <w:r w:rsidR="00895BC0" w:rsidRPr="00867263">
        <w:rPr>
          <w:rFonts w:asciiTheme="minorHAnsi" w:hAnsiTheme="minorHAnsi" w:cstheme="minorHAnsi"/>
        </w:rPr>
        <w:t xml:space="preserve"> de</w:t>
      </w:r>
      <w:r w:rsidR="00087E6E" w:rsidRPr="00867263">
        <w:rPr>
          <w:rFonts w:asciiTheme="minorHAnsi" w:hAnsiTheme="minorHAnsi" w:cstheme="minorHAnsi"/>
        </w:rPr>
        <w:t xml:space="preserve"> fonctionner sur </w:t>
      </w:r>
      <w:r w:rsidR="00895BC0" w:rsidRPr="00867263">
        <w:rPr>
          <w:rFonts w:asciiTheme="minorHAnsi" w:hAnsiTheme="minorHAnsi" w:cstheme="minorHAnsi"/>
        </w:rPr>
        <w:t>ce principe</w:t>
      </w:r>
      <w:r w:rsidR="00087E6E" w:rsidRPr="00867263">
        <w:rPr>
          <w:rFonts w:asciiTheme="minorHAnsi" w:hAnsiTheme="minorHAnsi" w:cstheme="minorHAnsi"/>
        </w:rPr>
        <w:t xml:space="preserve"> aussi longtemps que nécessaire, compte tenu de la situation</w:t>
      </w:r>
      <w:r w:rsidR="009E102A" w:rsidRPr="00867263">
        <w:rPr>
          <w:rFonts w:asciiTheme="minorHAnsi" w:hAnsiTheme="minorHAnsi" w:cstheme="minorHAnsi"/>
        </w:rPr>
        <w:t>.</w:t>
      </w:r>
    </w:p>
    <w:p w14:paraId="47FCFD45" w14:textId="5806275A" w:rsidR="00E60B40" w:rsidRPr="00867263" w:rsidRDefault="00E60B40" w:rsidP="00BE2D6B">
      <w:pPr>
        <w:spacing w:before="120"/>
      </w:pPr>
      <w:r w:rsidRPr="00867263">
        <w:t>1.8</w:t>
      </w:r>
      <w:r w:rsidRPr="00867263">
        <w:tab/>
      </w:r>
      <w:r w:rsidR="009E102A" w:rsidRPr="00867263">
        <w:rPr>
          <w:rFonts w:asciiTheme="minorHAnsi" w:hAnsiTheme="minorHAnsi" w:cstheme="minorHAnsi"/>
        </w:rPr>
        <w:t>Il est</w:t>
      </w:r>
      <w:r w:rsidR="005339BB" w:rsidRPr="00867263">
        <w:rPr>
          <w:rFonts w:asciiTheme="minorHAnsi" w:hAnsiTheme="minorHAnsi" w:cstheme="minorHAnsi"/>
        </w:rPr>
        <w:t xml:space="preserve"> proposé de soumettre</w:t>
      </w:r>
      <w:r w:rsidR="009E102A" w:rsidRPr="00867263">
        <w:rPr>
          <w:rFonts w:asciiTheme="minorHAnsi" w:hAnsiTheme="minorHAnsi" w:cstheme="minorHAnsi"/>
        </w:rPr>
        <w:t>,</w:t>
      </w:r>
      <w:r w:rsidR="005339BB" w:rsidRPr="00867263">
        <w:rPr>
          <w:rFonts w:asciiTheme="minorHAnsi" w:hAnsiTheme="minorHAnsi" w:cstheme="minorHAnsi"/>
        </w:rPr>
        <w:t xml:space="preserve"> à la prochaine session du Conseil</w:t>
      </w:r>
      <w:r w:rsidR="009E102A" w:rsidRPr="00867263">
        <w:rPr>
          <w:rFonts w:asciiTheme="minorHAnsi" w:hAnsiTheme="minorHAnsi" w:cstheme="minorHAnsi"/>
        </w:rPr>
        <w:t>,</w:t>
      </w:r>
      <w:r w:rsidR="005339BB" w:rsidRPr="00867263">
        <w:rPr>
          <w:rFonts w:asciiTheme="minorHAnsi" w:hAnsiTheme="minorHAnsi" w:cstheme="minorHAnsi"/>
        </w:rPr>
        <w:t xml:space="preserve"> une mise à jour de l'état d'avancement des travaux virtuels </w:t>
      </w:r>
      <w:r w:rsidR="00007D95" w:rsidRPr="00867263">
        <w:rPr>
          <w:rFonts w:asciiTheme="minorHAnsi" w:hAnsiTheme="minorHAnsi" w:cstheme="minorHAnsi"/>
        </w:rPr>
        <w:t>men</w:t>
      </w:r>
      <w:r w:rsidR="00745655" w:rsidRPr="00867263">
        <w:rPr>
          <w:rFonts w:asciiTheme="minorHAnsi" w:hAnsiTheme="minorHAnsi" w:cstheme="minorHAnsi"/>
        </w:rPr>
        <w:t>é</w:t>
      </w:r>
      <w:r w:rsidR="00007D95" w:rsidRPr="00867263">
        <w:rPr>
          <w:rFonts w:asciiTheme="minorHAnsi" w:hAnsiTheme="minorHAnsi" w:cstheme="minorHAnsi"/>
        </w:rPr>
        <w:t>s par le</w:t>
      </w:r>
      <w:r w:rsidR="009E102A" w:rsidRPr="00867263">
        <w:rPr>
          <w:rFonts w:asciiTheme="minorHAnsi" w:hAnsiTheme="minorHAnsi" w:cstheme="minorHAnsi"/>
        </w:rPr>
        <w:t xml:space="preserve"> GCNT et </w:t>
      </w:r>
      <w:r w:rsidR="00007D95" w:rsidRPr="00867263">
        <w:rPr>
          <w:rFonts w:asciiTheme="minorHAnsi" w:hAnsiTheme="minorHAnsi" w:cstheme="minorHAnsi"/>
        </w:rPr>
        <w:t>l</w:t>
      </w:r>
      <w:r w:rsidR="005339BB" w:rsidRPr="00867263">
        <w:rPr>
          <w:rFonts w:asciiTheme="minorHAnsi" w:hAnsiTheme="minorHAnsi" w:cstheme="minorHAnsi"/>
        </w:rPr>
        <w:t xml:space="preserve">es </w:t>
      </w:r>
      <w:r w:rsidR="00F12A8B" w:rsidRPr="00867263">
        <w:rPr>
          <w:rFonts w:asciiTheme="minorHAnsi" w:hAnsiTheme="minorHAnsi" w:cstheme="minorHAnsi"/>
        </w:rPr>
        <w:t>C</w:t>
      </w:r>
      <w:r w:rsidR="005339BB" w:rsidRPr="00867263">
        <w:rPr>
          <w:rFonts w:asciiTheme="minorHAnsi" w:hAnsiTheme="minorHAnsi" w:cstheme="minorHAnsi"/>
        </w:rPr>
        <w:t>ommissions d'études de l'UIT-T.</w:t>
      </w:r>
    </w:p>
    <w:p w14:paraId="4F8D1AE1" w14:textId="45AB5366" w:rsidR="00E60B40" w:rsidRPr="00867263" w:rsidRDefault="00E60B40" w:rsidP="00C71BB2">
      <w:pPr>
        <w:pStyle w:val="Heading1"/>
        <w:tabs>
          <w:tab w:val="clear" w:pos="567"/>
        </w:tabs>
        <w:ind w:left="798" w:hanging="798"/>
      </w:pPr>
      <w:r w:rsidRPr="00867263">
        <w:t>2</w:t>
      </w:r>
      <w:r w:rsidRPr="00867263">
        <w:tab/>
      </w:r>
      <w:r w:rsidR="006A0129" w:rsidRPr="00867263">
        <w:rPr>
          <w:bCs/>
        </w:rPr>
        <w:t xml:space="preserve">Décisions </w:t>
      </w:r>
      <w:r w:rsidR="00342571" w:rsidRPr="00867263">
        <w:rPr>
          <w:bCs/>
        </w:rPr>
        <w:t xml:space="preserve">de </w:t>
      </w:r>
      <w:r w:rsidR="006A0129" w:rsidRPr="00867263">
        <w:rPr>
          <w:bCs/>
        </w:rPr>
        <w:t>l</w:t>
      </w:r>
      <w:r w:rsidR="00F12A8B" w:rsidRPr="00867263">
        <w:rPr>
          <w:bCs/>
        </w:rPr>
        <w:t>'</w:t>
      </w:r>
      <w:r w:rsidR="006A0129" w:rsidRPr="00867263">
        <w:rPr>
          <w:bCs/>
        </w:rPr>
        <w:t>Assemblée générale des Nation</w:t>
      </w:r>
      <w:r w:rsidR="00C648C5">
        <w:rPr>
          <w:bCs/>
        </w:rPr>
        <w:t>s</w:t>
      </w:r>
      <w:r w:rsidR="006A0129" w:rsidRPr="00867263">
        <w:rPr>
          <w:bCs/>
        </w:rPr>
        <w:t xml:space="preserve"> Unies </w:t>
      </w:r>
      <w:r w:rsidR="00342571" w:rsidRPr="00867263">
        <w:rPr>
          <w:bCs/>
        </w:rPr>
        <w:t xml:space="preserve">sur </w:t>
      </w:r>
      <w:r w:rsidR="006A0129" w:rsidRPr="00867263">
        <w:rPr>
          <w:bCs/>
        </w:rPr>
        <w:t>les conditions d</w:t>
      </w:r>
      <w:r w:rsidR="00F12A8B" w:rsidRPr="00867263">
        <w:rPr>
          <w:bCs/>
        </w:rPr>
        <w:t>'</w:t>
      </w:r>
      <w:r w:rsidR="006A0129" w:rsidRPr="00867263">
        <w:rPr>
          <w:bCs/>
        </w:rPr>
        <w:t xml:space="preserve">emploi dans le cadre du régime commun des Nations Unies </w:t>
      </w:r>
      <w:r w:rsidRPr="00867263">
        <w:t>(suite) (Document </w:t>
      </w:r>
      <w:hyperlink r:id="rId24" w:history="1">
        <w:r w:rsidRPr="00867263">
          <w:rPr>
            <w:rStyle w:val="Hyperlink"/>
          </w:rPr>
          <w:t>C20/23</w:t>
        </w:r>
      </w:hyperlink>
      <w:r w:rsidRPr="00867263">
        <w:t>)</w:t>
      </w:r>
    </w:p>
    <w:p w14:paraId="6113B35E" w14:textId="52113EA5" w:rsidR="006A0129" w:rsidRPr="00867263" w:rsidRDefault="00E60B40" w:rsidP="00BE2D6B">
      <w:pPr>
        <w:spacing w:before="120"/>
      </w:pPr>
      <w:r w:rsidRPr="00867263">
        <w:t>2.1</w:t>
      </w:r>
      <w:r w:rsidRPr="00867263">
        <w:tab/>
      </w:r>
      <w:r w:rsidR="006A0129" w:rsidRPr="00867263">
        <w:t>Le Chef du Département de la gestion des ressources humaines (HRMD</w:t>
      </w:r>
      <w:r w:rsidR="00401CB4" w:rsidRPr="00867263">
        <w:t xml:space="preserve">), répondant à une question, </w:t>
      </w:r>
      <w:r w:rsidR="009E102A" w:rsidRPr="00867263">
        <w:t>fait observer</w:t>
      </w:r>
      <w:r w:rsidR="00401CB4" w:rsidRPr="00867263">
        <w:t xml:space="preserve"> que l'UIT applique </w:t>
      </w:r>
      <w:r w:rsidR="006A0129" w:rsidRPr="00867263">
        <w:t xml:space="preserve">le </w:t>
      </w:r>
      <w:r w:rsidR="00401CB4" w:rsidRPr="00867263">
        <w:t>J</w:t>
      </w:r>
      <w:r w:rsidR="006A0129" w:rsidRPr="00867263">
        <w:t xml:space="preserve">ugement </w:t>
      </w:r>
      <w:r w:rsidR="00F12A8B" w:rsidRPr="00867263">
        <w:t>N°</w:t>
      </w:r>
      <w:r w:rsidR="006A0129" w:rsidRPr="00867263">
        <w:t xml:space="preserve"> 4137 du Tribunal administratif de l'Organisation internationale du travail (TAOIT)</w:t>
      </w:r>
      <w:r w:rsidR="00401CB4" w:rsidRPr="00867263">
        <w:t>, qui a</w:t>
      </w:r>
      <w:r w:rsidR="006A0129" w:rsidRPr="00867263">
        <w:t xml:space="preserve"> annulé l'application du coefficient </w:t>
      </w:r>
      <w:r w:rsidR="006A0129" w:rsidRPr="00867263">
        <w:lastRenderedPageBreak/>
        <w:t xml:space="preserve">d'ajustement </w:t>
      </w:r>
      <w:r w:rsidR="00350072" w:rsidRPr="00867263">
        <w:t xml:space="preserve">établi </w:t>
      </w:r>
      <w:r w:rsidR="00401CB4" w:rsidRPr="00867263">
        <w:t xml:space="preserve">par la </w:t>
      </w:r>
      <w:r w:rsidR="009E102A" w:rsidRPr="00867263">
        <w:t>Commission de la fonction publique internationale (</w:t>
      </w:r>
      <w:r w:rsidR="00401CB4" w:rsidRPr="00867263">
        <w:t>CFPI</w:t>
      </w:r>
      <w:r w:rsidR="009E102A" w:rsidRPr="00867263">
        <w:t>)</w:t>
      </w:r>
      <w:r w:rsidR="00401CB4" w:rsidRPr="00867263">
        <w:t xml:space="preserve"> </w:t>
      </w:r>
      <w:r w:rsidR="00350072" w:rsidRPr="00867263">
        <w:t xml:space="preserve">sur la base de son enquête menée en 2016 </w:t>
      </w:r>
      <w:r w:rsidR="00401CB4" w:rsidRPr="00867263">
        <w:t xml:space="preserve">sur le coût de la vie </w:t>
      </w:r>
      <w:r w:rsidR="00350072" w:rsidRPr="00867263">
        <w:t>pour</w:t>
      </w:r>
      <w:r w:rsidR="00401CB4" w:rsidRPr="00867263">
        <w:t xml:space="preserve"> Genève, e</w:t>
      </w:r>
      <w:r w:rsidR="006A0129" w:rsidRPr="00867263">
        <w:t xml:space="preserve">t </w:t>
      </w:r>
      <w:r w:rsidR="009E102A" w:rsidRPr="00867263">
        <w:t xml:space="preserve">que </w:t>
      </w:r>
      <w:r w:rsidR="006A0129" w:rsidRPr="00867263">
        <w:t xml:space="preserve">la CFPI </w:t>
      </w:r>
      <w:r w:rsidR="009E102A" w:rsidRPr="00867263">
        <w:t xml:space="preserve">lui transmet </w:t>
      </w:r>
      <w:r w:rsidR="00A76F29" w:rsidRPr="00867263">
        <w:t>l</w:t>
      </w:r>
      <w:r w:rsidR="006A0129" w:rsidRPr="00867263">
        <w:t>es coefficients d'ajusteme</w:t>
      </w:r>
      <w:r w:rsidR="00A76F29" w:rsidRPr="00867263">
        <w:t>nt une ou deux fois par mois. Il faut espérer q</w:t>
      </w:r>
      <w:r w:rsidR="006A0129" w:rsidRPr="00867263">
        <w:t>ue la révision de la méthode d'ajustement d</w:t>
      </w:r>
      <w:r w:rsidR="00A76F29" w:rsidRPr="00867263">
        <w:t>e l</w:t>
      </w:r>
      <w:r w:rsidR="00F12A8B" w:rsidRPr="00867263">
        <w:t>'</w:t>
      </w:r>
      <w:r w:rsidR="00A76F29" w:rsidRPr="00867263">
        <w:t xml:space="preserve">indemnité de poste </w:t>
      </w:r>
      <w:r w:rsidR="00161911" w:rsidRPr="00867263">
        <w:t>de</w:t>
      </w:r>
      <w:r w:rsidR="00350072" w:rsidRPr="00867263">
        <w:t xml:space="preserve"> la</w:t>
      </w:r>
      <w:r w:rsidR="006A0129" w:rsidRPr="00867263">
        <w:t xml:space="preserve"> CFPI </w:t>
      </w:r>
      <w:r w:rsidR="00A76F29" w:rsidRPr="00867263">
        <w:t>permettra</w:t>
      </w:r>
      <w:r w:rsidR="006A0129" w:rsidRPr="00867263">
        <w:t xml:space="preserve"> une plus grande harmonisation des coeffi</w:t>
      </w:r>
      <w:r w:rsidR="00350072" w:rsidRPr="00867263">
        <w:t>cients d'ajustement. Le Chef du</w:t>
      </w:r>
      <w:r w:rsidR="00A76F29" w:rsidRPr="00867263">
        <w:t> Département de la gestion des ressources financières (FRMD)</w:t>
      </w:r>
      <w:r w:rsidR="0005021A" w:rsidRPr="00867263">
        <w:t xml:space="preserve"> a</w:t>
      </w:r>
      <w:r w:rsidR="006A0129" w:rsidRPr="00867263">
        <w:t>jout</w:t>
      </w:r>
      <w:r w:rsidR="0005021A" w:rsidRPr="00867263">
        <w:t>e</w:t>
      </w:r>
      <w:r w:rsidR="006A0129" w:rsidRPr="00867263">
        <w:t xml:space="preserve"> que des crédits </w:t>
      </w:r>
      <w:r w:rsidR="0005021A" w:rsidRPr="00867263">
        <w:t>ont</w:t>
      </w:r>
      <w:r w:rsidR="006A0129" w:rsidRPr="00867263">
        <w:t xml:space="preserve"> été prévus dans le budget de 2018 pour couvrir les </w:t>
      </w:r>
      <w:r w:rsidR="005B39CE" w:rsidRPr="00867263">
        <w:t>incidences</w:t>
      </w:r>
      <w:r w:rsidR="00161911" w:rsidRPr="00867263">
        <w:t xml:space="preserve"> </w:t>
      </w:r>
      <w:r w:rsidR="006A0129" w:rsidRPr="00867263">
        <w:t xml:space="preserve">du </w:t>
      </w:r>
      <w:r w:rsidR="0005021A" w:rsidRPr="00867263">
        <w:t>J</w:t>
      </w:r>
      <w:r w:rsidR="006A0129" w:rsidRPr="00867263">
        <w:t xml:space="preserve">ugement </w:t>
      </w:r>
      <w:r w:rsidR="00F12A8B" w:rsidRPr="00867263">
        <w:t>N°</w:t>
      </w:r>
      <w:r w:rsidR="006A0129" w:rsidRPr="00867263">
        <w:t xml:space="preserve"> </w:t>
      </w:r>
      <w:r w:rsidR="0005021A" w:rsidRPr="00867263">
        <w:t>4137 et que le budget de 2019 a</w:t>
      </w:r>
      <w:r w:rsidR="004670AA" w:rsidRPr="00867263">
        <w:t xml:space="preserve"> été mis à jour de manière à </w:t>
      </w:r>
      <w:r w:rsidR="006A0129" w:rsidRPr="00867263">
        <w:t>tenir compte du nouveau barème des</w:t>
      </w:r>
      <w:r w:rsidR="0005021A" w:rsidRPr="00867263">
        <w:t xml:space="preserve"> traitements. L'application de ce J</w:t>
      </w:r>
      <w:r w:rsidR="006A0129" w:rsidRPr="00867263">
        <w:t>ugement n'aur</w:t>
      </w:r>
      <w:r w:rsidR="0005021A" w:rsidRPr="00867263">
        <w:t>a</w:t>
      </w:r>
      <w:r w:rsidR="006A0129" w:rsidRPr="00867263">
        <w:t xml:space="preserve"> aucune incidence financière sur les exercices budgétaires futurs</w:t>
      </w:r>
      <w:r w:rsidR="0005021A" w:rsidRPr="00867263">
        <w:t>.</w:t>
      </w:r>
      <w:r w:rsidR="006A0129" w:rsidRPr="00867263">
        <w:t xml:space="preserve"> </w:t>
      </w:r>
    </w:p>
    <w:p w14:paraId="6D698C9B" w14:textId="558F09C4" w:rsidR="00E60B40" w:rsidRPr="00867263" w:rsidRDefault="00E60B40" w:rsidP="00BE2D6B">
      <w:pPr>
        <w:spacing w:before="120"/>
      </w:pPr>
      <w:r w:rsidRPr="00867263">
        <w:t>2.2</w:t>
      </w:r>
      <w:r w:rsidRPr="00867263">
        <w:tab/>
      </w:r>
      <w:r w:rsidR="0005021A" w:rsidRPr="00867263">
        <w:t xml:space="preserve">Le Président </w:t>
      </w:r>
      <w:r w:rsidR="00F10DA5" w:rsidRPr="00867263">
        <w:t>considère</w:t>
      </w:r>
      <w:r w:rsidR="0005021A" w:rsidRPr="00867263">
        <w:t xml:space="preserve"> que l</w:t>
      </w:r>
      <w:r w:rsidR="00FA0CBE" w:rsidRPr="00867263">
        <w:t>es C</w:t>
      </w:r>
      <w:r w:rsidR="0005021A" w:rsidRPr="00867263">
        <w:t xml:space="preserve">onseillers souhaitent conclure que, </w:t>
      </w:r>
      <w:r w:rsidR="00F10DA5" w:rsidRPr="00867263">
        <w:t xml:space="preserve">compte tenu de </w:t>
      </w:r>
      <w:r w:rsidR="0005021A" w:rsidRPr="00867263">
        <w:t xml:space="preserve">l'urgence de ce point, une consultation par correspondance des États </w:t>
      </w:r>
      <w:r w:rsidR="00B237C5" w:rsidRPr="00867263">
        <w:t>M</w:t>
      </w:r>
      <w:r w:rsidR="0005021A" w:rsidRPr="00867263">
        <w:t xml:space="preserve">embres du Conseil </w:t>
      </w:r>
      <w:r w:rsidR="00F10DA5" w:rsidRPr="00867263">
        <w:t>sera organisée en vue de</w:t>
      </w:r>
      <w:r w:rsidR="00FA0CBE" w:rsidRPr="00867263">
        <w:t xml:space="preserve"> l'approbation du projet de R</w:t>
      </w:r>
      <w:r w:rsidR="0005021A" w:rsidRPr="00867263">
        <w:t>é</w:t>
      </w:r>
      <w:r w:rsidR="00F10DA5" w:rsidRPr="00867263">
        <w:t xml:space="preserve">solution figurant </w:t>
      </w:r>
      <w:r w:rsidR="008D747B" w:rsidRPr="00867263">
        <w:t>dans l</w:t>
      </w:r>
      <w:r w:rsidR="00F12A8B" w:rsidRPr="00867263">
        <w:t>'</w:t>
      </w:r>
      <w:r w:rsidR="008D747B" w:rsidRPr="00867263">
        <w:t>annexe d</w:t>
      </w:r>
      <w:r w:rsidR="00F10DA5" w:rsidRPr="00867263">
        <w:t>u D</w:t>
      </w:r>
      <w:r w:rsidR="0005021A" w:rsidRPr="00867263">
        <w:t>ocument</w:t>
      </w:r>
      <w:r w:rsidR="00F12A8B" w:rsidRPr="00867263">
        <w:t> </w:t>
      </w:r>
      <w:r w:rsidR="0005021A" w:rsidRPr="00867263">
        <w:t>C20/23</w:t>
      </w:r>
      <w:r w:rsidR="00FA0CBE" w:rsidRPr="00867263">
        <w:t>.</w:t>
      </w:r>
    </w:p>
    <w:p w14:paraId="6CC43FF6" w14:textId="16CF1C26" w:rsidR="009C353C" w:rsidRPr="00867263" w:rsidRDefault="00E60B40" w:rsidP="00BE2D6B">
      <w:pPr>
        <w:spacing w:before="120"/>
      </w:pPr>
      <w:r w:rsidRPr="00867263">
        <w:t>2.3</w:t>
      </w:r>
      <w:r w:rsidRPr="00867263">
        <w:tab/>
        <w:t xml:space="preserve">Il en est ainsi </w:t>
      </w:r>
      <w:r w:rsidRPr="00867263">
        <w:rPr>
          <w:b/>
          <w:bCs/>
        </w:rPr>
        <w:t>conclu</w:t>
      </w:r>
      <w:r w:rsidRPr="00867263">
        <w:t>.</w:t>
      </w:r>
    </w:p>
    <w:p w14:paraId="490A7A0E" w14:textId="2D71DF5D" w:rsidR="00E60B40" w:rsidRPr="00867263" w:rsidRDefault="00E60B40" w:rsidP="00C71BB2">
      <w:pPr>
        <w:pStyle w:val="Heading1"/>
        <w:tabs>
          <w:tab w:val="clear" w:pos="567"/>
        </w:tabs>
        <w:ind w:left="798" w:hanging="798"/>
      </w:pPr>
      <w:r w:rsidRPr="00867263">
        <w:t>3</w:t>
      </w:r>
      <w:r w:rsidRPr="00867263">
        <w:tab/>
        <w:t xml:space="preserve">Nouvelle fonction </w:t>
      </w:r>
      <w:r w:rsidR="000D20E9" w:rsidRPr="00867263">
        <w:t>d</w:t>
      </w:r>
      <w:r w:rsidR="00F12A8B" w:rsidRPr="00867263">
        <w:t>'</w:t>
      </w:r>
      <w:r w:rsidR="000D20E9" w:rsidRPr="00867263">
        <w:t xml:space="preserve">investigation </w:t>
      </w:r>
      <w:r w:rsidRPr="00867263">
        <w:t>et nouveau processus en matière d'enquête (Documents </w:t>
      </w:r>
      <w:hyperlink r:id="rId25" w:history="1">
        <w:r w:rsidRPr="00867263">
          <w:rPr>
            <w:rStyle w:val="Hyperlink"/>
          </w:rPr>
          <w:t>C20/60</w:t>
        </w:r>
      </w:hyperlink>
      <w:r w:rsidRPr="00867263">
        <w:t xml:space="preserve">, </w:t>
      </w:r>
      <w:hyperlink r:id="rId26" w:history="1">
        <w:r w:rsidRPr="00867263">
          <w:rPr>
            <w:rStyle w:val="Hyperlink"/>
          </w:rPr>
          <w:t>C20/78</w:t>
        </w:r>
      </w:hyperlink>
      <w:r w:rsidRPr="00867263">
        <w:t xml:space="preserve">, </w:t>
      </w:r>
      <w:hyperlink r:id="rId27" w:history="1">
        <w:r w:rsidRPr="00867263">
          <w:rPr>
            <w:rStyle w:val="Hyperlink"/>
          </w:rPr>
          <w:t>VC/8</w:t>
        </w:r>
      </w:hyperlink>
      <w:r w:rsidRPr="00867263">
        <w:t>)</w:t>
      </w:r>
    </w:p>
    <w:p w14:paraId="31F93BB6" w14:textId="573F3107" w:rsidR="00E60B40" w:rsidRPr="00867263" w:rsidRDefault="00E60B40" w:rsidP="00BE2D6B">
      <w:pPr>
        <w:spacing w:before="120"/>
      </w:pPr>
      <w:r w:rsidRPr="00867263">
        <w:t>3.1</w:t>
      </w:r>
      <w:r w:rsidRPr="00867263">
        <w:tab/>
      </w:r>
      <w:r w:rsidR="00AF7FE3" w:rsidRPr="00867263">
        <w:t>Le Chef du Département HRMD</w:t>
      </w:r>
      <w:r w:rsidRPr="00867263">
        <w:t>,</w:t>
      </w:r>
      <w:r w:rsidR="00C0603F" w:rsidRPr="00867263">
        <w:t xml:space="preserve"> </w:t>
      </w:r>
      <w:r w:rsidR="00C0603F" w:rsidRPr="00867263">
        <w:rPr>
          <w:lang w:eastAsia="en-GB"/>
        </w:rPr>
        <w:t>présentant les documents, rappelle que le Document</w:t>
      </w:r>
      <w:r w:rsidR="00F12A8B" w:rsidRPr="00867263">
        <w:rPr>
          <w:lang w:eastAsia="en-GB"/>
        </w:rPr>
        <w:t> </w:t>
      </w:r>
      <w:r w:rsidR="00C0603F" w:rsidRPr="00867263">
        <w:rPr>
          <w:lang w:eastAsia="en-GB"/>
        </w:rPr>
        <w:t xml:space="preserve">C20/60 sur la création et le financement d'une nouvelle fonction d'investigation a déjà été présenté à la première consultation virtuelle des Conseillers, et attire l'attention sur la conclusion </w:t>
      </w:r>
      <w:r w:rsidR="00007698" w:rsidRPr="00867263">
        <w:rPr>
          <w:lang w:eastAsia="en-GB"/>
        </w:rPr>
        <w:t>qui</w:t>
      </w:r>
      <w:r w:rsidR="00C0603F" w:rsidRPr="00867263">
        <w:rPr>
          <w:lang w:eastAsia="en-GB"/>
        </w:rPr>
        <w:t xml:space="preserve"> </w:t>
      </w:r>
      <w:r w:rsidR="00161911" w:rsidRPr="00867263">
        <w:rPr>
          <w:lang w:eastAsia="en-GB"/>
        </w:rPr>
        <w:t>a été formulée</w:t>
      </w:r>
      <w:r w:rsidR="00C0603F" w:rsidRPr="00867263">
        <w:rPr>
          <w:lang w:eastAsia="en-GB"/>
        </w:rPr>
        <w:t xml:space="preserve">. Le Document C20/78 </w:t>
      </w:r>
      <w:r w:rsidR="007C7536" w:rsidRPr="00867263">
        <w:rPr>
          <w:lang w:eastAsia="en-GB"/>
        </w:rPr>
        <w:t>présente, dans son</w:t>
      </w:r>
      <w:r w:rsidR="00C0603F" w:rsidRPr="00867263">
        <w:rPr>
          <w:lang w:eastAsia="en-GB"/>
        </w:rPr>
        <w:t xml:space="preserve"> </w:t>
      </w:r>
      <w:r w:rsidR="000D20E9" w:rsidRPr="00867263">
        <w:rPr>
          <w:lang w:eastAsia="en-GB"/>
        </w:rPr>
        <w:t>a</w:t>
      </w:r>
      <w:r w:rsidR="00C0603F" w:rsidRPr="00867263">
        <w:rPr>
          <w:lang w:eastAsia="en-GB"/>
        </w:rPr>
        <w:t>nnexe</w:t>
      </w:r>
      <w:r w:rsidR="007C7536" w:rsidRPr="00867263">
        <w:rPr>
          <w:lang w:eastAsia="en-GB"/>
        </w:rPr>
        <w:t>,</w:t>
      </w:r>
      <w:r w:rsidR="00C0603F" w:rsidRPr="00867263">
        <w:rPr>
          <w:lang w:eastAsia="en-GB"/>
        </w:rPr>
        <w:t xml:space="preserve"> </w:t>
      </w:r>
      <w:r w:rsidR="000D4701" w:rsidRPr="00867263">
        <w:rPr>
          <w:lang w:eastAsia="en-GB"/>
        </w:rPr>
        <w:t xml:space="preserve">le projet de </w:t>
      </w:r>
      <w:r w:rsidR="00C0603F" w:rsidRPr="00867263">
        <w:rPr>
          <w:lang w:eastAsia="en-GB"/>
        </w:rPr>
        <w:t>nouvelle Charte de l'audi</w:t>
      </w:r>
      <w:r w:rsidR="00161911" w:rsidRPr="00867263">
        <w:rPr>
          <w:lang w:eastAsia="en-GB"/>
        </w:rPr>
        <w:t>t interne et de l'investigation</w:t>
      </w:r>
      <w:r w:rsidR="00C0603F" w:rsidRPr="00867263">
        <w:rPr>
          <w:lang w:eastAsia="en-GB"/>
        </w:rPr>
        <w:t xml:space="preserve"> qui </w:t>
      </w:r>
      <w:r w:rsidR="00007698" w:rsidRPr="00867263">
        <w:rPr>
          <w:lang w:eastAsia="en-GB"/>
        </w:rPr>
        <w:t>intègre</w:t>
      </w:r>
      <w:r w:rsidR="00C0603F" w:rsidRPr="00867263">
        <w:rPr>
          <w:lang w:eastAsia="en-GB"/>
        </w:rPr>
        <w:t xml:space="preserve"> le mandat de la nouvelle fonction </w:t>
      </w:r>
      <w:r w:rsidR="00007698" w:rsidRPr="00867263">
        <w:rPr>
          <w:lang w:eastAsia="en-GB"/>
        </w:rPr>
        <w:t>d</w:t>
      </w:r>
      <w:r w:rsidR="00F12A8B" w:rsidRPr="00867263">
        <w:rPr>
          <w:lang w:eastAsia="en-GB"/>
        </w:rPr>
        <w:t>'</w:t>
      </w:r>
      <w:r w:rsidR="00007698" w:rsidRPr="00867263">
        <w:rPr>
          <w:lang w:eastAsia="en-GB"/>
        </w:rPr>
        <w:t>investigation</w:t>
      </w:r>
      <w:r w:rsidR="00C0603F" w:rsidRPr="00867263">
        <w:rPr>
          <w:lang w:eastAsia="en-GB"/>
        </w:rPr>
        <w:t>, comme demandé par l</w:t>
      </w:r>
      <w:r w:rsidR="00007698" w:rsidRPr="00867263">
        <w:rPr>
          <w:lang w:eastAsia="en-GB"/>
        </w:rPr>
        <w:t>a première consultation virtuelle des Conseillers</w:t>
      </w:r>
      <w:r w:rsidR="00C0603F" w:rsidRPr="00867263">
        <w:rPr>
          <w:lang w:eastAsia="en-GB"/>
        </w:rPr>
        <w:t xml:space="preserve">. </w:t>
      </w:r>
      <w:r w:rsidR="00007698" w:rsidRPr="00867263">
        <w:rPr>
          <w:lang w:eastAsia="en-GB"/>
        </w:rPr>
        <w:t>Les</w:t>
      </w:r>
      <w:r w:rsidR="00C0603F" w:rsidRPr="00867263">
        <w:rPr>
          <w:lang w:eastAsia="en-GB"/>
        </w:rPr>
        <w:t xml:space="preserve"> travaux</w:t>
      </w:r>
      <w:r w:rsidR="00007698" w:rsidRPr="00867263">
        <w:rPr>
          <w:lang w:eastAsia="en-GB"/>
        </w:rPr>
        <w:t xml:space="preserve"> doivent se poursuivre pour</w:t>
      </w:r>
      <w:r w:rsidR="00C0603F" w:rsidRPr="00867263">
        <w:rPr>
          <w:lang w:eastAsia="en-GB"/>
        </w:rPr>
        <w:t xml:space="preserve"> intégrer le texte pertinent dans les politiques de l'UIT et procéder à un examen complet des procédures existantes</w:t>
      </w:r>
      <w:r w:rsidR="00007698" w:rsidRPr="00867263">
        <w:t>.</w:t>
      </w:r>
      <w:r w:rsidRPr="00867263">
        <w:t xml:space="preserve"> </w:t>
      </w:r>
    </w:p>
    <w:p w14:paraId="42EC5E42" w14:textId="637F2543" w:rsidR="00006843" w:rsidRPr="00867263" w:rsidRDefault="00E60B40" w:rsidP="00BE2D6B">
      <w:pPr>
        <w:spacing w:before="120"/>
      </w:pPr>
      <w:r w:rsidRPr="00867263">
        <w:t>3.2</w:t>
      </w:r>
      <w:r w:rsidRPr="00867263">
        <w:tab/>
      </w:r>
      <w:r w:rsidR="00504EE8" w:rsidRPr="00867263">
        <w:rPr>
          <w:lang w:eastAsia="en-GB"/>
        </w:rPr>
        <w:t xml:space="preserve">Certains </w:t>
      </w:r>
      <w:r w:rsidR="00007698" w:rsidRPr="00867263">
        <w:rPr>
          <w:lang w:eastAsia="en-GB"/>
        </w:rPr>
        <w:t>C</w:t>
      </w:r>
      <w:r w:rsidR="00B23D0C" w:rsidRPr="00867263">
        <w:rPr>
          <w:lang w:eastAsia="en-GB"/>
        </w:rPr>
        <w:t xml:space="preserve">onseillers, notant que </w:t>
      </w:r>
      <w:r w:rsidR="0087085F" w:rsidRPr="00867263">
        <w:rPr>
          <w:lang w:eastAsia="en-GB"/>
        </w:rPr>
        <w:t>les</w:t>
      </w:r>
      <w:r w:rsidR="00007698" w:rsidRPr="00867263">
        <w:rPr>
          <w:lang w:eastAsia="en-GB"/>
        </w:rPr>
        <w:t xml:space="preserve"> signalements de faits susceptibles de constituer un</w:t>
      </w:r>
      <w:r w:rsidR="004A4734" w:rsidRPr="00867263">
        <w:rPr>
          <w:lang w:eastAsia="en-GB"/>
        </w:rPr>
        <w:t>e faute</w:t>
      </w:r>
      <w:r w:rsidR="00B23D0C" w:rsidRPr="00867263">
        <w:rPr>
          <w:lang w:eastAsia="en-GB"/>
        </w:rPr>
        <w:t xml:space="preserve"> </w:t>
      </w:r>
      <w:r w:rsidR="0087085F" w:rsidRPr="00867263">
        <w:rPr>
          <w:lang w:eastAsia="en-GB"/>
        </w:rPr>
        <w:t>sont</w:t>
      </w:r>
      <w:r w:rsidR="00B23D0C" w:rsidRPr="00867263">
        <w:rPr>
          <w:lang w:eastAsia="en-GB"/>
        </w:rPr>
        <w:t xml:space="preserve"> en augmentation à l</w:t>
      </w:r>
      <w:r w:rsidR="00F12A8B" w:rsidRPr="00867263">
        <w:rPr>
          <w:lang w:eastAsia="en-GB"/>
        </w:rPr>
        <w:t>'</w:t>
      </w:r>
      <w:r w:rsidR="00B23D0C" w:rsidRPr="00867263">
        <w:rPr>
          <w:lang w:eastAsia="en-GB"/>
        </w:rPr>
        <w:t>UIT</w:t>
      </w:r>
      <w:r w:rsidR="00007698" w:rsidRPr="00867263">
        <w:rPr>
          <w:lang w:eastAsia="en-GB"/>
        </w:rPr>
        <w:t xml:space="preserve"> </w:t>
      </w:r>
      <w:r w:rsidR="00A86957" w:rsidRPr="00867263">
        <w:rPr>
          <w:lang w:eastAsia="en-GB"/>
        </w:rPr>
        <w:t xml:space="preserve">ces dernières années, </w:t>
      </w:r>
      <w:r w:rsidR="004A4734" w:rsidRPr="00867263">
        <w:rPr>
          <w:lang w:eastAsia="en-GB"/>
        </w:rPr>
        <w:t>se disent</w:t>
      </w:r>
      <w:r w:rsidR="0087085F" w:rsidRPr="00867263">
        <w:rPr>
          <w:lang w:eastAsia="en-GB"/>
        </w:rPr>
        <w:t xml:space="preserve"> favorables à</w:t>
      </w:r>
      <w:r w:rsidR="00E90D09" w:rsidRPr="00867263">
        <w:rPr>
          <w:lang w:eastAsia="en-GB"/>
        </w:rPr>
        <w:t xml:space="preserve"> l</w:t>
      </w:r>
      <w:r w:rsidR="00007698" w:rsidRPr="00867263">
        <w:rPr>
          <w:lang w:eastAsia="en-GB"/>
        </w:rPr>
        <w:t xml:space="preserve">a création de la fonction </w:t>
      </w:r>
      <w:r w:rsidR="00A86957" w:rsidRPr="00867263">
        <w:rPr>
          <w:lang w:eastAsia="en-GB"/>
        </w:rPr>
        <w:t>d</w:t>
      </w:r>
      <w:r w:rsidR="00F12A8B" w:rsidRPr="00867263">
        <w:rPr>
          <w:lang w:eastAsia="en-GB"/>
        </w:rPr>
        <w:t>'</w:t>
      </w:r>
      <w:r w:rsidR="00A86957" w:rsidRPr="00867263">
        <w:rPr>
          <w:lang w:eastAsia="en-GB"/>
        </w:rPr>
        <w:t>investigation</w:t>
      </w:r>
      <w:r w:rsidR="00007698" w:rsidRPr="00867263">
        <w:rPr>
          <w:lang w:eastAsia="en-GB"/>
        </w:rPr>
        <w:t xml:space="preserve">, bien qu'il faille veiller à éviter </w:t>
      </w:r>
      <w:r w:rsidR="00B23D0C" w:rsidRPr="00867263">
        <w:rPr>
          <w:lang w:eastAsia="en-GB"/>
        </w:rPr>
        <w:t xml:space="preserve">les </w:t>
      </w:r>
      <w:r w:rsidR="004A4734" w:rsidRPr="00867263">
        <w:rPr>
          <w:lang w:eastAsia="en-GB"/>
        </w:rPr>
        <w:t>chevauchements</w:t>
      </w:r>
      <w:r w:rsidR="00B23D0C" w:rsidRPr="00867263">
        <w:rPr>
          <w:lang w:eastAsia="en-GB"/>
        </w:rPr>
        <w:t xml:space="preserve"> </w:t>
      </w:r>
      <w:r w:rsidR="00007698" w:rsidRPr="00867263">
        <w:rPr>
          <w:lang w:eastAsia="en-GB"/>
        </w:rPr>
        <w:t>avec les fonctions existantes. Différent</w:t>
      </w:r>
      <w:r w:rsidR="00006843" w:rsidRPr="00867263">
        <w:rPr>
          <w:lang w:eastAsia="en-GB"/>
        </w:rPr>
        <w:t>e</w:t>
      </w:r>
      <w:r w:rsidR="00007698" w:rsidRPr="00867263">
        <w:rPr>
          <w:lang w:eastAsia="en-GB"/>
        </w:rPr>
        <w:t>s vue</w:t>
      </w:r>
      <w:r w:rsidR="00006843" w:rsidRPr="00867263">
        <w:rPr>
          <w:lang w:eastAsia="en-GB"/>
        </w:rPr>
        <w:t>s</w:t>
      </w:r>
      <w:r w:rsidR="00007698" w:rsidRPr="00867263">
        <w:rPr>
          <w:lang w:eastAsia="en-GB"/>
        </w:rPr>
        <w:t xml:space="preserve"> </w:t>
      </w:r>
      <w:r w:rsidR="00E90D09" w:rsidRPr="00867263">
        <w:rPr>
          <w:lang w:eastAsia="en-GB"/>
        </w:rPr>
        <w:t>son</w:t>
      </w:r>
      <w:r w:rsidR="00504EE8" w:rsidRPr="00867263">
        <w:rPr>
          <w:lang w:eastAsia="en-GB"/>
        </w:rPr>
        <w:t>t</w:t>
      </w:r>
      <w:r w:rsidR="00007698" w:rsidRPr="00867263">
        <w:rPr>
          <w:lang w:eastAsia="en-GB"/>
        </w:rPr>
        <w:t xml:space="preserve"> exprimé</w:t>
      </w:r>
      <w:r w:rsidR="00006843" w:rsidRPr="00867263">
        <w:rPr>
          <w:lang w:eastAsia="en-GB"/>
        </w:rPr>
        <w:t>e</w:t>
      </w:r>
      <w:r w:rsidR="00007698" w:rsidRPr="00867263">
        <w:rPr>
          <w:lang w:eastAsia="en-GB"/>
        </w:rPr>
        <w:t xml:space="preserve">s concernant le niveau du nouveau poste, et la question </w:t>
      </w:r>
      <w:r w:rsidR="004A4734" w:rsidRPr="00867263">
        <w:rPr>
          <w:lang w:eastAsia="en-GB"/>
        </w:rPr>
        <w:t xml:space="preserve">se pose </w:t>
      </w:r>
      <w:r w:rsidR="00007698" w:rsidRPr="00867263">
        <w:rPr>
          <w:lang w:eastAsia="en-GB"/>
        </w:rPr>
        <w:t xml:space="preserve">de savoir comment </w:t>
      </w:r>
      <w:r w:rsidR="004A4734" w:rsidRPr="00867263">
        <w:rPr>
          <w:lang w:eastAsia="en-GB"/>
        </w:rPr>
        <w:t>ce niveau</w:t>
      </w:r>
      <w:r w:rsidR="00006843" w:rsidRPr="00867263">
        <w:rPr>
          <w:lang w:eastAsia="en-GB"/>
        </w:rPr>
        <w:t xml:space="preserve"> </w:t>
      </w:r>
      <w:r w:rsidR="00007698" w:rsidRPr="00867263">
        <w:rPr>
          <w:lang w:eastAsia="en-GB"/>
        </w:rPr>
        <w:t>sera déterminé</w:t>
      </w:r>
      <w:r w:rsidRPr="00867263">
        <w:t>.</w:t>
      </w:r>
    </w:p>
    <w:p w14:paraId="6F50748D" w14:textId="06B5FB09" w:rsidR="007C7536" w:rsidRPr="00867263" w:rsidRDefault="00E90D09" w:rsidP="00BE2D6B">
      <w:pPr>
        <w:spacing w:before="120"/>
      </w:pPr>
      <w:r w:rsidRPr="00867263">
        <w:t>3.3</w:t>
      </w:r>
      <w:r w:rsidR="00F12A8B" w:rsidRPr="00867263">
        <w:tab/>
      </w:r>
      <w:r w:rsidRPr="00867263">
        <w:t>Trois C</w:t>
      </w:r>
      <w:r w:rsidR="00006843" w:rsidRPr="00867263">
        <w:t xml:space="preserve">onseillers </w:t>
      </w:r>
      <w:r w:rsidRPr="00867263">
        <w:t>estiment</w:t>
      </w:r>
      <w:r w:rsidR="00006843" w:rsidRPr="00867263">
        <w:t xml:space="preserve"> que le </w:t>
      </w:r>
      <w:r w:rsidR="00504EE8" w:rsidRPr="00867263">
        <w:t>R</w:t>
      </w:r>
      <w:r w:rsidR="00006843" w:rsidRPr="00867263">
        <w:t xml:space="preserve">apport du Corps commun d'inspection (CCI) concernant les progrès réalisés </w:t>
      </w:r>
      <w:r w:rsidR="00986926" w:rsidRPr="00867263">
        <w:t>par</w:t>
      </w:r>
      <w:r w:rsidR="00006843" w:rsidRPr="00867263">
        <w:t xml:space="preserve"> les organisations du système des Nations Unies </w:t>
      </w:r>
      <w:r w:rsidR="00986926" w:rsidRPr="00867263">
        <w:t>en vue de</w:t>
      </w:r>
      <w:r w:rsidR="00006843" w:rsidRPr="00867263">
        <w:t xml:space="preserve"> renforce</w:t>
      </w:r>
      <w:r w:rsidR="00986926" w:rsidRPr="00867263">
        <w:t>r</w:t>
      </w:r>
      <w:r w:rsidR="00B715BA" w:rsidRPr="00867263">
        <w:t xml:space="preserve"> la fonction d'investigation (D</w:t>
      </w:r>
      <w:r w:rsidR="00006843" w:rsidRPr="00867263">
        <w:t xml:space="preserve">ocument C20/INF/18) </w:t>
      </w:r>
      <w:r w:rsidR="00D07866" w:rsidRPr="00867263">
        <w:t>présente un grand intérêt pour les</w:t>
      </w:r>
      <w:r w:rsidR="00986926" w:rsidRPr="00867263">
        <w:t xml:space="preserve"> débats </w:t>
      </w:r>
      <w:r w:rsidR="008D5F00" w:rsidRPr="00867263">
        <w:t>menés actuellement par le</w:t>
      </w:r>
      <w:r w:rsidR="00986926" w:rsidRPr="00867263">
        <w:t xml:space="preserve"> Conseil, d'autant plus que neuf de</w:t>
      </w:r>
      <w:r w:rsidR="008D5F00" w:rsidRPr="00867263">
        <w:t>s</w:t>
      </w:r>
      <w:r w:rsidR="00986926" w:rsidRPr="00867263">
        <w:t xml:space="preserve"> dix</w:t>
      </w:r>
      <w:r w:rsidR="00006843" w:rsidRPr="00867263">
        <w:t xml:space="preserve"> recommandations </w:t>
      </w:r>
      <w:r w:rsidR="008D5F00" w:rsidRPr="00867263">
        <w:t xml:space="preserve">formulées dans ce rapport </w:t>
      </w:r>
      <w:r w:rsidR="00006843" w:rsidRPr="00867263">
        <w:t xml:space="preserve">s'adressent aux organes </w:t>
      </w:r>
      <w:r w:rsidR="00B715BA" w:rsidRPr="00867263">
        <w:t>délibérants</w:t>
      </w:r>
      <w:r w:rsidR="00006843" w:rsidRPr="00867263">
        <w:t>.</w:t>
      </w:r>
    </w:p>
    <w:p w14:paraId="2287343A" w14:textId="7A8C9FAC" w:rsidR="007C7536" w:rsidRPr="00867263" w:rsidRDefault="00006843" w:rsidP="00BE2D6B">
      <w:pPr>
        <w:spacing w:before="120"/>
      </w:pPr>
      <w:r w:rsidRPr="00867263">
        <w:t>3.4</w:t>
      </w:r>
      <w:r w:rsidR="00D44E63" w:rsidRPr="00867263">
        <w:tab/>
      </w:r>
      <w:r w:rsidRPr="00867263">
        <w:t xml:space="preserve">Une </w:t>
      </w:r>
      <w:r w:rsidR="00986926" w:rsidRPr="00867263">
        <w:t>C</w:t>
      </w:r>
      <w:r w:rsidRPr="00867263">
        <w:t xml:space="preserve">onseillère, </w:t>
      </w:r>
      <w:r w:rsidR="00B715BA" w:rsidRPr="00867263">
        <w:t>évoquant</w:t>
      </w:r>
      <w:r w:rsidRPr="00867263">
        <w:t xml:space="preserve"> la </w:t>
      </w:r>
      <w:r w:rsidR="00986926" w:rsidRPr="00867263">
        <w:t>Charte de l'audit interne et de l'investigation</w:t>
      </w:r>
      <w:r w:rsidRPr="00867263">
        <w:t xml:space="preserve">, </w:t>
      </w:r>
      <w:r w:rsidR="00504EE8" w:rsidRPr="00867263">
        <w:t xml:space="preserve">dit </w:t>
      </w:r>
      <w:r w:rsidR="00B715BA" w:rsidRPr="00867263">
        <w:t xml:space="preserve">souhaiter </w:t>
      </w:r>
      <w:r w:rsidRPr="00867263">
        <w:t xml:space="preserve">des précisions sur les rôles et responsabilités de </w:t>
      </w:r>
      <w:r w:rsidR="00986926" w:rsidRPr="00867263">
        <w:t>l'Unité d'investigation</w:t>
      </w:r>
      <w:r w:rsidRPr="00867263">
        <w:t>, s</w:t>
      </w:r>
      <w:r w:rsidR="00AD1A9B" w:rsidRPr="00867263">
        <w:t>ur s</w:t>
      </w:r>
      <w:r w:rsidRPr="00867263">
        <w:t>es modalités d'action et</w:t>
      </w:r>
      <w:r w:rsidR="00AD1A9B" w:rsidRPr="00867263">
        <w:t xml:space="preserve"> sur </w:t>
      </w:r>
      <w:r w:rsidRPr="00867263">
        <w:t xml:space="preserve">les </w:t>
      </w:r>
      <w:r w:rsidR="00AD1A9B" w:rsidRPr="00867263">
        <w:t>secteurs particulièrement exposés à des risques de fraude, de corruption et d'autres irrégularités</w:t>
      </w:r>
      <w:r w:rsidRPr="00867263">
        <w:t xml:space="preserve">. Un mécanisme </w:t>
      </w:r>
      <w:r w:rsidR="00F479D8" w:rsidRPr="00867263">
        <w:t>destiné</w:t>
      </w:r>
      <w:r w:rsidRPr="00867263">
        <w:t xml:space="preserve"> à promouvoir un</w:t>
      </w:r>
      <w:r w:rsidR="00F479D8" w:rsidRPr="00867263">
        <w:t>e coordination étroite entre l'Unité d</w:t>
      </w:r>
      <w:r w:rsidR="00504EE8" w:rsidRPr="00867263">
        <w:t>e l</w:t>
      </w:r>
      <w:r w:rsidR="00F479D8" w:rsidRPr="00867263">
        <w:t>'audit interne et l'U</w:t>
      </w:r>
      <w:r w:rsidRPr="00867263">
        <w:t xml:space="preserve">nité </w:t>
      </w:r>
      <w:r w:rsidR="00504EE8" w:rsidRPr="00867263">
        <w:t>d</w:t>
      </w:r>
      <w:r w:rsidR="00F12A8B" w:rsidRPr="00867263">
        <w:t>'</w:t>
      </w:r>
      <w:r w:rsidR="00504EE8" w:rsidRPr="00867263">
        <w:t>investigation</w:t>
      </w:r>
      <w:r w:rsidRPr="00867263">
        <w:t xml:space="preserve"> serait utile, </w:t>
      </w:r>
      <w:r w:rsidR="00745655" w:rsidRPr="00867263">
        <w:t>de même que</w:t>
      </w:r>
      <w:r w:rsidR="00FE029D" w:rsidRPr="00867263">
        <w:t xml:space="preserve"> la séparation claire des fonctions</w:t>
      </w:r>
      <w:r w:rsidRPr="00867263">
        <w:t xml:space="preserve"> </w:t>
      </w:r>
      <w:r w:rsidR="00704566" w:rsidRPr="00867263">
        <w:t>de ces</w:t>
      </w:r>
      <w:r w:rsidR="00F479D8" w:rsidRPr="00867263">
        <w:t xml:space="preserve"> Unité</w:t>
      </w:r>
      <w:r w:rsidR="00704566" w:rsidRPr="00867263">
        <w:t>s</w:t>
      </w:r>
      <w:r w:rsidR="00F479D8" w:rsidRPr="00867263">
        <w:t xml:space="preserve"> </w:t>
      </w:r>
      <w:r w:rsidR="00E93311" w:rsidRPr="00867263">
        <w:t>de</w:t>
      </w:r>
      <w:r w:rsidR="00FE029D" w:rsidRPr="00867263">
        <w:t xml:space="preserve"> celles</w:t>
      </w:r>
      <w:r w:rsidRPr="00867263">
        <w:t xml:space="preserve"> du </w:t>
      </w:r>
      <w:r w:rsidR="00F479D8" w:rsidRPr="00867263">
        <w:t>B</w:t>
      </w:r>
      <w:r w:rsidRPr="00867263">
        <w:t>ureau d</w:t>
      </w:r>
      <w:r w:rsidR="00F479D8" w:rsidRPr="00867263">
        <w:t>e l</w:t>
      </w:r>
      <w:r w:rsidRPr="00867263">
        <w:t>'éthique. Les rapports de l'</w:t>
      </w:r>
      <w:r w:rsidR="00704566" w:rsidRPr="00867263">
        <w:t>U</w:t>
      </w:r>
      <w:r w:rsidRPr="00867263">
        <w:t xml:space="preserve">nité </w:t>
      </w:r>
      <w:r w:rsidR="00F479D8" w:rsidRPr="00867263">
        <w:t>d</w:t>
      </w:r>
      <w:r w:rsidR="00F12A8B" w:rsidRPr="00867263">
        <w:t>'</w:t>
      </w:r>
      <w:r w:rsidR="00F479D8" w:rsidRPr="00867263">
        <w:t>investigation</w:t>
      </w:r>
      <w:r w:rsidRPr="00867263">
        <w:t xml:space="preserve"> devraient être mis à la disposition du </w:t>
      </w:r>
      <w:r w:rsidR="00F479D8" w:rsidRPr="00867263">
        <w:t>Comité consultatif indépendant pour les questions de gestion (CCIG)</w:t>
      </w:r>
      <w:r w:rsidRPr="00867263">
        <w:t>.</w:t>
      </w:r>
      <w:r w:rsidR="007C7536" w:rsidRPr="00867263">
        <w:t xml:space="preserve"> </w:t>
      </w:r>
    </w:p>
    <w:p w14:paraId="0B83A467" w14:textId="77777777" w:rsidR="00C570D6" w:rsidRDefault="00C570D6" w:rsidP="00BE2D6B">
      <w:pPr>
        <w:spacing w:before="120"/>
      </w:pPr>
      <w:r>
        <w:br w:type="page"/>
      </w:r>
    </w:p>
    <w:p w14:paraId="231A78F4" w14:textId="47365C67" w:rsidR="007C7536" w:rsidRPr="00867263" w:rsidRDefault="00006843" w:rsidP="00BE2D6B">
      <w:pPr>
        <w:spacing w:before="120"/>
      </w:pPr>
      <w:r w:rsidRPr="00867263">
        <w:lastRenderedPageBreak/>
        <w:t>3.5</w:t>
      </w:r>
      <w:r w:rsidR="00D44E63" w:rsidRPr="00867263">
        <w:tab/>
      </w:r>
      <w:r w:rsidR="00F479D8" w:rsidRPr="00867263">
        <w:t>Le C</w:t>
      </w:r>
      <w:r w:rsidRPr="00867263">
        <w:t>onsei</w:t>
      </w:r>
      <w:r w:rsidR="00D55A11" w:rsidRPr="00867263">
        <w:t xml:space="preserve">ller de la Fédération de Russie se dit réticent à </w:t>
      </w:r>
      <w:r w:rsidR="00E93311" w:rsidRPr="00867263">
        <w:t>accepter</w:t>
      </w:r>
      <w:r w:rsidR="00D55A11" w:rsidRPr="00867263">
        <w:t xml:space="preserve"> la c</w:t>
      </w:r>
      <w:r w:rsidRPr="00867263">
        <w:t>réation de la nouvelle fonction. Il serait préférable d'accroître l'efficacité des organes d'audit interne et externe de l'UIT, qui sont déjà en nombre suffisant, notamment en</w:t>
      </w:r>
      <w:r w:rsidR="007C7536" w:rsidRPr="00867263">
        <w:t xml:space="preserve"> améliorant la coordination. Le</w:t>
      </w:r>
      <w:r w:rsidR="00D55A11" w:rsidRPr="00867263">
        <w:t xml:space="preserve"> </w:t>
      </w:r>
      <w:r w:rsidR="007C7536" w:rsidRPr="00867263">
        <w:t>texte proposé pour</w:t>
      </w:r>
      <w:r w:rsidR="00D55A11" w:rsidRPr="00867263">
        <w:t xml:space="preserve"> la </w:t>
      </w:r>
      <w:r w:rsidRPr="00867263">
        <w:t xml:space="preserve">nouvelle </w:t>
      </w:r>
      <w:r w:rsidR="00D55A11" w:rsidRPr="00867263">
        <w:t>C</w:t>
      </w:r>
      <w:r w:rsidRPr="00867263">
        <w:t xml:space="preserve">harte </w:t>
      </w:r>
      <w:r w:rsidR="00E93311" w:rsidRPr="00867263">
        <w:t>devrait</w:t>
      </w:r>
      <w:r w:rsidRPr="00867263">
        <w:t xml:space="preserve"> être soumis au </w:t>
      </w:r>
      <w:r w:rsidR="00D55A11" w:rsidRPr="00867263">
        <w:t xml:space="preserve">GTC-FHR </w:t>
      </w:r>
      <w:r w:rsidRPr="00867263">
        <w:t>pour examen préliminaire.</w:t>
      </w:r>
      <w:r w:rsidR="007C7536" w:rsidRPr="00867263">
        <w:t xml:space="preserve"> </w:t>
      </w:r>
    </w:p>
    <w:p w14:paraId="69B42C15" w14:textId="03BD8524" w:rsidR="00111897" w:rsidRPr="00867263" w:rsidRDefault="00006843" w:rsidP="00BE2D6B">
      <w:pPr>
        <w:spacing w:before="120"/>
      </w:pPr>
      <w:r w:rsidRPr="00867263">
        <w:t>3.6</w:t>
      </w:r>
      <w:r w:rsidR="00D44E63" w:rsidRPr="00867263">
        <w:tab/>
      </w:r>
      <w:r w:rsidRPr="00867263">
        <w:t xml:space="preserve">Le Chef du </w:t>
      </w:r>
      <w:r w:rsidR="00D55A11" w:rsidRPr="00867263">
        <w:t xml:space="preserve">Département HRMD, répondant </w:t>
      </w:r>
      <w:r w:rsidR="009E5623" w:rsidRPr="00867263">
        <w:t>aux</w:t>
      </w:r>
      <w:r w:rsidR="00D55A11" w:rsidRPr="00867263">
        <w:t xml:space="preserve"> observations</w:t>
      </w:r>
      <w:r w:rsidRPr="00867263">
        <w:t xml:space="preserve">, </w:t>
      </w:r>
      <w:r w:rsidR="00746568" w:rsidRPr="00867263">
        <w:t>souligne</w:t>
      </w:r>
      <w:r w:rsidRPr="00867263">
        <w:t xml:space="preserve"> que la proposition de </w:t>
      </w:r>
      <w:r w:rsidR="009E5623" w:rsidRPr="00867263">
        <w:t>création d</w:t>
      </w:r>
      <w:r w:rsidR="00F12A8B" w:rsidRPr="00867263">
        <w:t>'</w:t>
      </w:r>
      <w:r w:rsidRPr="00867263">
        <w:t xml:space="preserve">une fonction </w:t>
      </w:r>
      <w:r w:rsidR="009E5623" w:rsidRPr="00867263">
        <w:t>d</w:t>
      </w:r>
      <w:r w:rsidR="00F12A8B" w:rsidRPr="00867263">
        <w:t>'</w:t>
      </w:r>
      <w:r w:rsidR="009E5623" w:rsidRPr="00867263">
        <w:t>investigation</w:t>
      </w:r>
      <w:r w:rsidRPr="00867263">
        <w:t xml:space="preserve"> indépendante </w:t>
      </w:r>
      <w:r w:rsidR="00E93311" w:rsidRPr="00867263">
        <w:t>s</w:t>
      </w:r>
      <w:r w:rsidR="00F12A8B" w:rsidRPr="00867263">
        <w:t>'</w:t>
      </w:r>
      <w:r w:rsidR="00E93311" w:rsidRPr="00867263">
        <w:t>inscrit dans la droite ligne d</w:t>
      </w:r>
      <w:r w:rsidR="00E239D8" w:rsidRPr="00867263">
        <w:t>es</w:t>
      </w:r>
      <w:r w:rsidRPr="00867263">
        <w:t xml:space="preserve"> c</w:t>
      </w:r>
      <w:r w:rsidR="00E93311" w:rsidRPr="00867263">
        <w:t>onclusions et recommandations formulées dans le</w:t>
      </w:r>
      <w:r w:rsidRPr="00867263">
        <w:t xml:space="preserve"> rapport du CCI (Document C20/INF/18). Toutes les recommandations de ce rapport seront prises en considération dans les travaux en cours. Les </w:t>
      </w:r>
      <w:r w:rsidR="00CF7F07" w:rsidRPr="00867263">
        <w:t>investigations</w:t>
      </w:r>
      <w:r w:rsidRPr="00867263">
        <w:t xml:space="preserve"> </w:t>
      </w:r>
      <w:r w:rsidR="00A26693" w:rsidRPr="00867263">
        <w:t>menées actuellement</w:t>
      </w:r>
      <w:r w:rsidRPr="00867263">
        <w:t xml:space="preserve"> ne constituent pas une fonction </w:t>
      </w:r>
      <w:r w:rsidR="00746568" w:rsidRPr="00867263">
        <w:t>centrale</w:t>
      </w:r>
      <w:r w:rsidRPr="00867263">
        <w:t xml:space="preserve"> des </w:t>
      </w:r>
      <w:r w:rsidR="00746568" w:rsidRPr="00867263">
        <w:t>U</w:t>
      </w:r>
      <w:r w:rsidRPr="00867263">
        <w:t xml:space="preserve">nités concernées et </w:t>
      </w:r>
      <w:r w:rsidR="00111897" w:rsidRPr="00867263">
        <w:t>pèsent sur</w:t>
      </w:r>
      <w:r w:rsidRPr="00867263">
        <w:t xml:space="preserve"> </w:t>
      </w:r>
      <w:r w:rsidR="00111897" w:rsidRPr="00867263">
        <w:t>l</w:t>
      </w:r>
      <w:r w:rsidR="00F12A8B" w:rsidRPr="00867263">
        <w:t>'</w:t>
      </w:r>
      <w:r w:rsidR="00111897" w:rsidRPr="00867263">
        <w:t>exécution</w:t>
      </w:r>
      <w:r w:rsidRPr="00867263">
        <w:t xml:space="preserve"> des tâches</w:t>
      </w:r>
      <w:r w:rsidR="00746568" w:rsidRPr="00867263">
        <w:t xml:space="preserve"> </w:t>
      </w:r>
      <w:r w:rsidR="00A26693" w:rsidRPr="00867263">
        <w:t>confiées</w:t>
      </w:r>
      <w:r w:rsidR="00111897" w:rsidRPr="00867263">
        <w:t xml:space="preserve"> à ces dernières</w:t>
      </w:r>
      <w:r w:rsidRPr="00867263">
        <w:t xml:space="preserve">. Le poste ne peut pas être financé par le budget </w:t>
      </w:r>
      <w:r w:rsidR="00A26693" w:rsidRPr="00867263">
        <w:t xml:space="preserve">pour </w:t>
      </w:r>
      <w:r w:rsidRPr="00867263">
        <w:t xml:space="preserve">2022-2023, </w:t>
      </w:r>
      <w:r w:rsidR="00111897" w:rsidRPr="00867263">
        <w:t>puisque le</w:t>
      </w:r>
      <w:r w:rsidRPr="00867263">
        <w:t xml:space="preserve"> plan financier approuvé à la PP-18</w:t>
      </w:r>
      <w:r w:rsidR="00111897" w:rsidRPr="00867263">
        <w:t xml:space="preserve"> ne prévoit aucun crédit à cet effet</w:t>
      </w:r>
      <w:r w:rsidR="00A26693" w:rsidRPr="00867263">
        <w:t xml:space="preserve">. Les </w:t>
      </w:r>
      <w:r w:rsidRPr="00867263">
        <w:t>travaux</w:t>
      </w:r>
      <w:r w:rsidR="00A26693" w:rsidRPr="00867263">
        <w:t xml:space="preserve"> complémentaires nécessaires pour intégrer la nouvelle U</w:t>
      </w:r>
      <w:r w:rsidRPr="00867263">
        <w:t xml:space="preserve">nité </w:t>
      </w:r>
      <w:r w:rsidR="00A26693" w:rsidRPr="00867263">
        <w:t>d</w:t>
      </w:r>
      <w:r w:rsidR="00F12A8B" w:rsidRPr="00867263">
        <w:t>'</w:t>
      </w:r>
      <w:r w:rsidR="00A26693" w:rsidRPr="00867263">
        <w:t>investigation</w:t>
      </w:r>
      <w:r w:rsidRPr="00867263">
        <w:t xml:space="preserve"> dans les textes pertinents des politiques de l'UIT et </w:t>
      </w:r>
      <w:r w:rsidR="00111897" w:rsidRPr="00867263">
        <w:t>faire en sorte</w:t>
      </w:r>
      <w:r w:rsidRPr="00867263">
        <w:t xml:space="preserve"> que les fonctions des entités concernées soient clairement </w:t>
      </w:r>
      <w:r w:rsidR="00E93311" w:rsidRPr="00867263">
        <w:t>définies</w:t>
      </w:r>
      <w:r w:rsidRPr="00867263">
        <w:t xml:space="preserve"> devraient </w:t>
      </w:r>
      <w:r w:rsidR="00A26693" w:rsidRPr="00867263">
        <w:t>débuter</w:t>
      </w:r>
      <w:r w:rsidRPr="00867263">
        <w:t xml:space="preserve"> avant la prochaine session physique du Conseil. Les propositions du secrétariat à cet égard seront soumises au </w:t>
      </w:r>
      <w:r w:rsidR="0034155D" w:rsidRPr="00867263">
        <w:t>GTC-FHR</w:t>
      </w:r>
      <w:r w:rsidRPr="00867263">
        <w:t xml:space="preserve"> pour examen.</w:t>
      </w:r>
    </w:p>
    <w:p w14:paraId="60EB07A3" w14:textId="33C51AF8" w:rsidR="00F373FE" w:rsidRPr="00867263" w:rsidRDefault="00006843" w:rsidP="00BE2D6B">
      <w:pPr>
        <w:spacing w:before="120"/>
      </w:pPr>
      <w:r w:rsidRPr="00867263">
        <w:t>3.7</w:t>
      </w:r>
      <w:r w:rsidR="00D44E63" w:rsidRPr="00867263">
        <w:tab/>
      </w:r>
      <w:r w:rsidRPr="00867263">
        <w:t xml:space="preserve">Le Secrétaire général </w:t>
      </w:r>
      <w:r w:rsidR="00FD53D6" w:rsidRPr="00867263">
        <w:t xml:space="preserve">fait </w:t>
      </w:r>
      <w:r w:rsidR="00E93311" w:rsidRPr="00867263">
        <w:t>observer</w:t>
      </w:r>
      <w:r w:rsidR="00FD53D6" w:rsidRPr="00867263">
        <w:t xml:space="preserve"> </w:t>
      </w:r>
      <w:r w:rsidR="0034155D" w:rsidRPr="00867263">
        <w:t>que</w:t>
      </w:r>
      <w:r w:rsidR="00E93311" w:rsidRPr="00867263">
        <w:t>,</w:t>
      </w:r>
      <w:r w:rsidR="00111897" w:rsidRPr="00867263">
        <w:t xml:space="preserve"> depuis plusieurs</w:t>
      </w:r>
      <w:r w:rsidR="0034155D" w:rsidRPr="00867263">
        <w:t xml:space="preserve"> années,</w:t>
      </w:r>
      <w:r w:rsidRPr="00867263">
        <w:t xml:space="preserve"> l'UIT</w:t>
      </w:r>
      <w:r w:rsidR="0034155D" w:rsidRPr="00867263">
        <w:t xml:space="preserve"> </w:t>
      </w:r>
      <w:r w:rsidRPr="00867263">
        <w:t>utilis</w:t>
      </w:r>
      <w:r w:rsidR="0034155D" w:rsidRPr="00867263">
        <w:t>e</w:t>
      </w:r>
      <w:r w:rsidRPr="00867263">
        <w:t xml:space="preserve"> ses ressources internes existantes pour enquêter sur un nombre croissant d'allégations de faute, mais que le</w:t>
      </w:r>
      <w:r w:rsidR="0034155D" w:rsidRPr="00867263">
        <w:t xml:space="preserve">s </w:t>
      </w:r>
      <w:r w:rsidR="00441841" w:rsidRPr="00867263">
        <w:t xml:space="preserve">fonctionnaires </w:t>
      </w:r>
      <w:r w:rsidRPr="00867263">
        <w:t>de l'</w:t>
      </w:r>
      <w:r w:rsidR="0034155D" w:rsidRPr="00867263">
        <w:t xml:space="preserve">UIT ne sont pas des </w:t>
      </w:r>
      <w:r w:rsidRPr="00867263">
        <w:t>enquêteur</w:t>
      </w:r>
      <w:r w:rsidR="0034155D" w:rsidRPr="00867263">
        <w:t>s</w:t>
      </w:r>
      <w:r w:rsidRPr="00867263">
        <w:t xml:space="preserve"> professionnel</w:t>
      </w:r>
      <w:r w:rsidR="0034155D" w:rsidRPr="00867263">
        <w:t>s</w:t>
      </w:r>
      <w:r w:rsidRPr="00867263">
        <w:t xml:space="preserve"> et que</w:t>
      </w:r>
      <w:r w:rsidR="00441841" w:rsidRPr="00867263">
        <w:t xml:space="preserve"> </w:t>
      </w:r>
      <w:r w:rsidR="00FD53D6" w:rsidRPr="00867263">
        <w:t>l</w:t>
      </w:r>
      <w:r w:rsidR="006D3C16" w:rsidRPr="00867263">
        <w:t>eur</w:t>
      </w:r>
      <w:r w:rsidR="00FD53D6" w:rsidRPr="00867263">
        <w:t>s capacités sont mises</w:t>
      </w:r>
      <w:r w:rsidR="00441841" w:rsidRPr="00867263">
        <w:t xml:space="preserve"> à l</w:t>
      </w:r>
      <w:r w:rsidR="00F12A8B" w:rsidRPr="00867263">
        <w:t>'</w:t>
      </w:r>
      <w:r w:rsidR="00441841" w:rsidRPr="00867263">
        <w:t>épreuve</w:t>
      </w:r>
      <w:r w:rsidR="0056580E" w:rsidRPr="00867263">
        <w:t>.</w:t>
      </w:r>
      <w:r w:rsidR="003D4DDF" w:rsidRPr="00867263">
        <w:t xml:space="preserve"> L</w:t>
      </w:r>
      <w:r w:rsidRPr="00867263">
        <w:t xml:space="preserve">e </w:t>
      </w:r>
      <w:r w:rsidR="00441841" w:rsidRPr="00867263">
        <w:t xml:space="preserve">CCIG </w:t>
      </w:r>
      <w:r w:rsidR="003D4DDF" w:rsidRPr="00867263">
        <w:t>s</w:t>
      </w:r>
      <w:r w:rsidR="00F12A8B" w:rsidRPr="00867263">
        <w:t>'</w:t>
      </w:r>
      <w:r w:rsidR="003D4DDF" w:rsidRPr="00867263">
        <w:t xml:space="preserve">est dernièrement dit préoccupé </w:t>
      </w:r>
      <w:r w:rsidR="008D1E3D" w:rsidRPr="00867263">
        <w:t>de l</w:t>
      </w:r>
      <w:r w:rsidR="00F12A8B" w:rsidRPr="00867263">
        <w:t>'</w:t>
      </w:r>
      <w:r w:rsidR="008D1E3D" w:rsidRPr="00867263">
        <w:t>incidence</w:t>
      </w:r>
      <w:r w:rsidRPr="00867263">
        <w:t xml:space="preserve"> des enquêtes sur </w:t>
      </w:r>
      <w:r w:rsidR="0019649B" w:rsidRPr="00867263">
        <w:t>la charge de</w:t>
      </w:r>
      <w:r w:rsidRPr="00867263">
        <w:t xml:space="preserve"> travail </w:t>
      </w:r>
      <w:r w:rsidR="0019649B" w:rsidRPr="00867263">
        <w:t xml:space="preserve">importante </w:t>
      </w:r>
      <w:r w:rsidRPr="00867263">
        <w:t>de l'Unité d</w:t>
      </w:r>
      <w:r w:rsidR="00FD53D6" w:rsidRPr="00867263">
        <w:t>e l</w:t>
      </w:r>
      <w:r w:rsidRPr="00867263">
        <w:t xml:space="preserve">'audit interne. Rappelant la conclusion </w:t>
      </w:r>
      <w:r w:rsidR="00E93311" w:rsidRPr="00867263">
        <w:t>formulée</w:t>
      </w:r>
      <w:r w:rsidR="00CA5955" w:rsidRPr="00867263">
        <w:t xml:space="preserve"> à la première consultatio</w:t>
      </w:r>
      <w:r w:rsidR="00FD53D6" w:rsidRPr="00867263">
        <w:t>n virtuelle des Conseillers</w:t>
      </w:r>
      <w:r w:rsidR="003D4DDF" w:rsidRPr="00867263">
        <w:t xml:space="preserve">, il </w:t>
      </w:r>
      <w:r w:rsidR="008D1E3D" w:rsidRPr="00867263">
        <w:t>souligne</w:t>
      </w:r>
      <w:r w:rsidRPr="00867263">
        <w:t xml:space="preserve"> qu'il n'a pa</w:t>
      </w:r>
      <w:r w:rsidR="008D1E3D" w:rsidRPr="00867263">
        <w:t>s été possible de convoquer une session physique du Conseil et demande au C</w:t>
      </w:r>
      <w:r w:rsidRPr="00867263">
        <w:t>onseiller de la Fédération de Russie de reconsidérer son point de vue, compte tenu de la nécessité urgente pour l'</w:t>
      </w:r>
      <w:r w:rsidR="00F373FE" w:rsidRPr="00867263">
        <w:t>UIT de renforcer sa fonction d'investigation</w:t>
      </w:r>
      <w:r w:rsidRPr="00867263">
        <w:t>. Les recommandations du CCI ser</w:t>
      </w:r>
      <w:r w:rsidR="00F373FE" w:rsidRPr="00867263">
        <w:t>o</w:t>
      </w:r>
      <w:r w:rsidRPr="00867263">
        <w:t>n</w:t>
      </w:r>
      <w:r w:rsidR="00F373FE" w:rsidRPr="00867263">
        <w:t xml:space="preserve">t utiles pour éviter les </w:t>
      </w:r>
      <w:r w:rsidR="0019649B" w:rsidRPr="00867263">
        <w:t>chevauchements</w:t>
      </w:r>
      <w:r w:rsidRPr="00867263">
        <w:t xml:space="preserve"> avec les structures existantes au s</w:t>
      </w:r>
      <w:r w:rsidR="00F373FE" w:rsidRPr="00867263">
        <w:t>ein de l'Union, et l'UIT tirera des enseignements de l'expérience d'autres o</w:t>
      </w:r>
      <w:r w:rsidRPr="00867263">
        <w:t xml:space="preserve">rganisations </w:t>
      </w:r>
      <w:r w:rsidR="00F373FE" w:rsidRPr="00867263">
        <w:t>disposant</w:t>
      </w:r>
      <w:r w:rsidRPr="00867263">
        <w:t xml:space="preserve"> de tels postes. La création d'une nouvelle fonction </w:t>
      </w:r>
      <w:r w:rsidR="00F373FE" w:rsidRPr="00867263">
        <w:t>d</w:t>
      </w:r>
      <w:r w:rsidR="00F12A8B" w:rsidRPr="00867263">
        <w:t>'</w:t>
      </w:r>
      <w:r w:rsidR="00F373FE" w:rsidRPr="00867263">
        <w:t>investigation</w:t>
      </w:r>
      <w:r w:rsidRPr="00867263">
        <w:t xml:space="preserve"> contribuera à améliorer l'efficacité des organes existants </w:t>
      </w:r>
      <w:r w:rsidR="00F373FE" w:rsidRPr="00867263">
        <w:t>de</w:t>
      </w:r>
      <w:r w:rsidRPr="00867263">
        <w:t xml:space="preserve"> l'UIT</w:t>
      </w:r>
      <w:r w:rsidR="00F373FE" w:rsidRPr="00867263">
        <w:t>.</w:t>
      </w:r>
      <w:r w:rsidRPr="00867263">
        <w:t xml:space="preserve"> </w:t>
      </w:r>
    </w:p>
    <w:p w14:paraId="765260A5" w14:textId="267ECCB3" w:rsidR="007E6458" w:rsidRPr="00867263" w:rsidRDefault="009C54FB" w:rsidP="00BE2D6B">
      <w:pPr>
        <w:spacing w:before="120"/>
      </w:pPr>
      <w:r w:rsidRPr="00867263">
        <w:t>3.8</w:t>
      </w:r>
      <w:r w:rsidR="00D44E63" w:rsidRPr="00867263">
        <w:tab/>
      </w:r>
      <w:r w:rsidRPr="00867263">
        <w:t xml:space="preserve">L'auditeur interne </w:t>
      </w:r>
      <w:r w:rsidR="00FE029D" w:rsidRPr="00867263">
        <w:t>fait savoir qu</w:t>
      </w:r>
      <w:r w:rsidR="00F12A8B" w:rsidRPr="00867263">
        <w:t>'</w:t>
      </w:r>
      <w:r w:rsidR="00FE029D" w:rsidRPr="00867263">
        <w:t>il sera tenu compte de</w:t>
      </w:r>
      <w:r w:rsidR="00006843" w:rsidRPr="00867263">
        <w:t xml:space="preserve"> tous les points soulevés </w:t>
      </w:r>
      <w:r w:rsidRPr="00867263">
        <w:t>pendant les débats</w:t>
      </w:r>
      <w:r w:rsidR="00006843" w:rsidRPr="00867263">
        <w:t xml:space="preserve"> et </w:t>
      </w:r>
      <w:r w:rsidR="00FE029D" w:rsidRPr="00867263">
        <w:t xml:space="preserve">de </w:t>
      </w:r>
      <w:r w:rsidRPr="00867263">
        <w:t>toutes les recommandations du CCI au moment de</w:t>
      </w:r>
      <w:r w:rsidR="00006843" w:rsidRPr="00867263">
        <w:t xml:space="preserve"> l'élaboration </w:t>
      </w:r>
      <w:r w:rsidRPr="00867263">
        <w:t>de la version révisée de la C</w:t>
      </w:r>
      <w:r w:rsidR="00006843" w:rsidRPr="00867263">
        <w:t xml:space="preserve">harte de l'audit interne et de </w:t>
      </w:r>
      <w:r w:rsidR="00EA3C70" w:rsidRPr="00867263">
        <w:t>l'</w:t>
      </w:r>
      <w:r w:rsidRPr="00867263">
        <w:t>investigation qui sera présentée à la session de 2021 du Conseil pour approbation. Répondant</w:t>
      </w:r>
      <w:r w:rsidR="00006843" w:rsidRPr="00867263">
        <w:t xml:space="preserve"> à une observation sur la fréquence de la révision</w:t>
      </w:r>
      <w:r w:rsidRPr="00867263">
        <w:t xml:space="preserve">, </w:t>
      </w:r>
      <w:r w:rsidR="00FE029D" w:rsidRPr="00867263">
        <w:t xml:space="preserve">il </w:t>
      </w:r>
      <w:r w:rsidRPr="00867263">
        <w:t>rapp</w:t>
      </w:r>
      <w:r w:rsidR="00FE029D" w:rsidRPr="00867263">
        <w:t>elle que le Conseil a</w:t>
      </w:r>
      <w:r w:rsidR="00006843" w:rsidRPr="00867263">
        <w:t xml:space="preserve"> précédemment pris note de la recommandation du CCI </w:t>
      </w:r>
      <w:r w:rsidR="00FE029D" w:rsidRPr="00867263">
        <w:t xml:space="preserve">qui </w:t>
      </w:r>
      <w:r w:rsidRPr="00867263">
        <w:t>préconis</w:t>
      </w:r>
      <w:r w:rsidR="00FE029D" w:rsidRPr="00867263">
        <w:t>e</w:t>
      </w:r>
      <w:r w:rsidRPr="00867263">
        <w:t xml:space="preserve"> une révision de la C</w:t>
      </w:r>
      <w:r w:rsidR="00006843" w:rsidRPr="00867263">
        <w:t xml:space="preserve">harte de l'audit interne au moins tous les trois à cinq ans. Une option consisterait à </w:t>
      </w:r>
      <w:r w:rsidRPr="00867263">
        <w:t>séparer</w:t>
      </w:r>
      <w:r w:rsidR="00006843" w:rsidRPr="00867263">
        <w:t xml:space="preserve"> la </w:t>
      </w:r>
      <w:r w:rsidRPr="00867263">
        <w:t xml:space="preserve">Charte de l'audit interne de </w:t>
      </w:r>
      <w:r w:rsidR="00006843" w:rsidRPr="00867263">
        <w:t xml:space="preserve">celle de l'investigation, </w:t>
      </w:r>
      <w:r w:rsidR="0019649B" w:rsidRPr="00867263">
        <w:t>puis</w:t>
      </w:r>
      <w:r w:rsidR="00FE029D" w:rsidRPr="00867263">
        <w:t xml:space="preserve">que </w:t>
      </w:r>
      <w:r w:rsidR="0019649B" w:rsidRPr="00867263">
        <w:t>c</w:t>
      </w:r>
      <w:r w:rsidR="00FE029D" w:rsidRPr="00867263">
        <w:t>es</w:t>
      </w:r>
      <w:r w:rsidR="00006843" w:rsidRPr="00867263">
        <w:t xml:space="preserve"> deux fonctions </w:t>
      </w:r>
      <w:r w:rsidR="00FE029D" w:rsidRPr="00867263">
        <w:t>sont</w:t>
      </w:r>
      <w:r w:rsidR="00006843" w:rsidRPr="00867263">
        <w:t xml:space="preserve"> distinctes. Le Bureau de l'éthique est une autr</w:t>
      </w:r>
      <w:r w:rsidRPr="00867263">
        <w:t>e fonction distincte, et l'Ordre</w:t>
      </w:r>
      <w:r w:rsidR="00006843" w:rsidRPr="00867263">
        <w:t xml:space="preserve"> de service 19/10 </w:t>
      </w:r>
      <w:r w:rsidRPr="00867263">
        <w:t>intitulé "Lignes directrices en matière d'enquête à l'UIT"</w:t>
      </w:r>
      <w:r w:rsidR="00006843" w:rsidRPr="00867263">
        <w:t xml:space="preserve"> </w:t>
      </w:r>
      <w:r w:rsidR="009D4198" w:rsidRPr="00867263">
        <w:t>prévoit que la fonction d</w:t>
      </w:r>
      <w:r w:rsidR="00F12A8B" w:rsidRPr="00867263">
        <w:t>'</w:t>
      </w:r>
      <w:r w:rsidR="009D4198" w:rsidRPr="00867263">
        <w:t>investigation commence là</w:t>
      </w:r>
      <w:r w:rsidR="00006843" w:rsidRPr="00867263">
        <w:t xml:space="preserve"> où </w:t>
      </w:r>
      <w:r w:rsidR="009D4198" w:rsidRPr="00867263">
        <w:t>s</w:t>
      </w:r>
      <w:r w:rsidR="00F12A8B" w:rsidRPr="00867263">
        <w:t>'</w:t>
      </w:r>
      <w:r w:rsidR="009D4198" w:rsidRPr="00867263">
        <w:t>arrête</w:t>
      </w:r>
      <w:r w:rsidR="00006843" w:rsidRPr="00867263">
        <w:t xml:space="preserve"> le</w:t>
      </w:r>
      <w:r w:rsidR="009D4198" w:rsidRPr="00867263">
        <w:t xml:space="preserve"> rôle du Bureau de l'éthique.</w:t>
      </w:r>
    </w:p>
    <w:p w14:paraId="0A9CDD95" w14:textId="62A66838" w:rsidR="00E82FE8" w:rsidRPr="00867263" w:rsidRDefault="007E6458" w:rsidP="00BE2D6B">
      <w:pPr>
        <w:spacing w:before="120"/>
      </w:pPr>
      <w:r w:rsidRPr="00867263">
        <w:t>3.9</w:t>
      </w:r>
      <w:r w:rsidR="00D44E63" w:rsidRPr="00867263">
        <w:tab/>
      </w:r>
      <w:r w:rsidRPr="00867263">
        <w:t>La</w:t>
      </w:r>
      <w:r w:rsidR="00006843" w:rsidRPr="00867263">
        <w:t xml:space="preserve"> </w:t>
      </w:r>
      <w:r w:rsidRPr="00867263">
        <w:t>R</w:t>
      </w:r>
      <w:r w:rsidR="00006843" w:rsidRPr="00867263">
        <w:t>esponsable</w:t>
      </w:r>
      <w:r w:rsidRPr="00867263">
        <w:t xml:space="preserve"> de l'éthique</w:t>
      </w:r>
      <w:r w:rsidR="00006843" w:rsidRPr="00867263">
        <w:t xml:space="preserve"> </w:t>
      </w:r>
      <w:r w:rsidRPr="00867263">
        <w:t>estime</w:t>
      </w:r>
      <w:r w:rsidR="00006843" w:rsidRPr="00867263">
        <w:t xml:space="preserve"> que la création d'une nouvelle fonction </w:t>
      </w:r>
      <w:r w:rsidRPr="00867263">
        <w:t>d</w:t>
      </w:r>
      <w:r w:rsidR="00F12A8B" w:rsidRPr="00867263">
        <w:t>'</w:t>
      </w:r>
      <w:r w:rsidRPr="00867263">
        <w:t>investigation</w:t>
      </w:r>
      <w:r w:rsidR="00006843" w:rsidRPr="00867263">
        <w:t xml:space="preserve"> </w:t>
      </w:r>
      <w:r w:rsidRPr="00867263">
        <w:t>est</w:t>
      </w:r>
      <w:r w:rsidR="00006843" w:rsidRPr="00867263">
        <w:t xml:space="preserve"> très importante compte tenu de l'augmentation de la charge de travail due au nombre croissant de plaintes pour faute. </w:t>
      </w:r>
      <w:r w:rsidRPr="00867263">
        <w:t>Elle</w:t>
      </w:r>
      <w:r w:rsidR="00006843" w:rsidRPr="00867263">
        <w:t xml:space="preserve"> assur</w:t>
      </w:r>
      <w:r w:rsidRPr="00867263">
        <w:t>e</w:t>
      </w:r>
      <w:r w:rsidR="00006843" w:rsidRPr="00867263">
        <w:t xml:space="preserve"> que les </w:t>
      </w:r>
      <w:r w:rsidRPr="00867263">
        <w:t>observations formulées</w:t>
      </w:r>
      <w:r w:rsidR="00006843" w:rsidRPr="00867263">
        <w:t xml:space="preserve"> </w:t>
      </w:r>
      <w:r w:rsidR="004C224C" w:rsidRPr="00867263">
        <w:t>quant à</w:t>
      </w:r>
      <w:r w:rsidR="00006843" w:rsidRPr="00867263">
        <w:t xml:space="preserve"> l'importance </w:t>
      </w:r>
      <w:r w:rsidR="00FE029D" w:rsidRPr="00867263">
        <w:t>de</w:t>
      </w:r>
      <w:r w:rsidR="004C224C" w:rsidRPr="00867263">
        <w:t xml:space="preserve"> la</w:t>
      </w:r>
      <w:r w:rsidR="00006843" w:rsidRPr="00867263">
        <w:t xml:space="preserve"> sépa</w:t>
      </w:r>
      <w:r w:rsidR="00DD3A9E" w:rsidRPr="00867263">
        <w:t>ration claire des fonctions seront</w:t>
      </w:r>
      <w:r w:rsidR="00006843" w:rsidRPr="00867263">
        <w:t xml:space="preserve"> pris</w:t>
      </w:r>
      <w:r w:rsidR="004C224C" w:rsidRPr="00867263">
        <w:t>e</w:t>
      </w:r>
      <w:r w:rsidR="00DD3A9E" w:rsidRPr="00867263">
        <w:t>s</w:t>
      </w:r>
      <w:r w:rsidR="00006843" w:rsidRPr="00867263">
        <w:t xml:space="preserve"> en compte.</w:t>
      </w:r>
      <w:r w:rsidR="00E82FE8" w:rsidRPr="00867263">
        <w:t xml:space="preserve"> </w:t>
      </w:r>
    </w:p>
    <w:p w14:paraId="17AA4832" w14:textId="04FE163E" w:rsidR="00BE686F" w:rsidRPr="00867263" w:rsidRDefault="00E82FE8" w:rsidP="00BE2D6B">
      <w:pPr>
        <w:spacing w:before="120"/>
      </w:pPr>
      <w:r w:rsidRPr="00867263">
        <w:t>3.10</w:t>
      </w:r>
      <w:r w:rsidR="00D44E63" w:rsidRPr="00867263">
        <w:tab/>
      </w:r>
      <w:r w:rsidRPr="00867263">
        <w:t>Le C</w:t>
      </w:r>
      <w:r w:rsidR="00006843" w:rsidRPr="00867263">
        <w:t xml:space="preserve">onseiller de la Fédération de Russie, prenant </w:t>
      </w:r>
      <w:r w:rsidRPr="00867263">
        <w:t>acte</w:t>
      </w:r>
      <w:r w:rsidR="00006843" w:rsidRPr="00867263">
        <w:t xml:space="preserve"> des explication</w:t>
      </w:r>
      <w:r w:rsidRPr="00867263">
        <w:t xml:space="preserve">s fournies, se dit prêt </w:t>
      </w:r>
      <w:r w:rsidR="00817A07" w:rsidRPr="00867263">
        <w:t>à accepter</w:t>
      </w:r>
      <w:r w:rsidR="00006843" w:rsidRPr="00867263">
        <w:t xml:space="preserve"> la nouvelle fonction proposée da</w:t>
      </w:r>
      <w:r w:rsidR="00817A07" w:rsidRPr="00867263">
        <w:t xml:space="preserve">ns un esprit de compromis. Il </w:t>
      </w:r>
      <w:r w:rsidR="00006843" w:rsidRPr="00867263">
        <w:t>souhait</w:t>
      </w:r>
      <w:r w:rsidR="00817A07" w:rsidRPr="00867263">
        <w:t>e</w:t>
      </w:r>
      <w:r w:rsidR="00006843" w:rsidRPr="00867263">
        <w:t xml:space="preserve"> qu</w:t>
      </w:r>
      <w:r w:rsidR="00817A07" w:rsidRPr="00867263">
        <w:t xml:space="preserve">e soit consigné dans le </w:t>
      </w:r>
      <w:r w:rsidR="00EA3C70" w:rsidRPr="00867263">
        <w:t xml:space="preserve">compte rendu </w:t>
      </w:r>
      <w:r w:rsidR="00FE029D" w:rsidRPr="00867263">
        <w:t>que l'examen à l'UIT de</w:t>
      </w:r>
      <w:r w:rsidR="00006843" w:rsidRPr="00867263">
        <w:t xml:space="preserve"> questions </w:t>
      </w:r>
      <w:r w:rsidR="00FE029D" w:rsidRPr="00867263">
        <w:t>relatives aux</w:t>
      </w:r>
      <w:r w:rsidR="00006843" w:rsidRPr="00867263">
        <w:t xml:space="preserve"> droits de l'h</w:t>
      </w:r>
      <w:r w:rsidR="00FE029D" w:rsidRPr="00867263">
        <w:t xml:space="preserve">omme, aux </w:t>
      </w:r>
      <w:r w:rsidR="00177DEA" w:rsidRPr="00867263">
        <w:t>droits des femmes, à l</w:t>
      </w:r>
      <w:r w:rsidR="00F12A8B" w:rsidRPr="00867263">
        <w:t>'</w:t>
      </w:r>
      <w:r w:rsidR="00177DEA" w:rsidRPr="00867263">
        <w:t xml:space="preserve">égalité </w:t>
      </w:r>
      <w:r w:rsidR="00006843" w:rsidRPr="00867263">
        <w:t>hommes</w:t>
      </w:r>
      <w:r w:rsidR="00177DEA" w:rsidRPr="00867263">
        <w:t>/</w:t>
      </w:r>
      <w:r w:rsidR="00006843" w:rsidRPr="00867263">
        <w:t xml:space="preserve">femmes </w:t>
      </w:r>
      <w:r w:rsidR="009840E5" w:rsidRPr="00867263">
        <w:t xml:space="preserve">dans le secteur des </w:t>
      </w:r>
      <w:r w:rsidR="00006843" w:rsidRPr="00867263">
        <w:t xml:space="preserve">TIC </w:t>
      </w:r>
      <w:r w:rsidR="00FE029D" w:rsidRPr="00867263">
        <w:t>et d</w:t>
      </w:r>
      <w:r w:rsidR="00F12A8B" w:rsidRPr="00867263">
        <w:t>'</w:t>
      </w:r>
      <w:r w:rsidR="00FE029D" w:rsidRPr="00867263">
        <w:t xml:space="preserve">autres questions </w:t>
      </w:r>
      <w:r w:rsidR="00CB679A" w:rsidRPr="00867263">
        <w:t>connexes</w:t>
      </w:r>
      <w:r w:rsidR="00FE029D" w:rsidRPr="00867263">
        <w:t>, ainsi que</w:t>
      </w:r>
      <w:r w:rsidR="00006843" w:rsidRPr="00867263">
        <w:t xml:space="preserve"> </w:t>
      </w:r>
      <w:r w:rsidR="009840E5" w:rsidRPr="00867263">
        <w:t xml:space="preserve">des </w:t>
      </w:r>
      <w:r w:rsidR="00006843" w:rsidRPr="00867263">
        <w:t xml:space="preserve">questions relatives au renforcement des services d'audit et </w:t>
      </w:r>
      <w:r w:rsidR="00177DEA" w:rsidRPr="00867263">
        <w:lastRenderedPageBreak/>
        <w:t>d</w:t>
      </w:r>
      <w:r w:rsidR="00F12A8B" w:rsidRPr="00867263">
        <w:t>'</w:t>
      </w:r>
      <w:r w:rsidR="00177DEA" w:rsidRPr="00867263">
        <w:t>investigation</w:t>
      </w:r>
      <w:r w:rsidR="00006843" w:rsidRPr="00867263">
        <w:t>,</w:t>
      </w:r>
      <w:r w:rsidR="00177DEA" w:rsidRPr="00867263">
        <w:t xml:space="preserve"> </w:t>
      </w:r>
      <w:r w:rsidR="00BE686F" w:rsidRPr="00867263">
        <w:t>etc.</w:t>
      </w:r>
      <w:r w:rsidR="00177DEA" w:rsidRPr="00867263">
        <w:t xml:space="preserve">, ne doit pas </w:t>
      </w:r>
      <w:r w:rsidR="00BE686F" w:rsidRPr="00867263">
        <w:t>détourner</w:t>
      </w:r>
      <w:r w:rsidR="00D6272C" w:rsidRPr="00867263">
        <w:t xml:space="preserve"> l</w:t>
      </w:r>
      <w:r w:rsidR="00F12A8B" w:rsidRPr="00867263">
        <w:t>'</w:t>
      </w:r>
      <w:r w:rsidR="00D6272C" w:rsidRPr="00867263">
        <w:t>attention</w:t>
      </w:r>
      <w:r w:rsidR="00BE686F" w:rsidRPr="00867263">
        <w:t xml:space="preserve"> des </w:t>
      </w:r>
      <w:r w:rsidR="00177DEA" w:rsidRPr="00867263">
        <w:t>activités de l</w:t>
      </w:r>
      <w:r w:rsidR="00F12A8B" w:rsidRPr="00867263">
        <w:t>'</w:t>
      </w:r>
      <w:r w:rsidR="00177DEA" w:rsidRPr="00867263">
        <w:t xml:space="preserve">Union </w:t>
      </w:r>
      <w:r w:rsidR="00BE686F" w:rsidRPr="00867263">
        <w:t xml:space="preserve">portant sur </w:t>
      </w:r>
      <w:r w:rsidR="00177DEA" w:rsidRPr="00867263">
        <w:t xml:space="preserve">des </w:t>
      </w:r>
      <w:r w:rsidR="00D6272C" w:rsidRPr="00867263">
        <w:t>aspects</w:t>
      </w:r>
      <w:r w:rsidR="00177DEA" w:rsidRPr="00867263">
        <w:t xml:space="preserve"> </w:t>
      </w:r>
      <w:r w:rsidR="009E6C7B" w:rsidRPr="00867263">
        <w:t xml:space="preserve">importants de </w:t>
      </w:r>
      <w:r w:rsidR="00177DEA" w:rsidRPr="00867263">
        <w:t>réglement</w:t>
      </w:r>
      <w:r w:rsidR="009E6C7B" w:rsidRPr="00867263">
        <w:t>ation</w:t>
      </w:r>
      <w:r w:rsidR="00177DEA" w:rsidRPr="00867263">
        <w:t xml:space="preserve">, de normalisation </w:t>
      </w:r>
      <w:r w:rsidR="009E6C7B" w:rsidRPr="00867263">
        <w:t xml:space="preserve">et de développement des télécommunications/TIC et sur des </w:t>
      </w:r>
      <w:r w:rsidR="00D6272C" w:rsidRPr="00867263">
        <w:t>questions</w:t>
      </w:r>
      <w:r w:rsidR="009E6C7B" w:rsidRPr="00867263">
        <w:t xml:space="preserve"> techniques </w:t>
      </w:r>
      <w:r w:rsidR="00D6272C" w:rsidRPr="00867263">
        <w:t>que rencontre le</w:t>
      </w:r>
      <w:r w:rsidR="009E6C7B" w:rsidRPr="00867263">
        <w:t xml:space="preserve"> secteur</w:t>
      </w:r>
      <w:r w:rsidR="00BE686F" w:rsidRPr="00867263">
        <w:t xml:space="preserve">, ni </w:t>
      </w:r>
      <w:r w:rsidR="00D6272C" w:rsidRPr="00867263">
        <w:t>entraîner</w:t>
      </w:r>
      <w:r w:rsidR="00BE686F" w:rsidRPr="00867263">
        <w:t xml:space="preserve"> une réduction de ces activités</w:t>
      </w:r>
      <w:r w:rsidR="009E6C7B" w:rsidRPr="00867263">
        <w:t>. L</w:t>
      </w:r>
      <w:r w:rsidR="00F12A8B" w:rsidRPr="00867263">
        <w:t>'</w:t>
      </w:r>
      <w:r w:rsidR="00006843" w:rsidRPr="00867263">
        <w:t xml:space="preserve">UIT </w:t>
      </w:r>
      <w:r w:rsidR="00BE686F" w:rsidRPr="00867263">
        <w:t>doit</w:t>
      </w:r>
      <w:r w:rsidR="00006843" w:rsidRPr="00867263">
        <w:t xml:space="preserve"> </w:t>
      </w:r>
      <w:r w:rsidR="00BE686F" w:rsidRPr="00867263">
        <w:t>en priorité</w:t>
      </w:r>
      <w:r w:rsidR="00006843" w:rsidRPr="00867263">
        <w:t xml:space="preserve"> examiner les questions et les solutions </w:t>
      </w:r>
      <w:r w:rsidR="00BE686F" w:rsidRPr="00867263">
        <w:t>en lien avec les</w:t>
      </w:r>
      <w:r w:rsidR="00006843" w:rsidRPr="00867263">
        <w:t xml:space="preserve"> nouvelles technologies pour les télécommunications/TIC (intelligence artificielle, </w:t>
      </w:r>
      <w:r w:rsidR="00BE686F" w:rsidRPr="00867263">
        <w:t xml:space="preserve">mégadonnées, </w:t>
      </w:r>
      <w:r w:rsidR="00006843" w:rsidRPr="00867263">
        <w:t>Internet des objets, etc.)</w:t>
      </w:r>
      <w:r w:rsidR="00BE686F" w:rsidRPr="00867263">
        <w:t>.</w:t>
      </w:r>
    </w:p>
    <w:p w14:paraId="33B896A5" w14:textId="23A344D8" w:rsidR="006168EA" w:rsidRPr="00867263" w:rsidRDefault="00006843" w:rsidP="00BE2D6B">
      <w:pPr>
        <w:spacing w:before="120"/>
      </w:pPr>
      <w:r w:rsidRPr="00867263">
        <w:t>3.11</w:t>
      </w:r>
      <w:r w:rsidR="00D44E63" w:rsidRPr="00867263">
        <w:tab/>
      </w:r>
      <w:r w:rsidRPr="00867263">
        <w:t>Le Se</w:t>
      </w:r>
      <w:r w:rsidR="00BE686F" w:rsidRPr="00867263">
        <w:t>crétaire général remercie le C</w:t>
      </w:r>
      <w:r w:rsidRPr="00867263">
        <w:t xml:space="preserve">onseiller de la Fédération de Russie </w:t>
      </w:r>
      <w:r w:rsidR="00BE686F" w:rsidRPr="00867263">
        <w:t>de faire preuve de souplesse</w:t>
      </w:r>
      <w:r w:rsidRPr="00867263">
        <w:t xml:space="preserve">. </w:t>
      </w:r>
      <w:r w:rsidR="00BE686F" w:rsidRPr="00867263">
        <w:t>S</w:t>
      </w:r>
      <w:r w:rsidR="00F12A8B" w:rsidRPr="00867263">
        <w:t>'</w:t>
      </w:r>
      <w:r w:rsidR="00BE686F" w:rsidRPr="00867263">
        <w:t>agissant du</w:t>
      </w:r>
      <w:r w:rsidRPr="00867263">
        <w:t xml:space="preserve"> niveau du poste, l'objectif premier </w:t>
      </w:r>
      <w:r w:rsidR="00BE686F" w:rsidRPr="00867263">
        <w:t>est</w:t>
      </w:r>
      <w:r w:rsidRPr="00867263">
        <w:t xml:space="preserve"> de s'assurer les services d</w:t>
      </w:r>
      <w:r w:rsidR="00BE686F" w:rsidRPr="00867263">
        <w:t>'un expert compétent. Si les Conseillers approuv</w:t>
      </w:r>
      <w:r w:rsidRPr="00867263">
        <w:t xml:space="preserve">ent le renforcement de la fonction </w:t>
      </w:r>
      <w:r w:rsidR="006168EA" w:rsidRPr="00867263">
        <w:t>d</w:t>
      </w:r>
      <w:r w:rsidR="00F12A8B" w:rsidRPr="00867263">
        <w:t>'</w:t>
      </w:r>
      <w:r w:rsidR="006168EA" w:rsidRPr="00867263">
        <w:t>investigation de l'UIT, il espère</w:t>
      </w:r>
      <w:r w:rsidRPr="00867263">
        <w:t xml:space="preserve"> </w:t>
      </w:r>
      <w:r w:rsidR="006168EA" w:rsidRPr="00867263">
        <w:t>pouvoir</w:t>
      </w:r>
      <w:r w:rsidRPr="00867263">
        <w:t xml:space="preserve"> fixer</w:t>
      </w:r>
      <w:r w:rsidR="006168EA" w:rsidRPr="00867263">
        <w:t xml:space="preserve"> comme il l</w:t>
      </w:r>
      <w:r w:rsidR="00F12A8B" w:rsidRPr="00867263">
        <w:t>'</w:t>
      </w:r>
      <w:r w:rsidR="006168EA" w:rsidRPr="00867263">
        <w:t>entend</w:t>
      </w:r>
      <w:r w:rsidRPr="00867263">
        <w:t xml:space="preserve"> le niveau</w:t>
      </w:r>
      <w:r w:rsidR="006168EA" w:rsidRPr="00867263">
        <w:t xml:space="preserve"> du poste, en fonction du niveau de compétences </w:t>
      </w:r>
      <w:r w:rsidRPr="00867263">
        <w:t xml:space="preserve">et de l'expérience du candidat </w:t>
      </w:r>
      <w:r w:rsidR="006168EA" w:rsidRPr="00867263">
        <w:t>qui sera retenu</w:t>
      </w:r>
      <w:r w:rsidRPr="00867263">
        <w:t xml:space="preserve"> à l'issue d'un processus de sélection international rigoureux.</w:t>
      </w:r>
      <w:r w:rsidR="006168EA" w:rsidRPr="00867263">
        <w:t xml:space="preserve"> </w:t>
      </w:r>
    </w:p>
    <w:p w14:paraId="0A07B8C2" w14:textId="6D914E87" w:rsidR="006168EA" w:rsidRPr="00867263" w:rsidRDefault="006168EA" w:rsidP="00BE2D6B">
      <w:pPr>
        <w:spacing w:before="120"/>
      </w:pPr>
      <w:r w:rsidRPr="00867263">
        <w:t>3.12</w:t>
      </w:r>
      <w:r w:rsidR="00D44E63" w:rsidRPr="00867263">
        <w:tab/>
      </w:r>
      <w:r w:rsidRPr="00867263">
        <w:t>Un C</w:t>
      </w:r>
      <w:r w:rsidR="00006843" w:rsidRPr="00867263">
        <w:t xml:space="preserve">onseiller </w:t>
      </w:r>
      <w:r w:rsidRPr="00867263">
        <w:t>estime qu</w:t>
      </w:r>
      <w:r w:rsidR="00F12A8B" w:rsidRPr="00867263">
        <w:t>'</w:t>
      </w:r>
      <w:r w:rsidRPr="00867263">
        <w:t>en effet</w:t>
      </w:r>
      <w:r w:rsidR="00006843" w:rsidRPr="00867263">
        <w:t xml:space="preserve"> le Secrétaire général devrait </w:t>
      </w:r>
      <w:r w:rsidRPr="00867263">
        <w:t>pouvoir</w:t>
      </w:r>
      <w:r w:rsidR="00006843" w:rsidRPr="00867263">
        <w:t xml:space="preserve"> créer le poste au niveau P.4 ou P.5, selon le cas.</w:t>
      </w:r>
      <w:r w:rsidRPr="00867263">
        <w:t xml:space="preserve"> </w:t>
      </w:r>
    </w:p>
    <w:p w14:paraId="3A09E5E2" w14:textId="57B13FC6" w:rsidR="00800C0D" w:rsidRPr="00867263" w:rsidRDefault="00006843" w:rsidP="00BE2D6B">
      <w:pPr>
        <w:spacing w:before="120"/>
      </w:pPr>
      <w:r w:rsidRPr="00867263">
        <w:t>3.13</w:t>
      </w:r>
      <w:r w:rsidR="00D44E63" w:rsidRPr="00867263">
        <w:tab/>
      </w:r>
      <w:r w:rsidRPr="00867263">
        <w:t xml:space="preserve">Le </w:t>
      </w:r>
      <w:r w:rsidR="009840E5" w:rsidRPr="00867263">
        <w:t>C</w:t>
      </w:r>
      <w:r w:rsidRPr="00867263">
        <w:t xml:space="preserve">hef du </w:t>
      </w:r>
      <w:r w:rsidR="006168EA" w:rsidRPr="00867263">
        <w:t xml:space="preserve">Département </w:t>
      </w:r>
      <w:r w:rsidRPr="00867263">
        <w:t xml:space="preserve">FRMD </w:t>
      </w:r>
      <w:r w:rsidR="003417DE" w:rsidRPr="00867263">
        <w:t>précise</w:t>
      </w:r>
      <w:r w:rsidRPr="00867263">
        <w:t xml:space="preserve"> qu'une fois que le Conseil aura approuvé la création </w:t>
      </w:r>
      <w:r w:rsidR="003417DE" w:rsidRPr="00867263">
        <w:t>du poste</w:t>
      </w:r>
      <w:r w:rsidRPr="00867263">
        <w:t xml:space="preserve">, le </w:t>
      </w:r>
      <w:r w:rsidR="003417DE" w:rsidRPr="00867263">
        <w:t xml:space="preserve">prélèvement correspondant sur le Fonds de réserve </w:t>
      </w:r>
      <w:r w:rsidRPr="00867263">
        <w:t>sera effectu</w:t>
      </w:r>
      <w:r w:rsidR="003417DE" w:rsidRPr="00867263">
        <w:t>é pour la période 2021-2023. Les crédits pour le nouveau poste seront</w:t>
      </w:r>
      <w:r w:rsidRPr="00867263">
        <w:t xml:space="preserve"> prévu</w:t>
      </w:r>
      <w:r w:rsidR="003417DE" w:rsidRPr="00867263">
        <w:t>s</w:t>
      </w:r>
      <w:r w:rsidR="00C570D6">
        <w:t xml:space="preserve"> dans le plan financier pour </w:t>
      </w:r>
      <w:r w:rsidRPr="00867263">
        <w:t xml:space="preserve">2024-2027. </w:t>
      </w:r>
      <w:r w:rsidR="003417DE" w:rsidRPr="00867263">
        <w:t>En réponse</w:t>
      </w:r>
      <w:r w:rsidRPr="00867263">
        <w:t xml:space="preserve"> à une </w:t>
      </w:r>
      <w:r w:rsidR="003417DE" w:rsidRPr="00867263">
        <w:t>proposition</w:t>
      </w:r>
      <w:r w:rsidRPr="00867263">
        <w:t xml:space="preserve"> </w:t>
      </w:r>
      <w:r w:rsidR="00F74FA9" w:rsidRPr="00867263">
        <w:t>consistant à financer le</w:t>
      </w:r>
      <w:r w:rsidRPr="00867263">
        <w:t xml:space="preserve"> poste par des économies </w:t>
      </w:r>
      <w:r w:rsidR="003417DE" w:rsidRPr="00867263">
        <w:t xml:space="preserve">réalisées en </w:t>
      </w:r>
      <w:r w:rsidRPr="00867263">
        <w:t>interne</w:t>
      </w:r>
      <w:r w:rsidR="003417DE" w:rsidRPr="00867263">
        <w:t>,</w:t>
      </w:r>
      <w:r w:rsidRPr="00867263">
        <w:t xml:space="preserve"> compte tenu de la situation mondiale actuelle, il </w:t>
      </w:r>
      <w:r w:rsidR="003417DE" w:rsidRPr="00867263">
        <w:t>fait valoir</w:t>
      </w:r>
      <w:r w:rsidRPr="00867263">
        <w:t xml:space="preserve"> que le niveau des contributions reçues à ce jour </w:t>
      </w:r>
      <w:r w:rsidR="003417DE" w:rsidRPr="00867263">
        <w:t>est</w:t>
      </w:r>
      <w:r w:rsidRPr="00867263">
        <w:t xml:space="preserve"> </w:t>
      </w:r>
      <w:r w:rsidR="003417DE" w:rsidRPr="00867263">
        <w:t>comparable à celui de l</w:t>
      </w:r>
      <w:r w:rsidR="00F12A8B" w:rsidRPr="00867263">
        <w:t>'</w:t>
      </w:r>
      <w:r w:rsidR="003417DE" w:rsidRPr="00867263">
        <w:t>année précédente à la même période.</w:t>
      </w:r>
      <w:r w:rsidRPr="00867263">
        <w:t xml:space="preserve"> </w:t>
      </w:r>
    </w:p>
    <w:p w14:paraId="5C4E9BAD" w14:textId="3644CD89" w:rsidR="00006843" w:rsidRPr="00867263" w:rsidRDefault="00006843" w:rsidP="00BE2D6B">
      <w:pPr>
        <w:spacing w:before="120"/>
      </w:pPr>
      <w:r w:rsidRPr="00867263">
        <w:t>3.14</w:t>
      </w:r>
      <w:r w:rsidR="00D44E63" w:rsidRPr="00867263">
        <w:tab/>
      </w:r>
      <w:r w:rsidRPr="00867263">
        <w:t xml:space="preserve">Le Président </w:t>
      </w:r>
      <w:r w:rsidR="00800C0D" w:rsidRPr="00867263">
        <w:t>considère</w:t>
      </w:r>
      <w:r w:rsidR="00F671BC" w:rsidRPr="00867263">
        <w:t xml:space="preserve"> que les C</w:t>
      </w:r>
      <w:r w:rsidRPr="00867263">
        <w:t xml:space="preserve">onseillers souhaitent conclure </w:t>
      </w:r>
      <w:r w:rsidR="00800C0D" w:rsidRPr="00867263">
        <w:t>que</w:t>
      </w:r>
      <w:r w:rsidRPr="00867263">
        <w:t xml:space="preserve">, </w:t>
      </w:r>
      <w:r w:rsidR="00800C0D" w:rsidRPr="00867263">
        <w:t>compte tenu de l</w:t>
      </w:r>
      <w:r w:rsidR="00F12A8B" w:rsidRPr="00867263">
        <w:t>'</w:t>
      </w:r>
      <w:r w:rsidR="00800C0D" w:rsidRPr="00867263">
        <w:t xml:space="preserve">urgence de </w:t>
      </w:r>
      <w:r w:rsidRPr="00867263">
        <w:t>cette question, une consultatio</w:t>
      </w:r>
      <w:r w:rsidR="00B237C5" w:rsidRPr="00867263">
        <w:t>n par correspondance des États M</w:t>
      </w:r>
      <w:r w:rsidRPr="00867263">
        <w:t xml:space="preserve">embres du Conseil sera </w:t>
      </w:r>
      <w:r w:rsidR="00B237C5" w:rsidRPr="00867263">
        <w:t>organisée en vue de</w:t>
      </w:r>
      <w:r w:rsidRPr="00867263">
        <w:t xml:space="preserve"> l'approbation du renforcement de la fon</w:t>
      </w:r>
      <w:r w:rsidR="00B237C5" w:rsidRPr="00867263">
        <w:t xml:space="preserve">ction d'investigation de l'UIT </w:t>
      </w:r>
      <w:r w:rsidRPr="00867263">
        <w:t xml:space="preserve">par la création d'un poste indépendant et spécialisé, au niveau P.5 ou P.4, qui sera financé par un </w:t>
      </w:r>
      <w:r w:rsidR="00B237C5" w:rsidRPr="00867263">
        <w:t xml:space="preserve">prélèvement effectué sur le Fonds </w:t>
      </w:r>
      <w:r w:rsidRPr="00867263">
        <w:t xml:space="preserve">de réserve. Il </w:t>
      </w:r>
      <w:r w:rsidR="00B237C5" w:rsidRPr="00867263">
        <w:t>considère</w:t>
      </w:r>
      <w:r w:rsidRPr="00867263">
        <w:t xml:space="preserve"> </w:t>
      </w:r>
      <w:r w:rsidR="00B237C5" w:rsidRPr="00867263">
        <w:t>également que les C</w:t>
      </w:r>
      <w:r w:rsidRPr="00867263">
        <w:t xml:space="preserve">onseillers invitent le secrétariat à tenir compte des observations et des recommandations </w:t>
      </w:r>
      <w:r w:rsidR="00F671BC" w:rsidRPr="00867263">
        <w:t>formulées par le</w:t>
      </w:r>
      <w:r w:rsidRPr="00867263">
        <w:t xml:space="preserve"> CCI</w:t>
      </w:r>
      <w:r w:rsidR="00B237C5" w:rsidRPr="00867263">
        <w:t>,</w:t>
      </w:r>
      <w:r w:rsidRPr="00867263">
        <w:t xml:space="preserve"> et à présenter une version révisée de la Charte de l'audit interne et de </w:t>
      </w:r>
      <w:r w:rsidR="00BE2D6B">
        <w:t>l'investigation à la session de </w:t>
      </w:r>
      <w:r w:rsidRPr="00867263">
        <w:t>2021 du Conseil.</w:t>
      </w:r>
    </w:p>
    <w:p w14:paraId="3BDD5B95" w14:textId="1A8AE387" w:rsidR="00E60B40" w:rsidRPr="00867263" w:rsidRDefault="00006843" w:rsidP="00BE2D6B">
      <w:pPr>
        <w:spacing w:before="120"/>
      </w:pPr>
      <w:r w:rsidRPr="00867263">
        <w:t>3.15</w:t>
      </w:r>
      <w:r w:rsidR="00D44E63" w:rsidRPr="00867263">
        <w:tab/>
      </w:r>
      <w:r w:rsidRPr="00867263">
        <w:t>Il en est</w:t>
      </w:r>
      <w:r w:rsidR="00E60B40" w:rsidRPr="00867263">
        <w:t xml:space="preserve"> ainsi </w:t>
      </w:r>
      <w:r w:rsidR="00E60B40" w:rsidRPr="00867263">
        <w:rPr>
          <w:b/>
          <w:bCs/>
        </w:rPr>
        <w:t>conclu</w:t>
      </w:r>
      <w:r w:rsidR="00E60B40" w:rsidRPr="00867263">
        <w:t>.</w:t>
      </w:r>
    </w:p>
    <w:p w14:paraId="0CF0A97E" w14:textId="1B5E3F54" w:rsidR="00E60B40" w:rsidRPr="00867263" w:rsidRDefault="00E60B40" w:rsidP="00C71BB2">
      <w:pPr>
        <w:pStyle w:val="Heading1"/>
        <w:tabs>
          <w:tab w:val="clear" w:pos="567"/>
        </w:tabs>
        <w:ind w:left="798" w:hanging="798"/>
      </w:pPr>
      <w:r w:rsidRPr="00867263">
        <w:t>4</w:t>
      </w:r>
      <w:r w:rsidRPr="00867263">
        <w:tab/>
        <w:t>Nomination d'un nouveau Vérificateur extérieur des comptes (Document </w:t>
      </w:r>
      <w:hyperlink r:id="rId28" w:history="1">
        <w:r w:rsidRPr="00867263">
          <w:rPr>
            <w:rStyle w:val="Hyperlink"/>
            <w:bCs/>
          </w:rPr>
          <w:t>C20/49</w:t>
        </w:r>
      </w:hyperlink>
      <w:r w:rsidRPr="00867263">
        <w:t>)</w:t>
      </w:r>
    </w:p>
    <w:p w14:paraId="259BE934" w14:textId="5DD9C0F9" w:rsidR="00006CAA" w:rsidRPr="00867263" w:rsidRDefault="00E60B40" w:rsidP="00BE2D6B">
      <w:pPr>
        <w:spacing w:before="120"/>
      </w:pPr>
      <w:r w:rsidRPr="00867263">
        <w:t>4.1</w:t>
      </w:r>
      <w:r w:rsidRPr="00867263">
        <w:tab/>
      </w:r>
      <w:r w:rsidR="00006CAA" w:rsidRPr="00867263">
        <w:t xml:space="preserve">Le Président rappelle que le </w:t>
      </w:r>
      <w:r w:rsidR="00CA5955" w:rsidRPr="00867263">
        <w:t>D</w:t>
      </w:r>
      <w:r w:rsidR="00006CAA" w:rsidRPr="00867263">
        <w:t xml:space="preserve">ocument C20/49, </w:t>
      </w:r>
      <w:r w:rsidR="003A7E56" w:rsidRPr="00867263">
        <w:t>qui contient</w:t>
      </w:r>
      <w:r w:rsidR="00006CAA" w:rsidRPr="00867263">
        <w:t xml:space="preserve"> le </w:t>
      </w:r>
      <w:r w:rsidR="003A7E56" w:rsidRPr="00867263">
        <w:t>R</w:t>
      </w:r>
      <w:r w:rsidR="00006CAA" w:rsidRPr="00867263">
        <w:t xml:space="preserve">apport du Comité d'évaluation </w:t>
      </w:r>
      <w:r w:rsidR="003A7E56" w:rsidRPr="00867263">
        <w:t>en vue de</w:t>
      </w:r>
      <w:r w:rsidR="00006CAA" w:rsidRPr="00867263">
        <w:t xml:space="preserve"> la sélection </w:t>
      </w:r>
      <w:r w:rsidR="003A7E56" w:rsidRPr="00867263">
        <w:t>du Vérificateur extérieu</w:t>
      </w:r>
      <w:r w:rsidR="00006CAA" w:rsidRPr="00867263">
        <w:t>r</w:t>
      </w:r>
      <w:r w:rsidR="003A7E56" w:rsidRPr="00867263">
        <w:t xml:space="preserve"> des comptes</w:t>
      </w:r>
      <w:r w:rsidR="00CA5955" w:rsidRPr="00867263">
        <w:t>, a fait l</w:t>
      </w:r>
      <w:r w:rsidR="00F12A8B" w:rsidRPr="00867263">
        <w:t>'</w:t>
      </w:r>
      <w:r w:rsidR="00CA5955" w:rsidRPr="00867263">
        <w:t xml:space="preserve">objet de longues discussions </w:t>
      </w:r>
      <w:r w:rsidR="00006CAA" w:rsidRPr="00867263">
        <w:t xml:space="preserve">au cours </w:t>
      </w:r>
      <w:r w:rsidR="00CA5955" w:rsidRPr="00867263">
        <w:t>de la première consultation virtuelle des Conseillers</w:t>
      </w:r>
      <w:r w:rsidR="00006CAA" w:rsidRPr="00867263">
        <w:t>. I</w:t>
      </w:r>
      <w:r w:rsidR="00F671BC" w:rsidRPr="00867263">
        <w:t>l a été convenu de poursuivre les</w:t>
      </w:r>
      <w:r w:rsidR="00006CAA" w:rsidRPr="00867263">
        <w:t xml:space="preserve"> discussion</w:t>
      </w:r>
      <w:r w:rsidR="00F671BC" w:rsidRPr="00867263">
        <w:t>s</w:t>
      </w:r>
      <w:r w:rsidR="00006CAA" w:rsidRPr="00867263">
        <w:t xml:space="preserve"> lors de la prochaine réunion physique du Conseil, à condition qu</w:t>
      </w:r>
      <w:r w:rsidR="00CA5955" w:rsidRPr="00867263">
        <w:t>e celle</w:t>
      </w:r>
      <w:r w:rsidR="00D44E63" w:rsidRPr="00867263">
        <w:noBreakHyphen/>
      </w:r>
      <w:r w:rsidR="00CA5955" w:rsidRPr="00867263">
        <w:t>ci</w:t>
      </w:r>
      <w:r w:rsidR="00006CAA" w:rsidRPr="00867263">
        <w:t xml:space="preserve"> puisse </w:t>
      </w:r>
      <w:r w:rsidR="00CA5955" w:rsidRPr="00867263">
        <w:t>se tenir avant</w:t>
      </w:r>
      <w:r w:rsidR="00006CAA" w:rsidRPr="00867263">
        <w:t xml:space="preserve"> la fin de</w:t>
      </w:r>
      <w:r w:rsidR="00CA5955" w:rsidRPr="00867263">
        <w:t xml:space="preserve"> l</w:t>
      </w:r>
      <w:r w:rsidR="00F12A8B" w:rsidRPr="00867263">
        <w:t>'</w:t>
      </w:r>
      <w:r w:rsidR="00CA5955" w:rsidRPr="00867263">
        <w:t>année 2020. Puisque cela s</w:t>
      </w:r>
      <w:r w:rsidR="00F12A8B" w:rsidRPr="00867263">
        <w:t>'</w:t>
      </w:r>
      <w:r w:rsidR="00CA5955" w:rsidRPr="00867263">
        <w:t>est avéré</w:t>
      </w:r>
      <w:r w:rsidR="00006CAA" w:rsidRPr="00867263">
        <w:t xml:space="preserve"> </w:t>
      </w:r>
      <w:r w:rsidR="00CA5955" w:rsidRPr="00867263">
        <w:t>im</w:t>
      </w:r>
      <w:r w:rsidR="00006CAA" w:rsidRPr="00867263">
        <w:t xml:space="preserve">possible, une autre ligne de conduite </w:t>
      </w:r>
      <w:r w:rsidR="00F671BC" w:rsidRPr="00867263">
        <w:t xml:space="preserve">doit être envisagée </w:t>
      </w:r>
      <w:r w:rsidR="00006CAA" w:rsidRPr="00867263">
        <w:t>pour parvenir à une décision en temps utile</w:t>
      </w:r>
      <w:r w:rsidRPr="00867263">
        <w:t>.</w:t>
      </w:r>
      <w:r w:rsidR="00006CAA" w:rsidRPr="00867263">
        <w:t xml:space="preserve"> </w:t>
      </w:r>
    </w:p>
    <w:p w14:paraId="3BD2D75D" w14:textId="0B46AFC0" w:rsidR="009249DC" w:rsidRPr="00867263" w:rsidRDefault="00006CAA" w:rsidP="00BE2D6B">
      <w:pPr>
        <w:spacing w:before="120"/>
      </w:pPr>
      <w:r w:rsidRPr="00867263">
        <w:t>4.2</w:t>
      </w:r>
      <w:r w:rsidR="00D44E63" w:rsidRPr="00867263">
        <w:tab/>
      </w:r>
      <w:r w:rsidR="00FB54B3" w:rsidRPr="00867263">
        <w:t>Présentant</w:t>
      </w:r>
      <w:r w:rsidRPr="00867263">
        <w:t xml:space="preserve"> </w:t>
      </w:r>
      <w:r w:rsidR="00CA5955" w:rsidRPr="00867263">
        <w:t xml:space="preserve">un </w:t>
      </w:r>
      <w:r w:rsidR="00FB54B3" w:rsidRPr="00867263">
        <w:t>compte rendu</w:t>
      </w:r>
      <w:r w:rsidR="00CA5955" w:rsidRPr="00867263">
        <w:t xml:space="preserve"> </w:t>
      </w:r>
      <w:r w:rsidRPr="00867263">
        <w:t>de suivi</w:t>
      </w:r>
      <w:r w:rsidR="00CA5955" w:rsidRPr="00867263">
        <w:t xml:space="preserve"> de ce D</w:t>
      </w:r>
      <w:r w:rsidRPr="00867263">
        <w:t>ocument, u</w:t>
      </w:r>
      <w:r w:rsidR="00FB54B3" w:rsidRPr="00867263">
        <w:t>n rep</w:t>
      </w:r>
      <w:r w:rsidR="009249DC" w:rsidRPr="00867263">
        <w:t xml:space="preserve">résentant du secrétariat </w:t>
      </w:r>
      <w:r w:rsidR="00103CAB" w:rsidRPr="00867263">
        <w:t>indique que</w:t>
      </w:r>
      <w:r w:rsidRPr="00867263">
        <w:t xml:space="preserve"> le Président du Conseil </w:t>
      </w:r>
      <w:r w:rsidR="00FB54B3" w:rsidRPr="00867263">
        <w:t>a envoyé une lettre aux États M</w:t>
      </w:r>
      <w:r w:rsidRPr="00867263">
        <w:t>embres du Conseil en juillet</w:t>
      </w:r>
      <w:r w:rsidR="00D44E63" w:rsidRPr="00867263">
        <w:t> </w:t>
      </w:r>
      <w:r w:rsidRPr="00867263">
        <w:t xml:space="preserve">2020, </w:t>
      </w:r>
      <w:r w:rsidR="00341ECE" w:rsidRPr="00867263">
        <w:t xml:space="preserve">dans laquelle il </w:t>
      </w:r>
      <w:r w:rsidRPr="00867263">
        <w:t>invita</w:t>
      </w:r>
      <w:r w:rsidR="00341ECE" w:rsidRPr="00867263">
        <w:t>it ces derniers</w:t>
      </w:r>
      <w:r w:rsidR="009249DC" w:rsidRPr="00867263">
        <w:t xml:space="preserve"> </w:t>
      </w:r>
      <w:r w:rsidRPr="00867263">
        <w:t xml:space="preserve">à poser </w:t>
      </w:r>
      <w:r w:rsidR="00341ECE" w:rsidRPr="00867263">
        <w:t>leurs</w:t>
      </w:r>
      <w:r w:rsidRPr="00867263">
        <w:t xml:space="preserve"> questions </w:t>
      </w:r>
      <w:r w:rsidR="009249DC" w:rsidRPr="00867263">
        <w:t>suite aux demandes d</w:t>
      </w:r>
      <w:r w:rsidR="00F12A8B" w:rsidRPr="00867263">
        <w:t>'</w:t>
      </w:r>
      <w:r w:rsidR="009249DC" w:rsidRPr="00867263">
        <w:t xml:space="preserve">informations complémentaires </w:t>
      </w:r>
      <w:r w:rsidR="00341ECE" w:rsidRPr="00867263">
        <w:t>formulées par</w:t>
      </w:r>
      <w:r w:rsidR="009249DC" w:rsidRPr="00867263">
        <w:t xml:space="preserve"> plusieurs C</w:t>
      </w:r>
      <w:r w:rsidRPr="00867263">
        <w:t xml:space="preserve">onseillers </w:t>
      </w:r>
      <w:r w:rsidR="009249DC" w:rsidRPr="00867263">
        <w:t>à la première consultation virtuelle des Conseillers</w:t>
      </w:r>
      <w:r w:rsidRPr="00867263">
        <w:t xml:space="preserve"> </w:t>
      </w:r>
      <w:r w:rsidR="009249DC" w:rsidRPr="00867263">
        <w:t>concernant la méthode</w:t>
      </w:r>
      <w:r w:rsidRPr="00867263">
        <w:t xml:space="preserve"> d'évaluation et de sélection. Aucune qu</w:t>
      </w:r>
      <w:r w:rsidR="00081B82" w:rsidRPr="00867263">
        <w:t>estion n'a été posée, mais</w:t>
      </w:r>
      <w:r w:rsidR="00341ECE" w:rsidRPr="00867263">
        <w:t xml:space="preserve"> </w:t>
      </w:r>
      <w:r w:rsidR="00B607B3" w:rsidRPr="00867263">
        <w:t xml:space="preserve">des </w:t>
      </w:r>
      <w:r w:rsidR="00D44E63" w:rsidRPr="00867263">
        <w:t>témoignages</w:t>
      </w:r>
      <w:r w:rsidR="00B607B3" w:rsidRPr="00867263">
        <w:t xml:space="preserve"> </w:t>
      </w:r>
      <w:r w:rsidRPr="00867263">
        <w:t xml:space="preserve">de soutien et de satisfaction </w:t>
      </w:r>
      <w:r w:rsidR="00B607B3" w:rsidRPr="00867263">
        <w:t>ont été exprimés</w:t>
      </w:r>
      <w:r w:rsidRPr="00867263">
        <w:t xml:space="preserve">. </w:t>
      </w:r>
    </w:p>
    <w:p w14:paraId="153F916F" w14:textId="4469CE64" w:rsidR="00006CAA" w:rsidRPr="00867263" w:rsidRDefault="00081B82" w:rsidP="00BE2D6B">
      <w:pPr>
        <w:spacing w:before="120"/>
      </w:pPr>
      <w:r w:rsidRPr="00867263">
        <w:lastRenderedPageBreak/>
        <w:t>4.3</w:t>
      </w:r>
      <w:r w:rsidR="00D44E63" w:rsidRPr="00867263">
        <w:tab/>
      </w:r>
      <w:r w:rsidRPr="00867263">
        <w:t>Une Conseillère</w:t>
      </w:r>
      <w:r w:rsidR="00006CAA" w:rsidRPr="00867263">
        <w:t xml:space="preserve"> </w:t>
      </w:r>
      <w:r w:rsidRPr="00867263">
        <w:t xml:space="preserve">fait savoir que son pays est satisfait du travail du Comité d'évaluation et accepte </w:t>
      </w:r>
      <w:r w:rsidR="008929B7" w:rsidRPr="00867263">
        <w:t xml:space="preserve">la </w:t>
      </w:r>
      <w:r w:rsidR="00EF4B47" w:rsidRPr="00867263">
        <w:t>désignation</w:t>
      </w:r>
      <w:r w:rsidRPr="00867263">
        <w:t xml:space="preserve"> du Bureau national de contrôle des finances publiques du Royaume-Uni en tant que Vérificateur extérieur des comptes</w:t>
      </w:r>
      <w:r w:rsidR="00006CAA" w:rsidRPr="00867263">
        <w:t>.</w:t>
      </w:r>
    </w:p>
    <w:p w14:paraId="5241DFCD" w14:textId="1DEB8A79" w:rsidR="00006CAA" w:rsidRPr="00867263" w:rsidRDefault="00006CAA" w:rsidP="00BE2D6B">
      <w:pPr>
        <w:spacing w:before="120"/>
      </w:pPr>
      <w:r w:rsidRPr="00867263">
        <w:t>4.4</w:t>
      </w:r>
      <w:r w:rsidR="00D44E63" w:rsidRPr="00867263">
        <w:tab/>
      </w:r>
      <w:r w:rsidRPr="00867263">
        <w:t xml:space="preserve">Le Président </w:t>
      </w:r>
      <w:r w:rsidR="00081B82" w:rsidRPr="00867263">
        <w:t>fait observer</w:t>
      </w:r>
      <w:r w:rsidRPr="00867263">
        <w:t xml:space="preserve"> qu'il </w:t>
      </w:r>
      <w:r w:rsidR="00081B82" w:rsidRPr="00867263">
        <w:t>est</w:t>
      </w:r>
      <w:r w:rsidRPr="00867263">
        <w:t xml:space="preserve"> important </w:t>
      </w:r>
      <w:r w:rsidR="00103CAB" w:rsidRPr="00867263">
        <w:t xml:space="preserve">que </w:t>
      </w:r>
      <w:r w:rsidRPr="00867263">
        <w:t xml:space="preserve">les institutions candidates </w:t>
      </w:r>
      <w:r w:rsidR="00103CAB" w:rsidRPr="00867263">
        <w:t xml:space="preserve">soient enfin informées </w:t>
      </w:r>
      <w:r w:rsidRPr="00867263">
        <w:t>du résultat des délibérations du Comité d'évaluation et rappe</w:t>
      </w:r>
      <w:r w:rsidR="00081B82" w:rsidRPr="00867263">
        <w:t>l</w:t>
      </w:r>
      <w:r w:rsidRPr="00867263">
        <w:t>l</w:t>
      </w:r>
      <w:r w:rsidR="008929B7" w:rsidRPr="00867263">
        <w:t>e que leur</w:t>
      </w:r>
      <w:r w:rsidR="00081B82" w:rsidRPr="00867263">
        <w:t xml:space="preserve"> </w:t>
      </w:r>
      <w:r w:rsidR="008929B7" w:rsidRPr="00867263">
        <w:t>offre</w:t>
      </w:r>
      <w:r w:rsidR="00081B82" w:rsidRPr="00867263">
        <w:t xml:space="preserve"> </w:t>
      </w:r>
      <w:r w:rsidR="00103CAB" w:rsidRPr="00867263">
        <w:t>n</w:t>
      </w:r>
      <w:r w:rsidR="00F12A8B" w:rsidRPr="00867263">
        <w:t>'</w:t>
      </w:r>
      <w:r w:rsidR="00103CAB" w:rsidRPr="00867263">
        <w:t>est</w:t>
      </w:r>
      <w:r w:rsidRPr="00867263">
        <w:t xml:space="preserve"> valable que jusqu'en avril 2021, avant la prochaine session du Conseil. En conséquence, et comme aucune autre question n'a été reçue, il </w:t>
      </w:r>
      <w:r w:rsidR="001C6507" w:rsidRPr="00867263">
        <w:t>considère que les C</w:t>
      </w:r>
      <w:r w:rsidRPr="00867263">
        <w:t>onseillers souhaitent conclure que, compte tenu de l'urgence de ce point, une consultatio</w:t>
      </w:r>
      <w:r w:rsidR="001C6507" w:rsidRPr="00867263">
        <w:t>n par correspondance des États M</w:t>
      </w:r>
      <w:r w:rsidRPr="00867263">
        <w:t xml:space="preserve">embres du Conseil sera </w:t>
      </w:r>
      <w:r w:rsidR="001C6507" w:rsidRPr="00867263">
        <w:t>organisée en vue de l</w:t>
      </w:r>
      <w:r w:rsidR="00F12A8B" w:rsidRPr="00867263">
        <w:t>'</w:t>
      </w:r>
      <w:r w:rsidR="001C6507" w:rsidRPr="00867263">
        <w:t xml:space="preserve">adoption du </w:t>
      </w:r>
      <w:r w:rsidRPr="00867263">
        <w:t xml:space="preserve">projet de </w:t>
      </w:r>
      <w:r w:rsidR="001C6507" w:rsidRPr="00867263">
        <w:t>D</w:t>
      </w:r>
      <w:r w:rsidRPr="00867263">
        <w:t>éc</w:t>
      </w:r>
      <w:r w:rsidR="00890D64" w:rsidRPr="00867263">
        <w:t>ision figurant à l'annexe A du D</w:t>
      </w:r>
      <w:r w:rsidRPr="00867263">
        <w:t>ocument C20/49.</w:t>
      </w:r>
    </w:p>
    <w:p w14:paraId="2F0D7E76" w14:textId="575F14A5" w:rsidR="00E60B40" w:rsidRPr="00867263" w:rsidRDefault="00E60B40" w:rsidP="00BE2D6B">
      <w:pPr>
        <w:spacing w:before="120"/>
      </w:pPr>
      <w:r w:rsidRPr="00867263">
        <w:t>4.5</w:t>
      </w:r>
      <w:r w:rsidRPr="00867263">
        <w:tab/>
        <w:t xml:space="preserve">Il en est ainsi </w:t>
      </w:r>
      <w:r w:rsidRPr="00867263">
        <w:rPr>
          <w:b/>
          <w:bCs/>
        </w:rPr>
        <w:t>conclu</w:t>
      </w:r>
      <w:r w:rsidRPr="00867263">
        <w:t>.</w:t>
      </w:r>
    </w:p>
    <w:p w14:paraId="53C3020A" w14:textId="5F6DF399" w:rsidR="00E60B40" w:rsidRPr="00867263" w:rsidRDefault="00E60B40" w:rsidP="00C71BB2">
      <w:pPr>
        <w:pStyle w:val="Heading1"/>
        <w:tabs>
          <w:tab w:val="clear" w:pos="567"/>
        </w:tabs>
        <w:ind w:left="798" w:hanging="798"/>
      </w:pPr>
      <w:r w:rsidRPr="00867263">
        <w:t>5</w:t>
      </w:r>
      <w:r w:rsidRPr="00867263">
        <w:tab/>
        <w:t>Rapport sur les progrès réalisés concernant le projet de locaux du siège de l'Union et compte rendu des travaux du Groupe consultatif d'États Membres (Groupe MSAG) sur le projet de locaux du siège de l'Union (Documents </w:t>
      </w:r>
      <w:hyperlink r:id="rId29" w:history="1">
        <w:r w:rsidRPr="00867263">
          <w:rPr>
            <w:rStyle w:val="Hyperlink"/>
            <w:bCs/>
          </w:rPr>
          <w:t>C20/7(R</w:t>
        </w:r>
        <w:r w:rsidR="00DE67CB" w:rsidRPr="00867263">
          <w:rPr>
            <w:rStyle w:val="Hyperlink"/>
            <w:bCs/>
          </w:rPr>
          <w:t>é</w:t>
        </w:r>
        <w:r w:rsidRPr="00867263">
          <w:rPr>
            <w:rStyle w:val="Hyperlink"/>
            <w:bCs/>
          </w:rPr>
          <w:t>v.1)</w:t>
        </w:r>
      </w:hyperlink>
      <w:r w:rsidRPr="00867263">
        <w:t xml:space="preserve">, </w:t>
      </w:r>
      <w:hyperlink r:id="rId30" w:history="1">
        <w:r w:rsidR="00DE67CB" w:rsidRPr="00867263">
          <w:rPr>
            <w:rStyle w:val="Hyperlink"/>
            <w:bCs/>
          </w:rPr>
          <w:t>C20/48(Ré</w:t>
        </w:r>
        <w:r w:rsidRPr="00867263">
          <w:rPr>
            <w:rStyle w:val="Hyperlink"/>
            <w:bCs/>
          </w:rPr>
          <w:t>v.1)</w:t>
        </w:r>
      </w:hyperlink>
      <w:r w:rsidRPr="00867263">
        <w:t xml:space="preserve">, </w:t>
      </w:r>
      <w:hyperlink r:id="rId31" w:history="1">
        <w:r w:rsidRPr="00867263">
          <w:rPr>
            <w:rStyle w:val="Hyperlink"/>
            <w:bCs/>
          </w:rPr>
          <w:t>C20/77</w:t>
        </w:r>
      </w:hyperlink>
      <w:r w:rsidRPr="00867263">
        <w:t xml:space="preserve">, </w:t>
      </w:r>
      <w:hyperlink r:id="rId32" w:history="1">
        <w:r w:rsidRPr="00867263">
          <w:rPr>
            <w:rStyle w:val="Hyperlink"/>
            <w:bCs/>
          </w:rPr>
          <w:t>C20/INF/20</w:t>
        </w:r>
      </w:hyperlink>
      <w:r w:rsidRPr="00867263">
        <w:t xml:space="preserve"> </w:t>
      </w:r>
      <w:r w:rsidR="00DE67CB" w:rsidRPr="00867263">
        <w:t>et</w:t>
      </w:r>
      <w:r w:rsidR="00C71BB2">
        <w:t> </w:t>
      </w:r>
      <w:hyperlink r:id="rId33" w:history="1">
        <w:r w:rsidRPr="00867263">
          <w:rPr>
            <w:rStyle w:val="Hyperlink"/>
            <w:bCs/>
          </w:rPr>
          <w:t>C20/INF/21</w:t>
        </w:r>
      </w:hyperlink>
      <w:r w:rsidRPr="00867263">
        <w:t>)</w:t>
      </w:r>
    </w:p>
    <w:p w14:paraId="7A273B6A" w14:textId="69A77AA7" w:rsidR="00D21FDD" w:rsidRPr="00867263" w:rsidRDefault="00E60B40" w:rsidP="00BE2D6B">
      <w:pPr>
        <w:spacing w:before="120"/>
      </w:pPr>
      <w:r w:rsidRPr="00867263">
        <w:t>5.1</w:t>
      </w:r>
      <w:r w:rsidRPr="00867263">
        <w:tab/>
      </w:r>
      <w:r w:rsidR="00DE67CB" w:rsidRPr="00867263">
        <w:t xml:space="preserve">Une représentante du secrétariat présente le Document C20/7(Rév.1), </w:t>
      </w:r>
      <w:r w:rsidR="00076D2D" w:rsidRPr="00867263">
        <w:t>en indiquant qu</w:t>
      </w:r>
      <w:r w:rsidR="00F12A8B" w:rsidRPr="00867263">
        <w:t>'</w:t>
      </w:r>
      <w:r w:rsidR="00076D2D" w:rsidRPr="00867263">
        <w:t>il</w:t>
      </w:r>
      <w:r w:rsidR="00DE67CB" w:rsidRPr="00867263">
        <w:t xml:space="preserve"> résume </w:t>
      </w:r>
      <w:r w:rsidR="00076D2D" w:rsidRPr="00867263">
        <w:t>les progrès réalisés concernant le</w:t>
      </w:r>
      <w:r w:rsidR="00DE67CB" w:rsidRPr="00867263">
        <w:t xml:space="preserve"> projet de locaux du siège de l'Union depuis la première consultation virtuelle des Conseillers. Des ateliers et des séminaires ont </w:t>
      </w:r>
      <w:r w:rsidR="00CD7D73" w:rsidRPr="00867263">
        <w:t>été organisés</w:t>
      </w:r>
      <w:r w:rsidR="00DE67CB" w:rsidRPr="00867263">
        <w:t xml:space="preserve"> pour permettre aux concepteurs de finaliser l'estimation du coût de la phase 4.32, qui devait être présentée avant la fin novembre 2020. Bien que le calendrier </w:t>
      </w:r>
      <w:r w:rsidR="00CD7D73" w:rsidRPr="00867263">
        <w:t xml:space="preserve">fixé </w:t>
      </w:r>
      <w:r w:rsidR="00DE67CB" w:rsidRPr="00867263">
        <w:t>et le budget convenu soient respectés malgré la pandémie, il est encore trop tôt pour prévoir les incidences que le COVID-19 aura eu, à terme, sur le projet. Par conséquent, le secrétariat est en train d</w:t>
      </w:r>
      <w:r w:rsidR="00F12A8B" w:rsidRPr="00867263">
        <w:t>'</w:t>
      </w:r>
      <w:r w:rsidR="00DE67CB" w:rsidRPr="00867263">
        <w:t xml:space="preserve">engager des experts </w:t>
      </w:r>
      <w:r w:rsidR="00D21FDD" w:rsidRPr="00867263">
        <w:t>qui seront chargés d</w:t>
      </w:r>
      <w:r w:rsidR="00F12A8B" w:rsidRPr="00867263">
        <w:t>'</w:t>
      </w:r>
      <w:r w:rsidR="00DE67CB" w:rsidRPr="00867263">
        <w:t xml:space="preserve">établir un plan de mise en œuvre </w:t>
      </w:r>
      <w:r w:rsidR="00F608F2" w:rsidRPr="00867263">
        <w:t>pour les</w:t>
      </w:r>
      <w:r w:rsidR="00DE67CB" w:rsidRPr="00867263">
        <w:t xml:space="preserve"> conditions de travail du personnel </w:t>
      </w:r>
      <w:r w:rsidR="00D21FDD" w:rsidRPr="00867263">
        <w:t>et d</w:t>
      </w:r>
      <w:r w:rsidR="00F12A8B" w:rsidRPr="00867263">
        <w:t>'</w:t>
      </w:r>
      <w:r w:rsidR="00D21FDD" w:rsidRPr="00867263">
        <w:t xml:space="preserve">effectuer </w:t>
      </w:r>
      <w:r w:rsidR="00DE67CB" w:rsidRPr="00867263">
        <w:t xml:space="preserve">une analyse </w:t>
      </w:r>
      <w:r w:rsidR="00D21FDD" w:rsidRPr="00867263">
        <w:t>de l</w:t>
      </w:r>
      <w:r w:rsidR="00F12A8B" w:rsidRPr="00867263">
        <w:t>'</w:t>
      </w:r>
      <w:r w:rsidR="00D21FDD" w:rsidRPr="00867263">
        <w:t>espace de</w:t>
      </w:r>
      <w:r w:rsidR="00DE67CB" w:rsidRPr="00867263">
        <w:t xml:space="preserve"> travail </w:t>
      </w:r>
      <w:r w:rsidR="00D21FDD" w:rsidRPr="00867263">
        <w:t>post-COVID, afin de déterminer les</w:t>
      </w:r>
      <w:r w:rsidR="00EF41BB" w:rsidRPr="00867263">
        <w:t xml:space="preserve"> possibles</w:t>
      </w:r>
      <w:r w:rsidR="00D21FDD" w:rsidRPr="00867263">
        <w:t xml:space="preserve"> incidences</w:t>
      </w:r>
      <w:r w:rsidR="00DE67CB" w:rsidRPr="00867263">
        <w:t xml:space="preserve"> </w:t>
      </w:r>
      <w:r w:rsidR="00EF41BB" w:rsidRPr="00867263">
        <w:t>de</w:t>
      </w:r>
      <w:r w:rsidR="00F608F2" w:rsidRPr="00867263">
        <w:t xml:space="preserve"> la pandémie</w:t>
      </w:r>
      <w:r w:rsidR="00D21FDD" w:rsidRPr="00867263">
        <w:t xml:space="preserve"> </w:t>
      </w:r>
      <w:r w:rsidR="00DE67CB" w:rsidRPr="00867263">
        <w:t xml:space="preserve">sur les effectifs de l'UIT et la conception </w:t>
      </w:r>
      <w:r w:rsidR="00057B1B" w:rsidRPr="00867263">
        <w:t>des bâtiments</w:t>
      </w:r>
      <w:r w:rsidRPr="00867263">
        <w:t>.</w:t>
      </w:r>
    </w:p>
    <w:p w14:paraId="7758EE34" w14:textId="2BB5DD5A" w:rsidR="007D0D41" w:rsidRPr="00867263" w:rsidRDefault="00DE67CB" w:rsidP="00BE2D6B">
      <w:pPr>
        <w:spacing w:before="120"/>
      </w:pPr>
      <w:r w:rsidRPr="00867263">
        <w:t>5.2</w:t>
      </w:r>
      <w:r w:rsidR="00D44E63" w:rsidRPr="00867263">
        <w:tab/>
      </w:r>
      <w:r w:rsidRPr="00867263">
        <w:t>Elle présent</w:t>
      </w:r>
      <w:r w:rsidR="00D21FDD" w:rsidRPr="00867263">
        <w:t>e également</w:t>
      </w:r>
      <w:r w:rsidR="00890D64" w:rsidRPr="00867263">
        <w:t xml:space="preserve"> le D</w:t>
      </w:r>
      <w:r w:rsidRPr="00867263">
        <w:t xml:space="preserve">ocument C20/77, qui contient un </w:t>
      </w:r>
      <w:r w:rsidR="00D21FDD" w:rsidRPr="00867263">
        <w:t>R</w:t>
      </w:r>
      <w:r w:rsidR="00F608F2" w:rsidRPr="00867263">
        <w:t xml:space="preserve">apport sur l'analyse des </w:t>
      </w:r>
      <w:r w:rsidRPr="00867263">
        <w:t xml:space="preserve">options </w:t>
      </w:r>
      <w:r w:rsidR="00D21FDD" w:rsidRPr="00867263">
        <w:t>pour la</w:t>
      </w:r>
      <w:r w:rsidRPr="00867263">
        <w:t xml:space="preserve"> vente de la Tour, </w:t>
      </w:r>
      <w:r w:rsidR="00F608F2" w:rsidRPr="00867263">
        <w:t>qui a été réalisée</w:t>
      </w:r>
      <w:r w:rsidRPr="00867263">
        <w:t xml:space="preserve"> </w:t>
      </w:r>
      <w:r w:rsidR="00F608F2" w:rsidRPr="00867263">
        <w:t>sur les conseils du Groupe</w:t>
      </w:r>
      <w:r w:rsidR="00DA198D" w:rsidRPr="00867263">
        <w:t xml:space="preserve"> MSAG. </w:t>
      </w:r>
      <w:r w:rsidR="00143E2B" w:rsidRPr="00867263">
        <w:t xml:space="preserve">Ce point ne requiert pas une </w:t>
      </w:r>
      <w:r w:rsidRPr="00867263">
        <w:t>décision immédiat</w:t>
      </w:r>
      <w:r w:rsidR="00DA198D" w:rsidRPr="00867263">
        <w:t>e</w:t>
      </w:r>
      <w:r w:rsidRPr="00867263">
        <w:t xml:space="preserve">, </w:t>
      </w:r>
      <w:r w:rsidR="003826E1" w:rsidRPr="00867263">
        <w:t>étant donné que</w:t>
      </w:r>
      <w:r w:rsidRPr="00867263">
        <w:t xml:space="preserve"> l'UIT </w:t>
      </w:r>
      <w:r w:rsidR="00DA198D" w:rsidRPr="00867263">
        <w:t>doit</w:t>
      </w:r>
      <w:r w:rsidRPr="00867263">
        <w:t xml:space="preserve"> encore engager des procédures administratives avec le pays hôte concernant la vente d</w:t>
      </w:r>
      <w:r w:rsidR="00441F71" w:rsidRPr="00867263">
        <w:t>e la Tour. Les C</w:t>
      </w:r>
      <w:r w:rsidRPr="00867263">
        <w:t xml:space="preserve">onseillers </w:t>
      </w:r>
      <w:r w:rsidR="00DA198D" w:rsidRPr="00867263">
        <w:t>sont</w:t>
      </w:r>
      <w:r w:rsidR="00441F71" w:rsidRPr="00867263">
        <w:t xml:space="preserve"> donc</w:t>
      </w:r>
      <w:r w:rsidRPr="00867263">
        <w:t xml:space="preserve"> invités à examiner le docum</w:t>
      </w:r>
      <w:r w:rsidR="00441F71" w:rsidRPr="00867263">
        <w:t>ent</w:t>
      </w:r>
      <w:r w:rsidR="00DA198D" w:rsidRPr="00867263">
        <w:t xml:space="preserve"> en attendant l</w:t>
      </w:r>
      <w:r w:rsidR="00076D2D" w:rsidRPr="00867263">
        <w:t>a</w:t>
      </w:r>
      <w:r w:rsidR="00DA198D" w:rsidRPr="00867263">
        <w:t xml:space="preserve"> décision qui sera prise par le C</w:t>
      </w:r>
      <w:r w:rsidRPr="00867263">
        <w:t>onseil</w:t>
      </w:r>
      <w:r w:rsidR="00DA198D" w:rsidRPr="00867263">
        <w:t xml:space="preserve"> à sa session de 20</w:t>
      </w:r>
      <w:r w:rsidRPr="00867263">
        <w:t>21.</w:t>
      </w:r>
    </w:p>
    <w:p w14:paraId="2142EB80" w14:textId="6DB40DE7" w:rsidR="00053A71" w:rsidRPr="00867263" w:rsidRDefault="00DE67CB" w:rsidP="00BE2D6B">
      <w:pPr>
        <w:spacing w:before="120"/>
      </w:pPr>
      <w:r w:rsidRPr="00867263">
        <w:t>5.3</w:t>
      </w:r>
      <w:r w:rsidR="00D44E63" w:rsidRPr="00867263">
        <w:tab/>
      </w:r>
      <w:r w:rsidR="007D0D41" w:rsidRPr="00867263">
        <w:rPr>
          <w:spacing w:val="2"/>
        </w:rPr>
        <w:t>Le P</w:t>
      </w:r>
      <w:r w:rsidRPr="00867263">
        <w:rPr>
          <w:spacing w:val="2"/>
        </w:rPr>
        <w:t>résident du</w:t>
      </w:r>
      <w:r w:rsidR="00076D2D" w:rsidRPr="00867263">
        <w:rPr>
          <w:spacing w:val="2"/>
        </w:rPr>
        <w:t xml:space="preserve"> Groupe</w:t>
      </w:r>
      <w:r w:rsidRPr="00867263">
        <w:rPr>
          <w:spacing w:val="2"/>
        </w:rPr>
        <w:t xml:space="preserve"> MSAG présente le </w:t>
      </w:r>
      <w:r w:rsidR="00890D64" w:rsidRPr="00867263">
        <w:rPr>
          <w:spacing w:val="2"/>
        </w:rPr>
        <w:t>D</w:t>
      </w:r>
      <w:r w:rsidRPr="00867263">
        <w:rPr>
          <w:spacing w:val="2"/>
        </w:rPr>
        <w:t>ocument C20/48(R</w:t>
      </w:r>
      <w:r w:rsidR="007D0D41" w:rsidRPr="00867263">
        <w:rPr>
          <w:spacing w:val="2"/>
        </w:rPr>
        <w:t>é</w:t>
      </w:r>
      <w:r w:rsidR="0082033E" w:rsidRPr="00867263">
        <w:rPr>
          <w:spacing w:val="2"/>
        </w:rPr>
        <w:t>v.1), qui décrit les travaux menés par son Groupe</w:t>
      </w:r>
      <w:r w:rsidRPr="00867263">
        <w:rPr>
          <w:spacing w:val="2"/>
        </w:rPr>
        <w:t xml:space="preserve"> depuis </w:t>
      </w:r>
      <w:r w:rsidR="0082033E" w:rsidRPr="00867263">
        <w:t>la première consultation virtuelle des Conseillers</w:t>
      </w:r>
      <w:r w:rsidRPr="00867263">
        <w:t xml:space="preserve">. </w:t>
      </w:r>
      <w:r w:rsidR="0082033E" w:rsidRPr="00867263">
        <w:t xml:space="preserve">Le document ne couvre </w:t>
      </w:r>
      <w:r w:rsidR="00CE4F9B" w:rsidRPr="00867263">
        <w:t>cependant</w:t>
      </w:r>
      <w:r w:rsidR="0082033E" w:rsidRPr="00867263">
        <w:t xml:space="preserve"> pas l</w:t>
      </w:r>
      <w:r w:rsidR="00CE4F9B" w:rsidRPr="00867263">
        <w:t>a 12ème</w:t>
      </w:r>
      <w:r w:rsidRPr="00867263">
        <w:t xml:space="preserve"> réunion du</w:t>
      </w:r>
      <w:r w:rsidR="0082033E" w:rsidRPr="00867263">
        <w:t xml:space="preserve"> Groupe</w:t>
      </w:r>
      <w:r w:rsidRPr="00867263">
        <w:t xml:space="preserve"> MSAG</w:t>
      </w:r>
      <w:r w:rsidR="00CE4F9B" w:rsidRPr="00867263">
        <w:t>,</w:t>
      </w:r>
      <w:r w:rsidR="00BE2D6B">
        <w:t xml:space="preserve"> tenue le </w:t>
      </w:r>
      <w:r w:rsidRPr="00867263">
        <w:t>12</w:t>
      </w:r>
      <w:r w:rsidR="00D44E63" w:rsidRPr="00867263">
        <w:t> </w:t>
      </w:r>
      <w:r w:rsidRPr="00867263">
        <w:t>novembre</w:t>
      </w:r>
      <w:r w:rsidR="00D44E63" w:rsidRPr="00867263">
        <w:t> </w:t>
      </w:r>
      <w:r w:rsidRPr="00867263">
        <w:t>2020, au cours de laquelle les membres ont exami</w:t>
      </w:r>
      <w:r w:rsidR="0082033E" w:rsidRPr="00867263">
        <w:t>né le rapport figurant dans le D</w:t>
      </w:r>
      <w:r w:rsidRPr="00867263">
        <w:t xml:space="preserve">ocument C20/7(Rév.1), </w:t>
      </w:r>
      <w:r w:rsidR="00137332" w:rsidRPr="00867263">
        <w:t>passé en revue</w:t>
      </w:r>
      <w:r w:rsidRPr="00867263">
        <w:t xml:space="preserve"> les neuf points du registre des risques récemment révisé, demandé des éclaircissements sur </w:t>
      </w:r>
      <w:r w:rsidR="00890D64" w:rsidRPr="00867263">
        <w:t>les rapports figurant dans les D</w:t>
      </w:r>
      <w:r w:rsidRPr="00867263">
        <w:t>ocuments C20/77 et C20/INF/20</w:t>
      </w:r>
      <w:r w:rsidR="00137332" w:rsidRPr="00867263">
        <w:t>,</w:t>
      </w:r>
      <w:r w:rsidRPr="00867263">
        <w:t xml:space="preserve"> et abordé les </w:t>
      </w:r>
      <w:r w:rsidR="00137332" w:rsidRPr="00867263">
        <w:t xml:space="preserve">incidences du COVID sur </w:t>
      </w:r>
      <w:r w:rsidR="00057B1B" w:rsidRPr="00867263">
        <w:t>la conception de l</w:t>
      </w:r>
      <w:r w:rsidR="00F12A8B" w:rsidRPr="00867263">
        <w:t>'</w:t>
      </w:r>
      <w:r w:rsidR="00057B1B" w:rsidRPr="00867263">
        <w:t>espace de travail</w:t>
      </w:r>
      <w:r w:rsidR="00890D64" w:rsidRPr="00867263">
        <w:t xml:space="preserve"> décrites dans le D</w:t>
      </w:r>
      <w:r w:rsidRPr="00867263">
        <w:t xml:space="preserve">ocument C20/INF/21. Il invite les </w:t>
      </w:r>
      <w:r w:rsidR="00721920" w:rsidRPr="00867263">
        <w:t>C</w:t>
      </w:r>
      <w:r w:rsidRPr="00867263">
        <w:t>onseillers à prendre note du rapport mais attire l'attention sur deux questions qui méritent d'êtr</w:t>
      </w:r>
      <w:r w:rsidR="00137332" w:rsidRPr="00867263">
        <w:t>e examinées à court terme</w:t>
      </w:r>
      <w:r w:rsidR="00867263" w:rsidRPr="00867263">
        <w:t>:</w:t>
      </w:r>
      <w:r w:rsidR="00137332" w:rsidRPr="00867263">
        <w:t xml:space="preserve"> le F</w:t>
      </w:r>
      <w:r w:rsidRPr="00867263">
        <w:t xml:space="preserve">onds </w:t>
      </w:r>
      <w:r w:rsidR="00137332" w:rsidRPr="00867263">
        <w:t>pour le registre des risques n</w:t>
      </w:r>
      <w:r w:rsidR="00F12A8B" w:rsidRPr="00867263">
        <w:t>'</w:t>
      </w:r>
      <w:r w:rsidR="00137332" w:rsidRPr="00867263">
        <w:t>a pas été</w:t>
      </w:r>
      <w:r w:rsidRPr="00867263">
        <w:t xml:space="preserve"> </w:t>
      </w:r>
      <w:r w:rsidR="00053A71" w:rsidRPr="00867263">
        <w:t>provisionné</w:t>
      </w:r>
      <w:r w:rsidRPr="00867263">
        <w:t xml:space="preserve"> </w:t>
      </w:r>
      <w:r w:rsidR="00CE4F9B" w:rsidRPr="00867263">
        <w:t xml:space="preserve">suffisamment, </w:t>
      </w:r>
      <w:r w:rsidRPr="00867263">
        <w:t xml:space="preserve">comme </w:t>
      </w:r>
      <w:r w:rsidR="00CE4F9B" w:rsidRPr="00867263">
        <w:t>prévu dans</w:t>
      </w:r>
      <w:r w:rsidRPr="00867263">
        <w:t xml:space="preserve"> la </w:t>
      </w:r>
      <w:r w:rsidR="001B0858" w:rsidRPr="00867263">
        <w:t>D</w:t>
      </w:r>
      <w:r w:rsidRPr="00867263">
        <w:t>écision 619 du Conseil</w:t>
      </w:r>
      <w:r w:rsidR="00867263" w:rsidRPr="00867263">
        <w:t>;</w:t>
      </w:r>
      <w:r w:rsidRPr="00867263">
        <w:t xml:space="preserve"> et les politiques de l'UIT </w:t>
      </w:r>
      <w:r w:rsidR="00053A71" w:rsidRPr="00867263">
        <w:t>relatives au</w:t>
      </w:r>
      <w:r w:rsidRPr="00867263">
        <w:t xml:space="preserve"> télétravail et </w:t>
      </w:r>
      <w:r w:rsidR="00053A71" w:rsidRPr="00867263">
        <w:t>à l</w:t>
      </w:r>
      <w:r w:rsidR="00F12A8B" w:rsidRPr="00867263">
        <w:t>'</w:t>
      </w:r>
      <w:r w:rsidR="00053A71" w:rsidRPr="00867263">
        <w:t>attribution des</w:t>
      </w:r>
      <w:r w:rsidRPr="00867263">
        <w:t xml:space="preserve"> bureaux</w:t>
      </w:r>
      <w:r w:rsidR="00053A71" w:rsidRPr="00867263">
        <w:t xml:space="preserve"> </w:t>
      </w:r>
      <w:r w:rsidRPr="00867263">
        <w:t xml:space="preserve">doivent être revues afin de réduire d'un tiers l'occupation moyenne des sièges et </w:t>
      </w:r>
      <w:r w:rsidR="00CE4F9B" w:rsidRPr="00867263">
        <w:t>permettre ainsi</w:t>
      </w:r>
      <w:r w:rsidRPr="00867263">
        <w:t xml:space="preserve"> que les nouveaux locaux puissent accueillir le personnel actuel si la distan</w:t>
      </w:r>
      <w:r w:rsidR="00053A71" w:rsidRPr="00867263">
        <w:t>ciation</w:t>
      </w:r>
      <w:r w:rsidRPr="00867263">
        <w:t xml:space="preserve"> sociale doit être maintenue. Il remercie les membres du </w:t>
      </w:r>
      <w:r w:rsidR="00CE4F9B" w:rsidRPr="00867263">
        <w:t xml:space="preserve">Groupe </w:t>
      </w:r>
      <w:r w:rsidRPr="00867263">
        <w:t>MSAG pour leurs efforts et le secrétariat pour son soutien constant.</w:t>
      </w:r>
    </w:p>
    <w:p w14:paraId="1098CF08" w14:textId="3C155735" w:rsidR="00536DBE" w:rsidRPr="00867263" w:rsidRDefault="00DE67CB" w:rsidP="00BE2D6B">
      <w:pPr>
        <w:spacing w:before="120"/>
      </w:pPr>
      <w:r w:rsidRPr="00867263">
        <w:lastRenderedPageBreak/>
        <w:t>5.</w:t>
      </w:r>
      <w:r w:rsidR="00053A71" w:rsidRPr="00867263">
        <w:t>4</w:t>
      </w:r>
      <w:r w:rsidR="0089720D" w:rsidRPr="00867263">
        <w:tab/>
      </w:r>
      <w:r w:rsidR="00053A71" w:rsidRPr="00867263">
        <w:t>Les C</w:t>
      </w:r>
      <w:r w:rsidR="00CE4F9B" w:rsidRPr="00867263">
        <w:t>onseillers</w:t>
      </w:r>
      <w:r w:rsidR="00053A71" w:rsidRPr="00867263">
        <w:t xml:space="preserve"> </w:t>
      </w:r>
      <w:r w:rsidR="00CE4F9B" w:rsidRPr="00867263">
        <w:t xml:space="preserve">accueillent </w:t>
      </w:r>
      <w:r w:rsidR="00053A71" w:rsidRPr="00867263">
        <w:t>les</w:t>
      </w:r>
      <w:r w:rsidRPr="00867263">
        <w:t xml:space="preserve"> rapports</w:t>
      </w:r>
      <w:r w:rsidR="00053A71" w:rsidRPr="00867263">
        <w:t xml:space="preserve"> avec satisfaction et </w:t>
      </w:r>
      <w:r w:rsidR="00CE4F9B" w:rsidRPr="00867263">
        <w:t>saluent</w:t>
      </w:r>
      <w:r w:rsidR="00053A71" w:rsidRPr="00867263">
        <w:t xml:space="preserve"> la</w:t>
      </w:r>
      <w:r w:rsidRPr="00867263">
        <w:t xml:space="preserve"> coopérati</w:t>
      </w:r>
      <w:r w:rsidR="00053A71" w:rsidRPr="00867263">
        <w:t>on de l'Union avec le pays hôte, ainsi que le</w:t>
      </w:r>
      <w:r w:rsidRPr="00867263">
        <w:t xml:space="preserve">s </w:t>
      </w:r>
      <w:r w:rsidR="00053A71" w:rsidRPr="00867263">
        <w:t xml:space="preserve">progrès </w:t>
      </w:r>
      <w:r w:rsidR="00536DBE" w:rsidRPr="00867263">
        <w:t>accomplis</w:t>
      </w:r>
      <w:r w:rsidR="00053A71" w:rsidRPr="00867263">
        <w:t xml:space="preserve"> à ce jour. Un C</w:t>
      </w:r>
      <w:r w:rsidR="00CE4F9B" w:rsidRPr="00867263">
        <w:t>onseiller engage</w:t>
      </w:r>
      <w:r w:rsidR="00BB3316" w:rsidRPr="00867263">
        <w:t xml:space="preserve"> </w:t>
      </w:r>
      <w:r w:rsidRPr="00867263">
        <w:t xml:space="preserve">le secrétariat à évaluer les </w:t>
      </w:r>
      <w:r w:rsidR="00536DBE" w:rsidRPr="00867263">
        <w:t>conséquences</w:t>
      </w:r>
      <w:r w:rsidR="002F0425">
        <w:t xml:space="preserve"> que pourrai</w:t>
      </w:r>
      <w:r w:rsidR="005D6C18" w:rsidRPr="00867263">
        <w:t xml:space="preserve">t avoir </w:t>
      </w:r>
      <w:r w:rsidR="00CE4F9B" w:rsidRPr="00867263">
        <w:t>une</w:t>
      </w:r>
      <w:r w:rsidRPr="00867263">
        <w:t xml:space="preserve"> décision </w:t>
      </w:r>
      <w:r w:rsidR="005D6C18" w:rsidRPr="00867263">
        <w:t>d</w:t>
      </w:r>
      <w:r w:rsidR="00F12A8B" w:rsidRPr="00867263">
        <w:t>'</w:t>
      </w:r>
      <w:r w:rsidR="005D6C18" w:rsidRPr="00867263">
        <w:t>ériger les réunions virtuelles ou le télé</w:t>
      </w:r>
      <w:r w:rsidRPr="00867263">
        <w:t>travail</w:t>
      </w:r>
      <w:r w:rsidR="005D6C18" w:rsidRPr="00867263">
        <w:t xml:space="preserve"> en pratique </w:t>
      </w:r>
      <w:r w:rsidR="00536DBE" w:rsidRPr="00867263">
        <w:t>courante</w:t>
      </w:r>
      <w:r w:rsidRPr="00867263">
        <w:t>.</w:t>
      </w:r>
    </w:p>
    <w:p w14:paraId="395EEE20" w14:textId="1BCCA1D1" w:rsidR="00900553" w:rsidRPr="00867263" w:rsidRDefault="00DE67CB" w:rsidP="00BE2D6B">
      <w:pPr>
        <w:spacing w:before="120"/>
      </w:pPr>
      <w:r w:rsidRPr="00867263">
        <w:t>5.5</w:t>
      </w:r>
      <w:r w:rsidR="0089720D" w:rsidRPr="00867263">
        <w:tab/>
      </w:r>
      <w:r w:rsidRPr="00867263">
        <w:t>La représentante du secrétari</w:t>
      </w:r>
      <w:r w:rsidR="003E096E" w:rsidRPr="00867263">
        <w:t>at</w:t>
      </w:r>
      <w:r w:rsidR="00CE4F9B" w:rsidRPr="00867263">
        <w:t xml:space="preserve"> </w:t>
      </w:r>
      <w:r w:rsidR="00536DBE" w:rsidRPr="00867263">
        <w:t>répond aux questions des C</w:t>
      </w:r>
      <w:r w:rsidR="00CE4F9B" w:rsidRPr="00867263">
        <w:t>onseillers</w:t>
      </w:r>
      <w:r w:rsidR="003E096E" w:rsidRPr="00867263">
        <w:t>. Elle</w:t>
      </w:r>
      <w:r w:rsidR="00CE4F9B" w:rsidRPr="00867263">
        <w:t xml:space="preserve"> indique</w:t>
      </w:r>
      <w:r w:rsidRPr="00867263">
        <w:t xml:space="preserve"> </w:t>
      </w:r>
      <w:r w:rsidR="006D373F" w:rsidRPr="00867263">
        <w:t>qu</w:t>
      </w:r>
      <w:r w:rsidR="00F12A8B" w:rsidRPr="00867263">
        <w:t>'</w:t>
      </w:r>
      <w:r w:rsidR="006D373F" w:rsidRPr="00867263">
        <w:t xml:space="preserve">à ce jour </w:t>
      </w:r>
      <w:r w:rsidR="00D521D4" w:rsidRPr="00867263">
        <w:t>il n</w:t>
      </w:r>
      <w:r w:rsidR="00F12A8B" w:rsidRPr="00867263">
        <w:t>'</w:t>
      </w:r>
      <w:r w:rsidR="00D521D4" w:rsidRPr="00867263">
        <w:t xml:space="preserve">est pas prévu que la pandémie entraîne une </w:t>
      </w:r>
      <w:r w:rsidR="006D373F" w:rsidRPr="00867263">
        <w:t>augmentation de</w:t>
      </w:r>
      <w:r w:rsidRPr="00867263">
        <w:t>s coûts de construc</w:t>
      </w:r>
      <w:r w:rsidR="00D521D4" w:rsidRPr="00867263">
        <w:t>tion</w:t>
      </w:r>
      <w:r w:rsidRPr="00867263">
        <w:t>. De même, il est peu probable que la mise au point d'un vaccin ait une incidence sur la conception</w:t>
      </w:r>
      <w:r w:rsidR="006D373F" w:rsidRPr="00867263">
        <w:t xml:space="preserve"> </w:t>
      </w:r>
      <w:r w:rsidR="00057B1B" w:rsidRPr="00867263">
        <w:t>des bâtiments</w:t>
      </w:r>
      <w:r w:rsidRPr="00867263">
        <w:t xml:space="preserve">. L'analyse </w:t>
      </w:r>
      <w:r w:rsidR="006D373F" w:rsidRPr="00867263">
        <w:t>de l</w:t>
      </w:r>
      <w:r w:rsidR="00F12A8B" w:rsidRPr="00867263">
        <w:t>'</w:t>
      </w:r>
      <w:r w:rsidR="006D373F" w:rsidRPr="00867263">
        <w:t>espace</w:t>
      </w:r>
      <w:r w:rsidRPr="00867263">
        <w:t xml:space="preserve"> de travail effectuée par un cabinet de consultants aidera l'UIT à décider de la conception des espaces de travail et à mettre en œuvre des pratiques, </w:t>
      </w:r>
      <w:r w:rsidR="006D373F" w:rsidRPr="00867263">
        <w:t xml:space="preserve">aussi bien </w:t>
      </w:r>
      <w:r w:rsidRPr="00867263">
        <w:t xml:space="preserve">à long terme </w:t>
      </w:r>
      <w:r w:rsidR="006D373F" w:rsidRPr="00867263">
        <w:t>que</w:t>
      </w:r>
      <w:r w:rsidRPr="00867263">
        <w:t xml:space="preserve"> pendant la période de </w:t>
      </w:r>
      <w:r w:rsidR="006D373F" w:rsidRPr="00867263">
        <w:t>relogement</w:t>
      </w:r>
      <w:r w:rsidRPr="00867263">
        <w:t xml:space="preserve">, </w:t>
      </w:r>
      <w:r w:rsidR="00D521D4" w:rsidRPr="00867263">
        <w:t>en tenant</w:t>
      </w:r>
      <w:r w:rsidRPr="00867263">
        <w:t xml:space="preserve"> compte de facteurs tels que la distanciation sociale, le télétravail et les mesures visant à assurer un environnement de travail sain. </w:t>
      </w:r>
      <w:r w:rsidR="00D521D4" w:rsidRPr="00867263">
        <w:t>Pour ce qui est du</w:t>
      </w:r>
      <w:r w:rsidRPr="00867263">
        <w:t xml:space="preserve"> plan de </w:t>
      </w:r>
      <w:r w:rsidR="006D373F" w:rsidRPr="00867263">
        <w:t>relogement, en cas de retour à</w:t>
      </w:r>
      <w:r w:rsidRPr="00867263">
        <w:t xml:space="preserve"> la normale, le personnel serait </w:t>
      </w:r>
      <w:r w:rsidR="00D521D4" w:rsidRPr="00867263">
        <w:t>relogé</w:t>
      </w:r>
      <w:r w:rsidRPr="00867263">
        <w:t xml:space="preserve"> dans d'autres bâtiments de l'UIT et la capacité des nouveaux locaux serait suffisante. Si les conditions de travail normales </w:t>
      </w:r>
      <w:r w:rsidR="006D373F" w:rsidRPr="00867263">
        <w:t>ne peuvent</w:t>
      </w:r>
      <w:r w:rsidRPr="00867263">
        <w:t xml:space="preserve"> être rétablies, les dispositions relatives au télétravail et</w:t>
      </w:r>
      <w:r w:rsidR="006D373F" w:rsidRPr="00867263">
        <w:t xml:space="preserve"> aux réunions virtuelles pourro</w:t>
      </w:r>
      <w:r w:rsidRPr="00867263">
        <w:t xml:space="preserve">nt être maintenues. De même, si des recommandations ou des </w:t>
      </w:r>
      <w:r w:rsidR="00C532ED" w:rsidRPr="00867263">
        <w:t>règle</w:t>
      </w:r>
      <w:r w:rsidR="006E7883" w:rsidRPr="00867263">
        <w:t>mentation</w:t>
      </w:r>
      <w:r w:rsidR="00C532ED" w:rsidRPr="00867263">
        <w:t>s</w:t>
      </w:r>
      <w:r w:rsidR="006E7883" w:rsidRPr="00867263">
        <w:t xml:space="preserve"> prévoyant</w:t>
      </w:r>
      <w:r w:rsidRPr="00867263">
        <w:t xml:space="preserve"> des mesures de distanciation sociale étaient publié</w:t>
      </w:r>
      <w:r w:rsidR="00C532ED" w:rsidRPr="00867263">
        <w:t>e</w:t>
      </w:r>
      <w:r w:rsidRPr="00867263">
        <w:t xml:space="preserve">s, le télétravail devrait être intégré dans le </w:t>
      </w:r>
      <w:r w:rsidR="00C532ED" w:rsidRPr="00867263">
        <w:t xml:space="preserve">plan d'attribution de l'espace </w:t>
      </w:r>
      <w:r w:rsidR="002B2D43" w:rsidRPr="00867263">
        <w:t>pour</w:t>
      </w:r>
      <w:r w:rsidR="00C532ED" w:rsidRPr="00867263">
        <w:t xml:space="preserve"> les nouveaux locaux. Le processus de sélection du cabinet de conseil doit s</w:t>
      </w:r>
      <w:r w:rsidR="00F12A8B" w:rsidRPr="00867263">
        <w:t>'</w:t>
      </w:r>
      <w:r w:rsidR="00C532ED" w:rsidRPr="00867263">
        <w:t>achever d'ici fin novembre, l'objectif étant d</w:t>
      </w:r>
      <w:r w:rsidR="00F12A8B" w:rsidRPr="00867263">
        <w:t>'</w:t>
      </w:r>
      <w:r w:rsidR="00C532ED" w:rsidRPr="00867263">
        <w:t xml:space="preserve">obtenir le concours des experts le plus rapidement possible, en vue de soumettre les premiers résultats à la session de 2021 du Conseil. Le secrétariat pourra </w:t>
      </w:r>
      <w:r w:rsidR="003E096E" w:rsidRPr="00867263">
        <w:t>communiquer</w:t>
      </w:r>
      <w:r w:rsidR="00C532ED" w:rsidRPr="00867263">
        <w:t xml:space="preserve"> le cahier des charges de l'appel d'offres</w:t>
      </w:r>
      <w:r w:rsidR="004620EB" w:rsidRPr="00867263">
        <w:t xml:space="preserve"> lancé en vue de la sélection du cabinet </w:t>
      </w:r>
      <w:r w:rsidR="00C532ED" w:rsidRPr="00867263">
        <w:t>de conseil, mais de préférence après la fin du processus d'appel d'offres</w:t>
      </w:r>
      <w:r w:rsidR="004620EB" w:rsidRPr="00867263">
        <w:t>.</w:t>
      </w:r>
    </w:p>
    <w:p w14:paraId="04F17849" w14:textId="533BCC47" w:rsidR="00552AD1" w:rsidRPr="00867263" w:rsidRDefault="00900553" w:rsidP="00BE2D6B">
      <w:pPr>
        <w:spacing w:before="120"/>
      </w:pPr>
      <w:r w:rsidRPr="00867263">
        <w:t>5.6</w:t>
      </w:r>
      <w:r w:rsidR="0089720D" w:rsidRPr="00867263">
        <w:tab/>
      </w:r>
      <w:r w:rsidRPr="00867263">
        <w:t>Un conseiller demande</w:t>
      </w:r>
      <w:r w:rsidR="00DE67CB" w:rsidRPr="00867263">
        <w:t xml:space="preserve"> instamment au secrétariat de se pencher sur la question de la disponibilité de salles de réunion pour les </w:t>
      </w:r>
      <w:r w:rsidR="0089720D" w:rsidRPr="00867263">
        <w:t>C</w:t>
      </w:r>
      <w:r w:rsidR="00DE67CB" w:rsidRPr="00867263">
        <w:t xml:space="preserve">ommissions d'études et les </w:t>
      </w:r>
      <w:r w:rsidR="0089720D" w:rsidRPr="00867263">
        <w:t>G</w:t>
      </w:r>
      <w:r w:rsidR="00DE67CB" w:rsidRPr="00867263">
        <w:t>roupes de travail de l'UIT pendant la période de construction</w:t>
      </w:r>
      <w:r w:rsidR="00867263" w:rsidRPr="00867263">
        <w:t>;</w:t>
      </w:r>
      <w:r w:rsidR="00DE67CB" w:rsidRPr="00867263">
        <w:t xml:space="preserve"> des solutions ont été trouvées pour les manifestations de grande </w:t>
      </w:r>
      <w:r w:rsidRPr="00867263">
        <w:t>envergure. Puisqu</w:t>
      </w:r>
      <w:r w:rsidR="00F12A8B" w:rsidRPr="00867263">
        <w:t>'</w:t>
      </w:r>
      <w:r w:rsidRPr="00867263">
        <w:t>il se peut que seul</w:t>
      </w:r>
      <w:r w:rsidR="00DE67CB" w:rsidRPr="00867263">
        <w:t xml:space="preserve"> un certain </w:t>
      </w:r>
      <w:r w:rsidRPr="00867263">
        <w:t>pourcentage</w:t>
      </w:r>
      <w:r w:rsidR="00DE67CB" w:rsidRPr="00867263">
        <w:t xml:space="preserve"> du personnel </w:t>
      </w:r>
      <w:r w:rsidRPr="00867263">
        <w:t xml:space="preserve">soit </w:t>
      </w:r>
      <w:r w:rsidR="003E096E" w:rsidRPr="00867263">
        <w:t xml:space="preserve">autorisé à </w:t>
      </w:r>
      <w:r w:rsidR="00DE67CB" w:rsidRPr="00867263">
        <w:t xml:space="preserve">travailler dans les nouveaux locaux </w:t>
      </w:r>
      <w:r w:rsidRPr="00867263">
        <w:t>du fait de l</w:t>
      </w:r>
      <w:r w:rsidR="00F12A8B" w:rsidRPr="00867263">
        <w:t>'</w:t>
      </w:r>
      <w:r w:rsidRPr="00867263">
        <w:t>obligation de</w:t>
      </w:r>
      <w:r w:rsidR="00DE67CB" w:rsidRPr="00867263">
        <w:t xml:space="preserve"> distanciation sociale, la vente de la T</w:t>
      </w:r>
      <w:r w:rsidRPr="00867263">
        <w:t xml:space="preserve">our ne semble pas souhaitable. </w:t>
      </w:r>
      <w:r w:rsidR="00670310" w:rsidRPr="00867263">
        <w:t>U</w:t>
      </w:r>
      <w:r w:rsidR="00DE67CB" w:rsidRPr="00867263">
        <w:t>ne approche cohérente des réunions virtuelles</w:t>
      </w:r>
      <w:r w:rsidR="00670310" w:rsidRPr="00867263">
        <w:t xml:space="preserve"> doit être adoptée</w:t>
      </w:r>
      <w:r w:rsidR="00DE67CB" w:rsidRPr="00867263">
        <w:t xml:space="preserve">, notamment </w:t>
      </w:r>
      <w:r w:rsidR="00670310" w:rsidRPr="00867263">
        <w:t>pour ce qui est d</w:t>
      </w:r>
      <w:r w:rsidR="00DE67CB" w:rsidRPr="00867263">
        <w:t xml:space="preserve">es logiciels. Étant donné la situation incertaine de l'immobilier à Genève, le secrétariat devrait </w:t>
      </w:r>
      <w:r w:rsidR="003E096E" w:rsidRPr="00867263">
        <w:t>prendre</w:t>
      </w:r>
      <w:r w:rsidR="00670310" w:rsidRPr="00867263">
        <w:t xml:space="preserve"> contact avec </w:t>
      </w:r>
      <w:r w:rsidR="00DE67CB" w:rsidRPr="00867263">
        <w:t>les autorités genevoises</w:t>
      </w:r>
      <w:r w:rsidR="00670310" w:rsidRPr="00867263">
        <w:t xml:space="preserve"> afin d</w:t>
      </w:r>
      <w:r w:rsidR="00F12A8B" w:rsidRPr="00867263">
        <w:t>'</w:t>
      </w:r>
      <w:r w:rsidR="00670310" w:rsidRPr="00867263">
        <w:t xml:space="preserve">aborder </w:t>
      </w:r>
      <w:r w:rsidR="003E096E" w:rsidRPr="00867263">
        <w:t>certaines</w:t>
      </w:r>
      <w:r w:rsidR="00670310" w:rsidRPr="00867263">
        <w:t xml:space="preserve"> questions telles que le</w:t>
      </w:r>
      <w:r w:rsidR="00DE67CB" w:rsidRPr="00867263">
        <w:t xml:space="preserve"> </w:t>
      </w:r>
      <w:r w:rsidR="00DE67CB" w:rsidRPr="00867263">
        <w:rPr>
          <w:i/>
          <w:iCs/>
        </w:rPr>
        <w:t>droit de superficie</w:t>
      </w:r>
      <w:r w:rsidR="00DE67CB" w:rsidRPr="00867263">
        <w:t xml:space="preserve"> </w:t>
      </w:r>
      <w:r w:rsidR="002A10F3" w:rsidRPr="00867263">
        <w:t>portant sur</w:t>
      </w:r>
      <w:r w:rsidR="00670310" w:rsidRPr="00867263">
        <w:t xml:space="preserve"> la Tour qui </w:t>
      </w:r>
      <w:r w:rsidR="002A10F3" w:rsidRPr="00867263">
        <w:t xml:space="preserve">va grandement influencer </w:t>
      </w:r>
      <w:r w:rsidR="00670310" w:rsidRPr="00867263">
        <w:t>l</w:t>
      </w:r>
      <w:r w:rsidR="00F12A8B" w:rsidRPr="00867263">
        <w:t>'</w:t>
      </w:r>
      <w:r w:rsidR="00670310" w:rsidRPr="00867263">
        <w:t xml:space="preserve">attractivité du site </w:t>
      </w:r>
      <w:r w:rsidR="002A10F3" w:rsidRPr="00867263">
        <w:t>aux yeux d</w:t>
      </w:r>
      <w:r w:rsidR="00670310" w:rsidRPr="00867263">
        <w:t>es achete</w:t>
      </w:r>
      <w:r w:rsidR="002A10F3" w:rsidRPr="00867263">
        <w:t>u</w:t>
      </w:r>
      <w:r w:rsidR="00670310" w:rsidRPr="00867263">
        <w:t xml:space="preserve">rs et </w:t>
      </w:r>
      <w:r w:rsidR="002A10F3" w:rsidRPr="00867263">
        <w:t>la valorisation qui en sera faite</w:t>
      </w:r>
      <w:r w:rsidR="00670310" w:rsidRPr="00867263">
        <w:t xml:space="preserve">. </w:t>
      </w:r>
      <w:r w:rsidR="00DE67CB" w:rsidRPr="00867263">
        <w:t>Il est important de connaître la stratégie des autorités à ce</w:t>
      </w:r>
      <w:r w:rsidR="002A10F3" w:rsidRPr="00867263">
        <w:t>t égard, compte tenu de leur droit</w:t>
      </w:r>
      <w:r w:rsidR="00DE67CB" w:rsidRPr="00867263">
        <w:t xml:space="preserve"> de préemption. L'UIT pourrait </w:t>
      </w:r>
      <w:r w:rsidR="00552AD1" w:rsidRPr="00867263">
        <w:t>continuer d</w:t>
      </w:r>
      <w:r w:rsidR="00F12A8B" w:rsidRPr="00867263">
        <w:t>'</w:t>
      </w:r>
      <w:r w:rsidR="00DE67CB" w:rsidRPr="00867263">
        <w:t>utilis</w:t>
      </w:r>
      <w:r w:rsidR="00552AD1" w:rsidRPr="00867263">
        <w:t>er</w:t>
      </w:r>
      <w:r w:rsidR="00DE67CB" w:rsidRPr="00867263">
        <w:t xml:space="preserve"> la salle Popov si le site était </w:t>
      </w:r>
      <w:r w:rsidR="003E096E" w:rsidRPr="00867263">
        <w:t>acheté</w:t>
      </w:r>
      <w:r w:rsidR="00DE67CB" w:rsidRPr="00867263">
        <w:t xml:space="preserve"> par un organisme </w:t>
      </w:r>
      <w:r w:rsidR="00552AD1" w:rsidRPr="00867263">
        <w:t>public</w:t>
      </w:r>
      <w:r w:rsidR="00DE67CB" w:rsidRPr="00867263">
        <w:t xml:space="preserve"> ou une organisation internationale souhaitant en partager l'utilisation. Le secrétariat et le</w:t>
      </w:r>
      <w:r w:rsidR="00552AD1" w:rsidRPr="00867263">
        <w:t xml:space="preserve"> Groupe</w:t>
      </w:r>
      <w:r w:rsidR="00DE67CB" w:rsidRPr="00867263">
        <w:t xml:space="preserve"> MSAG doivent élaborer une stratégie efficace qui </w:t>
      </w:r>
      <w:r w:rsidR="00552AD1" w:rsidRPr="00867263">
        <w:t>tienne compte de l</w:t>
      </w:r>
      <w:r w:rsidR="00F12A8B" w:rsidRPr="00867263">
        <w:t>'</w:t>
      </w:r>
      <w:r w:rsidR="00552AD1" w:rsidRPr="00867263">
        <w:t>évolution d</w:t>
      </w:r>
      <w:r w:rsidR="00DE67CB" w:rsidRPr="00867263">
        <w:t>u marché immobilier local et de l'économie mondiale</w:t>
      </w:r>
      <w:r w:rsidR="00552AD1" w:rsidRPr="00867263">
        <w:t>.</w:t>
      </w:r>
      <w:r w:rsidR="00DE67CB" w:rsidRPr="00867263">
        <w:t xml:space="preserve"> </w:t>
      </w:r>
    </w:p>
    <w:p w14:paraId="675D0BD9" w14:textId="54389494" w:rsidR="00382302" w:rsidRPr="00867263" w:rsidRDefault="00DE67CB" w:rsidP="00BE2D6B">
      <w:pPr>
        <w:spacing w:before="120"/>
      </w:pPr>
      <w:r w:rsidRPr="00867263">
        <w:t>5.7</w:t>
      </w:r>
      <w:r w:rsidR="0089720D" w:rsidRPr="00867263">
        <w:tab/>
      </w:r>
      <w:r w:rsidRPr="00867263">
        <w:t xml:space="preserve">La représentante du secrétariat, répondant aux </w:t>
      </w:r>
      <w:r w:rsidR="00552AD1" w:rsidRPr="00867263">
        <w:t>observations</w:t>
      </w:r>
      <w:r w:rsidRPr="00867263">
        <w:t xml:space="preserve"> </w:t>
      </w:r>
      <w:r w:rsidR="00E00991" w:rsidRPr="00867263">
        <w:t xml:space="preserve">formulées </w:t>
      </w:r>
      <w:r w:rsidRPr="00867263">
        <w:t xml:space="preserve">concernant la Tour, </w:t>
      </w:r>
      <w:r w:rsidR="00552AD1" w:rsidRPr="00867263">
        <w:t>indique</w:t>
      </w:r>
      <w:r w:rsidRPr="00867263">
        <w:t xml:space="preserve"> que des consultations avec les autorités genevoises </w:t>
      </w:r>
      <w:r w:rsidR="00552AD1" w:rsidRPr="00867263">
        <w:t>sont en cours. Elle</w:t>
      </w:r>
      <w:r w:rsidR="00E00991" w:rsidRPr="00867263">
        <w:t xml:space="preserve"> assure les C</w:t>
      </w:r>
      <w:r w:rsidRPr="00867263">
        <w:t>onseillers que le Conseil sera informé des progrès réalisés</w:t>
      </w:r>
      <w:r w:rsidR="00E00991" w:rsidRPr="00867263">
        <w:t xml:space="preserve"> à sa session de 2021</w:t>
      </w:r>
      <w:r w:rsidRPr="00867263">
        <w:t>.</w:t>
      </w:r>
    </w:p>
    <w:p w14:paraId="0E85FD6C" w14:textId="0DC1FDF3" w:rsidR="009818F2" w:rsidRPr="00867263" w:rsidRDefault="00382302" w:rsidP="00BE2D6B">
      <w:pPr>
        <w:spacing w:before="120"/>
      </w:pPr>
      <w:r w:rsidRPr="00867263">
        <w:t>5.8</w:t>
      </w:r>
      <w:r w:rsidR="0089720D" w:rsidRPr="00867263">
        <w:tab/>
      </w:r>
      <w:r w:rsidRPr="00867263">
        <w:t>Le C</w:t>
      </w:r>
      <w:r w:rsidR="00DE67CB" w:rsidRPr="00867263">
        <w:t xml:space="preserve">hef du Département des conférences et des publications </w:t>
      </w:r>
      <w:r w:rsidRPr="00867263">
        <w:t>souligne</w:t>
      </w:r>
      <w:r w:rsidR="00DE67CB" w:rsidRPr="00867263">
        <w:t xml:space="preserve"> qu'une coopération </w:t>
      </w:r>
      <w:r w:rsidRPr="00867263">
        <w:t>a été mise en place avec les groupes de travail, les S</w:t>
      </w:r>
      <w:r w:rsidR="00DE67CB" w:rsidRPr="00867263">
        <w:t xml:space="preserve">ecteurs et les </w:t>
      </w:r>
      <w:r w:rsidRPr="00867263">
        <w:t>D</w:t>
      </w:r>
      <w:r w:rsidR="002F0425">
        <w:t>épartements, ainsi qu'avec la </w:t>
      </w:r>
      <w:r w:rsidR="00DE67CB" w:rsidRPr="00867263">
        <w:t xml:space="preserve">FIPOI, afin de garantir la disponibilité de locaux de conférence et de réunion, y compris pour les réunions de groupes plus restreints. En outre, des consultations </w:t>
      </w:r>
      <w:r w:rsidRPr="00867263">
        <w:t>sont</w:t>
      </w:r>
      <w:r w:rsidR="00DE67CB" w:rsidRPr="00867263">
        <w:t xml:space="preserve"> en cours avec le </w:t>
      </w:r>
      <w:r w:rsidR="003E096E" w:rsidRPr="00867263">
        <w:t>G</w:t>
      </w:r>
      <w:r w:rsidR="00DE67CB" w:rsidRPr="00867263">
        <w:t>ouvernement hongrois, en vue d'organiser des réuni</w:t>
      </w:r>
      <w:r w:rsidR="009818F2" w:rsidRPr="00867263">
        <w:t>ons à Budapest à l'avenir. Il s</w:t>
      </w:r>
      <w:r w:rsidR="00DE67CB" w:rsidRPr="00867263">
        <w:t>e</w:t>
      </w:r>
      <w:r w:rsidR="009818F2" w:rsidRPr="00867263">
        <w:t xml:space="preserve"> félicite</w:t>
      </w:r>
      <w:r w:rsidR="00DE67CB" w:rsidRPr="00867263">
        <w:t xml:space="preserve"> de l'excellente coopération avec les autorités suisses, </w:t>
      </w:r>
      <w:r w:rsidR="005B074C" w:rsidRPr="00867263">
        <w:t xml:space="preserve">coopération </w:t>
      </w:r>
      <w:r w:rsidR="00DE67CB" w:rsidRPr="00867263">
        <w:t xml:space="preserve">qui </w:t>
      </w:r>
      <w:r w:rsidR="009818F2" w:rsidRPr="00867263">
        <w:t>va se</w:t>
      </w:r>
      <w:r w:rsidR="00DE67CB" w:rsidRPr="00867263">
        <w:t xml:space="preserve"> poursuivr</w:t>
      </w:r>
      <w:r w:rsidR="009818F2" w:rsidRPr="00867263">
        <w:t>e afin de garantir la mise à disposition</w:t>
      </w:r>
      <w:r w:rsidR="00DE67CB" w:rsidRPr="00867263">
        <w:t xml:space="preserve"> d'installations de conférence pendant la phase de construction.</w:t>
      </w:r>
    </w:p>
    <w:p w14:paraId="6E3E609C" w14:textId="34EA8B58" w:rsidR="00EF6D66" w:rsidRPr="00867263" w:rsidRDefault="002B6741" w:rsidP="00BE2D6B">
      <w:pPr>
        <w:spacing w:before="120"/>
      </w:pPr>
      <w:r w:rsidRPr="00867263">
        <w:lastRenderedPageBreak/>
        <w:t>5.9</w:t>
      </w:r>
      <w:r w:rsidR="0089720D" w:rsidRPr="00867263">
        <w:tab/>
      </w:r>
      <w:r w:rsidRPr="00867263">
        <w:t>Le C</w:t>
      </w:r>
      <w:r w:rsidR="00DE67CB" w:rsidRPr="00867263">
        <w:t xml:space="preserve">onseiller de la Suisse </w:t>
      </w:r>
      <w:r w:rsidR="00EF6D66" w:rsidRPr="00867263">
        <w:t>note avec satisfaction</w:t>
      </w:r>
      <w:r w:rsidR="00DE67CB" w:rsidRPr="00867263">
        <w:t xml:space="preserve"> l'excellente coopération</w:t>
      </w:r>
      <w:r w:rsidRPr="00867263">
        <w:t xml:space="preserve"> </w:t>
      </w:r>
      <w:r w:rsidR="00DE67CB" w:rsidRPr="00867263">
        <w:t>entre son administration et l'UIT</w:t>
      </w:r>
      <w:r w:rsidRPr="00867263">
        <w:t>, y compris au niveau cantonal</w:t>
      </w:r>
      <w:r w:rsidR="00DE67CB" w:rsidRPr="00867263">
        <w:t xml:space="preserve">. L'approbation finale de la demande de prêt est attendue pour le début du mois de décembre, ce qui signifie que les fonds devraient être disponibles en janvier 2021. </w:t>
      </w:r>
      <w:r w:rsidRPr="00867263">
        <w:t>Une étude de faisabilité sera menée par les</w:t>
      </w:r>
      <w:r w:rsidR="00DE67CB" w:rsidRPr="00867263">
        <w:t xml:space="preserve"> autorités du pays hôte et l'UIT </w:t>
      </w:r>
      <w:r w:rsidRPr="00867263">
        <w:t>afin d</w:t>
      </w:r>
      <w:r w:rsidR="00F12A8B" w:rsidRPr="00867263">
        <w:t>'</w:t>
      </w:r>
      <w:r w:rsidR="00DE67CB" w:rsidRPr="00867263">
        <w:t xml:space="preserve">évaluer les mesures de sécurité proposées pour le site de Varembé. Des efforts seront faits pour tenir compte des besoins de l'Union à tous les stades de ce processus et </w:t>
      </w:r>
      <w:r w:rsidRPr="00867263">
        <w:t xml:space="preserve">pour </w:t>
      </w:r>
      <w:r w:rsidR="00DE67CB" w:rsidRPr="00867263">
        <w:t xml:space="preserve">assurer la coordination avec les autorités cantonales </w:t>
      </w:r>
      <w:r w:rsidR="005B074C" w:rsidRPr="00867263">
        <w:t>afin de</w:t>
      </w:r>
      <w:r w:rsidR="00DE67CB" w:rsidRPr="00867263">
        <w:t xml:space="preserve"> trouver des solutions acceptables pour tous. Les autorités suisses s'efforcent d'aider l'UIT à trouver </w:t>
      </w:r>
      <w:r w:rsidRPr="00867263">
        <w:t>des</w:t>
      </w:r>
      <w:r w:rsidR="00DE67CB" w:rsidRPr="00867263">
        <w:t xml:space="preserve"> locaux </w:t>
      </w:r>
      <w:r w:rsidRPr="00867263">
        <w:t xml:space="preserve">de remplacement </w:t>
      </w:r>
      <w:r w:rsidR="00DE67CB" w:rsidRPr="00867263">
        <w:t xml:space="preserve">pour les réunions pendant la phase de construction, en coordination avec la FIPOI et le CICG. Des solutions pour les conférences </w:t>
      </w:r>
      <w:r w:rsidR="005B074C" w:rsidRPr="00867263">
        <w:t>de grande envergure</w:t>
      </w:r>
      <w:r w:rsidR="00DE67CB" w:rsidRPr="00867263">
        <w:t xml:space="preserve"> ont déjà été </w:t>
      </w:r>
      <w:r w:rsidR="00EF6D66" w:rsidRPr="00867263">
        <w:t>trouvées</w:t>
      </w:r>
      <w:r w:rsidR="00DE67CB" w:rsidRPr="00867263">
        <w:t>.</w:t>
      </w:r>
    </w:p>
    <w:p w14:paraId="1D9DCBFE" w14:textId="3A3904D2" w:rsidR="00F2493A" w:rsidRPr="00867263" w:rsidRDefault="00EF6D66" w:rsidP="00BE2D6B">
      <w:pPr>
        <w:spacing w:before="120"/>
      </w:pPr>
      <w:r w:rsidRPr="00867263">
        <w:t>5.10</w:t>
      </w:r>
      <w:r w:rsidR="0089720D" w:rsidRPr="00867263">
        <w:tab/>
      </w:r>
      <w:r w:rsidRPr="00867263">
        <w:t>Plusieurs C</w:t>
      </w:r>
      <w:r w:rsidR="00DE67CB" w:rsidRPr="00867263">
        <w:t xml:space="preserve">onseillers </w:t>
      </w:r>
      <w:r w:rsidRPr="00867263">
        <w:t>se sont dits préoccupés par l'idée consistant à</w:t>
      </w:r>
      <w:r w:rsidR="00F2493A" w:rsidRPr="00867263">
        <w:t xml:space="preserve"> mettre en réserve </w:t>
      </w:r>
      <w:r w:rsidR="00D20C64" w:rsidRPr="00867263">
        <w:t>une partie des ressources d</w:t>
      </w:r>
      <w:r w:rsidR="005B074C" w:rsidRPr="00867263">
        <w:t xml:space="preserve">u Fonds </w:t>
      </w:r>
      <w:r w:rsidRPr="00867263">
        <w:t xml:space="preserve">ASHI (Assurance maladie </w:t>
      </w:r>
      <w:r w:rsidR="00F2493A" w:rsidRPr="00867263">
        <w:t>après la cessation de service)</w:t>
      </w:r>
      <w:r w:rsidRPr="00867263">
        <w:t xml:space="preserve"> </w:t>
      </w:r>
      <w:r w:rsidR="005B074C" w:rsidRPr="00867263">
        <w:t>au profit du</w:t>
      </w:r>
      <w:r w:rsidRPr="00867263">
        <w:t xml:space="preserve"> F</w:t>
      </w:r>
      <w:r w:rsidR="00DE67CB" w:rsidRPr="00867263">
        <w:t xml:space="preserve">onds </w:t>
      </w:r>
      <w:r w:rsidR="00BA5C20" w:rsidRPr="00867263">
        <w:t>pour le</w:t>
      </w:r>
      <w:r w:rsidR="00DE67CB" w:rsidRPr="00867263">
        <w:t xml:space="preserve"> regist</w:t>
      </w:r>
      <w:r w:rsidR="00F2493A" w:rsidRPr="00867263">
        <w:t>re des risques. Un conseiller demande</w:t>
      </w:r>
      <w:r w:rsidR="00DE67CB" w:rsidRPr="00867263">
        <w:t xml:space="preserve"> si les économies réalisées pendant la pandémie, </w:t>
      </w:r>
      <w:r w:rsidR="00F2493A" w:rsidRPr="00867263">
        <w:t>notamment</w:t>
      </w:r>
      <w:r w:rsidR="00DE67CB" w:rsidRPr="00867263">
        <w:t xml:space="preserve"> sur les voyages, pourraient être utilisé</w:t>
      </w:r>
      <w:r w:rsidR="00F2493A" w:rsidRPr="00867263">
        <w:t>es. D'autres Conseillers et le P</w:t>
      </w:r>
      <w:r w:rsidR="00DE67CB" w:rsidRPr="00867263">
        <w:t xml:space="preserve">résident du </w:t>
      </w:r>
      <w:r w:rsidR="00F2493A" w:rsidRPr="00867263">
        <w:t xml:space="preserve">Groupe </w:t>
      </w:r>
      <w:r w:rsidR="00DE67CB" w:rsidRPr="00867263">
        <w:t xml:space="preserve">MSAG </w:t>
      </w:r>
      <w:r w:rsidR="00F2493A" w:rsidRPr="00867263">
        <w:t>proposent</w:t>
      </w:r>
      <w:r w:rsidR="00DE67CB" w:rsidRPr="00867263">
        <w:t xml:space="preserve"> de</w:t>
      </w:r>
      <w:r w:rsidR="00F2493A" w:rsidRPr="00867263">
        <w:t xml:space="preserve"> charger le GTC-FHR de régler </w:t>
      </w:r>
      <w:r w:rsidR="00DE67CB" w:rsidRPr="00867263">
        <w:t xml:space="preserve">la question du financement </w:t>
      </w:r>
      <w:r w:rsidR="005B074C" w:rsidRPr="00867263">
        <w:t>suffisant</w:t>
      </w:r>
      <w:r w:rsidR="00DE67CB" w:rsidRPr="00867263">
        <w:t xml:space="preserve"> du </w:t>
      </w:r>
      <w:r w:rsidR="00F2493A" w:rsidRPr="00867263">
        <w:t xml:space="preserve">Fonds </w:t>
      </w:r>
      <w:r w:rsidR="00BA5C20" w:rsidRPr="00867263">
        <w:t>pour le</w:t>
      </w:r>
      <w:r w:rsidR="00F2493A" w:rsidRPr="00867263">
        <w:t xml:space="preserve"> registre des risques, </w:t>
      </w:r>
      <w:r w:rsidR="00DE67CB" w:rsidRPr="00867263">
        <w:t xml:space="preserve">car cette question </w:t>
      </w:r>
      <w:r w:rsidR="00BA5C20" w:rsidRPr="00867263">
        <w:t>touche</w:t>
      </w:r>
      <w:r w:rsidR="00F2493A" w:rsidRPr="00867263">
        <w:t xml:space="preserve"> à</w:t>
      </w:r>
      <w:r w:rsidR="00DE67CB" w:rsidRPr="00867263">
        <w:t xml:space="preserve"> d'autres </w:t>
      </w:r>
      <w:r w:rsidR="005B074C" w:rsidRPr="00867263">
        <w:t>questions</w:t>
      </w:r>
      <w:r w:rsidR="00DE67CB" w:rsidRPr="00867263">
        <w:t xml:space="preserve"> financi</w:t>
      </w:r>
      <w:r w:rsidR="005B074C" w:rsidRPr="00867263">
        <w:t>ères</w:t>
      </w:r>
      <w:r w:rsidR="00DE67CB" w:rsidRPr="00867263">
        <w:t>.</w:t>
      </w:r>
    </w:p>
    <w:p w14:paraId="4C90B5CF" w14:textId="4855B93B" w:rsidR="00181A5C" w:rsidRPr="00867263" w:rsidRDefault="00DE67CB" w:rsidP="00BE2D6B">
      <w:pPr>
        <w:spacing w:before="120"/>
      </w:pPr>
      <w:r w:rsidRPr="00867263">
        <w:t>5.11</w:t>
      </w:r>
      <w:r w:rsidR="0089720D" w:rsidRPr="00867263">
        <w:tab/>
      </w:r>
      <w:r w:rsidRPr="00867263">
        <w:t xml:space="preserve">La représentante du secrétariat, </w:t>
      </w:r>
      <w:r w:rsidR="00F2493A" w:rsidRPr="00867263">
        <w:t>répondant aux observation</w:t>
      </w:r>
      <w:r w:rsidR="002F0425">
        <w:t>s</w:t>
      </w:r>
      <w:r w:rsidR="00F2493A" w:rsidRPr="00867263">
        <w:t xml:space="preserve"> des C</w:t>
      </w:r>
      <w:r w:rsidRPr="00867263">
        <w:t xml:space="preserve">onseillers, </w:t>
      </w:r>
      <w:r w:rsidR="00F2493A" w:rsidRPr="00867263">
        <w:t>fait valoir que l'enveloppe financière du F</w:t>
      </w:r>
      <w:r w:rsidRPr="00867263">
        <w:t xml:space="preserve">onds </w:t>
      </w:r>
      <w:r w:rsidR="00F2493A" w:rsidRPr="00867263">
        <w:t>pour le</w:t>
      </w:r>
      <w:r w:rsidRPr="00867263">
        <w:t xml:space="preserve"> registre </w:t>
      </w:r>
      <w:r w:rsidR="00F2493A" w:rsidRPr="00867263">
        <w:t>des risques restera inchangée</w:t>
      </w:r>
      <w:r w:rsidR="005B074C" w:rsidRPr="00867263">
        <w:t>,</w:t>
      </w:r>
      <w:r w:rsidR="00F2493A" w:rsidRPr="00867263">
        <w:t xml:space="preserve"> en insistant sur le fait que les</w:t>
      </w:r>
      <w:r w:rsidRPr="00867263">
        <w:t xml:space="preserve"> risques potentiels existent </w:t>
      </w:r>
      <w:r w:rsidR="00181A5C" w:rsidRPr="00867263">
        <w:t>déjà</w:t>
      </w:r>
      <w:r w:rsidRPr="00867263">
        <w:t>.</w:t>
      </w:r>
    </w:p>
    <w:p w14:paraId="063FD0D2" w14:textId="20490D5C" w:rsidR="00C765B1" w:rsidRPr="00867263" w:rsidRDefault="00181A5C" w:rsidP="00BE2D6B">
      <w:pPr>
        <w:spacing w:before="120"/>
      </w:pPr>
      <w:r w:rsidRPr="00867263">
        <w:t>5.12</w:t>
      </w:r>
      <w:r w:rsidR="0089720D" w:rsidRPr="00867263">
        <w:tab/>
      </w:r>
      <w:r w:rsidRPr="00867263">
        <w:t>Le C</w:t>
      </w:r>
      <w:r w:rsidR="00DE67CB" w:rsidRPr="00867263">
        <w:t xml:space="preserve">hef du </w:t>
      </w:r>
      <w:r w:rsidR="001B0858" w:rsidRPr="00867263">
        <w:t xml:space="preserve">Département </w:t>
      </w:r>
      <w:r w:rsidR="00DE67CB" w:rsidRPr="00867263">
        <w:t xml:space="preserve">FRMD </w:t>
      </w:r>
      <w:r w:rsidRPr="00867263">
        <w:t>indique</w:t>
      </w:r>
      <w:r w:rsidR="00DE67CB" w:rsidRPr="00867263">
        <w:t xml:space="preserve"> que la proposition d'utiliser le </w:t>
      </w:r>
      <w:r w:rsidR="00F2493A" w:rsidRPr="00867263">
        <w:t>F</w:t>
      </w:r>
      <w:r w:rsidR="00DE67CB" w:rsidRPr="00867263">
        <w:t xml:space="preserve">onds ASHI </w:t>
      </w:r>
      <w:r w:rsidRPr="00867263">
        <w:t xml:space="preserve">pour </w:t>
      </w:r>
      <w:r w:rsidR="005B074C" w:rsidRPr="00867263">
        <w:t>financer</w:t>
      </w:r>
      <w:r w:rsidR="00DE67CB" w:rsidRPr="00867263">
        <w:t xml:space="preserve"> le </w:t>
      </w:r>
      <w:r w:rsidR="00F2493A" w:rsidRPr="00867263">
        <w:t>F</w:t>
      </w:r>
      <w:r w:rsidR="00DE67CB" w:rsidRPr="00867263">
        <w:t xml:space="preserve">onds </w:t>
      </w:r>
      <w:r w:rsidR="00F2493A" w:rsidRPr="00867263">
        <w:t>pour le</w:t>
      </w:r>
      <w:r w:rsidR="00DE67CB" w:rsidRPr="00867263">
        <w:t xml:space="preserve"> registre des risques </w:t>
      </w:r>
      <w:r w:rsidRPr="00867263">
        <w:t>a</w:t>
      </w:r>
      <w:r w:rsidR="00DE67CB" w:rsidRPr="00867263">
        <w:t xml:space="preserve"> été abandonnée</w:t>
      </w:r>
      <w:r w:rsidRPr="00867263">
        <w:t xml:space="preserve">. </w:t>
      </w:r>
      <w:r w:rsidR="00DE67CB" w:rsidRPr="00867263">
        <w:rPr>
          <w:spacing w:val="4"/>
        </w:rPr>
        <w:t xml:space="preserve">L'UIT </w:t>
      </w:r>
      <w:r w:rsidRPr="00867263">
        <w:rPr>
          <w:spacing w:val="4"/>
        </w:rPr>
        <w:t>doit</w:t>
      </w:r>
      <w:r w:rsidR="00DE67CB" w:rsidRPr="00867263">
        <w:rPr>
          <w:spacing w:val="4"/>
        </w:rPr>
        <w:t xml:space="preserve"> mettre en œuvre une </w:t>
      </w:r>
      <w:r w:rsidR="00C22B07" w:rsidRPr="00867263">
        <w:rPr>
          <w:spacing w:val="4"/>
        </w:rPr>
        <w:t>r</w:t>
      </w:r>
      <w:r w:rsidR="00DE67CB" w:rsidRPr="00867263">
        <w:rPr>
          <w:spacing w:val="4"/>
        </w:rPr>
        <w:t>ecommandation</w:t>
      </w:r>
      <w:r w:rsidR="005B074C" w:rsidRPr="00867263">
        <w:rPr>
          <w:spacing w:val="4"/>
        </w:rPr>
        <w:t xml:space="preserve"> </w:t>
      </w:r>
      <w:r w:rsidR="00C765B1" w:rsidRPr="00867263">
        <w:rPr>
          <w:spacing w:val="4"/>
        </w:rPr>
        <w:t>qui, si elle est approuvée par</w:t>
      </w:r>
      <w:r w:rsidR="00DE67CB" w:rsidRPr="00867263">
        <w:rPr>
          <w:spacing w:val="4"/>
        </w:rPr>
        <w:t xml:space="preserve"> l'Assemblée générale des Nations </w:t>
      </w:r>
      <w:r w:rsidR="005B074C" w:rsidRPr="00867263">
        <w:rPr>
          <w:spacing w:val="4"/>
        </w:rPr>
        <w:t>U</w:t>
      </w:r>
      <w:r w:rsidR="00DE67CB" w:rsidRPr="00867263">
        <w:rPr>
          <w:spacing w:val="4"/>
        </w:rPr>
        <w:t>nies</w:t>
      </w:r>
      <w:r w:rsidR="00C765B1" w:rsidRPr="00867263">
        <w:rPr>
          <w:spacing w:val="4"/>
        </w:rPr>
        <w:t xml:space="preserve">, </w:t>
      </w:r>
      <w:r w:rsidR="00031378" w:rsidRPr="00867263">
        <w:rPr>
          <w:spacing w:val="4"/>
        </w:rPr>
        <w:t>entraînera une augmentation de</w:t>
      </w:r>
      <w:r w:rsidR="00DE67CB" w:rsidRPr="00867263">
        <w:t xml:space="preserve"> 5</w:t>
      </w:r>
      <w:r w:rsidR="00A02819" w:rsidRPr="00867263">
        <w:t>,5</w:t>
      </w:r>
      <w:r w:rsidR="00C56553" w:rsidRPr="00867263">
        <w:t xml:space="preserve">% </w:t>
      </w:r>
      <w:r w:rsidR="00C22B07" w:rsidRPr="00867263">
        <w:t xml:space="preserve">des </w:t>
      </w:r>
      <w:r w:rsidR="00DE67CB" w:rsidRPr="00867263">
        <w:t xml:space="preserve">budgets futurs pour </w:t>
      </w:r>
      <w:r w:rsidR="00C56553" w:rsidRPr="00867263">
        <w:t>l</w:t>
      </w:r>
      <w:r w:rsidR="00F12A8B" w:rsidRPr="00867263">
        <w:t>'</w:t>
      </w:r>
      <w:r w:rsidR="00C56553" w:rsidRPr="00867263">
        <w:t>embauche</w:t>
      </w:r>
      <w:r w:rsidR="00DE67CB" w:rsidRPr="00867263">
        <w:t xml:space="preserve"> de nouveau personnel, à partir de 2022, afin de réduire les </w:t>
      </w:r>
      <w:r w:rsidR="00C56553" w:rsidRPr="00867263">
        <w:t>passifs de l'ASHI tout en continuant de</w:t>
      </w:r>
      <w:r w:rsidR="00DE67CB" w:rsidRPr="00867263">
        <w:t xml:space="preserve"> recruter </w:t>
      </w:r>
      <w:r w:rsidR="00C56553" w:rsidRPr="00867263">
        <w:t>de</w:t>
      </w:r>
      <w:r w:rsidR="00DE67CB" w:rsidRPr="00867263">
        <w:t xml:space="preserve"> nouveau</w:t>
      </w:r>
      <w:r w:rsidR="00C56553" w:rsidRPr="00867263">
        <w:t>x fonctionnaires</w:t>
      </w:r>
      <w:r w:rsidR="00C765B1" w:rsidRPr="00867263">
        <w:t xml:space="preserve"> et d</w:t>
      </w:r>
      <w:r w:rsidR="00F12A8B" w:rsidRPr="00867263">
        <w:t>'</w:t>
      </w:r>
      <w:r w:rsidR="00C765B1" w:rsidRPr="00867263">
        <w:t>a</w:t>
      </w:r>
      <w:r w:rsidR="00DE67CB" w:rsidRPr="00867263">
        <w:t>bsorber le défi</w:t>
      </w:r>
      <w:r w:rsidR="00C765B1" w:rsidRPr="00867263">
        <w:t>cit de l'assurance maladie. Le F</w:t>
      </w:r>
      <w:r w:rsidR="00DE67CB" w:rsidRPr="00867263">
        <w:t xml:space="preserve">onds </w:t>
      </w:r>
      <w:r w:rsidR="00C765B1" w:rsidRPr="00867263">
        <w:t xml:space="preserve">pour le registre des risques, </w:t>
      </w:r>
      <w:r w:rsidR="00DE67CB" w:rsidRPr="00867263">
        <w:t xml:space="preserve">créé en 2019, </w:t>
      </w:r>
      <w:r w:rsidR="00C765B1" w:rsidRPr="00867263">
        <w:t>a reçu une</w:t>
      </w:r>
      <w:r w:rsidR="00DE67CB" w:rsidRPr="00867263">
        <w:t xml:space="preserve"> </w:t>
      </w:r>
      <w:r w:rsidR="00C765B1" w:rsidRPr="00867263">
        <w:t>dotation</w:t>
      </w:r>
      <w:r w:rsidR="00DE67CB" w:rsidRPr="00867263">
        <w:t xml:space="preserve"> initiale de 1,42 million de francs suisses. Une autre </w:t>
      </w:r>
      <w:r w:rsidR="00C765B1" w:rsidRPr="00867263">
        <w:t>dotation</w:t>
      </w:r>
      <w:r w:rsidR="00DE67CB" w:rsidRPr="00867263">
        <w:t xml:space="preserve"> de 3,6 millions de francs suisses est prévue pour l'exercice 2020</w:t>
      </w:r>
      <w:r w:rsidR="00A02819" w:rsidRPr="00867263">
        <w:t>.</w:t>
      </w:r>
      <w:r w:rsidR="00DE67CB" w:rsidRPr="00867263">
        <w:t xml:space="preserve"> </w:t>
      </w:r>
    </w:p>
    <w:p w14:paraId="5519B448" w14:textId="38450C08" w:rsidR="00C765B1" w:rsidRPr="00867263" w:rsidRDefault="00DE67CB" w:rsidP="00BE2D6B">
      <w:pPr>
        <w:spacing w:before="120"/>
      </w:pPr>
      <w:r w:rsidRPr="00867263">
        <w:t>5.13</w:t>
      </w:r>
      <w:r w:rsidR="0089720D" w:rsidRPr="00867263">
        <w:tab/>
      </w:r>
      <w:r w:rsidRPr="00867263">
        <w:t xml:space="preserve">Un </w:t>
      </w:r>
      <w:r w:rsidR="00C576D8" w:rsidRPr="00867263">
        <w:t>Conseiller se</w:t>
      </w:r>
      <w:r w:rsidRPr="00867263">
        <w:t xml:space="preserve"> </w:t>
      </w:r>
      <w:r w:rsidR="00C576D8" w:rsidRPr="00867263">
        <w:t>demande</w:t>
      </w:r>
      <w:r w:rsidRPr="00867263">
        <w:t xml:space="preserve"> </w:t>
      </w:r>
      <w:r w:rsidR="00C576D8" w:rsidRPr="00867263">
        <w:t xml:space="preserve">avec inquiétude </w:t>
      </w:r>
      <w:r w:rsidRPr="00867263">
        <w:t xml:space="preserve">si le </w:t>
      </w:r>
      <w:r w:rsidR="00C576D8" w:rsidRPr="00867263">
        <w:t>F</w:t>
      </w:r>
      <w:r w:rsidRPr="00867263">
        <w:t xml:space="preserve">onds </w:t>
      </w:r>
      <w:r w:rsidR="00C576D8" w:rsidRPr="00867263">
        <w:t>pour le</w:t>
      </w:r>
      <w:r w:rsidRPr="00867263">
        <w:t xml:space="preserve"> registre des risques dispos</w:t>
      </w:r>
      <w:r w:rsidR="00C576D8" w:rsidRPr="00867263">
        <w:t>e</w:t>
      </w:r>
      <w:r w:rsidR="002F0425">
        <w:t> </w:t>
      </w:r>
      <w:r w:rsidRPr="00867263">
        <w:t>de ressources suffisantes pour couvrir les nouveaux risques identifiés dans le rapport du</w:t>
      </w:r>
      <w:r w:rsidR="00C576D8" w:rsidRPr="00867263">
        <w:t xml:space="preserve"> Groupe</w:t>
      </w:r>
      <w:r w:rsidRPr="00867263">
        <w:t xml:space="preserve"> MSAG, notamment le coût </w:t>
      </w:r>
      <w:r w:rsidR="00C576D8" w:rsidRPr="00867263">
        <w:t>du relogement</w:t>
      </w:r>
      <w:r w:rsidRPr="00867263">
        <w:t xml:space="preserve"> du personnel pendant la période de construction, la nécessité </w:t>
      </w:r>
      <w:r w:rsidR="00AB2337" w:rsidRPr="00867263">
        <w:t>de garantir</w:t>
      </w:r>
      <w:r w:rsidRPr="00867263">
        <w:t xml:space="preserve"> </w:t>
      </w:r>
      <w:r w:rsidR="00C576D8" w:rsidRPr="00867263">
        <w:t>la distanciation</w:t>
      </w:r>
      <w:r w:rsidRPr="00867263">
        <w:t xml:space="preserve"> physique et l'utilisation de locaux commerciaux si les autorités suisses </w:t>
      </w:r>
      <w:r w:rsidR="00C576D8" w:rsidRPr="00867263">
        <w:t>ne sont</w:t>
      </w:r>
      <w:r w:rsidRPr="00867263">
        <w:t xml:space="preserve"> pas en mesure d'accueill</w:t>
      </w:r>
      <w:r w:rsidR="004C6EA7" w:rsidRPr="00867263">
        <w:t>ir toutes les réunions de l'UIT.</w:t>
      </w:r>
    </w:p>
    <w:p w14:paraId="07019FE1" w14:textId="7DD5E674" w:rsidR="00C765B1" w:rsidRPr="00867263" w:rsidRDefault="00A02819" w:rsidP="00BE2D6B">
      <w:pPr>
        <w:spacing w:before="120"/>
      </w:pPr>
      <w:r w:rsidRPr="00867263">
        <w:t>5.14</w:t>
      </w:r>
      <w:r w:rsidR="0089720D" w:rsidRPr="00867263">
        <w:tab/>
      </w:r>
      <w:r w:rsidRPr="00867263">
        <w:t>Le P</w:t>
      </w:r>
      <w:r w:rsidR="00DE67CB" w:rsidRPr="00867263">
        <w:t xml:space="preserve">résident </w:t>
      </w:r>
      <w:r w:rsidRPr="00867263">
        <w:t>indique</w:t>
      </w:r>
      <w:r w:rsidR="00DE67CB" w:rsidRPr="00867263">
        <w:t xml:space="preserve"> que le</w:t>
      </w:r>
      <w:r w:rsidRPr="00867263">
        <w:t xml:space="preserve"> Groupe MSAG et le secrétariat tiendro</w:t>
      </w:r>
      <w:r w:rsidR="00DE67CB" w:rsidRPr="00867263">
        <w:t>nt compte des observations formulées.</w:t>
      </w:r>
    </w:p>
    <w:p w14:paraId="0713A1A8" w14:textId="486F5D4D" w:rsidR="004C6EA7" w:rsidRPr="00867263" w:rsidRDefault="00A02819" w:rsidP="00BE2D6B">
      <w:pPr>
        <w:spacing w:before="120"/>
      </w:pPr>
      <w:r w:rsidRPr="00867263">
        <w:t>5.15</w:t>
      </w:r>
      <w:r w:rsidR="0089720D" w:rsidRPr="00867263">
        <w:tab/>
      </w:r>
      <w:r w:rsidRPr="00867263">
        <w:t xml:space="preserve">Le Chef du </w:t>
      </w:r>
      <w:r w:rsidR="00C22B07" w:rsidRPr="00867263">
        <w:t xml:space="preserve">Département </w:t>
      </w:r>
      <w:r w:rsidRPr="00867263">
        <w:t>FRMD propose q</w:t>
      </w:r>
      <w:r w:rsidR="00DE67CB" w:rsidRPr="00867263">
        <w:t xml:space="preserve">ue le </w:t>
      </w:r>
      <w:r w:rsidRPr="00867263">
        <w:t>GTC</w:t>
      </w:r>
      <w:r w:rsidR="00DE67CB" w:rsidRPr="00867263">
        <w:t xml:space="preserve">-FHR, le secrétariat et le </w:t>
      </w:r>
      <w:r w:rsidRPr="00867263">
        <w:t xml:space="preserve">Groupe </w:t>
      </w:r>
      <w:r w:rsidR="00DE67CB" w:rsidRPr="00867263">
        <w:t>MSAG travaille</w:t>
      </w:r>
      <w:r w:rsidRPr="00867263">
        <w:t>nt</w:t>
      </w:r>
      <w:r w:rsidR="00DE67CB" w:rsidRPr="00867263">
        <w:t xml:space="preserve"> ensemble pour trouver une solution, sachant que le Secrétaire général s'est engagé à</w:t>
      </w:r>
      <w:r w:rsidR="00C765B1" w:rsidRPr="00867263">
        <w:t xml:space="preserve"> faire en sorte que</w:t>
      </w:r>
      <w:r w:rsidR="00DE67CB" w:rsidRPr="00867263">
        <w:t xml:space="preserve"> le </w:t>
      </w:r>
      <w:r w:rsidR="00621290" w:rsidRPr="00867263">
        <w:t>F</w:t>
      </w:r>
      <w:r w:rsidR="00DE67CB" w:rsidRPr="00867263">
        <w:t xml:space="preserve">onds </w:t>
      </w:r>
      <w:r w:rsidR="00621290" w:rsidRPr="00867263">
        <w:t>pour le</w:t>
      </w:r>
      <w:r w:rsidR="00DE67CB" w:rsidRPr="00867263">
        <w:t xml:space="preserve"> registre des risques</w:t>
      </w:r>
      <w:r w:rsidR="00C765B1" w:rsidRPr="00867263">
        <w:t xml:space="preserve"> dispose de ressources suffisantes</w:t>
      </w:r>
      <w:r w:rsidR="00E60B40" w:rsidRPr="00867263">
        <w:t>.</w:t>
      </w:r>
    </w:p>
    <w:p w14:paraId="15BBD7C9" w14:textId="3F879812" w:rsidR="00E60B40" w:rsidRPr="00867263" w:rsidRDefault="00C765B1" w:rsidP="00BE2D6B">
      <w:pPr>
        <w:spacing w:before="120"/>
      </w:pPr>
      <w:r w:rsidRPr="00867263">
        <w:t>5</w:t>
      </w:r>
      <w:r w:rsidR="00E60B40" w:rsidRPr="00867263">
        <w:t>.16</w:t>
      </w:r>
      <w:r w:rsidR="00E60B40" w:rsidRPr="00867263">
        <w:tab/>
      </w:r>
      <w:r w:rsidR="00E803D4" w:rsidRPr="00867263">
        <w:t>Le Président considère que les Conseillers souhaitent formuler les conclusions suivantes</w:t>
      </w:r>
      <w:r w:rsidR="00E60B40" w:rsidRPr="00867263">
        <w:t>:</w:t>
      </w:r>
    </w:p>
    <w:p w14:paraId="6251E926" w14:textId="60A50712" w:rsidR="00E60B40" w:rsidRPr="009212DA" w:rsidRDefault="00E60B40" w:rsidP="002F0425">
      <w:pPr>
        <w:pStyle w:val="enumlev1"/>
        <w:tabs>
          <w:tab w:val="clear" w:pos="567"/>
          <w:tab w:val="clear" w:pos="1134"/>
          <w:tab w:val="left" w:pos="851"/>
        </w:tabs>
        <w:ind w:left="798" w:hanging="798"/>
      </w:pPr>
      <w:r w:rsidRPr="009212DA">
        <w:t>–</w:t>
      </w:r>
      <w:r w:rsidRPr="009212DA">
        <w:tab/>
      </w:r>
      <w:r w:rsidR="00E803D4" w:rsidRPr="009212DA">
        <w:t xml:space="preserve">Les Conseillers </w:t>
      </w:r>
      <w:r w:rsidR="00C765B1" w:rsidRPr="009212DA">
        <w:t>prennent</w:t>
      </w:r>
      <w:r w:rsidR="00E803D4" w:rsidRPr="009212DA">
        <w:t xml:space="preserve"> acte du </w:t>
      </w:r>
      <w:r w:rsidR="00721920" w:rsidRPr="009212DA">
        <w:t>Document</w:t>
      </w:r>
      <w:r w:rsidRPr="009212DA">
        <w:t xml:space="preserve"> C20/7(R</w:t>
      </w:r>
      <w:r w:rsidR="00E803D4" w:rsidRPr="009212DA">
        <w:t>é</w:t>
      </w:r>
      <w:r w:rsidRPr="009212DA">
        <w:t xml:space="preserve">v.1). </w:t>
      </w:r>
    </w:p>
    <w:p w14:paraId="7B6A3A4E" w14:textId="62065042" w:rsidR="00E60B40" w:rsidRPr="009212DA" w:rsidRDefault="00E60B40" w:rsidP="002F0425">
      <w:pPr>
        <w:pStyle w:val="enumlev1"/>
        <w:tabs>
          <w:tab w:val="clear" w:pos="567"/>
          <w:tab w:val="clear" w:pos="1134"/>
          <w:tab w:val="left" w:pos="851"/>
        </w:tabs>
        <w:ind w:left="798" w:hanging="798"/>
      </w:pPr>
      <w:r w:rsidRPr="009212DA">
        <w:t>–</w:t>
      </w:r>
      <w:r w:rsidRPr="009212DA">
        <w:tab/>
      </w:r>
      <w:r w:rsidR="00E803D4" w:rsidRPr="009212DA">
        <w:t>Les Conseillers ont examiné le</w:t>
      </w:r>
      <w:r w:rsidRPr="009212DA">
        <w:t xml:space="preserve"> Document C20/77 </w:t>
      </w:r>
      <w:r w:rsidR="00E803D4" w:rsidRPr="009212DA">
        <w:t>et prendront une dé</w:t>
      </w:r>
      <w:r w:rsidRPr="009212DA">
        <w:t xml:space="preserve">cision </w:t>
      </w:r>
      <w:r w:rsidR="00E803D4" w:rsidRPr="009212DA">
        <w:t>sur la question à la session de 2021 du</w:t>
      </w:r>
      <w:r w:rsidRPr="009212DA">
        <w:t xml:space="preserve"> Con</w:t>
      </w:r>
      <w:r w:rsidR="00E803D4" w:rsidRPr="009212DA">
        <w:t>se</w:t>
      </w:r>
      <w:r w:rsidRPr="009212DA">
        <w:t>il.</w:t>
      </w:r>
    </w:p>
    <w:p w14:paraId="266D6F3F" w14:textId="77777777" w:rsidR="002F0425" w:rsidRDefault="002F0425" w:rsidP="002F0425">
      <w:pPr>
        <w:pStyle w:val="enumlev1"/>
        <w:tabs>
          <w:tab w:val="clear" w:pos="567"/>
          <w:tab w:val="clear" w:pos="1134"/>
          <w:tab w:val="left" w:pos="851"/>
        </w:tabs>
        <w:ind w:left="798" w:hanging="798"/>
      </w:pPr>
      <w:r>
        <w:br w:type="page"/>
      </w:r>
    </w:p>
    <w:p w14:paraId="354BCAEE" w14:textId="61F8F21F" w:rsidR="00E60B40" w:rsidRPr="009212DA" w:rsidRDefault="00E60B40" w:rsidP="002F0425">
      <w:pPr>
        <w:pStyle w:val="enumlev1"/>
        <w:tabs>
          <w:tab w:val="clear" w:pos="567"/>
          <w:tab w:val="clear" w:pos="1134"/>
          <w:tab w:val="left" w:pos="851"/>
        </w:tabs>
        <w:ind w:left="798" w:hanging="798"/>
      </w:pPr>
      <w:r w:rsidRPr="009212DA">
        <w:lastRenderedPageBreak/>
        <w:t>–</w:t>
      </w:r>
      <w:r w:rsidRPr="009212DA">
        <w:tab/>
      </w:r>
      <w:r w:rsidR="00E803D4" w:rsidRPr="009212DA">
        <w:t>Le secrétariat tiendra une session d</w:t>
      </w:r>
      <w:r w:rsidR="00F12A8B" w:rsidRPr="009212DA">
        <w:t>'</w:t>
      </w:r>
      <w:r w:rsidRPr="009212DA">
        <w:t xml:space="preserve">information </w:t>
      </w:r>
      <w:r w:rsidR="00E803D4" w:rsidRPr="009212DA">
        <w:t>au cours du premier semestre de 2021, une fois que le prêt aura</w:t>
      </w:r>
      <w:r w:rsidR="00C765B1" w:rsidRPr="009212DA">
        <w:t xml:space="preserve"> probablement</w:t>
      </w:r>
      <w:r w:rsidR="00E803D4" w:rsidRPr="009212DA">
        <w:t xml:space="preserve"> </w:t>
      </w:r>
      <w:r w:rsidR="00C765B1" w:rsidRPr="009212DA">
        <w:t>été</w:t>
      </w:r>
      <w:r w:rsidR="00E803D4" w:rsidRPr="009212DA">
        <w:t xml:space="preserve"> approuvé</w:t>
      </w:r>
      <w:r w:rsidRPr="009212DA">
        <w:t xml:space="preserve">, </w:t>
      </w:r>
      <w:r w:rsidR="00E803D4" w:rsidRPr="009212DA">
        <w:t xml:space="preserve">que les permis de </w:t>
      </w:r>
      <w:r w:rsidRPr="009212DA">
        <w:t>construction</w:t>
      </w:r>
      <w:r w:rsidR="00E803D4" w:rsidRPr="009212DA">
        <w:t xml:space="preserve"> auront été soumis et que les premières conclusions des futures conditions de travail du personnel seront connues</w:t>
      </w:r>
      <w:r w:rsidRPr="009212DA">
        <w:t>.</w:t>
      </w:r>
    </w:p>
    <w:p w14:paraId="37B4EB65" w14:textId="545B35CA" w:rsidR="00E60B40" w:rsidRPr="009212DA" w:rsidRDefault="00E60B40" w:rsidP="002F0425">
      <w:pPr>
        <w:pStyle w:val="enumlev1"/>
        <w:tabs>
          <w:tab w:val="clear" w:pos="567"/>
          <w:tab w:val="clear" w:pos="1134"/>
          <w:tab w:val="left" w:pos="851"/>
        </w:tabs>
        <w:ind w:left="798" w:hanging="798"/>
      </w:pPr>
      <w:r w:rsidRPr="009212DA">
        <w:t>–</w:t>
      </w:r>
      <w:r w:rsidRPr="009212DA">
        <w:tab/>
      </w:r>
      <w:r w:rsidR="00551442" w:rsidRPr="009212DA">
        <w:t xml:space="preserve">Les Conseillers invitent le </w:t>
      </w:r>
      <w:r w:rsidR="00C765B1" w:rsidRPr="009212DA">
        <w:t>Groupe MSAG</w:t>
      </w:r>
      <w:r w:rsidR="00551442" w:rsidRPr="009212DA">
        <w:t xml:space="preserve"> à </w:t>
      </w:r>
      <w:r w:rsidR="00C765B1" w:rsidRPr="009212DA">
        <w:t>prendre en considération l</w:t>
      </w:r>
      <w:r w:rsidR="00551442" w:rsidRPr="009212DA">
        <w:t xml:space="preserve">es observations formulées lors de la réunion et </w:t>
      </w:r>
      <w:r w:rsidR="00C765B1" w:rsidRPr="009212DA">
        <w:t>à</w:t>
      </w:r>
      <w:r w:rsidR="00551442" w:rsidRPr="009212DA">
        <w:t xml:space="preserve"> </w:t>
      </w:r>
      <w:r w:rsidR="002137C9" w:rsidRPr="009212DA">
        <w:t>en</w:t>
      </w:r>
      <w:r w:rsidR="00767024" w:rsidRPr="009212DA">
        <w:t xml:space="preserve"> tenir compte</w:t>
      </w:r>
      <w:r w:rsidR="00551442" w:rsidRPr="009212DA">
        <w:t xml:space="preserve"> dans leurs futurs </w:t>
      </w:r>
      <w:r w:rsidR="00767024" w:rsidRPr="009212DA">
        <w:t>travaux</w:t>
      </w:r>
      <w:r w:rsidRPr="009212DA">
        <w:t>.</w:t>
      </w:r>
    </w:p>
    <w:p w14:paraId="32B760DA" w14:textId="558DB08A" w:rsidR="00E60B40" w:rsidRPr="00867263" w:rsidRDefault="00767024" w:rsidP="002F0425">
      <w:pPr>
        <w:pStyle w:val="enumlev1"/>
        <w:tabs>
          <w:tab w:val="clear" w:pos="567"/>
          <w:tab w:val="clear" w:pos="1134"/>
          <w:tab w:val="left" w:pos="851"/>
        </w:tabs>
        <w:ind w:left="798" w:hanging="798"/>
      </w:pPr>
      <w:r w:rsidRPr="009212DA">
        <w:t>–</w:t>
      </w:r>
      <w:r w:rsidRPr="009212DA">
        <w:tab/>
        <w:t>Il est convenu que toute question relative au Fonds pour le registre des risques pourra être examinée à la prochaine réunion du GTC-</w:t>
      </w:r>
      <w:r w:rsidR="00E60B40" w:rsidRPr="009212DA">
        <w:t>FHR.</w:t>
      </w:r>
    </w:p>
    <w:p w14:paraId="2DA6D9D1" w14:textId="07CDD1EF" w:rsidR="00E60B40" w:rsidRPr="00867263" w:rsidRDefault="00E60B40" w:rsidP="00BE2D6B">
      <w:pPr>
        <w:spacing w:before="120"/>
      </w:pPr>
      <w:r w:rsidRPr="00867263">
        <w:t>5.17</w:t>
      </w:r>
      <w:r w:rsidRPr="00867263">
        <w:tab/>
        <w:t xml:space="preserve">Il en est ainsi </w:t>
      </w:r>
      <w:r w:rsidRPr="00867263">
        <w:rPr>
          <w:b/>
          <w:bCs/>
        </w:rPr>
        <w:t>conclu</w:t>
      </w:r>
      <w:r w:rsidRPr="00867263">
        <w:t>.</w:t>
      </w:r>
    </w:p>
    <w:p w14:paraId="0ABD2097" w14:textId="64B2BF20" w:rsidR="00E60B40" w:rsidRPr="00867263" w:rsidRDefault="00E60B40" w:rsidP="00C71BB2">
      <w:pPr>
        <w:pStyle w:val="Heading1"/>
        <w:tabs>
          <w:tab w:val="clear" w:pos="567"/>
        </w:tabs>
        <w:ind w:left="798" w:hanging="798"/>
      </w:pPr>
      <w:r w:rsidRPr="00867263">
        <w:t>6</w:t>
      </w:r>
      <w:r w:rsidRPr="00867263">
        <w:tab/>
        <w:t xml:space="preserve">Stratégie et plan de mise en œuvre pour les conditions de travail du personnel (Document </w:t>
      </w:r>
      <w:hyperlink r:id="rId34" w:history="1">
        <w:r w:rsidRPr="00867263">
          <w:rPr>
            <w:rStyle w:val="Hyperlink"/>
            <w:bCs/>
          </w:rPr>
          <w:t>C20/29</w:t>
        </w:r>
      </w:hyperlink>
      <w:r w:rsidRPr="00867263">
        <w:t>)</w:t>
      </w:r>
    </w:p>
    <w:p w14:paraId="14980019" w14:textId="0B519F0F" w:rsidR="00E60B40" w:rsidRPr="00867263" w:rsidRDefault="00E60B40" w:rsidP="00BE2D6B">
      <w:pPr>
        <w:spacing w:before="120"/>
      </w:pPr>
      <w:r w:rsidRPr="00867263">
        <w:t>6.1</w:t>
      </w:r>
      <w:r w:rsidRPr="00867263">
        <w:tab/>
      </w:r>
      <w:r w:rsidR="00702265" w:rsidRPr="00867263">
        <w:t>Le Président attire l</w:t>
      </w:r>
      <w:r w:rsidR="00F12A8B" w:rsidRPr="00867263">
        <w:t>'</w:t>
      </w:r>
      <w:r w:rsidR="00702265" w:rsidRPr="00867263">
        <w:t xml:space="preserve">attention des participants sur le Document </w:t>
      </w:r>
      <w:r w:rsidRPr="00867263">
        <w:t xml:space="preserve">C20/29 </w:t>
      </w:r>
      <w:r w:rsidR="00702265" w:rsidRPr="00867263">
        <w:t>qui contient le Rapport sur la stratégie et le plan de mise en œuvre pour les conditions de travail du personnel pour</w:t>
      </w:r>
      <w:r w:rsidRPr="00867263">
        <w:t xml:space="preserve"> 2020</w:t>
      </w:r>
      <w:r w:rsidR="0089720D" w:rsidRPr="00867263">
        <w:t>-</w:t>
      </w:r>
      <w:r w:rsidRPr="00867263">
        <w:t xml:space="preserve">2022, </w:t>
      </w:r>
      <w:r w:rsidR="00702265" w:rsidRPr="00867263">
        <w:t>établi en consultation avec le Conseil du personnel, conformément à la Dé</w:t>
      </w:r>
      <w:r w:rsidRPr="00867263">
        <w:t>cision 619.</w:t>
      </w:r>
    </w:p>
    <w:p w14:paraId="26487E40" w14:textId="52B4AAD0" w:rsidR="00E60B40" w:rsidRPr="00867263" w:rsidRDefault="00E60B40" w:rsidP="00BE2D6B">
      <w:pPr>
        <w:spacing w:before="120"/>
      </w:pPr>
      <w:r w:rsidRPr="00867263">
        <w:t>6.2</w:t>
      </w:r>
      <w:r w:rsidRPr="00867263">
        <w:tab/>
      </w:r>
      <w:r w:rsidR="00702265" w:rsidRPr="00867263">
        <w:t>Un Conseiller propose que ce rapport soit soumis pour e</w:t>
      </w:r>
      <w:r w:rsidR="00BE2D6B">
        <w:t>xamen à la prochaine réunion du </w:t>
      </w:r>
      <w:r w:rsidR="00702265" w:rsidRPr="00867263">
        <w:t>GTC</w:t>
      </w:r>
      <w:r w:rsidRPr="00867263">
        <w:noBreakHyphen/>
        <w:t>FHR.</w:t>
      </w:r>
    </w:p>
    <w:p w14:paraId="46201572" w14:textId="047D26DF" w:rsidR="00E60B40" w:rsidRPr="00867263" w:rsidRDefault="00702265" w:rsidP="00BE2D6B">
      <w:pPr>
        <w:spacing w:before="120"/>
      </w:pPr>
      <w:r w:rsidRPr="00867263">
        <w:t>6.3</w:t>
      </w:r>
      <w:r w:rsidRPr="00867263">
        <w:tab/>
        <w:t>Le Président considère que les Conseillers souhaitent conclure que le Secré</w:t>
      </w:r>
      <w:r w:rsidR="00E60B40" w:rsidRPr="00867263">
        <w:t xml:space="preserve">tariat </w:t>
      </w:r>
      <w:r w:rsidRPr="00867263">
        <w:t>tiendra une session d</w:t>
      </w:r>
      <w:r w:rsidR="00F12A8B" w:rsidRPr="00867263">
        <w:t>'</w:t>
      </w:r>
      <w:r w:rsidR="00E60B40" w:rsidRPr="00867263">
        <w:t xml:space="preserve">information </w:t>
      </w:r>
      <w:r w:rsidR="00E803D4" w:rsidRPr="00867263">
        <w:t xml:space="preserve">au cours du </w:t>
      </w:r>
      <w:r w:rsidRPr="00867263">
        <w:t xml:space="preserve">premier semestre de 2021, lorsque les premières conclusions sur les </w:t>
      </w:r>
      <w:r w:rsidR="00090BE9" w:rsidRPr="00867263">
        <w:t xml:space="preserve">futures </w:t>
      </w:r>
      <w:r w:rsidRPr="00867263">
        <w:t xml:space="preserve">conditions de travail </w:t>
      </w:r>
      <w:r w:rsidR="00090BE9" w:rsidRPr="00867263">
        <w:t xml:space="preserve">du personnel seront connues, et </w:t>
      </w:r>
      <w:r w:rsidR="00C22B07" w:rsidRPr="00867263">
        <w:t xml:space="preserve">qu'il est convenu </w:t>
      </w:r>
      <w:r w:rsidR="00090BE9" w:rsidRPr="00867263">
        <w:t>d</w:t>
      </w:r>
      <w:r w:rsidR="00F12A8B" w:rsidRPr="00867263">
        <w:t>'</w:t>
      </w:r>
      <w:r w:rsidR="00090BE9" w:rsidRPr="00867263">
        <w:t xml:space="preserve">examiner le </w:t>
      </w:r>
      <w:r w:rsidR="00E60B40" w:rsidRPr="00867263">
        <w:t xml:space="preserve">Document C20/29 </w:t>
      </w:r>
      <w:r w:rsidR="00090BE9" w:rsidRPr="00867263">
        <w:t>à la prochaine réunion du GTC</w:t>
      </w:r>
      <w:r w:rsidR="00E60B40" w:rsidRPr="00867263">
        <w:t>-FHR.</w:t>
      </w:r>
    </w:p>
    <w:p w14:paraId="6ACFCEA9" w14:textId="51E4F03C" w:rsidR="00E60B40" w:rsidRPr="00867263" w:rsidRDefault="00E60B40" w:rsidP="00BE2D6B">
      <w:pPr>
        <w:spacing w:before="120"/>
      </w:pPr>
      <w:r w:rsidRPr="00867263">
        <w:t>6.4</w:t>
      </w:r>
      <w:r w:rsidRPr="00867263">
        <w:tab/>
        <w:t xml:space="preserve">Il en est ainsi </w:t>
      </w:r>
      <w:r w:rsidRPr="00867263">
        <w:rPr>
          <w:b/>
          <w:bCs/>
        </w:rPr>
        <w:t>conclu</w:t>
      </w:r>
      <w:r w:rsidRPr="00867263">
        <w:t>.</w:t>
      </w:r>
    </w:p>
    <w:p w14:paraId="67F4F73F" w14:textId="441A0F28" w:rsidR="00F71AE4" w:rsidRPr="00C71BB2" w:rsidRDefault="00F71AE4" w:rsidP="00C71BB2">
      <w:pPr>
        <w:pStyle w:val="Heading1"/>
        <w:tabs>
          <w:tab w:val="clear" w:pos="567"/>
        </w:tabs>
        <w:ind w:left="798" w:hanging="798"/>
      </w:pPr>
      <w:r w:rsidRPr="00C71BB2">
        <w:t>7</w:t>
      </w:r>
      <w:r w:rsidRPr="00C71BB2">
        <w:tab/>
        <w:t>R</w:t>
      </w:r>
      <w:r w:rsidR="007D26C9" w:rsidRPr="00C71BB2">
        <w:t>app</w:t>
      </w:r>
      <w:r w:rsidRPr="00C71BB2">
        <w:t xml:space="preserve">orts </w:t>
      </w:r>
      <w:r w:rsidR="007D26C9" w:rsidRPr="00C71BB2">
        <w:t>des Groupes de travail du Conseil</w:t>
      </w:r>
      <w:r w:rsidRPr="00C71BB2">
        <w:t xml:space="preserve"> (Documents </w:t>
      </w:r>
      <w:hyperlink r:id="rId35" w:history="1">
        <w:r w:rsidRPr="00C71BB2">
          <w:rPr>
            <w:rStyle w:val="Hyperlink"/>
          </w:rPr>
          <w:t>C20/8</w:t>
        </w:r>
      </w:hyperlink>
      <w:r w:rsidRPr="00C71BB2">
        <w:t xml:space="preserve">, </w:t>
      </w:r>
      <w:hyperlink r:id="rId36" w:history="1">
        <w:r w:rsidRPr="00C71BB2">
          <w:rPr>
            <w:rStyle w:val="Hyperlink"/>
          </w:rPr>
          <w:t>C20/12</w:t>
        </w:r>
      </w:hyperlink>
      <w:r w:rsidRPr="00C71BB2">
        <w:t xml:space="preserve">, </w:t>
      </w:r>
      <w:hyperlink r:id="rId37" w:history="1">
        <w:r w:rsidRPr="00C71BB2">
          <w:rPr>
            <w:rStyle w:val="Hyperlink"/>
          </w:rPr>
          <w:t>C20/51</w:t>
        </w:r>
      </w:hyperlink>
      <w:r w:rsidRPr="00C71BB2">
        <w:t xml:space="preserve">, </w:t>
      </w:r>
      <w:hyperlink r:id="rId38" w:history="1">
        <w:r w:rsidRPr="00C71BB2">
          <w:rPr>
            <w:rStyle w:val="Hyperlink"/>
          </w:rPr>
          <w:t>C20/57</w:t>
        </w:r>
      </w:hyperlink>
      <w:r w:rsidRPr="00C71BB2">
        <w:t xml:space="preserve">, </w:t>
      </w:r>
      <w:hyperlink r:id="rId39" w:history="1">
        <w:r w:rsidRPr="00C71BB2">
          <w:rPr>
            <w:rStyle w:val="Hyperlink"/>
          </w:rPr>
          <w:t>C20/67</w:t>
        </w:r>
      </w:hyperlink>
      <w:r w:rsidRPr="00C71BB2">
        <w:t>)</w:t>
      </w:r>
    </w:p>
    <w:p w14:paraId="3BBE1F21" w14:textId="188001C2" w:rsidR="00F71AE4" w:rsidRPr="00867263" w:rsidRDefault="007D26C9" w:rsidP="00BE2D6B">
      <w:pPr>
        <w:spacing w:before="120"/>
      </w:pPr>
      <w:r w:rsidRPr="00867263">
        <w:t>7.1</w:t>
      </w:r>
      <w:r w:rsidRPr="00867263">
        <w:tab/>
      </w:r>
      <w:r w:rsidRPr="00884810">
        <w:t>Le Président attire l</w:t>
      </w:r>
      <w:r w:rsidR="00F12A8B" w:rsidRPr="00884810">
        <w:t>'</w:t>
      </w:r>
      <w:r w:rsidRPr="00884810">
        <w:t xml:space="preserve">attention des participants sur les </w:t>
      </w:r>
      <w:r w:rsidR="00F71AE4" w:rsidRPr="00884810">
        <w:t xml:space="preserve">Documents </w:t>
      </w:r>
      <w:hyperlink r:id="rId40" w:history="1">
        <w:r w:rsidR="00F71AE4" w:rsidRPr="00884810">
          <w:rPr>
            <w:rStyle w:val="Hyperlink"/>
            <w:color w:val="auto"/>
            <w:u w:val="none"/>
          </w:rPr>
          <w:t>C20/8</w:t>
        </w:r>
      </w:hyperlink>
      <w:r w:rsidR="00F71AE4" w:rsidRPr="00884810">
        <w:t xml:space="preserve">, </w:t>
      </w:r>
      <w:hyperlink r:id="rId41" w:history="1">
        <w:r w:rsidRPr="00884810">
          <w:rPr>
            <w:rStyle w:val="Hyperlink"/>
            <w:bCs/>
            <w:color w:val="auto"/>
            <w:u w:val="none"/>
          </w:rPr>
          <w:t>C20/12</w:t>
        </w:r>
      </w:hyperlink>
      <w:r w:rsidR="00F71AE4" w:rsidRPr="00884810">
        <w:t xml:space="preserve">, </w:t>
      </w:r>
      <w:hyperlink r:id="rId42" w:history="1">
        <w:r w:rsidR="00F71AE4" w:rsidRPr="00884810">
          <w:rPr>
            <w:rStyle w:val="Hyperlink"/>
            <w:color w:val="auto"/>
            <w:u w:val="none"/>
          </w:rPr>
          <w:t>C20/51</w:t>
        </w:r>
      </w:hyperlink>
      <w:r w:rsidR="00F71AE4" w:rsidRPr="00884810">
        <w:t xml:space="preserve"> </w:t>
      </w:r>
      <w:r w:rsidRPr="00884810">
        <w:t>et</w:t>
      </w:r>
      <w:r w:rsidR="00F71AE4" w:rsidRPr="00884810">
        <w:t xml:space="preserve"> </w:t>
      </w:r>
      <w:hyperlink r:id="rId43" w:history="1">
        <w:r w:rsidR="00F71AE4" w:rsidRPr="00884810">
          <w:rPr>
            <w:rStyle w:val="Hyperlink"/>
            <w:color w:val="auto"/>
            <w:u w:val="none"/>
          </w:rPr>
          <w:t>C20/57</w:t>
        </w:r>
      </w:hyperlink>
      <w:r w:rsidR="00F71AE4" w:rsidRPr="00867263">
        <w:t xml:space="preserve"> </w:t>
      </w:r>
      <w:r w:rsidRPr="00867263">
        <w:t xml:space="preserve">qui contiennent les Rapports des </w:t>
      </w:r>
      <w:r w:rsidR="00F71AE4" w:rsidRPr="00867263">
        <w:t>diff</w:t>
      </w:r>
      <w:r w:rsidRPr="00867263">
        <w:t>é</w:t>
      </w:r>
      <w:r w:rsidR="00F71AE4" w:rsidRPr="00867263">
        <w:t>rent</w:t>
      </w:r>
      <w:r w:rsidRPr="00867263">
        <w:t>s</w:t>
      </w:r>
      <w:r w:rsidR="00F71AE4" w:rsidRPr="00867263">
        <w:t xml:space="preserve"> </w:t>
      </w:r>
      <w:r w:rsidRPr="00867263">
        <w:t>Groupes de travail du Conseil. Il considère que les Cons</w:t>
      </w:r>
      <w:r w:rsidR="002137C9" w:rsidRPr="00867263">
        <w:t>eillers souhaitent conclure que</w:t>
      </w:r>
      <w:r w:rsidRPr="00867263">
        <w:t xml:space="preserve"> </w:t>
      </w:r>
      <w:r w:rsidR="002137C9" w:rsidRPr="00867263">
        <w:t>puisq</w:t>
      </w:r>
      <w:r w:rsidRPr="00867263">
        <w:t>ue les Groupes de travail du Conseil doivent se réunir début</w:t>
      </w:r>
      <w:r w:rsidR="00F71AE4" w:rsidRPr="00867263">
        <w:t xml:space="preserve"> 2021, </w:t>
      </w:r>
      <w:r w:rsidRPr="00867263">
        <w:t>une</w:t>
      </w:r>
      <w:r w:rsidR="00F71AE4" w:rsidRPr="00867263">
        <w:t xml:space="preserve"> consultation </w:t>
      </w:r>
      <w:r w:rsidRPr="00867263">
        <w:t>par</w:t>
      </w:r>
      <w:r w:rsidR="00F71AE4" w:rsidRPr="00867263">
        <w:t xml:space="preserve"> correspond</w:t>
      </w:r>
      <w:r w:rsidRPr="00867263">
        <w:t>a</w:t>
      </w:r>
      <w:r w:rsidR="00F71AE4" w:rsidRPr="00867263">
        <w:t xml:space="preserve">nce </w:t>
      </w:r>
      <w:r w:rsidRPr="00867263">
        <w:t>sera organisée pour prendre acte de ces rapports et les approuver</w:t>
      </w:r>
      <w:r w:rsidR="00F71AE4" w:rsidRPr="00867263">
        <w:t>.</w:t>
      </w:r>
    </w:p>
    <w:p w14:paraId="671C7A9C" w14:textId="7D987E11" w:rsidR="00F71AE4" w:rsidRPr="00867263" w:rsidRDefault="00F71AE4" w:rsidP="00BE2D6B">
      <w:pPr>
        <w:spacing w:before="120"/>
      </w:pPr>
      <w:r w:rsidRPr="00867263">
        <w:t>7.2</w:t>
      </w:r>
      <w:r w:rsidRPr="00867263">
        <w:tab/>
        <w:t xml:space="preserve">Il en est ainsi </w:t>
      </w:r>
      <w:r w:rsidRPr="00867263">
        <w:rPr>
          <w:b/>
          <w:bCs/>
        </w:rPr>
        <w:t>conclu</w:t>
      </w:r>
      <w:r w:rsidRPr="00867263">
        <w:t>.</w:t>
      </w:r>
    </w:p>
    <w:p w14:paraId="774596D8" w14:textId="01DD91E7" w:rsidR="00F71AE4" w:rsidRPr="00867263" w:rsidRDefault="00F71AE4" w:rsidP="00BE2D6B">
      <w:pPr>
        <w:spacing w:before="120"/>
      </w:pPr>
      <w:r w:rsidRPr="00867263">
        <w:t>7.3</w:t>
      </w:r>
      <w:r w:rsidRPr="00867263">
        <w:tab/>
      </w:r>
      <w:r w:rsidR="007D26C9" w:rsidRPr="00867263">
        <w:t>Le Président indique que le</w:t>
      </w:r>
      <w:r w:rsidRPr="00867263">
        <w:t xml:space="preserve"> Document C20/67 </w:t>
      </w:r>
      <w:r w:rsidR="007D26C9" w:rsidRPr="00867263">
        <w:t>contient une</w:t>
      </w:r>
      <w:r w:rsidRPr="00867263">
        <w:t xml:space="preserve"> contribution </w:t>
      </w:r>
      <w:r w:rsidR="007D26C9" w:rsidRPr="00867263">
        <w:t>de la Fédération de Russie sur l</w:t>
      </w:r>
      <w:r w:rsidR="00F12A8B" w:rsidRPr="00867263">
        <w:t>'</w:t>
      </w:r>
      <w:r w:rsidR="007D26C9" w:rsidRPr="00867263">
        <w:t>harmonisation des sites web de l</w:t>
      </w:r>
      <w:r w:rsidR="00F12A8B" w:rsidRPr="00867263">
        <w:t>'</w:t>
      </w:r>
      <w:r w:rsidR="007D26C9" w:rsidRPr="00867263">
        <w:t>UIT dans les six langues de l</w:t>
      </w:r>
      <w:r w:rsidR="00F12A8B" w:rsidRPr="00867263">
        <w:t>'</w:t>
      </w:r>
      <w:r w:rsidR="007D26C9" w:rsidRPr="00867263">
        <w:t>Union</w:t>
      </w:r>
      <w:r w:rsidRPr="00867263">
        <w:t xml:space="preserve">. </w:t>
      </w:r>
      <w:r w:rsidR="00630E15" w:rsidRPr="00867263">
        <w:t xml:space="preserve">Il propose que les Conseillers concluent </w:t>
      </w:r>
      <w:r w:rsidR="00317FA9" w:rsidRPr="00867263">
        <w:t>que les propositions seront examinées</w:t>
      </w:r>
      <w:r w:rsidR="00C570D6">
        <w:t xml:space="preserve"> à la prochaine réunion du </w:t>
      </w:r>
      <w:r w:rsidR="00630E15" w:rsidRPr="00867263">
        <w:t>GTC</w:t>
      </w:r>
      <w:r w:rsidR="0089720D" w:rsidRPr="00867263">
        <w:noBreakHyphen/>
      </w:r>
      <w:r w:rsidR="00630E15" w:rsidRPr="00867263">
        <w:t>LANG</w:t>
      </w:r>
      <w:r w:rsidRPr="00867263">
        <w:t>.</w:t>
      </w:r>
    </w:p>
    <w:p w14:paraId="4A9893B4" w14:textId="72BA4003" w:rsidR="00F71AE4" w:rsidRPr="00867263" w:rsidRDefault="00F71AE4" w:rsidP="00BE2D6B">
      <w:pPr>
        <w:spacing w:before="120"/>
      </w:pPr>
      <w:r w:rsidRPr="00867263">
        <w:t>7.4</w:t>
      </w:r>
      <w:r w:rsidRPr="00867263">
        <w:tab/>
        <w:t xml:space="preserve">Il en est ainsi </w:t>
      </w:r>
      <w:r w:rsidRPr="00867263">
        <w:rPr>
          <w:b/>
          <w:bCs/>
        </w:rPr>
        <w:t>conclu</w:t>
      </w:r>
      <w:r w:rsidRPr="00867263">
        <w:t>.</w:t>
      </w:r>
    </w:p>
    <w:p w14:paraId="64DD786B" w14:textId="77777777" w:rsidR="00F71AE4" w:rsidRPr="00867263" w:rsidRDefault="00F71AE4" w:rsidP="00867263">
      <w:pPr>
        <w:tabs>
          <w:tab w:val="left" w:pos="6521"/>
        </w:tabs>
        <w:snapToGrid w:val="0"/>
        <w:spacing w:before="840" w:line="240" w:lineRule="auto"/>
        <w:rPr>
          <w:szCs w:val="24"/>
        </w:rPr>
      </w:pPr>
      <w:r w:rsidRPr="00867263">
        <w:rPr>
          <w:szCs w:val="24"/>
        </w:rPr>
        <w:t>Le Secrétaire général:</w:t>
      </w:r>
      <w:r w:rsidRPr="00867263">
        <w:rPr>
          <w:szCs w:val="24"/>
        </w:rPr>
        <w:tab/>
        <w:t>Le Président:</w:t>
      </w:r>
    </w:p>
    <w:p w14:paraId="1F619C48" w14:textId="77777777" w:rsidR="00F71AE4" w:rsidRPr="00867263" w:rsidRDefault="00F71AE4" w:rsidP="00867263">
      <w:pPr>
        <w:tabs>
          <w:tab w:val="clear" w:pos="794"/>
          <w:tab w:val="clear" w:pos="1191"/>
          <w:tab w:val="clear" w:pos="1588"/>
          <w:tab w:val="clear" w:pos="1985"/>
          <w:tab w:val="left" w:pos="6521"/>
        </w:tabs>
        <w:snapToGrid w:val="0"/>
        <w:spacing w:before="0" w:line="240" w:lineRule="auto"/>
        <w:rPr>
          <w:szCs w:val="24"/>
        </w:rPr>
      </w:pPr>
      <w:r w:rsidRPr="00867263">
        <w:rPr>
          <w:szCs w:val="24"/>
        </w:rPr>
        <w:t>H. ZHAO</w:t>
      </w:r>
      <w:r w:rsidRPr="00867263">
        <w:rPr>
          <w:szCs w:val="24"/>
        </w:rPr>
        <w:tab/>
        <w:t>S. BIN GHELAITA</w:t>
      </w:r>
    </w:p>
    <w:sectPr w:rsidR="00F71AE4" w:rsidRPr="00867263" w:rsidSect="005C3890">
      <w:headerReference w:type="even" r:id="rId44"/>
      <w:headerReference w:type="default" r:id="rId45"/>
      <w:footerReference w:type="even" r:id="rId46"/>
      <w:footerReference w:type="default" r:id="rId47"/>
      <w:footerReference w:type="first" r:id="rId48"/>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11BF8D" w14:textId="77777777" w:rsidR="00FE029D" w:rsidRDefault="00FE029D">
      <w:r>
        <w:separator/>
      </w:r>
    </w:p>
  </w:endnote>
  <w:endnote w:type="continuationSeparator" w:id="0">
    <w:p w14:paraId="776D089B" w14:textId="77777777" w:rsidR="00FE029D" w:rsidRDefault="00FE0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C5D80" w14:textId="21A59171" w:rsidR="00FE029D" w:rsidRPr="009212DA" w:rsidRDefault="00C22B07">
    <w:pPr>
      <w:pStyle w:val="Footer"/>
    </w:pPr>
    <w:r>
      <w:fldChar w:fldCharType="begin"/>
    </w:r>
    <w:r w:rsidRPr="009212DA">
      <w:instrText xml:space="preserve"> FILENAME \p \* MERGEFORMAT </w:instrText>
    </w:r>
    <w:r>
      <w:fldChar w:fldCharType="separate"/>
    </w:r>
    <w:r w:rsidR="00C71BB2">
      <w:t>P:\FRA\SG\CONSEIL\VC-2\000\013F.docx</w:t>
    </w:r>
    <w:r>
      <w:fldChar w:fldCharType="end"/>
    </w:r>
    <w:r w:rsidR="00FE029D" w:rsidRPr="009212DA">
      <w:tab/>
    </w:r>
    <w:r w:rsidR="00FE029D">
      <w:fldChar w:fldCharType="begin"/>
    </w:r>
    <w:r w:rsidR="00FE029D">
      <w:instrText xml:space="preserve"> savedate \@ dd.MM.yy </w:instrText>
    </w:r>
    <w:r w:rsidR="00FE029D">
      <w:fldChar w:fldCharType="separate"/>
    </w:r>
    <w:r w:rsidR="006C57C9">
      <w:t>24.12.20</w:t>
    </w:r>
    <w:r w:rsidR="00FE029D">
      <w:fldChar w:fldCharType="end"/>
    </w:r>
    <w:r w:rsidR="00FE029D" w:rsidRPr="009212DA">
      <w:tab/>
    </w:r>
    <w:r w:rsidR="00FE029D">
      <w:fldChar w:fldCharType="begin"/>
    </w:r>
    <w:r w:rsidR="00FE029D">
      <w:instrText xml:space="preserve"> printdate \@ dd.MM.yy </w:instrText>
    </w:r>
    <w:r w:rsidR="00FE029D">
      <w:fldChar w:fldCharType="separate"/>
    </w:r>
    <w:r w:rsidR="00C71BB2">
      <w:t>22.12.20</w:t>
    </w:r>
    <w:r w:rsidR="00FE029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82D0C" w14:textId="692BCB17" w:rsidR="00FE029D" w:rsidRPr="00F12A8B" w:rsidRDefault="00C22B07">
    <w:pPr>
      <w:pStyle w:val="Footer"/>
    </w:pPr>
    <w:r>
      <w:fldChar w:fldCharType="begin"/>
    </w:r>
    <w:r w:rsidRPr="00F12A8B">
      <w:instrText xml:space="preserve"> FILENAME \p \* MERGEFORMAT </w:instrText>
    </w:r>
    <w:r>
      <w:fldChar w:fldCharType="separate"/>
    </w:r>
    <w:r w:rsidR="00C71BB2">
      <w:t>P:\FRA\SG\CONSEIL\VC-2\000\013F.docx</w:t>
    </w:r>
    <w:r>
      <w:fldChar w:fldCharType="end"/>
    </w:r>
    <w:r w:rsidR="00FE029D" w:rsidRPr="00F12A8B">
      <w:t xml:space="preserve"> (481103)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4E359" w14:textId="77777777" w:rsidR="00FE029D" w:rsidRDefault="00FE029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51C5CA" w14:textId="77777777" w:rsidR="00FE029D" w:rsidRDefault="00FE029D">
      <w:r>
        <w:t>____________________</w:t>
      </w:r>
    </w:p>
  </w:footnote>
  <w:footnote w:type="continuationSeparator" w:id="0">
    <w:p w14:paraId="107C9B2F" w14:textId="77777777" w:rsidR="00FE029D" w:rsidRDefault="00FE0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2BCA8" w14:textId="77777777" w:rsidR="00FE029D" w:rsidRDefault="00FE029D">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73DC23BD" w14:textId="77777777" w:rsidR="00FE029D" w:rsidRDefault="00FE029D">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F13D0" w14:textId="507B65F6" w:rsidR="00FE029D" w:rsidRDefault="00FE029D" w:rsidP="00475FB3">
    <w:pPr>
      <w:pStyle w:val="Header"/>
    </w:pPr>
    <w:r>
      <w:fldChar w:fldCharType="begin"/>
    </w:r>
    <w:r>
      <w:instrText>PAGE</w:instrText>
    </w:r>
    <w:r>
      <w:fldChar w:fldCharType="separate"/>
    </w:r>
    <w:r w:rsidR="00884810">
      <w:rPr>
        <w:noProof/>
      </w:rPr>
      <w:t>9</w:t>
    </w:r>
    <w:r>
      <w:rPr>
        <w:noProof/>
      </w:rPr>
      <w:fldChar w:fldCharType="end"/>
    </w:r>
  </w:p>
  <w:p w14:paraId="6187E249" w14:textId="62D7605A" w:rsidR="00FE029D" w:rsidRDefault="00FE029D" w:rsidP="00106B19">
    <w:pPr>
      <w:pStyle w:val="Header"/>
    </w:pPr>
    <w:r>
      <w:t>VC-2/13-F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fr-FR" w:vendorID="64" w:dllVersion="6"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F28"/>
    <w:rsid w:val="00006843"/>
    <w:rsid w:val="00006CAA"/>
    <w:rsid w:val="00007698"/>
    <w:rsid w:val="00007D95"/>
    <w:rsid w:val="00031378"/>
    <w:rsid w:val="0005021A"/>
    <w:rsid w:val="00053A71"/>
    <w:rsid w:val="00057B1B"/>
    <w:rsid w:val="00062850"/>
    <w:rsid w:val="00076D2D"/>
    <w:rsid w:val="00081B82"/>
    <w:rsid w:val="00087E6E"/>
    <w:rsid w:val="00090BE9"/>
    <w:rsid w:val="000B33AF"/>
    <w:rsid w:val="000D0D0A"/>
    <w:rsid w:val="000D20E9"/>
    <w:rsid w:val="000D4701"/>
    <w:rsid w:val="000D7223"/>
    <w:rsid w:val="00103163"/>
    <w:rsid w:val="00103CAB"/>
    <w:rsid w:val="00106B19"/>
    <w:rsid w:val="00111897"/>
    <w:rsid w:val="00115D93"/>
    <w:rsid w:val="00123A43"/>
    <w:rsid w:val="001247A8"/>
    <w:rsid w:val="00137332"/>
    <w:rsid w:val="001378C0"/>
    <w:rsid w:val="00143E2B"/>
    <w:rsid w:val="00150CA7"/>
    <w:rsid w:val="00161911"/>
    <w:rsid w:val="00177DEA"/>
    <w:rsid w:val="00181A5C"/>
    <w:rsid w:val="00182F02"/>
    <w:rsid w:val="0018694A"/>
    <w:rsid w:val="0019649B"/>
    <w:rsid w:val="001A3287"/>
    <w:rsid w:val="001A6508"/>
    <w:rsid w:val="001B0858"/>
    <w:rsid w:val="001C6507"/>
    <w:rsid w:val="001D2E07"/>
    <w:rsid w:val="001D4C31"/>
    <w:rsid w:val="001E4D21"/>
    <w:rsid w:val="00207CD1"/>
    <w:rsid w:val="002137C9"/>
    <w:rsid w:val="0023499A"/>
    <w:rsid w:val="002477A2"/>
    <w:rsid w:val="00263A51"/>
    <w:rsid w:val="0026796F"/>
    <w:rsid w:val="00267E02"/>
    <w:rsid w:val="00284EF1"/>
    <w:rsid w:val="002A10F3"/>
    <w:rsid w:val="002A5D44"/>
    <w:rsid w:val="002A6C12"/>
    <w:rsid w:val="002B2D43"/>
    <w:rsid w:val="002B6741"/>
    <w:rsid w:val="002E0BC4"/>
    <w:rsid w:val="002F0425"/>
    <w:rsid w:val="002F1B76"/>
    <w:rsid w:val="003039C0"/>
    <w:rsid w:val="003073B9"/>
    <w:rsid w:val="00316628"/>
    <w:rsid w:val="00317FA9"/>
    <w:rsid w:val="0033568E"/>
    <w:rsid w:val="0034155D"/>
    <w:rsid w:val="003417DE"/>
    <w:rsid w:val="00341ECE"/>
    <w:rsid w:val="00342571"/>
    <w:rsid w:val="00350072"/>
    <w:rsid w:val="00354371"/>
    <w:rsid w:val="00355FF5"/>
    <w:rsid w:val="00361350"/>
    <w:rsid w:val="00382302"/>
    <w:rsid w:val="003826E1"/>
    <w:rsid w:val="003A7E56"/>
    <w:rsid w:val="003B1339"/>
    <w:rsid w:val="003B53C1"/>
    <w:rsid w:val="003C3FAE"/>
    <w:rsid w:val="003D4DDF"/>
    <w:rsid w:val="003E096E"/>
    <w:rsid w:val="00401CB4"/>
    <w:rsid w:val="004038CB"/>
    <w:rsid w:val="0040546F"/>
    <w:rsid w:val="0042404A"/>
    <w:rsid w:val="0044015B"/>
    <w:rsid w:val="00440ABB"/>
    <w:rsid w:val="00441841"/>
    <w:rsid w:val="00441F71"/>
    <w:rsid w:val="0044618F"/>
    <w:rsid w:val="004620EB"/>
    <w:rsid w:val="004670AA"/>
    <w:rsid w:val="0046769A"/>
    <w:rsid w:val="00475FB3"/>
    <w:rsid w:val="004A4734"/>
    <w:rsid w:val="004C224C"/>
    <w:rsid w:val="004C37A9"/>
    <w:rsid w:val="004C6EA7"/>
    <w:rsid w:val="004F259E"/>
    <w:rsid w:val="00504EE8"/>
    <w:rsid w:val="00511F1D"/>
    <w:rsid w:val="00520F36"/>
    <w:rsid w:val="005339BB"/>
    <w:rsid w:val="00536DBE"/>
    <w:rsid w:val="00540615"/>
    <w:rsid w:val="00540A6D"/>
    <w:rsid w:val="00551442"/>
    <w:rsid w:val="00552AD1"/>
    <w:rsid w:val="0056580E"/>
    <w:rsid w:val="00571EEA"/>
    <w:rsid w:val="00575417"/>
    <w:rsid w:val="005768E1"/>
    <w:rsid w:val="00583222"/>
    <w:rsid w:val="005B074C"/>
    <w:rsid w:val="005B1938"/>
    <w:rsid w:val="005B39CE"/>
    <w:rsid w:val="005C3890"/>
    <w:rsid w:val="005D6C18"/>
    <w:rsid w:val="005F7BFE"/>
    <w:rsid w:val="00600017"/>
    <w:rsid w:val="006168EA"/>
    <w:rsid w:val="00621290"/>
    <w:rsid w:val="006235CA"/>
    <w:rsid w:val="00630E15"/>
    <w:rsid w:val="006643AB"/>
    <w:rsid w:val="00670310"/>
    <w:rsid w:val="006A0129"/>
    <w:rsid w:val="006C57C9"/>
    <w:rsid w:val="006D373F"/>
    <w:rsid w:val="006D3C16"/>
    <w:rsid w:val="006E7883"/>
    <w:rsid w:val="007020C7"/>
    <w:rsid w:val="00702265"/>
    <w:rsid w:val="00704566"/>
    <w:rsid w:val="00712148"/>
    <w:rsid w:val="00720E56"/>
    <w:rsid w:val="007210CD"/>
    <w:rsid w:val="00721920"/>
    <w:rsid w:val="00732045"/>
    <w:rsid w:val="007369DB"/>
    <w:rsid w:val="00745655"/>
    <w:rsid w:val="00746568"/>
    <w:rsid w:val="00767024"/>
    <w:rsid w:val="007956C2"/>
    <w:rsid w:val="007A187E"/>
    <w:rsid w:val="007C72C2"/>
    <w:rsid w:val="007C7536"/>
    <w:rsid w:val="007D0D41"/>
    <w:rsid w:val="007D26C9"/>
    <w:rsid w:val="007D4436"/>
    <w:rsid w:val="007E6458"/>
    <w:rsid w:val="007F15D1"/>
    <w:rsid w:val="007F257A"/>
    <w:rsid w:val="007F3665"/>
    <w:rsid w:val="00800037"/>
    <w:rsid w:val="00800C0D"/>
    <w:rsid w:val="00817A07"/>
    <w:rsid w:val="0082033E"/>
    <w:rsid w:val="00861D73"/>
    <w:rsid w:val="00867263"/>
    <w:rsid w:val="0087085F"/>
    <w:rsid w:val="00876243"/>
    <w:rsid w:val="00884810"/>
    <w:rsid w:val="00890D64"/>
    <w:rsid w:val="008929B7"/>
    <w:rsid w:val="00895BC0"/>
    <w:rsid w:val="0089720D"/>
    <w:rsid w:val="008A4E87"/>
    <w:rsid w:val="008D1E3D"/>
    <w:rsid w:val="008D5F00"/>
    <w:rsid w:val="008D747B"/>
    <w:rsid w:val="008D76E6"/>
    <w:rsid w:val="00900553"/>
    <w:rsid w:val="009212DA"/>
    <w:rsid w:val="0092392D"/>
    <w:rsid w:val="009249DC"/>
    <w:rsid w:val="0093234A"/>
    <w:rsid w:val="00937A74"/>
    <w:rsid w:val="009818F2"/>
    <w:rsid w:val="009840E5"/>
    <w:rsid w:val="00986926"/>
    <w:rsid w:val="00997B13"/>
    <w:rsid w:val="009C307F"/>
    <w:rsid w:val="009C353C"/>
    <w:rsid w:val="009C54FB"/>
    <w:rsid w:val="009D4198"/>
    <w:rsid w:val="009E102A"/>
    <w:rsid w:val="009E5623"/>
    <w:rsid w:val="009E6C7B"/>
    <w:rsid w:val="00A02819"/>
    <w:rsid w:val="00A2113E"/>
    <w:rsid w:val="00A23A51"/>
    <w:rsid w:val="00A24607"/>
    <w:rsid w:val="00A25CD3"/>
    <w:rsid w:val="00A26693"/>
    <w:rsid w:val="00A76F29"/>
    <w:rsid w:val="00A82767"/>
    <w:rsid w:val="00A86957"/>
    <w:rsid w:val="00AA2922"/>
    <w:rsid w:val="00AA332F"/>
    <w:rsid w:val="00AA7BBB"/>
    <w:rsid w:val="00AB2337"/>
    <w:rsid w:val="00AB64A8"/>
    <w:rsid w:val="00AC0266"/>
    <w:rsid w:val="00AD1A9B"/>
    <w:rsid w:val="00AD24EC"/>
    <w:rsid w:val="00AF7FE3"/>
    <w:rsid w:val="00B11038"/>
    <w:rsid w:val="00B237C5"/>
    <w:rsid w:val="00B23D0C"/>
    <w:rsid w:val="00B27B09"/>
    <w:rsid w:val="00B309F9"/>
    <w:rsid w:val="00B32B60"/>
    <w:rsid w:val="00B607B3"/>
    <w:rsid w:val="00B61619"/>
    <w:rsid w:val="00B715BA"/>
    <w:rsid w:val="00BA5C20"/>
    <w:rsid w:val="00BB3316"/>
    <w:rsid w:val="00BB4545"/>
    <w:rsid w:val="00BD5873"/>
    <w:rsid w:val="00BE2D6B"/>
    <w:rsid w:val="00BE686F"/>
    <w:rsid w:val="00C04BE3"/>
    <w:rsid w:val="00C0603F"/>
    <w:rsid w:val="00C22B07"/>
    <w:rsid w:val="00C25D29"/>
    <w:rsid w:val="00C27A7C"/>
    <w:rsid w:val="00C34D31"/>
    <w:rsid w:val="00C532ED"/>
    <w:rsid w:val="00C56553"/>
    <w:rsid w:val="00C570D6"/>
    <w:rsid w:val="00C576D8"/>
    <w:rsid w:val="00C648C5"/>
    <w:rsid w:val="00C66188"/>
    <w:rsid w:val="00C71BB2"/>
    <w:rsid w:val="00C765B1"/>
    <w:rsid w:val="00CA08ED"/>
    <w:rsid w:val="00CA5955"/>
    <w:rsid w:val="00CB679A"/>
    <w:rsid w:val="00CD7D73"/>
    <w:rsid w:val="00CE4F9B"/>
    <w:rsid w:val="00CF183B"/>
    <w:rsid w:val="00CF7F07"/>
    <w:rsid w:val="00D07866"/>
    <w:rsid w:val="00D20C64"/>
    <w:rsid w:val="00D21FDD"/>
    <w:rsid w:val="00D375CD"/>
    <w:rsid w:val="00D40611"/>
    <w:rsid w:val="00D44E63"/>
    <w:rsid w:val="00D521D4"/>
    <w:rsid w:val="00D553A2"/>
    <w:rsid w:val="00D55A11"/>
    <w:rsid w:val="00D6272C"/>
    <w:rsid w:val="00D641EB"/>
    <w:rsid w:val="00D774D3"/>
    <w:rsid w:val="00D904E8"/>
    <w:rsid w:val="00DA02AB"/>
    <w:rsid w:val="00DA08C3"/>
    <w:rsid w:val="00DA198D"/>
    <w:rsid w:val="00DB5A3E"/>
    <w:rsid w:val="00DC22AA"/>
    <w:rsid w:val="00DD3A9E"/>
    <w:rsid w:val="00DD7A90"/>
    <w:rsid w:val="00DE67CB"/>
    <w:rsid w:val="00DF74DD"/>
    <w:rsid w:val="00E00991"/>
    <w:rsid w:val="00E2050E"/>
    <w:rsid w:val="00E239D8"/>
    <w:rsid w:val="00E25AD0"/>
    <w:rsid w:val="00E60B40"/>
    <w:rsid w:val="00E803D4"/>
    <w:rsid w:val="00E82FE8"/>
    <w:rsid w:val="00E90D09"/>
    <w:rsid w:val="00E93311"/>
    <w:rsid w:val="00EA3C70"/>
    <w:rsid w:val="00EB6350"/>
    <w:rsid w:val="00EC6271"/>
    <w:rsid w:val="00ED4F28"/>
    <w:rsid w:val="00EF41BB"/>
    <w:rsid w:val="00EF4B47"/>
    <w:rsid w:val="00EF6D66"/>
    <w:rsid w:val="00F10DA5"/>
    <w:rsid w:val="00F12A8B"/>
    <w:rsid w:val="00F15B57"/>
    <w:rsid w:val="00F2493A"/>
    <w:rsid w:val="00F373FE"/>
    <w:rsid w:val="00F427DB"/>
    <w:rsid w:val="00F479D8"/>
    <w:rsid w:val="00F608F2"/>
    <w:rsid w:val="00F671BC"/>
    <w:rsid w:val="00F71AE4"/>
    <w:rsid w:val="00F74FA9"/>
    <w:rsid w:val="00FA0CBE"/>
    <w:rsid w:val="00FA5EB1"/>
    <w:rsid w:val="00FA7439"/>
    <w:rsid w:val="00FB54B3"/>
    <w:rsid w:val="00FC4EC0"/>
    <w:rsid w:val="00FD53D6"/>
    <w:rsid w:val="00FE029D"/>
    <w:rsid w:val="00FE032D"/>
    <w:rsid w:val="00FF0181"/>
    <w:rsid w:val="00FF0E04"/>
    <w:rsid w:val="00FF6B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FF4B648"/>
  <w15:docId w15:val="{3BE36841-2244-4556-96CD-09CFBCC0E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1AE4"/>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ascii="Calibri" w:hAnsi="Calibri" w:cs="Calibri"/>
      <w:sz w:val="24"/>
      <w:szCs w:val="22"/>
      <w:lang w:val="fr-FR" w:eastAsia="en-US"/>
    </w:rPr>
  </w:style>
  <w:style w:type="paragraph" w:styleId="Heading1">
    <w:name w:val="heading 1"/>
    <w:basedOn w:val="Normal"/>
    <w:next w:val="Normal"/>
    <w:qFormat/>
    <w:rsid w:val="00732045"/>
    <w:pPr>
      <w:keepNext/>
      <w:keepLines/>
      <w:tabs>
        <w:tab w:val="clear" w:pos="794"/>
        <w:tab w:val="clear" w:pos="1191"/>
        <w:tab w:val="clear" w:pos="1588"/>
        <w:tab w:val="clear" w:pos="1985"/>
        <w:tab w:val="left" w:pos="567"/>
        <w:tab w:val="left" w:pos="1134"/>
        <w:tab w:val="left" w:pos="1701"/>
        <w:tab w:val="left" w:pos="2268"/>
        <w:tab w:val="left" w:pos="2835"/>
      </w:tabs>
      <w:spacing w:before="480" w:line="240" w:lineRule="auto"/>
      <w:ind w:left="567" w:hanging="567"/>
      <w:outlineLvl w:val="0"/>
    </w:pPr>
    <w:rPr>
      <w:rFonts w:cs="Times New Roman"/>
      <w:b/>
      <w:sz w:val="28"/>
      <w:szCs w:val="20"/>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pPr>
    <w:rPr>
      <w:rFonts w:cs="Times New Roman"/>
      <w:szCs w:val="20"/>
    </w:rPr>
  </w:style>
  <w:style w:type="paragraph" w:styleId="TOC3">
    <w:name w:val="toc 3"/>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pPr>
    <w:rPr>
      <w:rFonts w:cs="Times New Roman"/>
      <w:szCs w:val="20"/>
    </w:rPr>
  </w:style>
  <w:style w:type="paragraph" w:styleId="TOC2">
    <w:name w:val="toc 2"/>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pPr>
    <w:rPr>
      <w:rFonts w:cs="Times New Roman"/>
      <w:szCs w:val="20"/>
    </w:rPr>
  </w:style>
  <w:style w:type="paragraph" w:styleId="TOC1">
    <w:name w:val="toc 1"/>
    <w:basedOn w:val="Normal"/>
    <w:rsid w:val="00732045"/>
    <w:pPr>
      <w:tabs>
        <w:tab w:val="clear" w:pos="794"/>
        <w:tab w:val="clear" w:pos="1191"/>
        <w:tab w:val="clear" w:pos="1588"/>
        <w:tab w:val="clear" w:pos="1985"/>
        <w:tab w:val="left" w:pos="964"/>
        <w:tab w:val="left" w:leader="dot" w:pos="8789"/>
        <w:tab w:val="right" w:pos="9639"/>
      </w:tabs>
      <w:spacing w:before="240" w:line="240" w:lineRule="auto"/>
      <w:ind w:left="964" w:hanging="964"/>
    </w:pPr>
    <w:rPr>
      <w:rFonts w:cs="Times New Roman"/>
      <w:szCs w:val="20"/>
    </w:rPr>
  </w:style>
  <w:style w:type="paragraph" w:styleId="TOC7">
    <w:name w:val="toc 7"/>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pPr>
    <w:rPr>
      <w:rFonts w:cs="Times New Roman"/>
      <w:szCs w:val="20"/>
    </w:rPr>
  </w:style>
  <w:style w:type="paragraph" w:styleId="TOC6">
    <w:name w:val="toc 6"/>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pPr>
    <w:rPr>
      <w:rFonts w:cs="Times New Roman"/>
      <w:szCs w:val="20"/>
    </w:rPr>
  </w:style>
  <w:style w:type="paragraph" w:styleId="TOC5">
    <w:name w:val="toc 5"/>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pPr>
    <w:rPr>
      <w:rFonts w:cs="Times New Roman"/>
      <w:szCs w:val="20"/>
    </w:rPr>
  </w:style>
  <w:style w:type="paragraph" w:styleId="TOC4">
    <w:name w:val="toc 4"/>
    <w:basedOn w:val="Normal"/>
    <w:next w:val="Normal"/>
    <w:rsid w:val="00732045"/>
    <w:pPr>
      <w:tabs>
        <w:tab w:val="clear" w:pos="794"/>
        <w:tab w:val="clear" w:pos="1191"/>
        <w:tab w:val="clear" w:pos="1588"/>
        <w:tab w:val="clear" w:pos="1985"/>
        <w:tab w:val="left" w:pos="964"/>
        <w:tab w:val="left" w:pos="8789"/>
        <w:tab w:val="right" w:pos="9639"/>
      </w:tabs>
      <w:spacing w:before="120" w:line="240" w:lineRule="auto"/>
      <w:ind w:left="964" w:hanging="964"/>
    </w:pPr>
    <w:rPr>
      <w:rFonts w:cs="Times New Roman"/>
      <w:szCs w:val="20"/>
    </w:rPr>
  </w:style>
  <w:style w:type="paragraph" w:styleId="Index7">
    <w:name w:val="index 7"/>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1698"/>
    </w:pPr>
    <w:rPr>
      <w:rFonts w:cs="Times New Roman"/>
      <w:szCs w:val="20"/>
    </w:rPr>
  </w:style>
  <w:style w:type="paragraph" w:styleId="Index6">
    <w:name w:val="index 6"/>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1415"/>
    </w:pPr>
    <w:rPr>
      <w:rFonts w:cs="Times New Roman"/>
      <w:szCs w:val="20"/>
    </w:rPr>
  </w:style>
  <w:style w:type="paragraph" w:styleId="Index5">
    <w:name w:val="index 5"/>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1132"/>
    </w:pPr>
    <w:rPr>
      <w:rFonts w:cs="Times New Roman"/>
      <w:szCs w:val="20"/>
    </w:rPr>
  </w:style>
  <w:style w:type="paragraph" w:styleId="Index4">
    <w:name w:val="index 4"/>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849"/>
    </w:pPr>
    <w:rPr>
      <w:rFonts w:cs="Times New Roman"/>
      <w:szCs w:val="20"/>
    </w:rPr>
  </w:style>
  <w:style w:type="paragraph" w:styleId="Index3">
    <w:name w:val="index 3"/>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566"/>
    </w:pPr>
    <w:rPr>
      <w:rFonts w:cs="Times New Roman"/>
      <w:szCs w:val="20"/>
    </w:rPr>
  </w:style>
  <w:style w:type="paragraph" w:styleId="Index2">
    <w:name w:val="index 2"/>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283"/>
    </w:pPr>
    <w:rPr>
      <w:rFonts w:cs="Times New Roman"/>
      <w:szCs w:val="20"/>
    </w:rPr>
  </w:style>
  <w:style w:type="paragraph" w:styleId="Index1">
    <w:name w:val="index 1"/>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pPr>
    <w:rPr>
      <w:rFonts w:cs="Times New Roman"/>
      <w:szCs w:val="20"/>
    </w:rPr>
  </w:style>
  <w:style w:type="character" w:styleId="LineNumber">
    <w:name w:val="line number"/>
    <w:basedOn w:val="DefaultParagraphFont"/>
    <w:rsid w:val="005C3890"/>
  </w:style>
  <w:style w:type="paragraph" w:styleId="IndexHeading">
    <w:name w:val="index heading"/>
    <w:basedOn w:val="Normal"/>
    <w:next w:val="Index1"/>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pPr>
    <w:rPr>
      <w:rFonts w:cs="Times New Roman"/>
      <w:szCs w:val="20"/>
    </w:rPr>
  </w:style>
  <w:style w:type="paragraph" w:styleId="Footer">
    <w:name w:val="footer"/>
    <w:basedOn w:val="Normal"/>
    <w:rsid w:val="00732045"/>
    <w:pPr>
      <w:tabs>
        <w:tab w:val="clear" w:pos="794"/>
        <w:tab w:val="clear" w:pos="1191"/>
        <w:tab w:val="clear" w:pos="1588"/>
        <w:tab w:val="clear" w:pos="1985"/>
        <w:tab w:val="left" w:pos="5954"/>
        <w:tab w:val="right" w:pos="9639"/>
      </w:tabs>
      <w:spacing w:before="0" w:line="240" w:lineRule="auto"/>
    </w:pPr>
    <w:rPr>
      <w:rFonts w:cs="Times New Roman"/>
      <w:caps/>
      <w:noProof/>
      <w:sz w:val="16"/>
      <w:szCs w:val="20"/>
    </w:rPr>
  </w:style>
  <w:style w:type="paragraph" w:styleId="Header">
    <w:name w:val="header"/>
    <w:basedOn w:val="Normal"/>
    <w:rsid w:val="00732045"/>
    <w:pPr>
      <w:tabs>
        <w:tab w:val="clear" w:pos="794"/>
        <w:tab w:val="clear" w:pos="1191"/>
        <w:tab w:val="clear" w:pos="1588"/>
        <w:tab w:val="clear" w:pos="1985"/>
      </w:tabs>
      <w:spacing w:before="0" w:line="240" w:lineRule="auto"/>
      <w:jc w:val="center"/>
    </w:pPr>
    <w:rPr>
      <w:rFonts w:cs="Times New Roman"/>
      <w:sz w:val="18"/>
      <w:szCs w:val="20"/>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clear" w:pos="794"/>
        <w:tab w:val="clear" w:pos="1191"/>
        <w:tab w:val="clear" w:pos="1588"/>
        <w:tab w:val="clear" w:pos="1985"/>
        <w:tab w:val="left" w:pos="256"/>
        <w:tab w:val="left" w:pos="567"/>
        <w:tab w:val="left" w:pos="1134"/>
        <w:tab w:val="left" w:pos="1701"/>
        <w:tab w:val="left" w:pos="2268"/>
        <w:tab w:val="left" w:pos="2835"/>
      </w:tabs>
      <w:spacing w:before="120" w:line="240" w:lineRule="auto"/>
      <w:ind w:left="256" w:hanging="256"/>
    </w:pPr>
    <w:rPr>
      <w:rFonts w:cs="Times New Roman"/>
      <w:szCs w:val="20"/>
    </w:rPr>
  </w:style>
  <w:style w:type="paragraph" w:styleId="NormalIndent">
    <w:name w:val="Normal Indent"/>
    <w:basedOn w:val="Normal"/>
    <w:rsid w:val="00732045"/>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567"/>
    </w:pPr>
    <w:rPr>
      <w:rFonts w:cs="Times New Roman"/>
      <w:szCs w:val="20"/>
    </w:rPr>
  </w:style>
  <w:style w:type="paragraph" w:customStyle="1" w:styleId="enumlev1">
    <w:name w:val="enumlev1"/>
    <w:basedOn w:val="Normal"/>
    <w:rsid w:val="00732045"/>
    <w:pPr>
      <w:tabs>
        <w:tab w:val="clear" w:pos="794"/>
        <w:tab w:val="clear" w:pos="1191"/>
        <w:tab w:val="clear" w:pos="1588"/>
        <w:tab w:val="clear" w:pos="1985"/>
        <w:tab w:val="left" w:pos="567"/>
        <w:tab w:val="left" w:pos="1134"/>
        <w:tab w:val="left" w:pos="1701"/>
        <w:tab w:val="left" w:pos="2268"/>
        <w:tab w:val="left" w:pos="2835"/>
      </w:tabs>
      <w:spacing w:before="86" w:line="240" w:lineRule="auto"/>
      <w:ind w:left="567" w:hanging="567"/>
    </w:pPr>
    <w:rPr>
      <w:rFonts w:cs="Times New Roman"/>
      <w:szCs w:val="20"/>
    </w:r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lear" w:pos="794"/>
        <w:tab w:val="clear" w:pos="1191"/>
        <w:tab w:val="clear" w:pos="1588"/>
        <w:tab w:val="clear" w:pos="1985"/>
        <w:tab w:val="left" w:pos="567"/>
        <w:tab w:val="left" w:pos="1134"/>
        <w:tab w:val="left" w:pos="1701"/>
        <w:tab w:val="left" w:pos="2268"/>
        <w:tab w:val="left" w:pos="2835"/>
        <w:tab w:val="center" w:pos="4820"/>
        <w:tab w:val="right" w:pos="9639"/>
      </w:tabs>
      <w:spacing w:before="120" w:line="240" w:lineRule="auto"/>
    </w:pPr>
    <w:rPr>
      <w:rFonts w:cs="Times New Roman"/>
      <w:szCs w:val="20"/>
    </w:rPr>
  </w:style>
  <w:style w:type="paragraph" w:customStyle="1" w:styleId="Head">
    <w:name w:val="Head"/>
    <w:basedOn w:val="Normal"/>
    <w:rsid w:val="005C3890"/>
    <w:pPr>
      <w:tabs>
        <w:tab w:val="clear" w:pos="794"/>
        <w:tab w:val="clear" w:pos="1191"/>
        <w:tab w:val="clear" w:pos="1588"/>
        <w:tab w:val="clear" w:pos="1985"/>
        <w:tab w:val="left" w:pos="567"/>
        <w:tab w:val="left" w:pos="1134"/>
        <w:tab w:val="left" w:pos="1701"/>
        <w:tab w:val="left" w:pos="2268"/>
        <w:tab w:val="left" w:pos="2835"/>
        <w:tab w:val="left" w:pos="6663"/>
      </w:tabs>
      <w:overflowPunct/>
      <w:autoSpaceDE/>
      <w:autoSpaceDN/>
      <w:adjustRightInd/>
      <w:spacing w:before="0" w:line="240" w:lineRule="auto"/>
      <w:textAlignment w:val="auto"/>
    </w:pPr>
    <w:rPr>
      <w:rFonts w:cs="Times New Roman"/>
      <w:szCs w:val="20"/>
    </w:rPr>
  </w:style>
  <w:style w:type="paragraph" w:customStyle="1" w:styleId="Normalaftertitle">
    <w:name w:val="Normal after title"/>
    <w:basedOn w:val="Normal"/>
    <w:next w:val="Normal"/>
    <w:rsid w:val="00732045"/>
    <w:pPr>
      <w:tabs>
        <w:tab w:val="clear" w:pos="794"/>
        <w:tab w:val="clear" w:pos="1191"/>
        <w:tab w:val="clear" w:pos="1588"/>
        <w:tab w:val="clear" w:pos="1985"/>
        <w:tab w:val="left" w:pos="567"/>
        <w:tab w:val="left" w:pos="1134"/>
        <w:tab w:val="left" w:pos="1701"/>
        <w:tab w:val="left" w:pos="2268"/>
        <w:tab w:val="left" w:pos="2835"/>
      </w:tabs>
      <w:spacing w:before="240" w:line="240" w:lineRule="auto"/>
    </w:pPr>
    <w:rPr>
      <w:rFonts w:cs="Times New Roman"/>
      <w:szCs w:val="20"/>
    </w:rPr>
  </w:style>
  <w:style w:type="paragraph" w:customStyle="1" w:styleId="Call">
    <w:name w:val="Call"/>
    <w:basedOn w:val="Normal"/>
    <w:next w:val="Normal"/>
    <w:rsid w:val="00732045"/>
    <w:pPr>
      <w:keepNext/>
      <w:keepLines/>
      <w:tabs>
        <w:tab w:val="clear" w:pos="794"/>
        <w:tab w:val="clear" w:pos="1191"/>
        <w:tab w:val="clear" w:pos="1588"/>
        <w:tab w:val="clear" w:pos="1985"/>
        <w:tab w:val="left" w:pos="567"/>
      </w:tabs>
      <w:spacing w:line="240" w:lineRule="auto"/>
      <w:ind w:left="567"/>
    </w:pPr>
    <w:rPr>
      <w:rFonts w:cs="Times New Roman"/>
      <w:i/>
      <w:szCs w:val="20"/>
    </w:rPr>
  </w:style>
  <w:style w:type="paragraph" w:customStyle="1" w:styleId="toc0">
    <w:name w:val="toc 0"/>
    <w:basedOn w:val="Normal"/>
    <w:next w:val="TOC1"/>
    <w:rsid w:val="00732045"/>
    <w:pPr>
      <w:tabs>
        <w:tab w:val="clear" w:pos="794"/>
        <w:tab w:val="clear" w:pos="1191"/>
        <w:tab w:val="clear" w:pos="1588"/>
        <w:tab w:val="clear" w:pos="1985"/>
        <w:tab w:val="right" w:pos="9781"/>
      </w:tabs>
      <w:spacing w:before="120" w:line="240" w:lineRule="auto"/>
    </w:pPr>
    <w:rPr>
      <w:rFonts w:cs="Times New Roman"/>
      <w:b/>
      <w:szCs w:val="20"/>
    </w:rPr>
  </w:style>
  <w:style w:type="paragraph" w:styleId="List">
    <w:name w:val="List"/>
    <w:basedOn w:val="Normal"/>
    <w:rsid w:val="005C3890"/>
    <w:pPr>
      <w:tabs>
        <w:tab w:val="clear" w:pos="794"/>
        <w:tab w:val="clear" w:pos="1191"/>
        <w:tab w:val="clear" w:pos="1588"/>
        <w:tab w:val="clear" w:pos="1985"/>
        <w:tab w:val="left" w:pos="567"/>
        <w:tab w:val="left" w:pos="1134"/>
        <w:tab w:val="left" w:pos="1701"/>
        <w:tab w:val="left" w:pos="2127"/>
        <w:tab w:val="left" w:pos="2268"/>
        <w:tab w:val="left" w:pos="2835"/>
      </w:tabs>
      <w:spacing w:before="120" w:line="240" w:lineRule="auto"/>
      <w:ind w:left="2127" w:hanging="2127"/>
    </w:pPr>
    <w:rPr>
      <w:rFonts w:cs="Times New Roman"/>
      <w:szCs w:val="20"/>
    </w:rPr>
  </w:style>
  <w:style w:type="paragraph" w:customStyle="1" w:styleId="Part">
    <w:name w:val="Part"/>
    <w:basedOn w:val="Normal"/>
    <w:rsid w:val="005C3890"/>
    <w:pPr>
      <w:tabs>
        <w:tab w:val="clear" w:pos="794"/>
        <w:tab w:val="clear" w:pos="1191"/>
        <w:tab w:val="clear" w:pos="1588"/>
        <w:tab w:val="clear" w:pos="1985"/>
        <w:tab w:val="left" w:pos="567"/>
        <w:tab w:val="left" w:pos="1134"/>
        <w:tab w:val="left" w:pos="1276"/>
        <w:tab w:val="left" w:pos="1701"/>
        <w:tab w:val="left" w:pos="2268"/>
        <w:tab w:val="left" w:pos="2835"/>
      </w:tabs>
      <w:spacing w:before="199" w:line="240" w:lineRule="auto"/>
      <w:ind w:left="1701" w:hanging="1701"/>
    </w:pPr>
    <w:rPr>
      <w:rFonts w:cs="Times New Roman"/>
      <w:caps/>
      <w:szCs w:val="20"/>
    </w:rPr>
  </w:style>
  <w:style w:type="paragraph" w:customStyle="1" w:styleId="Reasons">
    <w:name w:val="Reasons"/>
    <w:basedOn w:val="Normal"/>
    <w:rsid w:val="00732045"/>
    <w:pPr>
      <w:tabs>
        <w:tab w:val="clear" w:pos="794"/>
        <w:tab w:val="clear" w:pos="1191"/>
        <w:tab w:val="clear" w:pos="1588"/>
        <w:tab w:val="clear" w:pos="1985"/>
        <w:tab w:val="left" w:pos="567"/>
        <w:tab w:val="left" w:pos="1134"/>
        <w:tab w:val="left" w:pos="1701"/>
        <w:tab w:val="left" w:pos="2268"/>
        <w:tab w:val="left" w:pos="2835"/>
      </w:tabs>
      <w:spacing w:before="120" w:line="240" w:lineRule="auto"/>
    </w:pPr>
    <w:rPr>
      <w:rFonts w:cs="Times New Roman"/>
      <w:szCs w:val="20"/>
    </w:rPr>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clear" w:pos="794"/>
        <w:tab w:val="clear" w:pos="1191"/>
        <w:tab w:val="clear" w:pos="1588"/>
        <w:tab w:val="clear" w:pos="1985"/>
        <w:tab w:val="left" w:pos="567"/>
        <w:tab w:val="left" w:pos="709"/>
        <w:tab w:val="left" w:pos="1134"/>
        <w:tab w:val="left" w:pos="1701"/>
        <w:tab w:val="left" w:pos="2268"/>
        <w:tab w:val="left" w:pos="2835"/>
      </w:tabs>
      <w:spacing w:before="0" w:line="240" w:lineRule="auto"/>
      <w:ind w:left="709" w:hanging="709"/>
    </w:pPr>
    <w:rPr>
      <w:rFonts w:cs="Times New Roman"/>
      <w:szCs w:val="20"/>
    </w:rPr>
  </w:style>
  <w:style w:type="paragraph" w:customStyle="1" w:styleId="Source">
    <w:name w:val="Source"/>
    <w:basedOn w:val="Normal"/>
    <w:next w:val="Title1"/>
    <w:rsid w:val="00732045"/>
    <w:pPr>
      <w:tabs>
        <w:tab w:val="clear" w:pos="794"/>
        <w:tab w:val="clear" w:pos="1191"/>
        <w:tab w:val="clear" w:pos="1588"/>
        <w:tab w:val="clear" w:pos="1985"/>
        <w:tab w:val="left" w:pos="567"/>
        <w:tab w:val="left" w:pos="1134"/>
        <w:tab w:val="left" w:pos="1701"/>
        <w:tab w:val="left" w:pos="2268"/>
        <w:tab w:val="left" w:pos="2835"/>
      </w:tabs>
      <w:spacing w:before="840" w:line="240" w:lineRule="auto"/>
      <w:jc w:val="center"/>
    </w:pPr>
    <w:rPr>
      <w:rFonts w:cs="Times New Roman"/>
      <w:b/>
      <w:sz w:val="28"/>
      <w:szCs w:val="20"/>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120" w:line="240" w:lineRule="auto"/>
    </w:pPr>
    <w:rPr>
      <w:rFonts w:cs="Times New Roman"/>
      <w:b/>
      <w:bCs/>
      <w:szCs w:val="20"/>
    </w:rPr>
  </w:style>
  <w:style w:type="paragraph" w:customStyle="1" w:styleId="FirstFooter">
    <w:name w:val="FirstFooter"/>
    <w:basedOn w:val="Footer"/>
    <w:rsid w:val="00732045"/>
    <w:rPr>
      <w:caps w:val="0"/>
    </w:rPr>
  </w:style>
  <w:style w:type="paragraph" w:customStyle="1" w:styleId="Note">
    <w:name w:val="Note"/>
    <w:basedOn w:val="Normal"/>
    <w:rsid w:val="005C3890"/>
    <w:pPr>
      <w:tabs>
        <w:tab w:val="clear" w:pos="794"/>
        <w:tab w:val="clear" w:pos="1191"/>
        <w:tab w:val="clear" w:pos="1588"/>
        <w:tab w:val="clear" w:pos="1985"/>
        <w:tab w:val="left" w:pos="567"/>
        <w:tab w:val="left" w:pos="1134"/>
        <w:tab w:val="left" w:pos="1701"/>
        <w:tab w:val="left" w:pos="2268"/>
        <w:tab w:val="left" w:pos="2835"/>
      </w:tabs>
      <w:spacing w:before="80" w:line="240" w:lineRule="auto"/>
    </w:pPr>
    <w:rPr>
      <w:rFonts w:cs="Times New Roman"/>
      <w:szCs w:val="20"/>
    </w:rPr>
  </w:style>
  <w:style w:type="paragraph" w:styleId="TOC9">
    <w:name w:val="toc 9"/>
    <w:basedOn w:val="Normal"/>
    <w:next w:val="Normal"/>
    <w:rsid w:val="00732045"/>
    <w:pPr>
      <w:tabs>
        <w:tab w:val="clear" w:pos="794"/>
        <w:tab w:val="clear" w:pos="1191"/>
        <w:tab w:val="clear" w:pos="1588"/>
        <w:tab w:val="clear" w:pos="1985"/>
        <w:tab w:val="right" w:leader="dot" w:pos="9645"/>
      </w:tabs>
      <w:spacing w:before="120" w:line="240" w:lineRule="auto"/>
      <w:ind w:left="1920"/>
    </w:pPr>
    <w:rPr>
      <w:rFonts w:cs="Times New Roman"/>
      <w:szCs w:val="20"/>
    </w:rPr>
  </w:style>
  <w:style w:type="paragraph" w:customStyle="1" w:styleId="ddate">
    <w:name w:val="ddate"/>
    <w:basedOn w:val="Normal"/>
    <w:rsid w:val="005C3890"/>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0" w:line="240" w:lineRule="auto"/>
    </w:pPr>
    <w:rPr>
      <w:rFonts w:cs="Times New Roman"/>
      <w:b/>
      <w:bCs/>
      <w:szCs w:val="20"/>
    </w:rPr>
  </w:style>
  <w:style w:type="paragraph" w:customStyle="1" w:styleId="dorlang">
    <w:name w:val="dorlang"/>
    <w:basedOn w:val="Normal"/>
    <w:rsid w:val="005C3890"/>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0" w:line="240" w:lineRule="auto"/>
    </w:pPr>
    <w:rPr>
      <w:rFonts w:cs="Times New Roman"/>
      <w:b/>
      <w:bCs/>
      <w:szCs w:val="20"/>
    </w:rPr>
  </w:style>
  <w:style w:type="character" w:styleId="Hyperlink">
    <w:name w:val="Hyperlink"/>
    <w:basedOn w:val="DefaultParagraphFont"/>
    <w:uiPriority w:val="99"/>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tabs>
        <w:tab w:val="clear" w:pos="794"/>
        <w:tab w:val="clear" w:pos="1191"/>
        <w:tab w:val="clear" w:pos="1588"/>
        <w:tab w:val="clear" w:pos="1985"/>
        <w:tab w:val="left" w:pos="567"/>
        <w:tab w:val="left" w:pos="1134"/>
        <w:tab w:val="left" w:pos="1701"/>
        <w:tab w:val="left" w:pos="2268"/>
        <w:tab w:val="left" w:pos="2835"/>
      </w:tabs>
      <w:spacing w:before="720" w:line="240" w:lineRule="auto"/>
      <w:jc w:val="center"/>
    </w:pPr>
    <w:rPr>
      <w:rFonts w:cs="Times New Roman"/>
      <w:caps/>
      <w:sz w:val="28"/>
      <w:szCs w:val="20"/>
    </w:rPr>
  </w:style>
  <w:style w:type="paragraph" w:customStyle="1" w:styleId="Annexref">
    <w:name w:val="Annex_ref"/>
    <w:basedOn w:val="Normal"/>
    <w:next w:val="Annextitle"/>
    <w:rsid w:val="00732045"/>
    <w:pPr>
      <w:tabs>
        <w:tab w:val="clear" w:pos="794"/>
        <w:tab w:val="clear" w:pos="1191"/>
        <w:tab w:val="clear" w:pos="1588"/>
        <w:tab w:val="clear" w:pos="1985"/>
        <w:tab w:val="left" w:pos="567"/>
        <w:tab w:val="left" w:pos="1134"/>
        <w:tab w:val="left" w:pos="1701"/>
        <w:tab w:val="left" w:pos="2268"/>
        <w:tab w:val="left" w:pos="2835"/>
      </w:tabs>
      <w:spacing w:before="120" w:line="240" w:lineRule="auto"/>
      <w:jc w:val="center"/>
    </w:pPr>
    <w:rPr>
      <w:rFonts w:cs="Times New Roman"/>
      <w:sz w:val="28"/>
      <w:szCs w:val="20"/>
    </w:rPr>
  </w:style>
  <w:style w:type="paragraph" w:customStyle="1" w:styleId="Annextitle">
    <w:name w:val="Annex_title"/>
    <w:basedOn w:val="Normal"/>
    <w:next w:val="Normal"/>
    <w:rsid w:val="00732045"/>
    <w:pPr>
      <w:tabs>
        <w:tab w:val="clear" w:pos="794"/>
        <w:tab w:val="clear" w:pos="1191"/>
        <w:tab w:val="clear" w:pos="1588"/>
        <w:tab w:val="clear" w:pos="1985"/>
        <w:tab w:val="left" w:pos="567"/>
        <w:tab w:val="left" w:pos="1134"/>
        <w:tab w:val="left" w:pos="1701"/>
        <w:tab w:val="left" w:pos="2268"/>
        <w:tab w:val="left" w:pos="2835"/>
      </w:tabs>
      <w:spacing w:before="240" w:after="240" w:line="240" w:lineRule="auto"/>
      <w:jc w:val="center"/>
    </w:pPr>
    <w:rPr>
      <w:rFonts w:cs="Times New Roman"/>
      <w:b/>
      <w:sz w:val="28"/>
      <w:szCs w:val="20"/>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794"/>
        <w:tab w:val="clear" w:pos="1191"/>
        <w:tab w:val="clear" w:pos="1588"/>
        <w:tab w:val="clear" w:pos="1985"/>
      </w:tabs>
      <w:spacing w:before="480" w:line="240" w:lineRule="auto"/>
      <w:jc w:val="center"/>
    </w:pPr>
    <w:rPr>
      <w:rFonts w:cs="Times New Roman"/>
      <w:b/>
      <w:szCs w:val="20"/>
    </w:rPr>
  </w:style>
  <w:style w:type="paragraph" w:customStyle="1" w:styleId="ArtNo">
    <w:name w:val="Art_No"/>
    <w:basedOn w:val="Normal"/>
    <w:next w:val="Arttitle"/>
    <w:rsid w:val="00732045"/>
    <w:pPr>
      <w:tabs>
        <w:tab w:val="clear" w:pos="794"/>
        <w:tab w:val="clear" w:pos="1191"/>
        <w:tab w:val="clear" w:pos="1588"/>
        <w:tab w:val="clear" w:pos="1985"/>
      </w:tabs>
      <w:spacing w:before="600" w:line="240" w:lineRule="auto"/>
      <w:jc w:val="center"/>
    </w:pPr>
    <w:rPr>
      <w:rFonts w:cs="Times New Roman"/>
      <w:caps/>
      <w:sz w:val="28"/>
      <w:szCs w:val="20"/>
    </w:rPr>
  </w:style>
  <w:style w:type="paragraph" w:customStyle="1" w:styleId="Arttitle">
    <w:name w:val="Art_title"/>
    <w:basedOn w:val="Normal"/>
    <w:next w:val="Normal"/>
    <w:rsid w:val="00732045"/>
    <w:pPr>
      <w:tabs>
        <w:tab w:val="clear" w:pos="794"/>
        <w:tab w:val="clear" w:pos="1191"/>
        <w:tab w:val="clear" w:pos="1588"/>
        <w:tab w:val="clear" w:pos="1985"/>
      </w:tabs>
      <w:spacing w:before="240" w:after="240" w:line="240" w:lineRule="auto"/>
      <w:jc w:val="center"/>
    </w:pPr>
    <w:rPr>
      <w:rFonts w:cs="Times New Roman"/>
      <w:b/>
      <w:sz w:val="28"/>
      <w:szCs w:val="20"/>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tabs>
        <w:tab w:val="clear" w:pos="794"/>
        <w:tab w:val="clear" w:pos="1191"/>
        <w:tab w:val="clear" w:pos="1588"/>
        <w:tab w:val="clear" w:pos="1985"/>
        <w:tab w:val="left" w:pos="567"/>
        <w:tab w:val="left" w:pos="1134"/>
        <w:tab w:val="left" w:pos="1701"/>
        <w:tab w:val="left" w:pos="2268"/>
        <w:tab w:val="left" w:pos="2835"/>
      </w:tabs>
      <w:spacing w:before="120" w:after="120" w:line="240" w:lineRule="auto"/>
      <w:jc w:val="center"/>
    </w:pPr>
    <w:rPr>
      <w:rFonts w:cs="Times New Roman"/>
      <w:szCs w:val="20"/>
    </w:rPr>
  </w:style>
  <w:style w:type="paragraph" w:customStyle="1" w:styleId="Figurelegend">
    <w:name w:val="Figure_legend"/>
    <w:basedOn w:val="Normal"/>
    <w:rsid w:val="005C3890"/>
    <w:pPr>
      <w:keepNext/>
      <w:keepLines/>
      <w:tabs>
        <w:tab w:val="clear" w:pos="794"/>
        <w:tab w:val="clear" w:pos="1191"/>
        <w:tab w:val="clear" w:pos="1588"/>
        <w:tab w:val="clear" w:pos="1985"/>
        <w:tab w:val="left" w:pos="567"/>
        <w:tab w:val="left" w:pos="1134"/>
        <w:tab w:val="left" w:pos="1701"/>
        <w:tab w:val="left" w:pos="2268"/>
        <w:tab w:val="left" w:pos="2835"/>
      </w:tabs>
      <w:spacing w:before="20" w:after="20" w:line="240" w:lineRule="auto"/>
    </w:pPr>
    <w:rPr>
      <w:rFonts w:cs="Times New Roman"/>
      <w:sz w:val="18"/>
      <w:szCs w:val="20"/>
    </w:rPr>
  </w:style>
  <w:style w:type="paragraph" w:customStyle="1" w:styleId="TableNo">
    <w:name w:val="Table_No"/>
    <w:basedOn w:val="Normal"/>
    <w:next w:val="Tabletitle"/>
    <w:rsid w:val="00732045"/>
    <w:pPr>
      <w:keepNext/>
      <w:tabs>
        <w:tab w:val="clear" w:pos="794"/>
        <w:tab w:val="clear" w:pos="1191"/>
        <w:tab w:val="clear" w:pos="1588"/>
        <w:tab w:val="clear" w:pos="1985"/>
        <w:tab w:val="left" w:pos="567"/>
        <w:tab w:val="left" w:pos="1134"/>
        <w:tab w:val="left" w:pos="1701"/>
        <w:tab w:val="left" w:pos="2268"/>
        <w:tab w:val="left" w:pos="2835"/>
      </w:tabs>
      <w:spacing w:before="560" w:after="120" w:line="240" w:lineRule="auto"/>
      <w:jc w:val="center"/>
    </w:pPr>
    <w:rPr>
      <w:rFonts w:cs="Times New Roman"/>
      <w:caps/>
      <w:szCs w:val="20"/>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tabs>
        <w:tab w:val="clear" w:pos="794"/>
        <w:tab w:val="clear" w:pos="1191"/>
        <w:tab w:val="clear" w:pos="1588"/>
        <w:tab w:val="clear" w:pos="1985"/>
        <w:tab w:val="left" w:pos="567"/>
        <w:tab w:val="left" w:pos="1134"/>
        <w:tab w:val="left" w:pos="1701"/>
        <w:tab w:val="left" w:pos="2268"/>
        <w:tab w:val="left" w:pos="2835"/>
      </w:tabs>
      <w:spacing w:before="720" w:line="240" w:lineRule="auto"/>
      <w:jc w:val="center"/>
    </w:pPr>
    <w:rPr>
      <w:rFonts w:cs="Times New Roman"/>
      <w:caps/>
      <w:sz w:val="28"/>
      <w:szCs w:val="20"/>
    </w:rPr>
  </w:style>
  <w:style w:type="paragraph" w:customStyle="1" w:styleId="Rectitle">
    <w:name w:val="Rec_title"/>
    <w:basedOn w:val="Normal"/>
    <w:next w:val="Heading1"/>
    <w:rsid w:val="00732045"/>
    <w:pPr>
      <w:tabs>
        <w:tab w:val="clear" w:pos="794"/>
        <w:tab w:val="clear" w:pos="1191"/>
        <w:tab w:val="clear" w:pos="1588"/>
        <w:tab w:val="clear" w:pos="1985"/>
        <w:tab w:val="left" w:pos="567"/>
        <w:tab w:val="left" w:pos="1134"/>
        <w:tab w:val="left" w:pos="1701"/>
        <w:tab w:val="left" w:pos="2268"/>
        <w:tab w:val="left" w:pos="2835"/>
      </w:tabs>
      <w:spacing w:before="240" w:line="240" w:lineRule="auto"/>
      <w:jc w:val="center"/>
    </w:pPr>
    <w:rPr>
      <w:rFonts w:cs="Times New Roman"/>
      <w:b/>
      <w:sz w:val="28"/>
      <w:szCs w:val="20"/>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567" w:hanging="567"/>
    </w:pPr>
    <w:rPr>
      <w:rFonts w:cs="Times New Roman"/>
      <w:szCs w:val="20"/>
    </w:rPr>
  </w:style>
  <w:style w:type="paragraph" w:customStyle="1" w:styleId="Reftitle">
    <w:name w:val="Ref_title"/>
    <w:basedOn w:val="Normal"/>
    <w:next w:val="Reftext"/>
    <w:rsid w:val="00732045"/>
    <w:pPr>
      <w:tabs>
        <w:tab w:val="clear" w:pos="794"/>
        <w:tab w:val="clear" w:pos="1191"/>
        <w:tab w:val="clear" w:pos="1588"/>
        <w:tab w:val="clear" w:pos="1985"/>
        <w:tab w:val="left" w:pos="567"/>
        <w:tab w:val="left" w:pos="1134"/>
        <w:tab w:val="left" w:pos="1701"/>
        <w:tab w:val="left" w:pos="2268"/>
        <w:tab w:val="left" w:pos="2835"/>
      </w:tabs>
      <w:spacing w:before="480" w:line="240" w:lineRule="auto"/>
      <w:jc w:val="center"/>
    </w:pPr>
    <w:rPr>
      <w:rFonts w:cs="Times New Roman"/>
      <w:caps/>
      <w:sz w:val="28"/>
      <w:szCs w:val="20"/>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pPr>
    <w:rPr>
      <w:rFonts w:cs="Times New Roman"/>
      <w:sz w:val="28"/>
      <w:szCs w:val="20"/>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794"/>
        <w:tab w:val="clear" w:pos="1191"/>
        <w:tab w:val="clear" w:pos="1588"/>
        <w:tab w:val="clear" w:pos="1985"/>
      </w:tabs>
      <w:spacing w:before="60" w:after="60" w:line="240" w:lineRule="auto"/>
    </w:pPr>
    <w:rPr>
      <w:rFonts w:cs="Times New Roman"/>
      <w:szCs w:val="20"/>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tabs>
        <w:tab w:val="clear" w:pos="794"/>
        <w:tab w:val="clear" w:pos="1191"/>
        <w:tab w:val="clear" w:pos="1588"/>
        <w:tab w:val="clear" w:pos="1985"/>
        <w:tab w:val="left" w:pos="567"/>
        <w:tab w:val="left" w:pos="1134"/>
        <w:tab w:val="left" w:pos="1701"/>
        <w:tab w:val="left" w:pos="2268"/>
        <w:tab w:val="left" w:pos="2835"/>
      </w:tabs>
      <w:spacing w:before="567" w:line="240" w:lineRule="auto"/>
      <w:jc w:val="center"/>
    </w:pPr>
    <w:rPr>
      <w:rFonts w:cs="Times New Roman"/>
      <w:szCs w:val="20"/>
    </w:r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tabs>
        <w:tab w:val="clear" w:pos="794"/>
        <w:tab w:val="clear" w:pos="1191"/>
        <w:tab w:val="clear" w:pos="1588"/>
        <w:tab w:val="clear" w:pos="1985"/>
        <w:tab w:val="left" w:pos="567"/>
        <w:tab w:val="left" w:pos="1134"/>
        <w:tab w:val="left" w:pos="1701"/>
        <w:tab w:val="left" w:pos="2268"/>
        <w:tab w:val="left" w:pos="2835"/>
      </w:tabs>
      <w:spacing w:before="240" w:after="120" w:line="240" w:lineRule="auto"/>
      <w:jc w:val="center"/>
    </w:pPr>
    <w:rPr>
      <w:rFonts w:cs="Times New Roman"/>
      <w:caps/>
      <w:szCs w:val="20"/>
    </w:rPr>
  </w:style>
  <w:style w:type="paragraph" w:customStyle="1" w:styleId="firstfooter0">
    <w:name w:val="firstfooter"/>
    <w:basedOn w:val="Normal"/>
    <w:rsid w:val="00732045"/>
    <w:pPr>
      <w:tabs>
        <w:tab w:val="clear" w:pos="794"/>
        <w:tab w:val="clear" w:pos="1191"/>
        <w:tab w:val="clear" w:pos="1588"/>
        <w:tab w:val="clear" w:pos="1985"/>
      </w:tabs>
      <w:overflowPunct/>
      <w:autoSpaceDE/>
      <w:autoSpaceDN/>
      <w:adjustRightInd/>
      <w:spacing w:before="100" w:beforeAutospacing="1" w:after="100" w:afterAutospacing="1" w:line="240" w:lineRule="auto"/>
      <w:textAlignment w:val="auto"/>
    </w:pPr>
    <w:rPr>
      <w:rFonts w:eastAsia="SimSun" w:cs="Times New Roman"/>
      <w:szCs w:val="24"/>
      <w:lang w:val="en-US" w:eastAsia="zh-CN"/>
    </w:rPr>
  </w:style>
  <w:style w:type="paragraph" w:customStyle="1" w:styleId="Table">
    <w:name w:val="Table_#"/>
    <w:basedOn w:val="Normal"/>
    <w:next w:val="Normal"/>
    <w:rsid w:val="00520F36"/>
    <w:pPr>
      <w:keepNext/>
      <w:overflowPunct/>
      <w:autoSpaceDE/>
      <w:autoSpaceDN/>
      <w:adjustRightInd/>
      <w:spacing w:before="560" w:after="120" w:line="240" w:lineRule="auto"/>
      <w:jc w:val="center"/>
      <w:textAlignment w:val="auto"/>
    </w:pPr>
    <w:rPr>
      <w:rFonts w:ascii="Times New Roman" w:hAnsi="Times New Roman" w:cs="Times New Roman"/>
      <w:caps/>
      <w:szCs w:val="20"/>
      <w:lang w:val="en-GB"/>
    </w:rPr>
  </w:style>
  <w:style w:type="paragraph" w:customStyle="1" w:styleId="AnnexNoTitle">
    <w:name w:val="Annex_NoTitle"/>
    <w:basedOn w:val="Normal"/>
    <w:next w:val="Normal"/>
    <w:rsid w:val="00ED4F28"/>
    <w:pPr>
      <w:keepNext/>
      <w:keepLines/>
      <w:spacing w:before="720" w:after="120"/>
      <w:jc w:val="center"/>
    </w:pPr>
    <w:rPr>
      <w:b/>
    </w:rPr>
  </w:style>
  <w:style w:type="table" w:styleId="TableGrid">
    <w:name w:val="Table Grid"/>
    <w:basedOn w:val="TableNormal"/>
    <w:uiPriority w:val="39"/>
    <w:rsid w:val="00ED4F28"/>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60B40"/>
    <w:rPr>
      <w:color w:val="605E5C"/>
      <w:shd w:val="clear" w:color="auto" w:fill="E1DFDD"/>
    </w:rPr>
  </w:style>
  <w:style w:type="character" w:styleId="CommentReference">
    <w:name w:val="annotation reference"/>
    <w:basedOn w:val="DefaultParagraphFont"/>
    <w:semiHidden/>
    <w:unhideWhenUsed/>
    <w:rsid w:val="00876243"/>
    <w:rPr>
      <w:sz w:val="16"/>
      <w:szCs w:val="16"/>
    </w:rPr>
  </w:style>
  <w:style w:type="paragraph" w:styleId="CommentText">
    <w:name w:val="annotation text"/>
    <w:basedOn w:val="Normal"/>
    <w:link w:val="CommentTextChar"/>
    <w:semiHidden/>
    <w:unhideWhenUsed/>
    <w:rsid w:val="00876243"/>
    <w:pPr>
      <w:spacing w:line="240" w:lineRule="auto"/>
    </w:pPr>
    <w:rPr>
      <w:sz w:val="20"/>
      <w:szCs w:val="20"/>
    </w:rPr>
  </w:style>
  <w:style w:type="character" w:customStyle="1" w:styleId="CommentTextChar">
    <w:name w:val="Comment Text Char"/>
    <w:basedOn w:val="DefaultParagraphFont"/>
    <w:link w:val="CommentText"/>
    <w:semiHidden/>
    <w:rsid w:val="00876243"/>
    <w:rPr>
      <w:rFonts w:ascii="Calibri" w:hAnsi="Calibri" w:cs="Calibri"/>
      <w:lang w:val="fr-FR" w:eastAsia="en-US"/>
    </w:rPr>
  </w:style>
  <w:style w:type="paragraph" w:styleId="CommentSubject">
    <w:name w:val="annotation subject"/>
    <w:basedOn w:val="CommentText"/>
    <w:next w:val="CommentText"/>
    <w:link w:val="CommentSubjectChar"/>
    <w:semiHidden/>
    <w:unhideWhenUsed/>
    <w:rsid w:val="00876243"/>
    <w:rPr>
      <w:b/>
      <w:bCs/>
    </w:rPr>
  </w:style>
  <w:style w:type="character" w:customStyle="1" w:styleId="CommentSubjectChar">
    <w:name w:val="Comment Subject Char"/>
    <w:basedOn w:val="CommentTextChar"/>
    <w:link w:val="CommentSubject"/>
    <w:semiHidden/>
    <w:rsid w:val="00876243"/>
    <w:rPr>
      <w:rFonts w:ascii="Calibri" w:hAnsi="Calibri" w:cs="Calibri"/>
      <w:b/>
      <w:bCs/>
      <w:lang w:val="fr-FR" w:eastAsia="en-US"/>
    </w:rPr>
  </w:style>
  <w:style w:type="paragraph" w:styleId="Revision">
    <w:name w:val="Revision"/>
    <w:hidden/>
    <w:uiPriority w:val="99"/>
    <w:semiHidden/>
    <w:rsid w:val="00876243"/>
    <w:rPr>
      <w:rFonts w:ascii="Calibri" w:hAnsi="Calibri" w:cs="Calibri"/>
      <w:sz w:val="24"/>
      <w:szCs w:val="22"/>
      <w:lang w:val="fr-FR" w:eastAsia="en-US"/>
    </w:rPr>
  </w:style>
  <w:style w:type="paragraph" w:styleId="BalloonText">
    <w:name w:val="Balloon Text"/>
    <w:basedOn w:val="Normal"/>
    <w:link w:val="BalloonTextChar"/>
    <w:semiHidden/>
    <w:unhideWhenUsed/>
    <w:rsid w:val="00876243"/>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876243"/>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0-CL-C-0048/en" TargetMode="External"/><Relationship Id="rId18" Type="http://schemas.openxmlformats.org/officeDocument/2006/relationships/hyperlink" Target="https://www.itu.int/md/S20-CL-C-0008/en" TargetMode="External"/><Relationship Id="rId26" Type="http://schemas.openxmlformats.org/officeDocument/2006/relationships/hyperlink" Target="https://www.itu.int/md/S20-CL-C-0078/en" TargetMode="External"/><Relationship Id="rId39" Type="http://schemas.openxmlformats.org/officeDocument/2006/relationships/hyperlink" Target="https://www.itu.int/md/S20-CL-C-0067/en" TargetMode="External"/><Relationship Id="rId21" Type="http://schemas.openxmlformats.org/officeDocument/2006/relationships/hyperlink" Target="https://www.itu.int/md/S20-CL-C-0057/en" TargetMode="External"/><Relationship Id="rId34" Type="http://schemas.openxmlformats.org/officeDocument/2006/relationships/hyperlink" Target="https://www.itu.int/md/S20-CL-C-0029/en" TargetMode="External"/><Relationship Id="rId42" Type="http://schemas.openxmlformats.org/officeDocument/2006/relationships/hyperlink" Target="https://www.itu.int/md/S20-CL-C-0051/en"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itu.int/md/S20-CL-INF-0021/en" TargetMode="External"/><Relationship Id="rId29" Type="http://schemas.openxmlformats.org/officeDocument/2006/relationships/hyperlink" Target="https://www.itu.int/md/S20-CL-C-0007/en" TargetMode="External"/><Relationship Id="rId11" Type="http://schemas.openxmlformats.org/officeDocument/2006/relationships/hyperlink" Target="https://www.itu.int/md/S20-CLVC-C-0008/en" TargetMode="External"/><Relationship Id="rId24" Type="http://schemas.openxmlformats.org/officeDocument/2006/relationships/hyperlink" Target="https://www.itu.int/md/S20-CL-C-0023/en" TargetMode="External"/><Relationship Id="rId32" Type="http://schemas.openxmlformats.org/officeDocument/2006/relationships/hyperlink" Target="https://www.itu.int/md/S20-CL-INF-0020/en" TargetMode="External"/><Relationship Id="rId37" Type="http://schemas.openxmlformats.org/officeDocument/2006/relationships/hyperlink" Target="https://www.itu.int/md/S20-CL-C-0051/en" TargetMode="External"/><Relationship Id="rId40" Type="http://schemas.openxmlformats.org/officeDocument/2006/relationships/hyperlink" Target="https://www.itu.int/md/S20-CL-C-0008/en" TargetMode="External"/><Relationship Id="rId45"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itu.int/md/S20-CL-INF-0020/en" TargetMode="External"/><Relationship Id="rId23" Type="http://schemas.openxmlformats.org/officeDocument/2006/relationships/hyperlink" Target="https://www.itu.int/md/S20-CLVC2-201116-TD-0001/en" TargetMode="External"/><Relationship Id="rId28" Type="http://schemas.openxmlformats.org/officeDocument/2006/relationships/hyperlink" Target="https://www.itu.int/md/S20-CL-C-0049/en" TargetMode="External"/><Relationship Id="rId36" Type="http://schemas.openxmlformats.org/officeDocument/2006/relationships/hyperlink" Target="https://www.itu.int/md/S20-CL-C-0012/en" TargetMode="External"/><Relationship Id="rId49" Type="http://schemas.openxmlformats.org/officeDocument/2006/relationships/fontTable" Target="fontTable.xml"/><Relationship Id="rId10" Type="http://schemas.openxmlformats.org/officeDocument/2006/relationships/hyperlink" Target="https://www.itu.int/md/S20-CL-C-0078/en" TargetMode="External"/><Relationship Id="rId19" Type="http://schemas.openxmlformats.org/officeDocument/2006/relationships/hyperlink" Target="https://www.itu.int/md/S20-CL-C-0012/en" TargetMode="External"/><Relationship Id="rId31" Type="http://schemas.openxmlformats.org/officeDocument/2006/relationships/hyperlink" Target="https://www.itu.int/md/S20-CL-C-0077/en"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md/S20-CL-C-0060/en" TargetMode="External"/><Relationship Id="rId14" Type="http://schemas.openxmlformats.org/officeDocument/2006/relationships/hyperlink" Target="https://www.itu.int/md/S20-CL-C-0077/en" TargetMode="External"/><Relationship Id="rId22" Type="http://schemas.openxmlformats.org/officeDocument/2006/relationships/hyperlink" Target="https://www.itu.int/md/S20-CL-C-0067/en" TargetMode="External"/><Relationship Id="rId27" Type="http://schemas.openxmlformats.org/officeDocument/2006/relationships/hyperlink" Target="https://www.itu.int/md/S20-CLVC-C-0008/en" TargetMode="External"/><Relationship Id="rId30" Type="http://schemas.openxmlformats.org/officeDocument/2006/relationships/hyperlink" Target="https://www.itu.int/md/S20-CL-C-0048/en" TargetMode="External"/><Relationship Id="rId35" Type="http://schemas.openxmlformats.org/officeDocument/2006/relationships/hyperlink" Target="https://www.itu.int/md/S20-CL-C-0008/en" TargetMode="External"/><Relationship Id="rId43" Type="http://schemas.openxmlformats.org/officeDocument/2006/relationships/hyperlink" Target="https://www.itu.int/md/S20-CL-C-0057/en" TargetMode="External"/><Relationship Id="rId48" Type="http://schemas.openxmlformats.org/officeDocument/2006/relationships/footer" Target="footer3.xml"/><Relationship Id="rId8" Type="http://schemas.openxmlformats.org/officeDocument/2006/relationships/hyperlink" Target="https://www.itu.int/md/S20-CLVC2-201116-TD-0001/en" TargetMode="External"/><Relationship Id="rId3" Type="http://schemas.openxmlformats.org/officeDocument/2006/relationships/settings" Target="settings.xml"/><Relationship Id="rId12" Type="http://schemas.openxmlformats.org/officeDocument/2006/relationships/hyperlink" Target="https://www.itu.int/md/S20-CL-C-0049/en" TargetMode="External"/><Relationship Id="rId17" Type="http://schemas.openxmlformats.org/officeDocument/2006/relationships/hyperlink" Target="https://www.itu.int/md/S20-CL-C-0029/en" TargetMode="External"/><Relationship Id="rId25" Type="http://schemas.openxmlformats.org/officeDocument/2006/relationships/hyperlink" Target="https://www.itu.int/md/S20-CL-C-0060/en" TargetMode="External"/><Relationship Id="rId33" Type="http://schemas.openxmlformats.org/officeDocument/2006/relationships/hyperlink" Target="https://www.itu.int/md/S20-CL-INF-0021/en" TargetMode="External"/><Relationship Id="rId38" Type="http://schemas.openxmlformats.org/officeDocument/2006/relationships/hyperlink" Target="https://www.itu.int/md/S20-CL-C-0057/en" TargetMode="External"/><Relationship Id="rId46" Type="http://schemas.openxmlformats.org/officeDocument/2006/relationships/footer" Target="footer1.xml"/><Relationship Id="rId20" Type="http://schemas.openxmlformats.org/officeDocument/2006/relationships/hyperlink" Target="https://www.itu.int/md/S20-CL-C-0051/en" TargetMode="External"/><Relationship Id="rId41" Type="http://schemas.openxmlformats.org/officeDocument/2006/relationships/hyperlink" Target="https://www.itu.int/md/S20-CL-C-0012/en" TargetMode="External"/><Relationship Id="rId1" Type="http://schemas.openxmlformats.org/officeDocument/2006/relationships/customXml" Target="../customXml/item1.xml"/><Relationship Id="rId6" Type="http://schemas.openxmlformats.org/officeDocument/2006/relationships/endnotes" Target="endnotes.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B7EE6-966E-4783-A7C9-C08234C47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PF_C20.dotx</Template>
  <TotalTime>1</TotalTime>
  <Pages>9</Pages>
  <Words>4659</Words>
  <Characters>27674</Characters>
  <Application>Microsoft Office Word</Application>
  <DocSecurity>4</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32269</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VC 2020</dc:subject>
  <dc:creator>French</dc:creator>
  <cp:keywords>VC</cp:keywords>
  <dc:description/>
  <cp:lastModifiedBy>Janin, Patricia</cp:lastModifiedBy>
  <cp:revision>2</cp:revision>
  <cp:lastPrinted>2020-12-22T21:38:00Z</cp:lastPrinted>
  <dcterms:created xsi:type="dcterms:W3CDTF">2021-01-14T10:13:00Z</dcterms:created>
  <dcterms:modified xsi:type="dcterms:W3CDTF">2021-01-14T10:13:00Z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