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539"/>
        <w:tblW w:w="9639" w:type="dxa"/>
        <w:tblLayout w:type="fixed"/>
        <w:tblLook w:val="0000" w:firstRow="0" w:lastRow="0" w:firstColumn="0" w:lastColumn="0" w:noHBand="0" w:noVBand="0"/>
      </w:tblPr>
      <w:tblGrid>
        <w:gridCol w:w="6911"/>
        <w:gridCol w:w="2728"/>
      </w:tblGrid>
      <w:tr w:rsidR="0008180A" w:rsidRPr="00AF55B1" w14:paraId="123DF6BF" w14:textId="77777777" w:rsidTr="009E0BEE">
        <w:trPr>
          <w:cantSplit/>
          <w:trHeight w:val="1276"/>
        </w:trPr>
        <w:tc>
          <w:tcPr>
            <w:tcW w:w="6911" w:type="dxa"/>
          </w:tcPr>
          <w:p w14:paraId="5F850CCA" w14:textId="5A58E463" w:rsidR="0008180A" w:rsidRPr="00AF55B1" w:rsidRDefault="0008180A" w:rsidP="009E0BEE">
            <w:pPr>
              <w:spacing w:before="360" w:after="48" w:line="240" w:lineRule="atLeast"/>
              <w:rPr>
                <w:b/>
                <w:bCs/>
                <w:position w:val="6"/>
                <w:sz w:val="26"/>
                <w:szCs w:val="26"/>
                <w:lang w:val="ru-RU"/>
              </w:rPr>
            </w:pPr>
            <w:r w:rsidRPr="00AF55B1">
              <w:rPr>
                <w:b/>
                <w:bCs/>
                <w:position w:val="6"/>
                <w:sz w:val="26"/>
                <w:szCs w:val="26"/>
                <w:lang w:val="ru-RU"/>
              </w:rPr>
              <w:t>Виртуальные консультации Советников</w:t>
            </w:r>
            <w:r w:rsidRPr="00AF55B1">
              <w:rPr>
                <w:b/>
                <w:bCs/>
                <w:position w:val="6"/>
                <w:sz w:val="26"/>
                <w:szCs w:val="26"/>
                <w:lang w:val="ru-RU"/>
              </w:rPr>
              <w:br/>
              <w:t xml:space="preserve">с </w:t>
            </w:r>
            <w:r w:rsidR="00875E97" w:rsidRPr="00AF55B1">
              <w:rPr>
                <w:b/>
                <w:bCs/>
                <w:position w:val="6"/>
                <w:sz w:val="26"/>
                <w:szCs w:val="26"/>
                <w:lang w:val="ru-RU"/>
              </w:rPr>
              <w:t>16 ноября</w:t>
            </w:r>
            <w:r w:rsidRPr="00AF55B1">
              <w:rPr>
                <w:b/>
                <w:bCs/>
                <w:position w:val="6"/>
                <w:sz w:val="26"/>
                <w:szCs w:val="26"/>
                <w:lang w:val="ru-RU"/>
              </w:rPr>
              <w:t xml:space="preserve"> 2020 года</w:t>
            </w:r>
          </w:p>
        </w:tc>
        <w:tc>
          <w:tcPr>
            <w:tcW w:w="2728" w:type="dxa"/>
            <w:vAlign w:val="center"/>
          </w:tcPr>
          <w:p w14:paraId="0E4899B9" w14:textId="77777777" w:rsidR="0008180A" w:rsidRPr="00AF55B1" w:rsidRDefault="0008180A" w:rsidP="009E0BEE">
            <w:pPr>
              <w:spacing w:before="0" w:line="240" w:lineRule="atLeast"/>
              <w:rPr>
                <w:lang w:val="ru-RU"/>
              </w:rPr>
            </w:pPr>
            <w:r w:rsidRPr="00AF55B1">
              <w:rPr>
                <w:noProof/>
                <w:lang w:val="ru-RU" w:eastAsia="ru-RU"/>
              </w:rPr>
              <w:drawing>
                <wp:inline distT="0" distB="0" distL="0" distR="0" wp14:anchorId="526F763D" wp14:editId="1917E1B2">
                  <wp:extent cx="6824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180A" w:rsidRPr="00AF55B1" w14:paraId="586B3E7D" w14:textId="77777777" w:rsidTr="009E0BE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E2FBB20" w14:textId="77777777" w:rsidR="0008180A" w:rsidRPr="00AF55B1" w:rsidRDefault="0008180A" w:rsidP="009E0BEE">
            <w:pPr>
              <w:spacing w:before="0" w:after="48" w:line="240" w:lineRule="atLeast"/>
              <w:rPr>
                <w:b/>
                <w:smallCaps/>
                <w:szCs w:val="24"/>
                <w:lang w:val="ru-RU"/>
              </w:rPr>
            </w:pPr>
          </w:p>
        </w:tc>
        <w:tc>
          <w:tcPr>
            <w:tcW w:w="2728" w:type="dxa"/>
            <w:tcBorders>
              <w:bottom w:val="single" w:sz="12" w:space="0" w:color="auto"/>
            </w:tcBorders>
          </w:tcPr>
          <w:p w14:paraId="382AAE3D" w14:textId="77777777" w:rsidR="0008180A" w:rsidRPr="00AF55B1" w:rsidRDefault="0008180A" w:rsidP="009E0BEE">
            <w:pPr>
              <w:spacing w:before="0" w:line="240" w:lineRule="atLeast"/>
              <w:rPr>
                <w:szCs w:val="24"/>
                <w:lang w:val="ru-RU"/>
              </w:rPr>
            </w:pPr>
          </w:p>
        </w:tc>
      </w:tr>
      <w:tr w:rsidR="0008180A" w:rsidRPr="00AF55B1" w14:paraId="7AA11BFC" w14:textId="77777777" w:rsidTr="00AF55B1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5492391" w14:textId="77777777" w:rsidR="0008180A" w:rsidRPr="00AF55B1" w:rsidRDefault="0008180A" w:rsidP="009E0BEE">
            <w:pPr>
              <w:spacing w:before="0" w:after="48" w:line="240" w:lineRule="atLeast"/>
              <w:rPr>
                <w:b/>
                <w:smallCaps/>
                <w:szCs w:val="24"/>
                <w:lang w:val="ru-RU"/>
              </w:rPr>
            </w:pPr>
          </w:p>
        </w:tc>
        <w:tc>
          <w:tcPr>
            <w:tcW w:w="2728" w:type="dxa"/>
            <w:tcBorders>
              <w:top w:val="single" w:sz="12" w:space="0" w:color="auto"/>
            </w:tcBorders>
          </w:tcPr>
          <w:p w14:paraId="01E64992" w14:textId="55CF90A0" w:rsidR="0008180A" w:rsidRPr="00AF55B1" w:rsidRDefault="0008180A" w:rsidP="009A37CE">
            <w:pPr>
              <w:spacing w:line="240" w:lineRule="atLeast"/>
              <w:rPr>
                <w:szCs w:val="24"/>
                <w:lang w:val="ru-RU"/>
              </w:rPr>
            </w:pPr>
            <w:r w:rsidRPr="00AF55B1">
              <w:rPr>
                <w:b/>
                <w:bCs/>
                <w:szCs w:val="22"/>
                <w:lang w:val="ru-RU"/>
              </w:rPr>
              <w:t>Документ VC</w:t>
            </w:r>
            <w:r w:rsidR="00875E97" w:rsidRPr="00AF55B1">
              <w:rPr>
                <w:b/>
                <w:bCs/>
                <w:szCs w:val="22"/>
                <w:lang w:val="ru-RU"/>
              </w:rPr>
              <w:t>-2</w:t>
            </w:r>
            <w:r w:rsidRPr="00AF55B1">
              <w:rPr>
                <w:b/>
                <w:bCs/>
                <w:szCs w:val="22"/>
                <w:lang w:val="ru-RU"/>
              </w:rPr>
              <w:t>/</w:t>
            </w:r>
            <w:r w:rsidR="00724066" w:rsidRPr="00AF55B1">
              <w:rPr>
                <w:b/>
                <w:bCs/>
                <w:szCs w:val="22"/>
                <w:lang w:val="ru-RU"/>
              </w:rPr>
              <w:t>1</w:t>
            </w:r>
            <w:r w:rsidR="00875E97" w:rsidRPr="00AF55B1">
              <w:rPr>
                <w:b/>
                <w:bCs/>
                <w:szCs w:val="22"/>
                <w:lang w:val="ru-RU"/>
              </w:rPr>
              <w:t>3</w:t>
            </w:r>
            <w:r w:rsidRPr="00AF55B1">
              <w:rPr>
                <w:b/>
                <w:bCs/>
                <w:szCs w:val="22"/>
                <w:lang w:val="ru-RU"/>
              </w:rPr>
              <w:t>-R</w:t>
            </w:r>
            <w:r w:rsidRPr="00AF55B1">
              <w:rPr>
                <w:b/>
                <w:bCs/>
                <w:szCs w:val="22"/>
                <w:lang w:val="ru-RU"/>
              </w:rPr>
              <w:br/>
            </w:r>
            <w:r w:rsidR="005A5AAC">
              <w:rPr>
                <w:b/>
                <w:bCs/>
              </w:rPr>
              <w:t xml:space="preserve">14 </w:t>
            </w:r>
            <w:r w:rsidR="005A5AAC">
              <w:rPr>
                <w:b/>
                <w:bCs/>
                <w:lang w:val="ru-RU"/>
              </w:rPr>
              <w:t>января</w:t>
            </w:r>
            <w:r w:rsidR="005A5AAC">
              <w:rPr>
                <w:b/>
                <w:bCs/>
              </w:rPr>
              <w:t xml:space="preserve"> 2021 </w:t>
            </w:r>
            <w:r w:rsidR="005A5AAC">
              <w:rPr>
                <w:b/>
                <w:bCs/>
                <w:lang w:val="ru-RU"/>
              </w:rPr>
              <w:t>года</w:t>
            </w:r>
            <w:r w:rsidR="005A5AAC" w:rsidRPr="00AF55B1">
              <w:rPr>
                <w:b/>
                <w:bCs/>
                <w:szCs w:val="22"/>
                <w:lang w:val="ru-RU"/>
              </w:rPr>
              <w:t xml:space="preserve"> </w:t>
            </w:r>
            <w:r w:rsidRPr="00AF55B1">
              <w:rPr>
                <w:b/>
                <w:bCs/>
                <w:szCs w:val="22"/>
                <w:lang w:val="ru-RU"/>
              </w:rPr>
              <w:br/>
              <w:t>Оригинал: английский</w:t>
            </w:r>
          </w:p>
        </w:tc>
      </w:tr>
      <w:tr w:rsidR="00AF55B1" w:rsidRPr="00AF55B1" w14:paraId="1669627E" w14:textId="77777777" w:rsidTr="00AF55B1">
        <w:trPr>
          <w:cantSplit/>
        </w:trPr>
        <w:tc>
          <w:tcPr>
            <w:tcW w:w="6911" w:type="dxa"/>
          </w:tcPr>
          <w:p w14:paraId="5152BB0D" w14:textId="77777777" w:rsidR="00AF55B1" w:rsidRPr="00AF55B1" w:rsidRDefault="00AF55B1" w:rsidP="009E0BEE">
            <w:pPr>
              <w:spacing w:before="0" w:after="48" w:line="240" w:lineRule="atLeast"/>
              <w:rPr>
                <w:b/>
                <w:smallCaps/>
                <w:szCs w:val="24"/>
                <w:lang w:val="ru-RU"/>
              </w:rPr>
            </w:pPr>
          </w:p>
        </w:tc>
        <w:tc>
          <w:tcPr>
            <w:tcW w:w="2728" w:type="dxa"/>
          </w:tcPr>
          <w:p w14:paraId="6DDEC646" w14:textId="77777777" w:rsidR="00AF55B1" w:rsidRPr="00AF55B1" w:rsidRDefault="00AF55B1" w:rsidP="009A37CE">
            <w:pPr>
              <w:spacing w:line="240" w:lineRule="atLeast"/>
              <w:rPr>
                <w:b/>
                <w:bCs/>
                <w:szCs w:val="22"/>
                <w:lang w:val="ru-RU"/>
              </w:rPr>
            </w:pPr>
          </w:p>
        </w:tc>
      </w:tr>
    </w:tbl>
    <w:p w14:paraId="5F41DE39" w14:textId="77777777" w:rsidR="00724066" w:rsidRPr="00AF55B1" w:rsidRDefault="00724066" w:rsidP="00724066">
      <w:pPr>
        <w:pStyle w:val="Title1"/>
        <w:rPr>
          <w:lang w:val="ru-RU"/>
        </w:rPr>
      </w:pPr>
      <w:r w:rsidRPr="00AF55B1">
        <w:rPr>
          <w:lang w:val="ru-RU"/>
        </w:rPr>
        <w:t>КРАТКИЙ ОТЧЕТ</w:t>
      </w:r>
    </w:p>
    <w:p w14:paraId="113D67FA" w14:textId="122592D1" w:rsidR="0008180A" w:rsidRPr="00AF55B1" w:rsidRDefault="00724066" w:rsidP="00724066">
      <w:pPr>
        <w:pStyle w:val="Title1"/>
        <w:rPr>
          <w:lang w:val="ru-RU"/>
        </w:rPr>
      </w:pPr>
      <w:r w:rsidRPr="00AF55B1">
        <w:rPr>
          <w:lang w:val="ru-RU"/>
        </w:rPr>
        <w:t xml:space="preserve">О </w:t>
      </w:r>
      <w:r w:rsidR="009A37CE" w:rsidRPr="00AF55B1">
        <w:rPr>
          <w:lang w:val="ru-RU"/>
        </w:rPr>
        <w:t>ЧЕТВЕРТ</w:t>
      </w:r>
      <w:r w:rsidRPr="00AF55B1">
        <w:rPr>
          <w:lang w:val="ru-RU"/>
        </w:rPr>
        <w:t>ом ЗАСЕДАНИИ</w:t>
      </w:r>
    </w:p>
    <w:p w14:paraId="3A1163A3" w14:textId="07E638E0" w:rsidR="00724066" w:rsidRPr="00AF55B1" w:rsidRDefault="007E1DAE" w:rsidP="00724066">
      <w:pPr>
        <w:jc w:val="center"/>
        <w:rPr>
          <w:lang w:val="ru-RU"/>
        </w:rPr>
      </w:pPr>
      <w:r w:rsidRPr="00AF55B1">
        <w:rPr>
          <w:lang w:val="ru-RU"/>
        </w:rPr>
        <w:t>Четверг</w:t>
      </w:r>
      <w:r w:rsidR="00724066" w:rsidRPr="00AF55B1">
        <w:rPr>
          <w:lang w:val="ru-RU"/>
        </w:rPr>
        <w:t xml:space="preserve">, </w:t>
      </w:r>
      <w:r w:rsidR="009A37CE" w:rsidRPr="00AF55B1">
        <w:rPr>
          <w:lang w:val="ru-RU"/>
        </w:rPr>
        <w:t>1</w:t>
      </w:r>
      <w:r w:rsidRPr="00AF55B1">
        <w:rPr>
          <w:lang w:val="ru-RU"/>
        </w:rPr>
        <w:t>9</w:t>
      </w:r>
      <w:r w:rsidR="00724066" w:rsidRPr="00AF55B1">
        <w:rPr>
          <w:lang w:val="ru-RU"/>
        </w:rPr>
        <w:t> </w:t>
      </w:r>
      <w:r w:rsidRPr="00AF55B1">
        <w:rPr>
          <w:lang w:val="ru-RU"/>
        </w:rPr>
        <w:t>ноября</w:t>
      </w:r>
      <w:r w:rsidR="00724066" w:rsidRPr="00AF55B1">
        <w:rPr>
          <w:lang w:val="ru-RU"/>
        </w:rPr>
        <w:t xml:space="preserve"> 2020 года, 12 час. 00 мин. – 15 </w:t>
      </w:r>
      <w:r w:rsidR="009A37CE" w:rsidRPr="00AF55B1">
        <w:rPr>
          <w:lang w:val="ru-RU"/>
        </w:rPr>
        <w:t xml:space="preserve">час. </w:t>
      </w:r>
      <w:r w:rsidRPr="00AF55B1">
        <w:rPr>
          <w:lang w:val="ru-RU"/>
        </w:rPr>
        <w:t>1</w:t>
      </w:r>
      <w:r w:rsidR="00724066" w:rsidRPr="00AF55B1">
        <w:rPr>
          <w:lang w:val="ru-RU"/>
        </w:rPr>
        <w:t>0 мин.</w:t>
      </w:r>
    </w:p>
    <w:p w14:paraId="193B3560" w14:textId="1170D330" w:rsidR="00724066" w:rsidRPr="00AF55B1" w:rsidRDefault="00724066" w:rsidP="0035343D">
      <w:pPr>
        <w:spacing w:after="720"/>
        <w:jc w:val="center"/>
        <w:rPr>
          <w:lang w:val="ru-RU"/>
        </w:rPr>
      </w:pPr>
      <w:r w:rsidRPr="00AF55B1">
        <w:rPr>
          <w:b/>
          <w:bCs/>
          <w:lang w:val="ru-RU"/>
        </w:rPr>
        <w:t>Председатель</w:t>
      </w:r>
      <w:r w:rsidR="0035343D" w:rsidRPr="00AF55B1">
        <w:rPr>
          <w:lang w:val="ru-RU"/>
        </w:rPr>
        <w:t>:</w:t>
      </w:r>
      <w:r w:rsidRPr="00AF55B1">
        <w:rPr>
          <w:lang w:val="ru-RU"/>
        </w:rPr>
        <w:t xml:space="preserve"> </w:t>
      </w:r>
      <w:bookmarkStart w:id="0" w:name="lt_pId012"/>
      <w:r w:rsidR="00427961" w:rsidRPr="00AF55B1">
        <w:rPr>
          <w:lang w:val="ru-RU"/>
        </w:rPr>
        <w:t xml:space="preserve">г-н С. </w:t>
      </w:r>
      <w:r w:rsidR="00427961" w:rsidRPr="00AF55B1">
        <w:rPr>
          <w:color w:val="000000"/>
          <w:lang w:val="ru-RU"/>
        </w:rPr>
        <w:t>БИН ГЕЛАЙТА (Объединенные Арабские Эмираты)</w:t>
      </w:r>
      <w:r w:rsidR="00427961" w:rsidRPr="00AF55B1">
        <w:rPr>
          <w:lang w:val="ru-RU"/>
        </w:rPr>
        <w:t xml:space="preserve"> </w:t>
      </w:r>
      <w:bookmarkEnd w:id="0"/>
    </w:p>
    <w:tbl>
      <w:tblPr>
        <w:tblW w:w="5000" w:type="pct"/>
        <w:tblLook w:val="0000" w:firstRow="0" w:lastRow="0" w:firstColumn="0" w:lastColumn="0" w:noHBand="0" w:noVBand="0"/>
      </w:tblPr>
      <w:tblGrid>
        <w:gridCol w:w="505"/>
        <w:gridCol w:w="6724"/>
        <w:gridCol w:w="2410"/>
      </w:tblGrid>
      <w:tr w:rsidR="00724066" w:rsidRPr="00AF55B1" w14:paraId="0DF8DF0A" w14:textId="77777777" w:rsidTr="00410EAB">
        <w:tc>
          <w:tcPr>
            <w:tcW w:w="262" w:type="pct"/>
          </w:tcPr>
          <w:p w14:paraId="65C8CCD5" w14:textId="77777777" w:rsidR="00724066" w:rsidRPr="00AF55B1" w:rsidRDefault="00724066" w:rsidP="0035343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spacing w:before="80" w:after="80"/>
              <w:rPr>
                <w:b/>
                <w:szCs w:val="22"/>
                <w:lang w:val="ru-RU"/>
              </w:rPr>
            </w:pPr>
            <w:r w:rsidRPr="00AF55B1">
              <w:rPr>
                <w:szCs w:val="22"/>
                <w:lang w:val="ru-RU"/>
              </w:rPr>
              <w:br w:type="page"/>
            </w:r>
            <w:r w:rsidRPr="00AF55B1">
              <w:rPr>
                <w:szCs w:val="22"/>
                <w:lang w:val="ru-RU"/>
              </w:rPr>
              <w:br w:type="page"/>
            </w:r>
          </w:p>
        </w:tc>
        <w:tc>
          <w:tcPr>
            <w:tcW w:w="3488" w:type="pct"/>
          </w:tcPr>
          <w:p w14:paraId="6366EE1B" w14:textId="77777777" w:rsidR="00724066" w:rsidRPr="00AF55B1" w:rsidRDefault="00724066" w:rsidP="0035343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spacing w:before="80" w:after="80"/>
              <w:rPr>
                <w:b/>
                <w:szCs w:val="22"/>
                <w:lang w:val="ru-RU"/>
              </w:rPr>
            </w:pPr>
            <w:r w:rsidRPr="00AF55B1">
              <w:rPr>
                <w:b/>
                <w:szCs w:val="22"/>
                <w:lang w:val="ru-RU"/>
              </w:rPr>
              <w:t>Обсуждаемые вопросы</w:t>
            </w:r>
          </w:p>
        </w:tc>
        <w:tc>
          <w:tcPr>
            <w:tcW w:w="1250" w:type="pct"/>
          </w:tcPr>
          <w:p w14:paraId="7EC95CC5" w14:textId="77777777" w:rsidR="00724066" w:rsidRPr="00AF55B1" w:rsidRDefault="00724066" w:rsidP="0035343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spacing w:before="80" w:after="80"/>
              <w:jc w:val="center"/>
              <w:rPr>
                <w:b/>
                <w:szCs w:val="22"/>
                <w:lang w:val="ru-RU"/>
              </w:rPr>
            </w:pPr>
            <w:r w:rsidRPr="00AF55B1">
              <w:rPr>
                <w:b/>
                <w:szCs w:val="22"/>
                <w:lang w:val="ru-RU"/>
              </w:rPr>
              <w:t>Документы</w:t>
            </w:r>
          </w:p>
        </w:tc>
      </w:tr>
      <w:tr w:rsidR="00724066" w:rsidRPr="00AF55B1" w14:paraId="4F31F17C" w14:textId="77777777" w:rsidTr="00410EAB">
        <w:tc>
          <w:tcPr>
            <w:tcW w:w="262" w:type="pct"/>
          </w:tcPr>
          <w:p w14:paraId="1F9144A6" w14:textId="77777777" w:rsidR="00724066" w:rsidRPr="00AF55B1" w:rsidRDefault="00724066" w:rsidP="0035343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AF55B1">
              <w:rPr>
                <w:szCs w:val="22"/>
                <w:lang w:val="ru-RU"/>
              </w:rPr>
              <w:t>1</w:t>
            </w:r>
          </w:p>
        </w:tc>
        <w:tc>
          <w:tcPr>
            <w:tcW w:w="3488" w:type="pct"/>
          </w:tcPr>
          <w:p w14:paraId="230348C2" w14:textId="2CBAB8BB" w:rsidR="00724066" w:rsidRPr="00AF55B1" w:rsidRDefault="005A1290" w:rsidP="0035343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bCs/>
                <w:szCs w:val="22"/>
                <w:lang w:val="ru-RU"/>
              </w:rPr>
            </w:pPr>
            <w:bookmarkStart w:id="1" w:name="lt_pId016"/>
            <w:r w:rsidRPr="00AF55B1">
              <w:rPr>
                <w:rFonts w:asciiTheme="minorHAnsi" w:hAnsiTheme="minorHAnsi" w:cstheme="minorHAnsi"/>
                <w:bCs/>
                <w:szCs w:val="22"/>
                <w:lang w:val="ru-RU"/>
              </w:rPr>
              <w:t>Итоги</w:t>
            </w:r>
            <w:r w:rsidR="00AB3A53" w:rsidRPr="00AF55B1">
              <w:rPr>
                <w:rFonts w:asciiTheme="minorHAnsi" w:hAnsiTheme="minorHAnsi" w:cstheme="minorHAnsi"/>
                <w:bCs/>
                <w:szCs w:val="22"/>
                <w:lang w:val="ru-RU"/>
              </w:rPr>
              <w:t xml:space="preserve"> обсуждени</w:t>
            </w:r>
            <w:r w:rsidRPr="00AF55B1">
              <w:rPr>
                <w:rFonts w:asciiTheme="minorHAnsi" w:hAnsiTheme="minorHAnsi" w:cstheme="minorHAnsi"/>
                <w:bCs/>
                <w:szCs w:val="22"/>
                <w:lang w:val="ru-RU"/>
              </w:rPr>
              <w:t>й</w:t>
            </w:r>
            <w:r w:rsidR="00AB3A53" w:rsidRPr="00AF55B1">
              <w:rPr>
                <w:rFonts w:asciiTheme="minorHAnsi" w:hAnsiTheme="minorHAnsi" w:cstheme="minorHAnsi"/>
                <w:bCs/>
                <w:szCs w:val="22"/>
                <w:lang w:val="ru-RU"/>
              </w:rPr>
              <w:t>, про</w:t>
            </w:r>
            <w:r w:rsidRPr="00AF55B1">
              <w:rPr>
                <w:rFonts w:asciiTheme="minorHAnsi" w:hAnsiTheme="minorHAnsi" w:cstheme="minorHAnsi"/>
                <w:bCs/>
                <w:szCs w:val="22"/>
                <w:lang w:val="ru-RU"/>
              </w:rPr>
              <w:t>шедших</w:t>
            </w:r>
            <w:r w:rsidR="00AB3A53" w:rsidRPr="00AF55B1">
              <w:rPr>
                <w:rFonts w:asciiTheme="minorHAnsi" w:hAnsiTheme="minorHAnsi" w:cstheme="minorHAnsi"/>
                <w:bCs/>
                <w:szCs w:val="22"/>
                <w:lang w:val="ru-RU"/>
              </w:rPr>
              <w:t xml:space="preserve"> 1</w:t>
            </w:r>
            <w:r w:rsidR="007E1DAE" w:rsidRPr="00AF55B1">
              <w:rPr>
                <w:rFonts w:asciiTheme="minorHAnsi" w:hAnsiTheme="minorHAnsi" w:cstheme="minorHAnsi"/>
                <w:bCs/>
                <w:szCs w:val="22"/>
                <w:lang w:val="ru-RU"/>
              </w:rPr>
              <w:t>8</w:t>
            </w:r>
            <w:r w:rsidR="00AB3A53" w:rsidRPr="00AF55B1">
              <w:rPr>
                <w:rFonts w:asciiTheme="minorHAnsi" w:hAnsiTheme="minorHAnsi" w:cstheme="minorHAnsi"/>
                <w:bCs/>
                <w:szCs w:val="22"/>
                <w:lang w:val="ru-RU"/>
              </w:rPr>
              <w:t xml:space="preserve"> </w:t>
            </w:r>
            <w:r w:rsidR="007E1DAE" w:rsidRPr="00AF55B1">
              <w:rPr>
                <w:rFonts w:asciiTheme="minorHAnsi" w:hAnsiTheme="minorHAnsi" w:cstheme="minorHAnsi"/>
                <w:bCs/>
                <w:szCs w:val="22"/>
                <w:lang w:val="ru-RU"/>
              </w:rPr>
              <w:t>ноября</w:t>
            </w:r>
            <w:r w:rsidR="00AB3A53" w:rsidRPr="00AF55B1">
              <w:rPr>
                <w:rFonts w:asciiTheme="minorHAnsi" w:hAnsiTheme="minorHAnsi" w:cstheme="minorHAnsi"/>
                <w:bCs/>
                <w:szCs w:val="22"/>
                <w:lang w:val="ru-RU"/>
              </w:rPr>
              <w:t xml:space="preserve"> 2020 года</w:t>
            </w:r>
            <w:bookmarkEnd w:id="1"/>
          </w:p>
        </w:tc>
        <w:tc>
          <w:tcPr>
            <w:tcW w:w="1250" w:type="pct"/>
          </w:tcPr>
          <w:p w14:paraId="500AF3A5" w14:textId="23245DC9" w:rsidR="00724066" w:rsidRPr="00AF55B1" w:rsidRDefault="005A5AAC" w:rsidP="0035343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bCs/>
                <w:szCs w:val="22"/>
                <w:lang w:val="ru-RU"/>
              </w:rPr>
            </w:pPr>
            <w:hyperlink r:id="rId9" w:history="1">
              <w:r w:rsidR="007E1DAE" w:rsidRPr="00AF55B1">
                <w:rPr>
                  <w:rStyle w:val="Hyperlink"/>
                  <w:bCs/>
                  <w:lang w:val="ru-RU"/>
                </w:rPr>
                <w:t>VCC-2/DT/1(Rev.2)</w:t>
              </w:r>
            </w:hyperlink>
          </w:p>
        </w:tc>
      </w:tr>
      <w:tr w:rsidR="007E1DAE" w:rsidRPr="00AF55B1" w14:paraId="056B8AA1" w14:textId="77777777" w:rsidTr="00410EAB">
        <w:tc>
          <w:tcPr>
            <w:tcW w:w="262" w:type="pct"/>
          </w:tcPr>
          <w:p w14:paraId="5827427F" w14:textId="3CF014F6" w:rsidR="007E1DAE" w:rsidRPr="00AF55B1" w:rsidRDefault="007E1DAE" w:rsidP="0035343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AF55B1">
              <w:rPr>
                <w:szCs w:val="22"/>
                <w:lang w:val="ru-RU"/>
              </w:rPr>
              <w:t>2</w:t>
            </w:r>
          </w:p>
        </w:tc>
        <w:tc>
          <w:tcPr>
            <w:tcW w:w="3488" w:type="pct"/>
          </w:tcPr>
          <w:p w14:paraId="752ED4DB" w14:textId="7EBAB499" w:rsidR="007E1DAE" w:rsidRPr="00AF55B1" w:rsidRDefault="00141A63" w:rsidP="00145DF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bCs/>
                <w:szCs w:val="22"/>
                <w:lang w:val="ru-RU"/>
              </w:rPr>
            </w:pPr>
            <w:r w:rsidRPr="00AF55B1">
              <w:rPr>
                <w:lang w:val="ru-RU"/>
              </w:rPr>
              <w:t>Решения Генеральной Ассамблеи Организации Объединенных Наций об условиях службы в общей системе Организации Объединенных Наций</w:t>
            </w:r>
            <w:r w:rsidRPr="00AF55B1">
              <w:rPr>
                <w:bCs/>
                <w:szCs w:val="22"/>
                <w:lang w:val="ru-RU"/>
              </w:rPr>
              <w:t xml:space="preserve"> </w:t>
            </w:r>
            <w:r w:rsidR="007E1DAE" w:rsidRPr="00AF55B1">
              <w:rPr>
                <w:bCs/>
                <w:szCs w:val="22"/>
                <w:lang w:val="ru-RU"/>
              </w:rPr>
              <w:t>(</w:t>
            </w:r>
            <w:r w:rsidRPr="00AF55B1">
              <w:rPr>
                <w:bCs/>
                <w:szCs w:val="22"/>
                <w:lang w:val="ru-RU"/>
              </w:rPr>
              <w:t>продолжение</w:t>
            </w:r>
            <w:r w:rsidR="007E1DAE" w:rsidRPr="00AF55B1">
              <w:rPr>
                <w:bCs/>
                <w:szCs w:val="22"/>
                <w:lang w:val="ru-RU"/>
              </w:rPr>
              <w:t>)</w:t>
            </w:r>
          </w:p>
        </w:tc>
        <w:bookmarkStart w:id="2" w:name="_Hlk57810842"/>
        <w:tc>
          <w:tcPr>
            <w:tcW w:w="1250" w:type="pct"/>
          </w:tcPr>
          <w:p w14:paraId="20A8C3C8" w14:textId="04B911A2" w:rsidR="007E1DAE" w:rsidRPr="00AF55B1" w:rsidRDefault="007E1DAE" w:rsidP="0035343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bCs/>
                <w:szCs w:val="22"/>
                <w:lang w:val="ru-RU"/>
              </w:rPr>
            </w:pPr>
            <w:r w:rsidRPr="00AF55B1">
              <w:rPr>
                <w:bCs/>
                <w:szCs w:val="22"/>
                <w:lang w:val="ru-RU"/>
              </w:rPr>
              <w:fldChar w:fldCharType="begin"/>
            </w:r>
            <w:r w:rsidRPr="00AF55B1">
              <w:rPr>
                <w:bCs/>
                <w:szCs w:val="22"/>
                <w:lang w:val="ru-RU"/>
              </w:rPr>
              <w:instrText xml:space="preserve"> HYPERLINK "https://www.itu.int/md/S20-CL-C-0023/en" </w:instrText>
            </w:r>
            <w:r w:rsidRPr="00AF55B1">
              <w:rPr>
                <w:bCs/>
                <w:szCs w:val="22"/>
                <w:lang w:val="ru-RU"/>
              </w:rPr>
              <w:fldChar w:fldCharType="separate"/>
            </w:r>
            <w:r w:rsidRPr="00AF55B1">
              <w:rPr>
                <w:rStyle w:val="Hyperlink"/>
                <w:bCs/>
                <w:szCs w:val="22"/>
                <w:lang w:val="ru-RU"/>
              </w:rPr>
              <w:t>C20/23</w:t>
            </w:r>
            <w:r w:rsidRPr="00AF55B1">
              <w:rPr>
                <w:bCs/>
                <w:szCs w:val="22"/>
                <w:lang w:val="ru-RU"/>
              </w:rPr>
              <w:fldChar w:fldCharType="end"/>
            </w:r>
            <w:bookmarkEnd w:id="2"/>
          </w:p>
        </w:tc>
      </w:tr>
      <w:tr w:rsidR="007E1DAE" w:rsidRPr="00AF55B1" w14:paraId="216EE075" w14:textId="77777777" w:rsidTr="00410EAB">
        <w:tc>
          <w:tcPr>
            <w:tcW w:w="262" w:type="pct"/>
          </w:tcPr>
          <w:p w14:paraId="53CFDE02" w14:textId="35A5AD5D" w:rsidR="007E1DAE" w:rsidRPr="00AF55B1" w:rsidRDefault="007E1DAE" w:rsidP="007E1D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AF55B1">
              <w:rPr>
                <w:szCs w:val="22"/>
                <w:lang w:val="ru-RU"/>
              </w:rPr>
              <w:t>3</w:t>
            </w:r>
          </w:p>
        </w:tc>
        <w:tc>
          <w:tcPr>
            <w:tcW w:w="3488" w:type="pct"/>
          </w:tcPr>
          <w:p w14:paraId="6884CAB1" w14:textId="72A76E54" w:rsidR="007E1DAE" w:rsidRPr="00AF55B1" w:rsidRDefault="00B5094E" w:rsidP="007E1D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bCs/>
                <w:szCs w:val="22"/>
                <w:lang w:val="ru-RU"/>
              </w:rPr>
            </w:pPr>
            <w:r w:rsidRPr="00AF55B1">
              <w:rPr>
                <w:bCs/>
                <w:szCs w:val="22"/>
                <w:lang w:val="ru-RU"/>
              </w:rPr>
              <w:t>Новые функци</w:t>
            </w:r>
            <w:r w:rsidR="00A30EEF" w:rsidRPr="00AF55B1">
              <w:rPr>
                <w:bCs/>
                <w:szCs w:val="22"/>
                <w:lang w:val="ru-RU"/>
              </w:rPr>
              <w:t>я</w:t>
            </w:r>
            <w:r w:rsidRPr="00AF55B1">
              <w:rPr>
                <w:bCs/>
                <w:szCs w:val="22"/>
                <w:lang w:val="ru-RU"/>
              </w:rPr>
              <w:t xml:space="preserve"> и процесс расследования</w:t>
            </w:r>
          </w:p>
        </w:tc>
        <w:tc>
          <w:tcPr>
            <w:tcW w:w="1250" w:type="pct"/>
          </w:tcPr>
          <w:p w14:paraId="4960CB95" w14:textId="6274AF71" w:rsidR="007E1DAE" w:rsidRPr="00AF55B1" w:rsidRDefault="005A5AAC" w:rsidP="007E1D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bCs/>
                <w:szCs w:val="22"/>
                <w:lang w:val="ru-RU"/>
              </w:rPr>
            </w:pPr>
            <w:hyperlink r:id="rId10" w:history="1">
              <w:r w:rsidR="007E1DAE" w:rsidRPr="00AF55B1">
                <w:rPr>
                  <w:rStyle w:val="Hyperlink"/>
                  <w:lang w:val="ru-RU"/>
                </w:rPr>
                <w:t>C20/60</w:t>
              </w:r>
            </w:hyperlink>
            <w:r w:rsidR="007E1DAE" w:rsidRPr="00AF55B1">
              <w:rPr>
                <w:bCs/>
                <w:lang w:val="ru-RU" w:eastAsia="en-GB"/>
              </w:rPr>
              <w:t xml:space="preserve">, </w:t>
            </w:r>
            <w:hyperlink r:id="rId11" w:history="1">
              <w:r w:rsidR="007E1DAE" w:rsidRPr="00AF55B1">
                <w:rPr>
                  <w:rStyle w:val="Hyperlink"/>
                  <w:lang w:val="ru-RU"/>
                </w:rPr>
                <w:t>C20/78</w:t>
              </w:r>
            </w:hyperlink>
            <w:r w:rsidR="007E1DAE" w:rsidRPr="00AF55B1">
              <w:rPr>
                <w:lang w:val="ru-RU"/>
              </w:rPr>
              <w:t xml:space="preserve">, </w:t>
            </w:r>
            <w:hyperlink r:id="rId12" w:history="1">
              <w:r w:rsidR="007E1DAE" w:rsidRPr="00AF55B1">
                <w:rPr>
                  <w:rStyle w:val="Hyperlink"/>
                  <w:lang w:val="ru-RU"/>
                </w:rPr>
                <w:t>VC/8</w:t>
              </w:r>
            </w:hyperlink>
          </w:p>
        </w:tc>
      </w:tr>
      <w:tr w:rsidR="007E1DAE" w:rsidRPr="00AF55B1" w14:paraId="403C767E" w14:textId="77777777" w:rsidTr="00410EAB">
        <w:tc>
          <w:tcPr>
            <w:tcW w:w="262" w:type="pct"/>
          </w:tcPr>
          <w:p w14:paraId="07EBFC72" w14:textId="2FF89FDA" w:rsidR="007E1DAE" w:rsidRPr="00AF55B1" w:rsidRDefault="007E1DAE" w:rsidP="007E1D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AF55B1">
              <w:rPr>
                <w:szCs w:val="22"/>
                <w:lang w:val="ru-RU"/>
              </w:rPr>
              <w:t>4</w:t>
            </w:r>
          </w:p>
        </w:tc>
        <w:tc>
          <w:tcPr>
            <w:tcW w:w="3488" w:type="pct"/>
          </w:tcPr>
          <w:p w14:paraId="03404409" w14:textId="1FEB9599" w:rsidR="007E1DAE" w:rsidRPr="00AF55B1" w:rsidRDefault="00B5094E" w:rsidP="007E1D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bCs/>
                <w:szCs w:val="22"/>
                <w:lang w:val="ru-RU"/>
              </w:rPr>
            </w:pPr>
            <w:r w:rsidRPr="00AF55B1">
              <w:rPr>
                <w:bCs/>
                <w:szCs w:val="22"/>
                <w:lang w:val="ru-RU"/>
              </w:rPr>
              <w:t>Назначение нового Внешнего аудитора</w:t>
            </w:r>
          </w:p>
        </w:tc>
        <w:tc>
          <w:tcPr>
            <w:tcW w:w="1250" w:type="pct"/>
          </w:tcPr>
          <w:p w14:paraId="537EBD99" w14:textId="317B615C" w:rsidR="007E1DAE" w:rsidRPr="00AF55B1" w:rsidRDefault="005A5AAC" w:rsidP="007E1D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bCs/>
                <w:szCs w:val="22"/>
                <w:lang w:val="ru-RU"/>
              </w:rPr>
            </w:pPr>
            <w:hyperlink r:id="rId13" w:history="1">
              <w:r w:rsidR="007E1DAE" w:rsidRPr="00AF55B1">
                <w:rPr>
                  <w:rStyle w:val="Hyperlink"/>
                  <w:lang w:val="ru-RU"/>
                </w:rPr>
                <w:t>C20/49</w:t>
              </w:r>
            </w:hyperlink>
          </w:p>
        </w:tc>
      </w:tr>
      <w:tr w:rsidR="007E1DAE" w:rsidRPr="00AF55B1" w14:paraId="25271D06" w14:textId="77777777" w:rsidTr="00410EAB">
        <w:tc>
          <w:tcPr>
            <w:tcW w:w="262" w:type="pct"/>
          </w:tcPr>
          <w:p w14:paraId="4173A72D" w14:textId="70194A94" w:rsidR="007E1DAE" w:rsidRPr="00AF55B1" w:rsidRDefault="007E1DAE" w:rsidP="0035343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AF55B1">
              <w:rPr>
                <w:szCs w:val="22"/>
                <w:lang w:val="ru-RU"/>
              </w:rPr>
              <w:t>5</w:t>
            </w:r>
          </w:p>
        </w:tc>
        <w:tc>
          <w:tcPr>
            <w:tcW w:w="3488" w:type="pct"/>
          </w:tcPr>
          <w:p w14:paraId="0CE135DA" w14:textId="028052AD" w:rsidR="007E1DAE" w:rsidRPr="00AF55B1" w:rsidRDefault="007E1DAE" w:rsidP="00145DF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bCs/>
                <w:szCs w:val="22"/>
                <w:lang w:val="ru-RU"/>
              </w:rPr>
            </w:pPr>
            <w:r w:rsidRPr="00AF55B1">
              <w:rPr>
                <w:bCs/>
                <w:szCs w:val="22"/>
                <w:lang w:val="ru-RU"/>
              </w:rPr>
              <w:t>Отчет о ходе осуществления проекта по помещениям штаб-квартиры Союза и</w:t>
            </w:r>
            <w:r w:rsidRPr="00AF55B1">
              <w:rPr>
                <w:lang w:val="ru-RU"/>
              </w:rPr>
              <w:t xml:space="preserve"> </w:t>
            </w:r>
            <w:r w:rsidRPr="00AF55B1">
              <w:rPr>
                <w:bCs/>
                <w:szCs w:val="22"/>
                <w:lang w:val="ru-RU"/>
              </w:rPr>
              <w:t>краткий отчет о работе Консультативной группы Государств-Членов (КГГЧ) по проекту, связанному с помещениями штаб-квартиры Союза</w:t>
            </w:r>
          </w:p>
        </w:tc>
        <w:bookmarkStart w:id="3" w:name="_Hlk56937921"/>
        <w:tc>
          <w:tcPr>
            <w:tcW w:w="1250" w:type="pct"/>
          </w:tcPr>
          <w:p w14:paraId="36DBB121" w14:textId="433567D7" w:rsidR="007E1DAE" w:rsidRPr="00AF55B1" w:rsidRDefault="007E1DAE" w:rsidP="0035343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bCs/>
                <w:szCs w:val="22"/>
                <w:lang w:val="ru-RU"/>
              </w:rPr>
            </w:pPr>
            <w:r w:rsidRPr="00AF55B1">
              <w:rPr>
                <w:bCs/>
                <w:szCs w:val="22"/>
                <w:lang w:val="ru-RU"/>
              </w:rPr>
              <w:fldChar w:fldCharType="begin"/>
            </w:r>
            <w:r w:rsidRPr="00AF55B1">
              <w:rPr>
                <w:bCs/>
                <w:szCs w:val="22"/>
                <w:lang w:val="ru-RU"/>
              </w:rPr>
              <w:instrText xml:space="preserve"> HYPERLINK "https://www.itu.int/md/S20-CL-C-0007/en" </w:instrText>
            </w:r>
            <w:r w:rsidRPr="00AF55B1">
              <w:rPr>
                <w:bCs/>
                <w:szCs w:val="22"/>
                <w:lang w:val="ru-RU"/>
              </w:rPr>
              <w:fldChar w:fldCharType="separate"/>
            </w:r>
            <w:r w:rsidRPr="00AF55B1">
              <w:rPr>
                <w:rStyle w:val="Hyperlink"/>
                <w:bCs/>
                <w:szCs w:val="22"/>
                <w:lang w:val="ru-RU"/>
              </w:rPr>
              <w:t>C20/7(Rev.1)</w:t>
            </w:r>
            <w:r w:rsidRPr="00AF55B1">
              <w:rPr>
                <w:bCs/>
                <w:szCs w:val="22"/>
                <w:lang w:val="ru-RU"/>
              </w:rPr>
              <w:fldChar w:fldCharType="end"/>
            </w:r>
            <w:r w:rsidRPr="00AF55B1">
              <w:rPr>
                <w:bCs/>
                <w:szCs w:val="22"/>
                <w:lang w:val="ru-RU"/>
              </w:rPr>
              <w:t xml:space="preserve">, </w:t>
            </w:r>
            <w:hyperlink r:id="rId14" w:history="1">
              <w:r w:rsidRPr="00AF55B1">
                <w:rPr>
                  <w:rStyle w:val="Hyperlink"/>
                  <w:bCs/>
                  <w:szCs w:val="22"/>
                  <w:lang w:val="ru-RU"/>
                </w:rPr>
                <w:t>C20/48(Rev.1)</w:t>
              </w:r>
            </w:hyperlink>
            <w:r w:rsidRPr="00AF55B1">
              <w:rPr>
                <w:bCs/>
                <w:szCs w:val="22"/>
                <w:lang w:val="ru-RU"/>
              </w:rPr>
              <w:t xml:space="preserve">, </w:t>
            </w:r>
            <w:hyperlink r:id="rId15" w:history="1">
              <w:r w:rsidRPr="00AF55B1">
                <w:rPr>
                  <w:rStyle w:val="Hyperlink"/>
                  <w:bCs/>
                  <w:szCs w:val="22"/>
                  <w:lang w:val="ru-RU"/>
                </w:rPr>
                <w:t>C20/77</w:t>
              </w:r>
            </w:hyperlink>
            <w:r w:rsidRPr="00AF55B1">
              <w:rPr>
                <w:bCs/>
                <w:szCs w:val="22"/>
                <w:lang w:val="ru-RU"/>
              </w:rPr>
              <w:t xml:space="preserve">, </w:t>
            </w:r>
            <w:hyperlink r:id="rId16" w:history="1">
              <w:r w:rsidRPr="00AF55B1">
                <w:rPr>
                  <w:rStyle w:val="Hyperlink"/>
                  <w:bCs/>
                  <w:szCs w:val="22"/>
                  <w:lang w:val="ru-RU"/>
                </w:rPr>
                <w:t>C20/INF/20</w:t>
              </w:r>
            </w:hyperlink>
            <w:r w:rsidRPr="00AF55B1">
              <w:rPr>
                <w:bCs/>
                <w:szCs w:val="22"/>
                <w:lang w:val="ru-RU"/>
              </w:rPr>
              <w:t xml:space="preserve">, </w:t>
            </w:r>
            <w:hyperlink r:id="rId17" w:history="1">
              <w:r w:rsidRPr="00AF55B1">
                <w:rPr>
                  <w:rStyle w:val="Hyperlink"/>
                  <w:bCs/>
                  <w:szCs w:val="22"/>
                  <w:lang w:val="ru-RU"/>
                </w:rPr>
                <w:t>C20/INF/21</w:t>
              </w:r>
              <w:bookmarkEnd w:id="3"/>
            </w:hyperlink>
          </w:p>
        </w:tc>
      </w:tr>
      <w:tr w:rsidR="007E1DAE" w:rsidRPr="00AF55B1" w14:paraId="2C6D4CDC" w14:textId="77777777" w:rsidTr="00410EAB">
        <w:tc>
          <w:tcPr>
            <w:tcW w:w="262" w:type="pct"/>
          </w:tcPr>
          <w:p w14:paraId="4A09F524" w14:textId="0B9BC257" w:rsidR="007E1DAE" w:rsidRPr="00AF55B1" w:rsidRDefault="007E1DAE" w:rsidP="007E1D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AF55B1">
              <w:rPr>
                <w:szCs w:val="22"/>
                <w:lang w:val="ru-RU"/>
              </w:rPr>
              <w:t>6</w:t>
            </w:r>
          </w:p>
        </w:tc>
        <w:tc>
          <w:tcPr>
            <w:tcW w:w="3488" w:type="pct"/>
          </w:tcPr>
          <w:p w14:paraId="7B0E50C6" w14:textId="0BB785A2" w:rsidR="007E1DAE" w:rsidRPr="00AF55B1" w:rsidRDefault="00B5094E" w:rsidP="007E1D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bCs/>
                <w:szCs w:val="22"/>
                <w:lang w:val="ru-RU"/>
              </w:rPr>
            </w:pPr>
            <w:r w:rsidRPr="00AF55B1">
              <w:rPr>
                <w:bCs/>
                <w:szCs w:val="22"/>
                <w:lang w:val="ru-RU"/>
              </w:rPr>
              <w:t xml:space="preserve">Стратегия по условиям работы персонала и </w:t>
            </w:r>
            <w:r w:rsidR="00C43025" w:rsidRPr="00AF55B1">
              <w:rPr>
                <w:bCs/>
                <w:szCs w:val="22"/>
                <w:lang w:val="ru-RU"/>
              </w:rPr>
              <w:t>п</w:t>
            </w:r>
            <w:r w:rsidRPr="00AF55B1">
              <w:rPr>
                <w:bCs/>
                <w:szCs w:val="22"/>
                <w:lang w:val="ru-RU"/>
              </w:rPr>
              <w:t>лан реализации</w:t>
            </w:r>
          </w:p>
        </w:tc>
        <w:tc>
          <w:tcPr>
            <w:tcW w:w="1250" w:type="pct"/>
          </w:tcPr>
          <w:p w14:paraId="6F3DAEF1" w14:textId="280A5C1A" w:rsidR="007E1DAE" w:rsidRPr="00AF55B1" w:rsidRDefault="005A5AAC" w:rsidP="007E1D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bCs/>
                <w:szCs w:val="22"/>
                <w:lang w:val="ru-RU"/>
              </w:rPr>
            </w:pPr>
            <w:hyperlink r:id="rId18" w:history="1">
              <w:r w:rsidR="007E1DAE" w:rsidRPr="00AF55B1">
                <w:rPr>
                  <w:rStyle w:val="Hyperlink"/>
                  <w:lang w:val="ru-RU" w:eastAsia="en-GB"/>
                </w:rPr>
                <w:t>C20/29</w:t>
              </w:r>
            </w:hyperlink>
          </w:p>
        </w:tc>
      </w:tr>
      <w:tr w:rsidR="007E1DAE" w:rsidRPr="00AF55B1" w14:paraId="746D0042" w14:textId="77777777" w:rsidTr="00410EAB">
        <w:tc>
          <w:tcPr>
            <w:tcW w:w="262" w:type="pct"/>
          </w:tcPr>
          <w:p w14:paraId="782A70C1" w14:textId="717B2EB0" w:rsidR="007E1DAE" w:rsidRPr="00AF55B1" w:rsidRDefault="007E1DAE" w:rsidP="007E1D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AF55B1">
              <w:rPr>
                <w:szCs w:val="22"/>
                <w:lang w:val="ru-RU"/>
              </w:rPr>
              <w:t>7</w:t>
            </w:r>
          </w:p>
        </w:tc>
        <w:tc>
          <w:tcPr>
            <w:tcW w:w="3488" w:type="pct"/>
          </w:tcPr>
          <w:p w14:paraId="0F349E58" w14:textId="07787E97" w:rsidR="007E1DAE" w:rsidRPr="00AF55B1" w:rsidRDefault="006C13FE" w:rsidP="007E1D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bCs/>
                <w:szCs w:val="22"/>
                <w:lang w:val="ru-RU"/>
              </w:rPr>
            </w:pPr>
            <w:r w:rsidRPr="00AF55B1">
              <w:rPr>
                <w:bCs/>
                <w:szCs w:val="22"/>
                <w:lang w:val="ru-RU"/>
              </w:rPr>
              <w:t>Отчеты рабочих групп Совета</w:t>
            </w:r>
          </w:p>
        </w:tc>
        <w:tc>
          <w:tcPr>
            <w:tcW w:w="1250" w:type="pct"/>
          </w:tcPr>
          <w:p w14:paraId="70AB3DC1" w14:textId="307C1EFF" w:rsidR="007E1DAE" w:rsidRPr="00AF55B1" w:rsidRDefault="005A5AAC" w:rsidP="007E1D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bCs/>
                <w:szCs w:val="22"/>
                <w:lang w:val="ru-RU"/>
              </w:rPr>
            </w:pPr>
            <w:hyperlink r:id="rId19" w:history="1">
              <w:r w:rsidR="007E1DAE" w:rsidRPr="00AF55B1">
                <w:rPr>
                  <w:rStyle w:val="Hyperlink"/>
                  <w:lang w:val="ru-RU" w:eastAsia="en-GB"/>
                </w:rPr>
                <w:t>C20/8</w:t>
              </w:r>
            </w:hyperlink>
            <w:r w:rsidR="007E1DAE" w:rsidRPr="00AF55B1">
              <w:rPr>
                <w:bCs/>
                <w:lang w:val="ru-RU" w:eastAsia="en-GB"/>
              </w:rPr>
              <w:t xml:space="preserve">, </w:t>
            </w:r>
            <w:hyperlink r:id="rId20" w:history="1">
              <w:r w:rsidR="007E1DAE" w:rsidRPr="00AF55B1">
                <w:rPr>
                  <w:rStyle w:val="Hyperlink"/>
                  <w:lang w:val="ru-RU" w:eastAsia="en-GB"/>
                </w:rPr>
                <w:t>C20/12</w:t>
              </w:r>
            </w:hyperlink>
            <w:r w:rsidR="007E1DAE" w:rsidRPr="00AF55B1">
              <w:rPr>
                <w:bCs/>
                <w:lang w:val="ru-RU" w:eastAsia="en-GB"/>
              </w:rPr>
              <w:t xml:space="preserve">, </w:t>
            </w:r>
            <w:hyperlink r:id="rId21" w:history="1">
              <w:r w:rsidR="007E1DAE" w:rsidRPr="00AF55B1">
                <w:rPr>
                  <w:rStyle w:val="Hyperlink"/>
                  <w:lang w:val="ru-RU" w:eastAsia="en-GB"/>
                </w:rPr>
                <w:t>C20/51</w:t>
              </w:r>
            </w:hyperlink>
            <w:r w:rsidR="007E1DAE" w:rsidRPr="00AF55B1">
              <w:rPr>
                <w:bCs/>
                <w:lang w:val="ru-RU" w:eastAsia="en-GB"/>
              </w:rPr>
              <w:t xml:space="preserve">, </w:t>
            </w:r>
            <w:hyperlink r:id="rId22" w:history="1">
              <w:r w:rsidR="007E1DAE" w:rsidRPr="00AF55B1">
                <w:rPr>
                  <w:rStyle w:val="Hyperlink"/>
                  <w:lang w:val="ru-RU" w:eastAsia="en-GB"/>
                </w:rPr>
                <w:t>C20/57</w:t>
              </w:r>
            </w:hyperlink>
            <w:r w:rsidR="007E1DAE" w:rsidRPr="00AF55B1">
              <w:rPr>
                <w:lang w:val="ru-RU" w:eastAsia="en-GB"/>
              </w:rPr>
              <w:t>,</w:t>
            </w:r>
            <w:r w:rsidR="007E1DAE" w:rsidRPr="00AF55B1">
              <w:rPr>
                <w:lang w:val="ru-RU"/>
              </w:rPr>
              <w:t xml:space="preserve"> </w:t>
            </w:r>
            <w:hyperlink r:id="rId23" w:history="1">
              <w:r w:rsidR="007E1DAE" w:rsidRPr="00AF55B1">
                <w:rPr>
                  <w:rStyle w:val="Hyperlink"/>
                  <w:lang w:val="ru-RU" w:eastAsia="en-GB"/>
                </w:rPr>
                <w:t>C20/67</w:t>
              </w:r>
            </w:hyperlink>
          </w:p>
        </w:tc>
      </w:tr>
    </w:tbl>
    <w:p w14:paraId="0FD9FD15" w14:textId="00686222" w:rsidR="0031201D" w:rsidRPr="00AF55B1" w:rsidRDefault="0031201D" w:rsidP="0031201D">
      <w:pPr>
        <w:rPr>
          <w:lang w:val="ru-RU"/>
        </w:rPr>
      </w:pPr>
      <w:r w:rsidRPr="00AF55B1">
        <w:rPr>
          <w:lang w:val="ru-RU"/>
        </w:rPr>
        <w:br w:type="page"/>
      </w:r>
    </w:p>
    <w:p w14:paraId="32021B87" w14:textId="0D5937DB" w:rsidR="0031201D" w:rsidRPr="00AF55B1" w:rsidRDefault="0031201D" w:rsidP="0035343D">
      <w:pPr>
        <w:pStyle w:val="Heading1"/>
        <w:rPr>
          <w:lang w:val="ru-RU"/>
        </w:rPr>
      </w:pPr>
      <w:r w:rsidRPr="00AF55B1">
        <w:rPr>
          <w:lang w:val="ru-RU"/>
        </w:rPr>
        <w:lastRenderedPageBreak/>
        <w:t>1</w:t>
      </w:r>
      <w:r w:rsidRPr="00AF55B1">
        <w:rPr>
          <w:lang w:val="ru-RU"/>
        </w:rPr>
        <w:tab/>
      </w:r>
      <w:bookmarkStart w:id="4" w:name="lt_pId043"/>
      <w:r w:rsidR="005A1290" w:rsidRPr="00AF55B1">
        <w:rPr>
          <w:lang w:val="ru-RU"/>
        </w:rPr>
        <w:t>Итоги</w:t>
      </w:r>
      <w:r w:rsidR="00AB3A53" w:rsidRPr="00AF55B1">
        <w:rPr>
          <w:lang w:val="ru-RU"/>
        </w:rPr>
        <w:t xml:space="preserve"> обсуждени</w:t>
      </w:r>
      <w:r w:rsidR="005A1290" w:rsidRPr="00AF55B1">
        <w:rPr>
          <w:lang w:val="ru-RU"/>
        </w:rPr>
        <w:t>й</w:t>
      </w:r>
      <w:r w:rsidR="00AB3A53" w:rsidRPr="00AF55B1">
        <w:rPr>
          <w:lang w:val="ru-RU"/>
        </w:rPr>
        <w:t>, про</w:t>
      </w:r>
      <w:r w:rsidR="005A1290" w:rsidRPr="00AF55B1">
        <w:rPr>
          <w:lang w:val="ru-RU"/>
        </w:rPr>
        <w:t>шедших</w:t>
      </w:r>
      <w:r w:rsidR="00AB3A53" w:rsidRPr="00AF55B1">
        <w:rPr>
          <w:lang w:val="ru-RU"/>
        </w:rPr>
        <w:t xml:space="preserve"> </w:t>
      </w:r>
      <w:r w:rsidR="00B5094E" w:rsidRPr="00AF55B1">
        <w:rPr>
          <w:lang w:val="ru-RU"/>
        </w:rPr>
        <w:t>18</w:t>
      </w:r>
      <w:r w:rsidR="00AB3A53" w:rsidRPr="00AF55B1">
        <w:rPr>
          <w:lang w:val="ru-RU"/>
        </w:rPr>
        <w:t xml:space="preserve"> </w:t>
      </w:r>
      <w:r w:rsidR="00B5094E" w:rsidRPr="00AF55B1">
        <w:rPr>
          <w:lang w:val="ru-RU"/>
        </w:rPr>
        <w:t>ноября</w:t>
      </w:r>
      <w:r w:rsidR="00AB3A53" w:rsidRPr="00AF55B1">
        <w:rPr>
          <w:lang w:val="ru-RU"/>
        </w:rPr>
        <w:t xml:space="preserve"> 2020 года</w:t>
      </w:r>
      <w:r w:rsidR="006A36F6" w:rsidRPr="00AF55B1">
        <w:rPr>
          <w:lang w:val="ru-RU"/>
        </w:rPr>
        <w:t xml:space="preserve"> (</w:t>
      </w:r>
      <w:r w:rsidR="00AF12F8" w:rsidRPr="00AF55B1">
        <w:rPr>
          <w:lang w:val="ru-RU"/>
        </w:rPr>
        <w:t>Документ </w:t>
      </w:r>
      <w:hyperlink r:id="rId24" w:history="1">
        <w:r w:rsidR="00B5094E" w:rsidRPr="00AF55B1">
          <w:rPr>
            <w:rStyle w:val="Hyperlink"/>
            <w:bCs/>
            <w:lang w:val="ru-RU"/>
          </w:rPr>
          <w:t>VCC</w:t>
        </w:r>
        <w:r w:rsidR="00A30EEF" w:rsidRPr="00AF55B1">
          <w:rPr>
            <w:rStyle w:val="Hyperlink"/>
            <w:bCs/>
            <w:lang w:val="ru-RU"/>
          </w:rPr>
          <w:noBreakHyphen/>
        </w:r>
        <w:r w:rsidR="00B5094E" w:rsidRPr="00AF55B1">
          <w:rPr>
            <w:rStyle w:val="Hyperlink"/>
            <w:bCs/>
            <w:lang w:val="ru-RU"/>
          </w:rPr>
          <w:t>2/DT/1(Rev.2)</w:t>
        </w:r>
      </w:hyperlink>
      <w:r w:rsidR="006A36F6" w:rsidRPr="00AF55B1">
        <w:rPr>
          <w:lang w:val="ru-RU"/>
        </w:rPr>
        <w:t>)</w:t>
      </w:r>
      <w:bookmarkEnd w:id="4"/>
    </w:p>
    <w:p w14:paraId="690E3ACD" w14:textId="55271CDB" w:rsidR="00B5094E" w:rsidRPr="00AF55B1" w:rsidRDefault="00B5094E" w:rsidP="00B5094E">
      <w:pPr>
        <w:rPr>
          <w:lang w:val="ru-RU"/>
        </w:rPr>
      </w:pPr>
      <w:r w:rsidRPr="00AF55B1">
        <w:rPr>
          <w:lang w:val="ru-RU"/>
        </w:rPr>
        <w:t>1.1</w:t>
      </w:r>
      <w:r w:rsidRPr="00AF55B1">
        <w:rPr>
          <w:lang w:val="ru-RU"/>
        </w:rPr>
        <w:tab/>
      </w:r>
      <w:r w:rsidR="006C13FE" w:rsidRPr="00AF55B1">
        <w:rPr>
          <w:lang w:val="ru-RU"/>
        </w:rPr>
        <w:t>Документ</w:t>
      </w:r>
      <w:r w:rsidRPr="00AF55B1">
        <w:rPr>
          <w:lang w:val="ru-RU"/>
        </w:rPr>
        <w:t xml:space="preserve"> VCC-2/DT/1(Rev.2), </w:t>
      </w:r>
      <w:r w:rsidR="006C13FE" w:rsidRPr="00AF55B1">
        <w:rPr>
          <w:lang w:val="ru-RU"/>
        </w:rPr>
        <w:t xml:space="preserve">содержащий итоги обсуждений, прошедших накануне, </w:t>
      </w:r>
      <w:r w:rsidR="006C13FE" w:rsidRPr="00AF55B1">
        <w:rPr>
          <w:b/>
          <w:bCs/>
          <w:lang w:val="ru-RU"/>
        </w:rPr>
        <w:t>принимается к сведению</w:t>
      </w:r>
      <w:r w:rsidRPr="00AF55B1">
        <w:rPr>
          <w:lang w:val="ru-RU"/>
        </w:rPr>
        <w:t>.</w:t>
      </w:r>
    </w:p>
    <w:p w14:paraId="61F2B133" w14:textId="6AF42EC6" w:rsidR="00B5094E" w:rsidRPr="00AF55B1" w:rsidRDefault="00B5094E" w:rsidP="00B5094E">
      <w:pPr>
        <w:rPr>
          <w:lang w:val="ru-RU"/>
        </w:rPr>
      </w:pPr>
      <w:r w:rsidRPr="00AF55B1">
        <w:rPr>
          <w:lang w:val="ru-RU"/>
        </w:rPr>
        <w:t>1.2</w:t>
      </w:r>
      <w:r w:rsidRPr="00AF55B1">
        <w:rPr>
          <w:lang w:val="ru-RU"/>
        </w:rPr>
        <w:tab/>
      </w:r>
      <w:r w:rsidR="00176221" w:rsidRPr="00AF55B1">
        <w:rPr>
          <w:lang w:val="ru-RU"/>
        </w:rPr>
        <w:t>В отношении ВФПЭ Председатель уведомляет собрание, что МЦКЖ можно арендовать только</w:t>
      </w:r>
      <w:r w:rsidRPr="00AF55B1">
        <w:rPr>
          <w:lang w:val="ru-RU"/>
        </w:rPr>
        <w:t xml:space="preserve"> </w:t>
      </w:r>
      <w:r w:rsidR="00C43025" w:rsidRPr="00AF55B1">
        <w:rPr>
          <w:lang w:val="ru-RU"/>
        </w:rPr>
        <w:t xml:space="preserve">на </w:t>
      </w:r>
      <w:r w:rsidRPr="00AF55B1">
        <w:rPr>
          <w:lang w:val="ru-RU"/>
        </w:rPr>
        <w:t>16</w:t>
      </w:r>
      <w:r w:rsidR="00176221" w:rsidRPr="00AF55B1">
        <w:rPr>
          <w:lang w:val="ru-RU"/>
        </w:rPr>
        <w:t>–</w:t>
      </w:r>
      <w:r w:rsidRPr="00AF55B1">
        <w:rPr>
          <w:lang w:val="ru-RU"/>
        </w:rPr>
        <w:t>18</w:t>
      </w:r>
      <w:r w:rsidR="00176221" w:rsidRPr="00AF55B1">
        <w:rPr>
          <w:lang w:val="ru-RU"/>
        </w:rPr>
        <w:t> декабря</w:t>
      </w:r>
      <w:r w:rsidRPr="00AF55B1">
        <w:rPr>
          <w:lang w:val="ru-RU"/>
        </w:rPr>
        <w:t xml:space="preserve"> 2021</w:t>
      </w:r>
      <w:r w:rsidR="00176221" w:rsidRPr="00AF55B1">
        <w:rPr>
          <w:lang w:val="ru-RU"/>
        </w:rPr>
        <w:t> года</w:t>
      </w:r>
      <w:r w:rsidRPr="00AF55B1">
        <w:rPr>
          <w:lang w:val="ru-RU"/>
        </w:rPr>
        <w:t xml:space="preserve">. </w:t>
      </w:r>
      <w:r w:rsidR="00176221" w:rsidRPr="00AF55B1">
        <w:rPr>
          <w:lang w:val="ru-RU"/>
        </w:rPr>
        <w:t xml:space="preserve">В то же время Генеральный секретарь получил сведения о том, что одно из Государств-Членов </w:t>
      </w:r>
      <w:r w:rsidR="00D170A3" w:rsidRPr="00AF55B1">
        <w:rPr>
          <w:lang w:val="ru-RU"/>
        </w:rPr>
        <w:t>может быть заинтересовано в принятии у себя мероприятия, и запросил дополнительную информацию для подтверждения этого</w:t>
      </w:r>
      <w:r w:rsidRPr="00AF55B1">
        <w:rPr>
          <w:lang w:val="ru-RU"/>
        </w:rPr>
        <w:t xml:space="preserve">. </w:t>
      </w:r>
      <w:r w:rsidR="00D170A3" w:rsidRPr="00AF55B1">
        <w:rPr>
          <w:lang w:val="ru-RU"/>
        </w:rPr>
        <w:t>Председатель представит дополнительную информацию на следующий день</w:t>
      </w:r>
      <w:r w:rsidRPr="00AF55B1">
        <w:rPr>
          <w:lang w:val="ru-RU"/>
        </w:rPr>
        <w:t>.</w:t>
      </w:r>
    </w:p>
    <w:p w14:paraId="3684CC7E" w14:textId="4280E919" w:rsidR="00B5094E" w:rsidRPr="00AF55B1" w:rsidRDefault="00B5094E" w:rsidP="00B5094E">
      <w:pPr>
        <w:rPr>
          <w:lang w:val="ru-RU"/>
        </w:rPr>
      </w:pPr>
      <w:r w:rsidRPr="00AF55B1">
        <w:rPr>
          <w:lang w:val="ru-RU"/>
        </w:rPr>
        <w:t>1.3</w:t>
      </w:r>
      <w:r w:rsidRPr="00AF55B1">
        <w:rPr>
          <w:lang w:val="ru-RU"/>
        </w:rPr>
        <w:tab/>
      </w:r>
      <w:r w:rsidR="00D170A3" w:rsidRPr="00AF55B1">
        <w:rPr>
          <w:lang w:val="ru-RU"/>
        </w:rPr>
        <w:t>Председатель напоминает собранию, что</w:t>
      </w:r>
      <w:r w:rsidR="00D13F19" w:rsidRPr="00AF55B1">
        <w:rPr>
          <w:lang w:val="ru-RU"/>
        </w:rPr>
        <w:t>,</w:t>
      </w:r>
      <w:r w:rsidR="00D170A3" w:rsidRPr="00AF55B1">
        <w:rPr>
          <w:lang w:val="ru-RU"/>
        </w:rPr>
        <w:t xml:space="preserve"> как заявил Председатель НГЭ, подготовительные собрания пройдут во время блоков собраний рабочих групп Совета </w:t>
      </w:r>
      <w:r w:rsidR="00F03C24" w:rsidRPr="00AF55B1">
        <w:rPr>
          <w:lang w:val="ru-RU"/>
        </w:rPr>
        <w:t xml:space="preserve">(РГС) </w:t>
      </w:r>
      <w:r w:rsidR="00D170A3" w:rsidRPr="00AF55B1">
        <w:rPr>
          <w:lang w:val="ru-RU"/>
        </w:rPr>
        <w:t>в январе-феврале и в сентябре 2021 года</w:t>
      </w:r>
      <w:r w:rsidR="00F03C24" w:rsidRPr="00AF55B1">
        <w:rPr>
          <w:lang w:val="ru-RU"/>
        </w:rPr>
        <w:t>, и еще одно – в период проведения Форума ВВУИО</w:t>
      </w:r>
      <w:r w:rsidRPr="00AF55B1">
        <w:rPr>
          <w:lang w:val="ru-RU"/>
        </w:rPr>
        <w:t>.</w:t>
      </w:r>
    </w:p>
    <w:p w14:paraId="1FA5C4E2" w14:textId="715215FF" w:rsidR="00B5094E" w:rsidRPr="00AF55B1" w:rsidRDefault="00B5094E" w:rsidP="00B5094E">
      <w:pPr>
        <w:rPr>
          <w:lang w:val="ru-RU"/>
        </w:rPr>
      </w:pPr>
      <w:r w:rsidRPr="00AF55B1">
        <w:rPr>
          <w:lang w:val="ru-RU"/>
        </w:rPr>
        <w:t>1.4</w:t>
      </w:r>
      <w:r w:rsidRPr="00AF55B1">
        <w:rPr>
          <w:lang w:val="ru-RU"/>
        </w:rPr>
        <w:tab/>
      </w:r>
      <w:r w:rsidR="00F03C24" w:rsidRPr="00AF55B1">
        <w:rPr>
          <w:lang w:val="ru-RU"/>
        </w:rPr>
        <w:t>Секретариат опубликует документ</w:t>
      </w:r>
      <w:r w:rsidRPr="00AF55B1">
        <w:rPr>
          <w:lang w:val="ru-RU"/>
        </w:rPr>
        <w:t xml:space="preserve"> DT </w:t>
      </w:r>
      <w:r w:rsidR="00F03C24" w:rsidRPr="00AF55B1">
        <w:rPr>
          <w:lang w:val="ru-RU"/>
        </w:rPr>
        <w:t>с измененным Решением </w:t>
      </w:r>
      <w:r w:rsidRPr="00AF55B1">
        <w:rPr>
          <w:lang w:val="ru-RU"/>
        </w:rPr>
        <w:t xml:space="preserve">611 </w:t>
      </w:r>
      <w:r w:rsidR="00F03C24" w:rsidRPr="00AF55B1">
        <w:rPr>
          <w:lang w:val="ru-RU"/>
        </w:rPr>
        <w:t>и графиком подготовки</w:t>
      </w:r>
      <w:r w:rsidRPr="00AF55B1">
        <w:rPr>
          <w:lang w:val="ru-RU"/>
        </w:rPr>
        <w:t>.</w:t>
      </w:r>
    </w:p>
    <w:p w14:paraId="357ED40A" w14:textId="1BA5C8F3" w:rsidR="00B5094E" w:rsidRPr="00AF55B1" w:rsidRDefault="00B5094E" w:rsidP="00B5094E">
      <w:pPr>
        <w:rPr>
          <w:lang w:val="ru-RU"/>
        </w:rPr>
      </w:pPr>
      <w:r w:rsidRPr="00AF55B1">
        <w:rPr>
          <w:lang w:val="ru-RU"/>
        </w:rPr>
        <w:t>1.5</w:t>
      </w:r>
      <w:r w:rsidRPr="00AF55B1">
        <w:rPr>
          <w:lang w:val="ru-RU"/>
        </w:rPr>
        <w:tab/>
      </w:r>
      <w:r w:rsidR="00F03C24" w:rsidRPr="00AF55B1">
        <w:rPr>
          <w:lang w:val="ru-RU"/>
        </w:rPr>
        <w:t xml:space="preserve">Несколько Советников предлагают </w:t>
      </w:r>
      <w:r w:rsidR="00B17C61" w:rsidRPr="00AF55B1">
        <w:rPr>
          <w:lang w:val="ru-RU"/>
        </w:rPr>
        <w:t>сократить продолжительность блоков собраний РГС в начале 2022 года и проводить собрания только важнейших групп, чтобы оптимизировать график собраний</w:t>
      </w:r>
      <w:r w:rsidRPr="00AF55B1">
        <w:rPr>
          <w:lang w:val="ru-RU"/>
        </w:rPr>
        <w:t>.</w:t>
      </w:r>
    </w:p>
    <w:p w14:paraId="5D99577A" w14:textId="5DBD8712" w:rsidR="00B5094E" w:rsidRPr="00AF55B1" w:rsidRDefault="00B5094E" w:rsidP="00B5094E">
      <w:pPr>
        <w:rPr>
          <w:lang w:val="ru-RU"/>
        </w:rPr>
      </w:pPr>
      <w:r w:rsidRPr="00AF55B1">
        <w:rPr>
          <w:lang w:val="ru-RU"/>
        </w:rPr>
        <w:t>1.6</w:t>
      </w:r>
      <w:r w:rsidRPr="00AF55B1">
        <w:rPr>
          <w:lang w:val="ru-RU"/>
        </w:rPr>
        <w:tab/>
      </w:r>
      <w:r w:rsidR="006317F0" w:rsidRPr="00AF55B1">
        <w:rPr>
          <w:lang w:val="ru-RU"/>
        </w:rPr>
        <w:t>Секретарь собрания говорит, что все РГС стремятся провести собрания в преддверии Полномочной конференции, чтобы завершить работу над своими отчетами</w:t>
      </w:r>
      <w:r w:rsidRPr="00AF55B1">
        <w:rPr>
          <w:lang w:val="ru-RU"/>
        </w:rPr>
        <w:t xml:space="preserve">. </w:t>
      </w:r>
      <w:r w:rsidR="006317F0" w:rsidRPr="00AF55B1">
        <w:rPr>
          <w:lang w:val="ru-RU"/>
        </w:rPr>
        <w:t>В то же время некоторые группы могли бы проделать это во время последнего блока собраний в 2021 году и тем самы</w:t>
      </w:r>
      <w:r w:rsidR="00C43025" w:rsidRPr="00AF55B1">
        <w:rPr>
          <w:lang w:val="ru-RU"/>
        </w:rPr>
        <w:t>м</w:t>
      </w:r>
      <w:r w:rsidR="006317F0" w:rsidRPr="00AF55B1">
        <w:rPr>
          <w:lang w:val="ru-RU"/>
        </w:rPr>
        <w:t xml:space="preserve"> сократить продолжительность блока в начале 2022 года</w:t>
      </w:r>
      <w:r w:rsidRPr="00AF55B1">
        <w:rPr>
          <w:lang w:val="ru-RU"/>
        </w:rPr>
        <w:t xml:space="preserve">. </w:t>
      </w:r>
      <w:r w:rsidR="006317F0" w:rsidRPr="00AF55B1">
        <w:rPr>
          <w:lang w:val="ru-RU"/>
        </w:rPr>
        <w:t>Секретариат рассмотрит график собраний РГС на 2022 год и представит информацию следующей сессии Совета</w:t>
      </w:r>
      <w:r w:rsidRPr="00AF55B1">
        <w:rPr>
          <w:lang w:val="ru-RU"/>
        </w:rPr>
        <w:t>.</w:t>
      </w:r>
    </w:p>
    <w:p w14:paraId="5EBDC6F9" w14:textId="1459F2D7" w:rsidR="00B5094E" w:rsidRPr="00AF55B1" w:rsidRDefault="00B5094E" w:rsidP="00B5094E">
      <w:pPr>
        <w:rPr>
          <w:lang w:val="ru-RU"/>
        </w:rPr>
      </w:pPr>
      <w:r w:rsidRPr="00AF55B1">
        <w:rPr>
          <w:lang w:val="ru-RU"/>
        </w:rPr>
        <w:t>1.7</w:t>
      </w:r>
      <w:r w:rsidRPr="00AF55B1">
        <w:rPr>
          <w:lang w:val="ru-RU"/>
        </w:rPr>
        <w:tab/>
      </w:r>
      <w:r w:rsidR="00D203D9" w:rsidRPr="00AF55B1">
        <w:rPr>
          <w:lang w:val="ru-RU"/>
        </w:rPr>
        <w:t>Что касается подготовки к ВАСЭ</w:t>
      </w:r>
      <w:r w:rsidR="00D203D9" w:rsidRPr="00AF55B1">
        <w:rPr>
          <w:lang w:val="ru-RU"/>
        </w:rPr>
        <w:noBreakHyphen/>
        <w:t>20</w:t>
      </w:r>
      <w:r w:rsidR="00162D45" w:rsidRPr="00AF55B1">
        <w:rPr>
          <w:lang w:val="ru-RU"/>
        </w:rPr>
        <w:t xml:space="preserve"> и в ответ на вопросы двух Советников, которые ссылались на полномочия КГСЭ и исследовательских комиссий принимать решения и на необходимость обеспечить непрерывность деятельности </w:t>
      </w:r>
      <w:r w:rsidR="00483A38" w:rsidRPr="00AF55B1">
        <w:rPr>
          <w:lang w:val="ru-RU"/>
        </w:rPr>
        <w:t>в рамках МСЭ-Т, руководитель Департамента исследовательских комиссий МСЭ-Т говорит, что КГСЭ и исследовательские комиссии работают в виртуальном формате с марта 2020 года без особенных затруднений</w:t>
      </w:r>
      <w:r w:rsidRPr="00AF55B1">
        <w:rPr>
          <w:lang w:val="ru-RU"/>
        </w:rPr>
        <w:t xml:space="preserve">; </w:t>
      </w:r>
      <w:r w:rsidR="00483A38" w:rsidRPr="00AF55B1">
        <w:rPr>
          <w:lang w:val="ru-RU"/>
        </w:rPr>
        <w:t xml:space="preserve">на сегодняшний день ситуация с </w:t>
      </w:r>
      <w:r w:rsidRPr="00AF55B1">
        <w:rPr>
          <w:lang w:val="ru-RU"/>
        </w:rPr>
        <w:t xml:space="preserve">COVID-19 </w:t>
      </w:r>
      <w:r w:rsidR="00483A38" w:rsidRPr="00AF55B1">
        <w:rPr>
          <w:lang w:val="ru-RU"/>
        </w:rPr>
        <w:t>не позволяет применять какие-либо альтернативы</w:t>
      </w:r>
      <w:r w:rsidRPr="00AF55B1">
        <w:rPr>
          <w:lang w:val="ru-RU"/>
        </w:rPr>
        <w:t xml:space="preserve">. </w:t>
      </w:r>
      <w:r w:rsidR="00483A38" w:rsidRPr="00AF55B1">
        <w:rPr>
          <w:lang w:val="ru-RU"/>
        </w:rPr>
        <w:t xml:space="preserve">Как и </w:t>
      </w:r>
      <w:r w:rsidR="00C43025" w:rsidRPr="00AF55B1">
        <w:rPr>
          <w:lang w:val="ru-RU"/>
        </w:rPr>
        <w:t xml:space="preserve">для </w:t>
      </w:r>
      <w:r w:rsidR="00483A38" w:rsidRPr="00AF55B1">
        <w:rPr>
          <w:lang w:val="ru-RU"/>
        </w:rPr>
        <w:t xml:space="preserve">КГРЭ и КГР, в начале каждого собрания принимается решение о том, что собрание </w:t>
      </w:r>
      <w:r w:rsidR="005E6F7D" w:rsidRPr="00AF55B1">
        <w:rPr>
          <w:lang w:val="ru-RU"/>
        </w:rPr>
        <w:t>будет уполномочено принимать решения путем консенсуса</w:t>
      </w:r>
      <w:r w:rsidRPr="00AF55B1">
        <w:rPr>
          <w:lang w:val="ru-RU"/>
        </w:rPr>
        <w:t xml:space="preserve">. </w:t>
      </w:r>
      <w:r w:rsidR="005E6F7D" w:rsidRPr="00AF55B1">
        <w:rPr>
          <w:lang w:val="ru-RU"/>
        </w:rPr>
        <w:t>Советник МСЭ по правовым вопросам поддерживает эти замечания</w:t>
      </w:r>
      <w:r w:rsidRPr="00AF55B1">
        <w:rPr>
          <w:lang w:val="ru-RU"/>
        </w:rPr>
        <w:t xml:space="preserve">: </w:t>
      </w:r>
      <w:r w:rsidR="005E6F7D" w:rsidRPr="00AF55B1">
        <w:rPr>
          <w:lang w:val="ru-RU"/>
        </w:rPr>
        <w:t>с учетом сложившейся ситуации соответствующие группы будут и далее работать на этой основе, сколько будет необходимо</w:t>
      </w:r>
      <w:r w:rsidRPr="00AF55B1">
        <w:rPr>
          <w:lang w:val="ru-RU"/>
        </w:rPr>
        <w:t>.</w:t>
      </w:r>
    </w:p>
    <w:p w14:paraId="31872EA0" w14:textId="1562B3C7" w:rsidR="00B5094E" w:rsidRPr="00AF55B1" w:rsidRDefault="00B5094E" w:rsidP="00B5094E">
      <w:pPr>
        <w:rPr>
          <w:lang w:val="ru-RU"/>
        </w:rPr>
      </w:pPr>
      <w:r w:rsidRPr="00AF55B1">
        <w:rPr>
          <w:lang w:val="ru-RU"/>
        </w:rPr>
        <w:t>1.8</w:t>
      </w:r>
      <w:r w:rsidRPr="00AF55B1">
        <w:rPr>
          <w:lang w:val="ru-RU"/>
        </w:rPr>
        <w:tab/>
      </w:r>
      <w:r w:rsidR="005E6F7D" w:rsidRPr="00AF55B1">
        <w:rPr>
          <w:lang w:val="ru-RU"/>
        </w:rPr>
        <w:t xml:space="preserve">Предлагается </w:t>
      </w:r>
      <w:r w:rsidR="00E75F64" w:rsidRPr="00AF55B1">
        <w:rPr>
          <w:lang w:val="ru-RU"/>
        </w:rPr>
        <w:t>представить следующей сессии Совета обновленную информацию о виртуальной работе КГСЭ и исследовательских комиссий МСЭ-Т</w:t>
      </w:r>
      <w:r w:rsidRPr="00AF55B1">
        <w:rPr>
          <w:lang w:val="ru-RU"/>
        </w:rPr>
        <w:t>.</w:t>
      </w:r>
    </w:p>
    <w:p w14:paraId="39D27144" w14:textId="7DA649E0" w:rsidR="0031201D" w:rsidRPr="00AF55B1" w:rsidRDefault="0031201D" w:rsidP="0031201D">
      <w:pPr>
        <w:pStyle w:val="Heading1"/>
        <w:rPr>
          <w:lang w:val="ru-RU"/>
        </w:rPr>
      </w:pPr>
      <w:r w:rsidRPr="00AF55B1">
        <w:rPr>
          <w:lang w:val="ru-RU"/>
        </w:rPr>
        <w:t>2</w:t>
      </w:r>
      <w:r w:rsidRPr="00AF55B1">
        <w:rPr>
          <w:lang w:val="ru-RU"/>
        </w:rPr>
        <w:tab/>
      </w:r>
      <w:r w:rsidR="00E75F64" w:rsidRPr="00AF55B1">
        <w:rPr>
          <w:lang w:val="ru-RU"/>
        </w:rPr>
        <w:t>Решения Генеральной Ассамблеи Организации Объединенных Наций об условиях службы в общей системе Организации Объединенных Наций</w:t>
      </w:r>
      <w:r w:rsidR="00E75F64" w:rsidRPr="00AF55B1">
        <w:rPr>
          <w:bCs/>
          <w:szCs w:val="22"/>
          <w:lang w:val="ru-RU"/>
        </w:rPr>
        <w:t xml:space="preserve"> (продолжение) </w:t>
      </w:r>
      <w:r w:rsidR="00B5094E" w:rsidRPr="00AF55B1">
        <w:rPr>
          <w:bCs/>
          <w:szCs w:val="22"/>
          <w:lang w:val="ru-RU"/>
        </w:rPr>
        <w:t>(</w:t>
      </w:r>
      <w:r w:rsidR="00C84E06" w:rsidRPr="00AF55B1">
        <w:rPr>
          <w:bCs/>
          <w:szCs w:val="22"/>
          <w:lang w:val="ru-RU"/>
        </w:rPr>
        <w:t>Документ</w:t>
      </w:r>
      <w:r w:rsidR="00B5094E" w:rsidRPr="00AF55B1">
        <w:rPr>
          <w:bCs/>
          <w:szCs w:val="22"/>
          <w:lang w:val="ru-RU"/>
        </w:rPr>
        <w:t xml:space="preserve"> </w:t>
      </w:r>
      <w:hyperlink r:id="rId25" w:history="1">
        <w:r w:rsidR="00B5094E" w:rsidRPr="00AF55B1">
          <w:rPr>
            <w:rStyle w:val="Hyperlink"/>
            <w:bCs/>
            <w:szCs w:val="22"/>
            <w:lang w:val="ru-RU"/>
          </w:rPr>
          <w:t>C20/23</w:t>
        </w:r>
      </w:hyperlink>
      <w:r w:rsidR="00B5094E" w:rsidRPr="00AF55B1">
        <w:rPr>
          <w:bCs/>
          <w:szCs w:val="22"/>
          <w:lang w:val="ru-RU"/>
        </w:rPr>
        <w:t>)</w:t>
      </w:r>
    </w:p>
    <w:p w14:paraId="5D2A08E2" w14:textId="667B4437" w:rsidR="00B5094E" w:rsidRPr="00AF55B1" w:rsidRDefault="00B5094E" w:rsidP="00B5094E">
      <w:pPr>
        <w:rPr>
          <w:lang w:val="ru-RU"/>
        </w:rPr>
      </w:pPr>
      <w:r w:rsidRPr="00AF55B1">
        <w:rPr>
          <w:rFonts w:asciiTheme="minorHAnsi" w:hAnsiTheme="minorHAnsi" w:cstheme="minorHAnsi"/>
          <w:lang w:val="ru-RU"/>
        </w:rPr>
        <w:t>2.</w:t>
      </w:r>
      <w:r w:rsidRPr="00AF55B1">
        <w:rPr>
          <w:lang w:val="ru-RU"/>
        </w:rPr>
        <w:t>1</w:t>
      </w:r>
      <w:r w:rsidRPr="00AF55B1">
        <w:rPr>
          <w:lang w:val="ru-RU"/>
        </w:rPr>
        <w:tab/>
      </w:r>
      <w:r w:rsidR="00E75F64" w:rsidRPr="00AF55B1">
        <w:rPr>
          <w:lang w:val="ru-RU"/>
        </w:rPr>
        <w:t>Руководитель Департамента управления людскими ресурсами</w:t>
      </w:r>
      <w:r w:rsidRPr="00AF55B1">
        <w:rPr>
          <w:lang w:val="ru-RU"/>
        </w:rPr>
        <w:t xml:space="preserve"> (HRMD), </w:t>
      </w:r>
      <w:r w:rsidR="002A521B" w:rsidRPr="00AF55B1">
        <w:rPr>
          <w:lang w:val="ru-RU"/>
        </w:rPr>
        <w:t xml:space="preserve">отвечая на один из вопросов, говорит, что МСЭ применяет судебное решение № 4137 </w:t>
      </w:r>
      <w:r w:rsidR="002A521B" w:rsidRPr="00AF55B1">
        <w:rPr>
          <w:color w:val="000000"/>
          <w:lang w:val="ru-RU"/>
        </w:rPr>
        <w:t xml:space="preserve">АТ МОТ, которым аннулируется </w:t>
      </w:r>
      <w:r w:rsidR="002A521B" w:rsidRPr="00AF55B1">
        <w:rPr>
          <w:lang w:val="ru-RU"/>
        </w:rPr>
        <w:t>применени</w:t>
      </w:r>
      <w:r w:rsidR="00C43025" w:rsidRPr="00AF55B1">
        <w:rPr>
          <w:lang w:val="ru-RU"/>
        </w:rPr>
        <w:t>е</w:t>
      </w:r>
      <w:r w:rsidR="002A521B" w:rsidRPr="00AF55B1">
        <w:rPr>
          <w:lang w:val="ru-RU"/>
        </w:rPr>
        <w:t xml:space="preserve"> </w:t>
      </w:r>
      <w:r w:rsidR="002A521B" w:rsidRPr="00AF55B1">
        <w:rPr>
          <w:color w:val="000000"/>
          <w:lang w:val="ru-RU"/>
        </w:rPr>
        <w:t>коэффициента корректива по месту службы</w:t>
      </w:r>
      <w:r w:rsidR="002A521B" w:rsidRPr="00AF55B1">
        <w:rPr>
          <w:lang w:val="ru-RU"/>
        </w:rPr>
        <w:t xml:space="preserve"> на основании </w:t>
      </w:r>
      <w:r w:rsidR="002A521B" w:rsidRPr="00AF55B1">
        <w:rPr>
          <w:color w:val="000000"/>
          <w:lang w:val="ru-RU"/>
        </w:rPr>
        <w:t>обследовани</w:t>
      </w:r>
      <w:r w:rsidR="00C43025" w:rsidRPr="00AF55B1">
        <w:rPr>
          <w:color w:val="000000"/>
          <w:lang w:val="ru-RU"/>
        </w:rPr>
        <w:t>я</w:t>
      </w:r>
      <w:r w:rsidR="002A521B" w:rsidRPr="00AF55B1">
        <w:rPr>
          <w:color w:val="000000"/>
          <w:lang w:val="ru-RU"/>
        </w:rPr>
        <w:t xml:space="preserve"> стоимости жизни в Женеве, проведенного КМГС в 2016 году, и получает от КМГС коэффициенты корректива по месту службы один или два раза в месяц</w:t>
      </w:r>
      <w:r w:rsidRPr="00AF55B1">
        <w:rPr>
          <w:lang w:val="ru-RU"/>
        </w:rPr>
        <w:t xml:space="preserve">. </w:t>
      </w:r>
      <w:r w:rsidR="002D782D" w:rsidRPr="00AF55B1">
        <w:rPr>
          <w:lang w:val="ru-RU"/>
        </w:rPr>
        <w:t xml:space="preserve">Следует надеяться, что пересмотр КМГС методики коррективов по месту службы будет способствовать большей согласованности </w:t>
      </w:r>
      <w:r w:rsidR="002D782D" w:rsidRPr="00AF55B1">
        <w:rPr>
          <w:color w:val="000000"/>
          <w:lang w:val="ru-RU"/>
        </w:rPr>
        <w:t>коэффициентов корректива по месту службы</w:t>
      </w:r>
      <w:r w:rsidRPr="00AF55B1">
        <w:rPr>
          <w:lang w:val="ru-RU"/>
        </w:rPr>
        <w:t xml:space="preserve">. </w:t>
      </w:r>
      <w:r w:rsidR="002D782D" w:rsidRPr="00AF55B1">
        <w:rPr>
          <w:lang w:val="ru-RU"/>
        </w:rPr>
        <w:t>Руководитель Департамента управления финансовыми ресурсами</w:t>
      </w:r>
      <w:r w:rsidRPr="00AF55B1">
        <w:rPr>
          <w:lang w:val="ru-RU"/>
        </w:rPr>
        <w:t xml:space="preserve"> (FRMD) </w:t>
      </w:r>
      <w:r w:rsidR="002D782D" w:rsidRPr="00AF55B1">
        <w:rPr>
          <w:lang w:val="ru-RU"/>
        </w:rPr>
        <w:t>добавляет, что в бюджете на 2018 </w:t>
      </w:r>
      <w:r w:rsidR="003B77DF" w:rsidRPr="00AF55B1">
        <w:rPr>
          <w:lang w:val="ru-RU"/>
        </w:rPr>
        <w:t xml:space="preserve">год </w:t>
      </w:r>
      <w:r w:rsidR="00C43025" w:rsidRPr="00AF55B1">
        <w:rPr>
          <w:lang w:val="ru-RU"/>
        </w:rPr>
        <w:t xml:space="preserve">был </w:t>
      </w:r>
      <w:r w:rsidR="00C63FFD" w:rsidRPr="00AF55B1">
        <w:rPr>
          <w:lang w:val="ru-RU"/>
        </w:rPr>
        <w:t xml:space="preserve">предусмотрен </w:t>
      </w:r>
      <w:r w:rsidR="00C84E06" w:rsidRPr="00AF55B1">
        <w:rPr>
          <w:lang w:val="ru-RU"/>
        </w:rPr>
        <w:t xml:space="preserve">резерв </w:t>
      </w:r>
      <w:r w:rsidR="00C63FFD" w:rsidRPr="00AF55B1">
        <w:rPr>
          <w:lang w:val="ru-RU"/>
        </w:rPr>
        <w:t>для покрытия последствий судебного решения № </w:t>
      </w:r>
      <w:r w:rsidRPr="00AF55B1">
        <w:rPr>
          <w:lang w:val="ru-RU"/>
        </w:rPr>
        <w:t>4137</w:t>
      </w:r>
      <w:r w:rsidR="00C63FFD" w:rsidRPr="00AF55B1">
        <w:rPr>
          <w:lang w:val="ru-RU"/>
        </w:rPr>
        <w:t xml:space="preserve">, а бюджет на 2019 год был обновлен </w:t>
      </w:r>
      <w:r w:rsidR="00C84E06" w:rsidRPr="00AF55B1">
        <w:rPr>
          <w:lang w:val="ru-RU"/>
        </w:rPr>
        <w:t xml:space="preserve">с учетом </w:t>
      </w:r>
      <w:r w:rsidR="00C63FFD" w:rsidRPr="00AF55B1">
        <w:rPr>
          <w:lang w:val="ru-RU"/>
        </w:rPr>
        <w:t>новой шкалы окладов</w:t>
      </w:r>
      <w:r w:rsidRPr="00AF55B1">
        <w:rPr>
          <w:lang w:val="ru-RU"/>
        </w:rPr>
        <w:t xml:space="preserve">. </w:t>
      </w:r>
      <w:r w:rsidR="00C63FFD" w:rsidRPr="00AF55B1">
        <w:rPr>
          <w:lang w:val="ru-RU"/>
        </w:rPr>
        <w:lastRenderedPageBreak/>
        <w:t>Применени</w:t>
      </w:r>
      <w:r w:rsidR="00C43025" w:rsidRPr="00AF55B1">
        <w:rPr>
          <w:lang w:val="ru-RU"/>
        </w:rPr>
        <w:t>е</w:t>
      </w:r>
      <w:r w:rsidR="00C63FFD" w:rsidRPr="00AF55B1">
        <w:rPr>
          <w:lang w:val="ru-RU"/>
        </w:rPr>
        <w:t xml:space="preserve"> судебного решения не будет иметь финансовых последствий для будущих бюджетных периодов</w:t>
      </w:r>
      <w:r w:rsidRPr="00AF55B1">
        <w:rPr>
          <w:lang w:val="ru-RU"/>
        </w:rPr>
        <w:t>.</w:t>
      </w:r>
    </w:p>
    <w:p w14:paraId="49F01E03" w14:textId="22A8A88D" w:rsidR="006A36F6" w:rsidRPr="00AF55B1" w:rsidRDefault="00B5094E" w:rsidP="00B5094E">
      <w:pPr>
        <w:rPr>
          <w:lang w:val="ru-RU"/>
        </w:rPr>
      </w:pPr>
      <w:r w:rsidRPr="00AF55B1">
        <w:rPr>
          <w:lang w:val="ru-RU"/>
        </w:rPr>
        <w:t>2.2</w:t>
      </w:r>
      <w:r w:rsidRPr="00AF55B1">
        <w:rPr>
          <w:lang w:val="ru-RU"/>
        </w:rPr>
        <w:tab/>
      </w:r>
      <w:r w:rsidR="00C63FFD" w:rsidRPr="00AF55B1">
        <w:rPr>
          <w:lang w:val="ru-RU"/>
        </w:rPr>
        <w:t>Председатель считает, что Советники желают сделать заключение, согласно которому,</w:t>
      </w:r>
      <w:r w:rsidRPr="00AF55B1">
        <w:rPr>
          <w:lang w:val="ru-RU"/>
        </w:rPr>
        <w:t xml:space="preserve"> </w:t>
      </w:r>
      <w:r w:rsidR="009A0CED" w:rsidRPr="00AF55B1">
        <w:rPr>
          <w:lang w:val="ru-RU"/>
        </w:rPr>
        <w:t>учитывая</w:t>
      </w:r>
      <w:r w:rsidR="00C84E06" w:rsidRPr="00AF55B1">
        <w:rPr>
          <w:lang w:val="ru-RU"/>
        </w:rPr>
        <w:t>,</w:t>
      </w:r>
      <w:r w:rsidR="009A0CED" w:rsidRPr="00AF55B1">
        <w:rPr>
          <w:lang w:val="ru-RU"/>
        </w:rPr>
        <w:t xml:space="preserve"> что данный пункт является срочным</w:t>
      </w:r>
      <w:r w:rsidRPr="00AF55B1">
        <w:rPr>
          <w:lang w:val="ru-RU"/>
        </w:rPr>
        <w:t xml:space="preserve">, </w:t>
      </w:r>
      <w:r w:rsidR="009A0CED" w:rsidRPr="00AF55B1">
        <w:rPr>
          <w:lang w:val="ru-RU"/>
        </w:rPr>
        <w:t>будут проведены консультации по переписке Государств – Членов Совета для утверждения проекта Резолюции, содержащегося в приложении к Документу </w:t>
      </w:r>
      <w:r w:rsidRPr="00AF55B1">
        <w:rPr>
          <w:lang w:val="ru-RU"/>
        </w:rPr>
        <w:t>C20/23.</w:t>
      </w:r>
    </w:p>
    <w:p w14:paraId="1BBC42BE" w14:textId="2F29029F" w:rsidR="006A36F6" w:rsidRPr="00AF55B1" w:rsidRDefault="006A36F6" w:rsidP="006A36F6">
      <w:pPr>
        <w:rPr>
          <w:lang w:val="ru-RU"/>
        </w:rPr>
      </w:pPr>
      <w:r w:rsidRPr="00AF55B1">
        <w:rPr>
          <w:lang w:val="ru-RU"/>
        </w:rPr>
        <w:t>2.</w:t>
      </w:r>
      <w:r w:rsidR="00B5094E" w:rsidRPr="00AF55B1">
        <w:rPr>
          <w:lang w:val="ru-RU"/>
        </w:rPr>
        <w:t>3</w:t>
      </w:r>
      <w:r w:rsidRPr="00AF55B1">
        <w:rPr>
          <w:lang w:val="ru-RU"/>
        </w:rPr>
        <w:tab/>
      </w:r>
      <w:r w:rsidR="0099299F" w:rsidRPr="00AF55B1">
        <w:rPr>
          <w:lang w:val="ru-RU"/>
        </w:rPr>
        <w:t>Заключение</w:t>
      </w:r>
      <w:r w:rsidR="00AF12F8" w:rsidRPr="00AF55B1">
        <w:rPr>
          <w:lang w:val="ru-RU"/>
        </w:rPr>
        <w:t xml:space="preserve"> </w:t>
      </w:r>
      <w:r w:rsidR="00AF12F8" w:rsidRPr="00AF55B1">
        <w:rPr>
          <w:b/>
          <w:lang w:val="ru-RU"/>
        </w:rPr>
        <w:t>принимается</w:t>
      </w:r>
      <w:r w:rsidR="00AF12F8" w:rsidRPr="00AF55B1">
        <w:rPr>
          <w:lang w:val="ru-RU"/>
        </w:rPr>
        <w:t>.</w:t>
      </w:r>
    </w:p>
    <w:p w14:paraId="2A3C7738" w14:textId="49D78487" w:rsidR="0031201D" w:rsidRPr="00AF55B1" w:rsidRDefault="0031201D" w:rsidP="0031201D">
      <w:pPr>
        <w:pStyle w:val="Heading1"/>
        <w:rPr>
          <w:lang w:val="ru-RU"/>
        </w:rPr>
      </w:pPr>
      <w:r w:rsidRPr="00AF55B1">
        <w:rPr>
          <w:lang w:val="ru-RU"/>
        </w:rPr>
        <w:t>3</w:t>
      </w:r>
      <w:r w:rsidRPr="00AF55B1">
        <w:rPr>
          <w:lang w:val="ru-RU"/>
        </w:rPr>
        <w:tab/>
      </w:r>
      <w:r w:rsidR="00B5094E" w:rsidRPr="00AF55B1">
        <w:rPr>
          <w:bCs/>
          <w:szCs w:val="22"/>
          <w:lang w:val="ru-RU"/>
        </w:rPr>
        <w:t>Новые функци</w:t>
      </w:r>
      <w:r w:rsidR="00A30EEF" w:rsidRPr="00AF55B1">
        <w:rPr>
          <w:bCs/>
          <w:szCs w:val="22"/>
          <w:lang w:val="ru-RU"/>
        </w:rPr>
        <w:t>я</w:t>
      </w:r>
      <w:r w:rsidR="00B5094E" w:rsidRPr="00AF55B1">
        <w:rPr>
          <w:bCs/>
          <w:szCs w:val="22"/>
          <w:lang w:val="ru-RU"/>
        </w:rPr>
        <w:t xml:space="preserve"> и процесс расследования </w:t>
      </w:r>
      <w:r w:rsidR="006A36F6" w:rsidRPr="00AF55B1">
        <w:rPr>
          <w:bCs/>
          <w:szCs w:val="22"/>
          <w:lang w:val="ru-RU"/>
        </w:rPr>
        <w:t>(</w:t>
      </w:r>
      <w:r w:rsidR="00AF12F8" w:rsidRPr="00AF55B1">
        <w:rPr>
          <w:bCs/>
          <w:szCs w:val="22"/>
          <w:lang w:val="ru-RU"/>
        </w:rPr>
        <w:t>Документ</w:t>
      </w:r>
      <w:r w:rsidR="00B5094E" w:rsidRPr="00AF55B1">
        <w:rPr>
          <w:bCs/>
          <w:szCs w:val="22"/>
          <w:lang w:val="ru-RU"/>
        </w:rPr>
        <w:t>ы</w:t>
      </w:r>
      <w:r w:rsidR="00AF12F8" w:rsidRPr="00AF55B1">
        <w:rPr>
          <w:bCs/>
          <w:szCs w:val="22"/>
          <w:lang w:val="ru-RU"/>
        </w:rPr>
        <w:t> </w:t>
      </w:r>
      <w:hyperlink r:id="rId26" w:history="1">
        <w:r w:rsidR="00B5094E" w:rsidRPr="00AF55B1">
          <w:rPr>
            <w:rStyle w:val="Hyperlink"/>
            <w:lang w:val="ru-RU"/>
          </w:rPr>
          <w:t>C20/60</w:t>
        </w:r>
      </w:hyperlink>
      <w:r w:rsidR="00B5094E" w:rsidRPr="00AF55B1">
        <w:rPr>
          <w:lang w:val="ru-RU"/>
        </w:rPr>
        <w:t xml:space="preserve">, </w:t>
      </w:r>
      <w:hyperlink r:id="rId27" w:history="1">
        <w:r w:rsidR="00B5094E" w:rsidRPr="00AF55B1">
          <w:rPr>
            <w:rStyle w:val="Hyperlink"/>
            <w:lang w:val="ru-RU"/>
          </w:rPr>
          <w:t>C20/78</w:t>
        </w:r>
      </w:hyperlink>
      <w:r w:rsidR="00B5094E" w:rsidRPr="00AF55B1">
        <w:rPr>
          <w:lang w:val="ru-RU"/>
        </w:rPr>
        <w:t xml:space="preserve">, </w:t>
      </w:r>
      <w:hyperlink r:id="rId28" w:history="1">
        <w:r w:rsidR="00B5094E" w:rsidRPr="00AF55B1">
          <w:rPr>
            <w:rStyle w:val="Hyperlink"/>
            <w:lang w:val="ru-RU"/>
          </w:rPr>
          <w:t>VC/8</w:t>
        </w:r>
      </w:hyperlink>
      <w:r w:rsidR="006A36F6" w:rsidRPr="00AF55B1">
        <w:rPr>
          <w:bCs/>
          <w:szCs w:val="22"/>
          <w:lang w:val="ru-RU"/>
        </w:rPr>
        <w:t>)</w:t>
      </w:r>
    </w:p>
    <w:p w14:paraId="71968C41" w14:textId="21F4CD8C" w:rsidR="00B5094E" w:rsidRPr="00AF55B1" w:rsidRDefault="00B5094E" w:rsidP="00B5094E">
      <w:pPr>
        <w:rPr>
          <w:lang w:val="ru-RU"/>
        </w:rPr>
      </w:pPr>
      <w:r w:rsidRPr="00AF55B1">
        <w:rPr>
          <w:rFonts w:asciiTheme="minorHAnsi" w:hAnsiTheme="minorHAnsi" w:cstheme="minorHAnsi"/>
          <w:lang w:val="ru-RU" w:eastAsia="en-GB"/>
        </w:rPr>
        <w:t>3.1</w:t>
      </w:r>
      <w:r w:rsidRPr="00AF55B1">
        <w:rPr>
          <w:rFonts w:asciiTheme="minorHAnsi" w:hAnsiTheme="minorHAnsi" w:cstheme="minorHAnsi"/>
          <w:lang w:val="ru-RU" w:eastAsia="en-GB"/>
        </w:rPr>
        <w:tab/>
      </w:r>
      <w:r w:rsidR="009A0CED" w:rsidRPr="00AF55B1">
        <w:rPr>
          <w:rFonts w:asciiTheme="minorHAnsi" w:hAnsiTheme="minorHAnsi" w:cstheme="minorHAnsi"/>
          <w:lang w:val="ru-RU" w:eastAsia="en-GB"/>
        </w:rPr>
        <w:t>Руководитель</w:t>
      </w:r>
      <w:r w:rsidRPr="00AF55B1">
        <w:rPr>
          <w:lang w:val="ru-RU"/>
        </w:rPr>
        <w:t xml:space="preserve"> HRMD, </w:t>
      </w:r>
      <w:r w:rsidR="009A0CED" w:rsidRPr="00AF55B1">
        <w:rPr>
          <w:lang w:val="ru-RU"/>
        </w:rPr>
        <w:t>представляя документы</w:t>
      </w:r>
      <w:r w:rsidRPr="00AF55B1">
        <w:rPr>
          <w:lang w:val="ru-RU"/>
        </w:rPr>
        <w:t xml:space="preserve">, </w:t>
      </w:r>
      <w:r w:rsidR="009A0CED" w:rsidRPr="00AF55B1">
        <w:rPr>
          <w:lang w:val="ru-RU"/>
        </w:rPr>
        <w:t>напоминает, что Документ </w:t>
      </w:r>
      <w:r w:rsidRPr="00AF55B1">
        <w:rPr>
          <w:lang w:val="ru-RU"/>
        </w:rPr>
        <w:t xml:space="preserve">C20/60 </w:t>
      </w:r>
      <w:r w:rsidR="00AD625F" w:rsidRPr="00AF55B1">
        <w:rPr>
          <w:lang w:val="ru-RU"/>
        </w:rPr>
        <w:t xml:space="preserve">о </w:t>
      </w:r>
      <w:r w:rsidR="00AD625F" w:rsidRPr="00AF55B1">
        <w:rPr>
          <w:color w:val="000000"/>
          <w:lang w:val="ru-RU"/>
        </w:rPr>
        <w:t xml:space="preserve">создании и финансировании новой функции расследования уже представлялся </w:t>
      </w:r>
      <w:r w:rsidRPr="00AF55B1">
        <w:rPr>
          <w:lang w:val="ru-RU"/>
        </w:rPr>
        <w:t xml:space="preserve">VCC-1, </w:t>
      </w:r>
      <w:r w:rsidR="00D2285C" w:rsidRPr="00AF55B1">
        <w:rPr>
          <w:lang w:val="ru-RU"/>
        </w:rPr>
        <w:t xml:space="preserve">и обращает внимание на сделанные </w:t>
      </w:r>
      <w:r w:rsidR="00C84E06" w:rsidRPr="00AF55B1">
        <w:rPr>
          <w:lang w:val="ru-RU"/>
        </w:rPr>
        <w:t>заключения</w:t>
      </w:r>
      <w:r w:rsidRPr="00AF55B1">
        <w:rPr>
          <w:lang w:val="ru-RU"/>
        </w:rPr>
        <w:t xml:space="preserve">. </w:t>
      </w:r>
      <w:r w:rsidR="00D2285C" w:rsidRPr="00AF55B1">
        <w:rPr>
          <w:lang w:val="ru-RU"/>
        </w:rPr>
        <w:t>В приложении к Документу </w:t>
      </w:r>
      <w:r w:rsidRPr="00AF55B1">
        <w:rPr>
          <w:lang w:val="ru-RU"/>
        </w:rPr>
        <w:t xml:space="preserve">C20/78 </w:t>
      </w:r>
      <w:r w:rsidR="00D2285C" w:rsidRPr="00AF55B1">
        <w:rPr>
          <w:lang w:val="ru-RU"/>
        </w:rPr>
        <w:t xml:space="preserve">представлен предлагаемый </w:t>
      </w:r>
      <w:r w:rsidR="00D2285C" w:rsidRPr="00AF55B1">
        <w:rPr>
          <w:color w:val="000000"/>
          <w:lang w:val="ru-RU"/>
        </w:rPr>
        <w:t>устав службы внутреннего аудита и расследований, включающий круг ведения новой функции расследования, в соответствии с предложением</w:t>
      </w:r>
      <w:r w:rsidRPr="00AF55B1">
        <w:rPr>
          <w:lang w:val="ru-RU"/>
        </w:rPr>
        <w:t xml:space="preserve"> VCC-1. </w:t>
      </w:r>
      <w:r w:rsidR="004B6AC7" w:rsidRPr="00AF55B1">
        <w:rPr>
          <w:lang w:val="ru-RU"/>
        </w:rPr>
        <w:t>Требуется дополнительная работа для включения соответствующего текста в направления политики МСЭ и проведения всеобъемлющего обзора существующих процедур</w:t>
      </w:r>
      <w:r w:rsidRPr="00AF55B1">
        <w:rPr>
          <w:lang w:val="ru-RU"/>
        </w:rPr>
        <w:t>.</w:t>
      </w:r>
    </w:p>
    <w:p w14:paraId="378F8D74" w14:textId="2AC9FA84" w:rsidR="00B5094E" w:rsidRPr="00AF55B1" w:rsidRDefault="00B5094E" w:rsidP="00B5094E">
      <w:pPr>
        <w:rPr>
          <w:lang w:val="ru-RU"/>
        </w:rPr>
      </w:pPr>
      <w:r w:rsidRPr="00AF55B1">
        <w:rPr>
          <w:lang w:val="ru-RU"/>
        </w:rPr>
        <w:t>3.2</w:t>
      </w:r>
      <w:r w:rsidRPr="00AF55B1">
        <w:rPr>
          <w:lang w:val="ru-RU"/>
        </w:rPr>
        <w:tab/>
      </w:r>
      <w:r w:rsidR="004B6AC7" w:rsidRPr="00AF55B1">
        <w:rPr>
          <w:lang w:val="ru-RU"/>
        </w:rPr>
        <w:t xml:space="preserve">Советники, отмечая увеличение числа сообщений о </w:t>
      </w:r>
      <w:r w:rsidR="004B6AC7" w:rsidRPr="00AF55B1">
        <w:rPr>
          <w:color w:val="000000"/>
          <w:lang w:val="ru-RU"/>
        </w:rPr>
        <w:t>возможном неправомерном поведении</w:t>
      </w:r>
      <w:r w:rsidR="004B6AC7" w:rsidRPr="00AF55B1">
        <w:rPr>
          <w:lang w:val="ru-RU"/>
        </w:rPr>
        <w:t xml:space="preserve"> </w:t>
      </w:r>
      <w:r w:rsidR="00764916" w:rsidRPr="00AF55B1">
        <w:rPr>
          <w:lang w:val="ru-RU"/>
        </w:rPr>
        <w:t>в МСЭ за последние годы, поддерживают создание функции расследования, хотя следует избегать дублирования существующих функций</w:t>
      </w:r>
      <w:r w:rsidRPr="00AF55B1">
        <w:rPr>
          <w:lang w:val="ru-RU"/>
        </w:rPr>
        <w:t xml:space="preserve">. </w:t>
      </w:r>
      <w:r w:rsidR="00764916" w:rsidRPr="00AF55B1">
        <w:rPr>
          <w:lang w:val="ru-RU"/>
        </w:rPr>
        <w:t>Выражаются различные мнения относительно уровня новой должности, и поднимается вопрос о том, как этот уровень будет определяться</w:t>
      </w:r>
      <w:r w:rsidRPr="00AF55B1">
        <w:rPr>
          <w:lang w:val="ru-RU"/>
        </w:rPr>
        <w:t>.</w:t>
      </w:r>
    </w:p>
    <w:p w14:paraId="1932797A" w14:textId="0A8A28CD" w:rsidR="00B5094E" w:rsidRPr="00AF55B1" w:rsidRDefault="00B5094E" w:rsidP="00B5094E">
      <w:pPr>
        <w:rPr>
          <w:lang w:val="ru-RU"/>
        </w:rPr>
      </w:pPr>
      <w:r w:rsidRPr="00AF55B1">
        <w:rPr>
          <w:lang w:val="ru-RU"/>
        </w:rPr>
        <w:t>3.3</w:t>
      </w:r>
      <w:r w:rsidRPr="00AF55B1">
        <w:rPr>
          <w:lang w:val="ru-RU"/>
        </w:rPr>
        <w:tab/>
      </w:r>
      <w:r w:rsidR="00764916" w:rsidRPr="00AF55B1">
        <w:rPr>
          <w:lang w:val="ru-RU"/>
        </w:rPr>
        <w:t xml:space="preserve">Трое из Советников считают, что </w:t>
      </w:r>
      <w:r w:rsidR="00AB0F7F" w:rsidRPr="00AF55B1">
        <w:rPr>
          <w:lang w:val="ru-RU"/>
        </w:rPr>
        <w:t>доклад</w:t>
      </w:r>
      <w:r w:rsidR="00764916" w:rsidRPr="00AF55B1">
        <w:rPr>
          <w:lang w:val="ru-RU"/>
        </w:rPr>
        <w:t xml:space="preserve"> Объединенной инспекционной группы </w:t>
      </w:r>
      <w:r w:rsidR="00FD6C12" w:rsidRPr="00AF55B1">
        <w:rPr>
          <w:lang w:val="ru-RU"/>
        </w:rPr>
        <w:t xml:space="preserve">(ОИГ) относительно </w:t>
      </w:r>
      <w:r w:rsidR="00FD6C12" w:rsidRPr="00AF55B1">
        <w:rPr>
          <w:color w:val="000000"/>
          <w:lang w:val="ru-RU"/>
        </w:rPr>
        <w:t>прогресса, достигнутого в организациях системы Организации Объединенных Наций в отношении укрепления функции расследования</w:t>
      </w:r>
      <w:r w:rsidR="00FD6C12" w:rsidRPr="00AF55B1">
        <w:rPr>
          <w:lang w:val="ru-RU"/>
        </w:rPr>
        <w:t xml:space="preserve"> </w:t>
      </w:r>
      <w:r w:rsidRPr="00AF55B1">
        <w:rPr>
          <w:lang w:val="ru-RU"/>
        </w:rPr>
        <w:t>(</w:t>
      </w:r>
      <w:r w:rsidR="00FD6C12" w:rsidRPr="00AF55B1">
        <w:rPr>
          <w:lang w:val="ru-RU"/>
        </w:rPr>
        <w:t>Документ </w:t>
      </w:r>
      <w:r w:rsidRPr="00AF55B1">
        <w:rPr>
          <w:lang w:val="ru-RU"/>
        </w:rPr>
        <w:t>C20/INF/18)</w:t>
      </w:r>
      <w:r w:rsidR="00FD6C12" w:rsidRPr="00AF55B1">
        <w:rPr>
          <w:lang w:val="ru-RU"/>
        </w:rPr>
        <w:t>,</w:t>
      </w:r>
      <w:r w:rsidRPr="00AF55B1">
        <w:rPr>
          <w:lang w:val="ru-RU"/>
        </w:rPr>
        <w:t xml:space="preserve"> </w:t>
      </w:r>
      <w:r w:rsidR="00FD6C12" w:rsidRPr="00AF55B1">
        <w:rPr>
          <w:lang w:val="ru-RU"/>
        </w:rPr>
        <w:t xml:space="preserve">очень важен для ведущихся в Совете в настоящее время </w:t>
      </w:r>
      <w:r w:rsidR="00AB0F7F" w:rsidRPr="00AF55B1">
        <w:rPr>
          <w:lang w:val="ru-RU"/>
        </w:rPr>
        <w:t>обсуждений, в особенности поскольку девять из десяти рекомендаций этого доклада адресованы законодательным органам</w:t>
      </w:r>
      <w:r w:rsidRPr="00AF55B1">
        <w:rPr>
          <w:lang w:val="ru-RU"/>
        </w:rPr>
        <w:t>.</w:t>
      </w:r>
    </w:p>
    <w:p w14:paraId="406B0B19" w14:textId="3988C418" w:rsidR="00B5094E" w:rsidRPr="00AF55B1" w:rsidRDefault="00B5094E" w:rsidP="00B5094E">
      <w:pPr>
        <w:rPr>
          <w:lang w:val="ru-RU"/>
        </w:rPr>
      </w:pPr>
      <w:r w:rsidRPr="00AF55B1">
        <w:rPr>
          <w:lang w:val="ru-RU"/>
        </w:rPr>
        <w:t>3.4</w:t>
      </w:r>
      <w:r w:rsidRPr="00AF55B1">
        <w:rPr>
          <w:lang w:val="ru-RU"/>
        </w:rPr>
        <w:tab/>
      </w:r>
      <w:r w:rsidR="00703889" w:rsidRPr="00AF55B1">
        <w:rPr>
          <w:lang w:val="ru-RU"/>
        </w:rPr>
        <w:t xml:space="preserve">Одна из Советников, ссылаясь на </w:t>
      </w:r>
      <w:r w:rsidR="00703889" w:rsidRPr="00AF55B1">
        <w:rPr>
          <w:color w:val="000000"/>
          <w:lang w:val="ru-RU"/>
        </w:rPr>
        <w:t>устав службы внутреннего аудита и расследований</w:t>
      </w:r>
      <w:r w:rsidR="00DB1278" w:rsidRPr="00AF55B1">
        <w:rPr>
          <w:color w:val="000000"/>
          <w:lang w:val="ru-RU"/>
        </w:rPr>
        <w:t xml:space="preserve">, говорит, что хотела бы получить дополнительные разъяснения относительно функций и обязанностей </w:t>
      </w:r>
      <w:r w:rsidR="00E77D3E" w:rsidRPr="00AF55B1">
        <w:rPr>
          <w:color w:val="000000"/>
          <w:lang w:val="ru-RU"/>
        </w:rPr>
        <w:t>подразделения по расследованиям, способов его работы и област</w:t>
      </w:r>
      <w:r w:rsidR="003C3C44" w:rsidRPr="00AF55B1">
        <w:rPr>
          <w:color w:val="000000"/>
          <w:lang w:val="ru-RU"/>
        </w:rPr>
        <w:t>ей</w:t>
      </w:r>
      <w:r w:rsidR="00E77D3E" w:rsidRPr="00AF55B1">
        <w:rPr>
          <w:color w:val="000000"/>
          <w:lang w:val="ru-RU"/>
        </w:rPr>
        <w:t xml:space="preserve"> высокого риска, подверженны</w:t>
      </w:r>
      <w:r w:rsidR="003C3C44" w:rsidRPr="00AF55B1">
        <w:rPr>
          <w:color w:val="000000"/>
          <w:lang w:val="ru-RU"/>
        </w:rPr>
        <w:t>х</w:t>
      </w:r>
      <w:r w:rsidR="00E77D3E" w:rsidRPr="00AF55B1">
        <w:rPr>
          <w:color w:val="000000"/>
          <w:lang w:val="ru-RU"/>
        </w:rPr>
        <w:t xml:space="preserve"> мошенничеству, коррупции и другим злоупотреблениям</w:t>
      </w:r>
      <w:r w:rsidRPr="00AF55B1">
        <w:rPr>
          <w:lang w:val="ru-RU"/>
        </w:rPr>
        <w:t xml:space="preserve">. </w:t>
      </w:r>
      <w:r w:rsidR="00211A5E" w:rsidRPr="00AF55B1">
        <w:rPr>
          <w:lang w:val="ru-RU"/>
        </w:rPr>
        <w:t>Был бы полезен механизм содействия тесной координации между подразделением внутреннего аудита и подразделением по расследованиям, а также четкое разграничение функций с Управлением по вопросам этики</w:t>
      </w:r>
      <w:r w:rsidRPr="00AF55B1">
        <w:rPr>
          <w:lang w:val="ru-RU"/>
        </w:rPr>
        <w:t xml:space="preserve">. </w:t>
      </w:r>
      <w:r w:rsidR="00211A5E" w:rsidRPr="00AF55B1">
        <w:rPr>
          <w:lang w:val="ru-RU"/>
        </w:rPr>
        <w:t xml:space="preserve">Отчеты подразделения по расследованиям должны предоставляться </w:t>
      </w:r>
      <w:r w:rsidRPr="00AF55B1">
        <w:rPr>
          <w:lang w:val="ru-RU"/>
        </w:rPr>
        <w:t>IMAC.</w:t>
      </w:r>
    </w:p>
    <w:p w14:paraId="65958663" w14:textId="21781BF5" w:rsidR="00B5094E" w:rsidRPr="00AF55B1" w:rsidRDefault="00B5094E" w:rsidP="00B5094E">
      <w:pPr>
        <w:rPr>
          <w:lang w:val="ru-RU"/>
        </w:rPr>
      </w:pPr>
      <w:r w:rsidRPr="00AF55B1">
        <w:rPr>
          <w:lang w:val="ru-RU"/>
        </w:rPr>
        <w:t>3.5</w:t>
      </w:r>
      <w:r w:rsidRPr="00AF55B1">
        <w:rPr>
          <w:lang w:val="ru-RU"/>
        </w:rPr>
        <w:tab/>
      </w:r>
      <w:r w:rsidR="00D0703D" w:rsidRPr="00AF55B1">
        <w:rPr>
          <w:lang w:val="ru-RU"/>
        </w:rPr>
        <w:t>Советник от Российской Федерации говорит, что не хотел бы согласиться с созданием новой функции</w:t>
      </w:r>
      <w:r w:rsidRPr="00AF55B1">
        <w:rPr>
          <w:lang w:val="ru-RU"/>
        </w:rPr>
        <w:t xml:space="preserve">. </w:t>
      </w:r>
      <w:r w:rsidR="00D0703D" w:rsidRPr="00AF55B1">
        <w:rPr>
          <w:lang w:val="ru-RU"/>
        </w:rPr>
        <w:t xml:space="preserve">Предпочтительно было бы повысить эффективность </w:t>
      </w:r>
      <w:proofErr w:type="gramStart"/>
      <w:r w:rsidR="00967E0F" w:rsidRPr="00AF55B1">
        <w:rPr>
          <w:lang w:val="ru-RU"/>
        </w:rPr>
        <w:t>уже существующих</w:t>
      </w:r>
      <w:proofErr w:type="gramEnd"/>
      <w:r w:rsidR="00967E0F" w:rsidRPr="00AF55B1">
        <w:rPr>
          <w:lang w:val="ru-RU"/>
        </w:rPr>
        <w:t xml:space="preserve"> в МСЭ в достаточном количестве органов внутреннего и внешнего аудита, в том числе путем укрепления координации</w:t>
      </w:r>
      <w:r w:rsidRPr="00AF55B1">
        <w:rPr>
          <w:lang w:val="ru-RU"/>
        </w:rPr>
        <w:t xml:space="preserve">. </w:t>
      </w:r>
      <w:r w:rsidR="00967E0F" w:rsidRPr="00AF55B1">
        <w:rPr>
          <w:lang w:val="ru-RU"/>
        </w:rPr>
        <w:t xml:space="preserve">Предлагаемый новый устав </w:t>
      </w:r>
      <w:r w:rsidR="00017208" w:rsidRPr="00AF55B1">
        <w:rPr>
          <w:lang w:val="ru-RU"/>
        </w:rPr>
        <w:t>следует представить РГС-ФЛР на предварительное рассмотрение</w:t>
      </w:r>
      <w:r w:rsidRPr="00AF55B1">
        <w:rPr>
          <w:lang w:val="ru-RU"/>
        </w:rPr>
        <w:t>.</w:t>
      </w:r>
    </w:p>
    <w:p w14:paraId="345168AB" w14:textId="413797F8" w:rsidR="00B5094E" w:rsidRPr="00AF55B1" w:rsidRDefault="00B5094E" w:rsidP="00B5094E">
      <w:pPr>
        <w:rPr>
          <w:lang w:val="ru-RU"/>
        </w:rPr>
      </w:pPr>
      <w:r w:rsidRPr="00AF55B1">
        <w:rPr>
          <w:lang w:val="ru-RU"/>
        </w:rPr>
        <w:t>3.6</w:t>
      </w:r>
      <w:r w:rsidRPr="00AF55B1">
        <w:rPr>
          <w:lang w:val="ru-RU"/>
        </w:rPr>
        <w:tab/>
      </w:r>
      <w:r w:rsidR="00017208" w:rsidRPr="00AF55B1">
        <w:rPr>
          <w:lang w:val="ru-RU"/>
        </w:rPr>
        <w:t xml:space="preserve">Руководитель </w:t>
      </w:r>
      <w:r w:rsidRPr="00AF55B1">
        <w:rPr>
          <w:lang w:val="ru-RU"/>
        </w:rPr>
        <w:t xml:space="preserve">HRMD, </w:t>
      </w:r>
      <w:r w:rsidR="00017208" w:rsidRPr="00AF55B1">
        <w:rPr>
          <w:lang w:val="ru-RU"/>
        </w:rPr>
        <w:t>отвечая на замечания, говорит, что предложение о создании независимой функции расследования</w:t>
      </w:r>
      <w:r w:rsidR="00795DC6" w:rsidRPr="00AF55B1">
        <w:rPr>
          <w:lang w:val="ru-RU"/>
        </w:rPr>
        <w:t xml:space="preserve"> полностью соответствует выводам и рекомендациям доклада ОИГ</w:t>
      </w:r>
      <w:r w:rsidRPr="00AF55B1">
        <w:rPr>
          <w:lang w:val="ru-RU"/>
        </w:rPr>
        <w:t xml:space="preserve"> (</w:t>
      </w:r>
      <w:r w:rsidR="00795DC6" w:rsidRPr="00AF55B1">
        <w:rPr>
          <w:lang w:val="ru-RU"/>
        </w:rPr>
        <w:t>Документ </w:t>
      </w:r>
      <w:r w:rsidRPr="00AF55B1">
        <w:rPr>
          <w:lang w:val="ru-RU"/>
        </w:rPr>
        <w:t xml:space="preserve">C20/INF/18). </w:t>
      </w:r>
      <w:r w:rsidR="0048274B" w:rsidRPr="00AF55B1">
        <w:rPr>
          <w:lang w:val="ru-RU"/>
        </w:rPr>
        <w:t>Все рекомендации этого доклада будут учтены в ведущейся работе</w:t>
      </w:r>
      <w:r w:rsidRPr="00AF55B1">
        <w:rPr>
          <w:lang w:val="ru-RU"/>
        </w:rPr>
        <w:t xml:space="preserve">. </w:t>
      </w:r>
      <w:r w:rsidR="0048274B" w:rsidRPr="00AF55B1">
        <w:rPr>
          <w:lang w:val="ru-RU"/>
        </w:rPr>
        <w:t>Ведущиеся в настоящее время расследования не являются одной из основных функций соответствующих подразделений и отрицательно сказываются на выполнении их обязательных задач</w:t>
      </w:r>
      <w:r w:rsidRPr="00AF55B1">
        <w:rPr>
          <w:lang w:val="ru-RU"/>
        </w:rPr>
        <w:t xml:space="preserve">. </w:t>
      </w:r>
      <w:r w:rsidR="0048274B" w:rsidRPr="00AF55B1">
        <w:rPr>
          <w:lang w:val="ru-RU"/>
        </w:rPr>
        <w:t xml:space="preserve">Эта должность не может финансироваться из средств бюджета на </w:t>
      </w:r>
      <w:r w:rsidRPr="00AF55B1">
        <w:rPr>
          <w:lang w:val="ru-RU"/>
        </w:rPr>
        <w:t>2022–2023</w:t>
      </w:r>
      <w:r w:rsidR="0048274B" w:rsidRPr="00AF55B1">
        <w:rPr>
          <w:lang w:val="ru-RU"/>
        </w:rPr>
        <w:t> год</w:t>
      </w:r>
      <w:r w:rsidR="003C3C44" w:rsidRPr="00AF55B1">
        <w:rPr>
          <w:lang w:val="ru-RU"/>
        </w:rPr>
        <w:t>ы</w:t>
      </w:r>
      <w:r w:rsidR="0048274B" w:rsidRPr="00AF55B1">
        <w:rPr>
          <w:lang w:val="ru-RU"/>
        </w:rPr>
        <w:t>, поскольку она не предусмотрена в финансовом плане, утвержденном ПК</w:t>
      </w:r>
      <w:r w:rsidR="0048274B" w:rsidRPr="00AF55B1">
        <w:rPr>
          <w:lang w:val="ru-RU"/>
        </w:rPr>
        <w:noBreakHyphen/>
        <w:t>18</w:t>
      </w:r>
      <w:r w:rsidRPr="00AF55B1">
        <w:rPr>
          <w:lang w:val="ru-RU"/>
        </w:rPr>
        <w:t xml:space="preserve">. </w:t>
      </w:r>
      <w:r w:rsidR="00DF785D" w:rsidRPr="00AF55B1">
        <w:rPr>
          <w:lang w:val="ru-RU"/>
        </w:rPr>
        <w:t>Предполагается провести до следующей очной сессии Совета дополнительную работу, требующуюся для включения нового подразделения по расследованиям в соответствующие тексты документов по политике МСЭ</w:t>
      </w:r>
      <w:r w:rsidRPr="00AF55B1">
        <w:rPr>
          <w:lang w:val="ru-RU"/>
        </w:rPr>
        <w:t xml:space="preserve"> </w:t>
      </w:r>
      <w:r w:rsidR="00DF785D" w:rsidRPr="00AF55B1">
        <w:rPr>
          <w:lang w:val="ru-RU"/>
        </w:rPr>
        <w:t>и обеспечения четкого определения функций соответствующих структур</w:t>
      </w:r>
      <w:r w:rsidRPr="00AF55B1">
        <w:rPr>
          <w:lang w:val="ru-RU"/>
        </w:rPr>
        <w:t xml:space="preserve">. </w:t>
      </w:r>
      <w:r w:rsidR="00DF785D" w:rsidRPr="00AF55B1">
        <w:rPr>
          <w:lang w:val="ru-RU"/>
        </w:rPr>
        <w:t xml:space="preserve">Предложения </w:t>
      </w:r>
      <w:proofErr w:type="gramStart"/>
      <w:r w:rsidR="00DF785D" w:rsidRPr="00AF55B1">
        <w:rPr>
          <w:lang w:val="ru-RU"/>
        </w:rPr>
        <w:t>секретариата</w:t>
      </w:r>
      <w:proofErr w:type="gramEnd"/>
      <w:r w:rsidR="00DF785D" w:rsidRPr="00AF55B1">
        <w:rPr>
          <w:lang w:val="ru-RU"/>
        </w:rPr>
        <w:t xml:space="preserve"> в связи с этим будут переданы на рассмотрение РГС-ФЛР</w:t>
      </w:r>
      <w:r w:rsidRPr="00AF55B1">
        <w:rPr>
          <w:lang w:val="ru-RU"/>
        </w:rPr>
        <w:t>.</w:t>
      </w:r>
    </w:p>
    <w:p w14:paraId="322946C2" w14:textId="477E25FC" w:rsidR="00B5094E" w:rsidRPr="00AF55B1" w:rsidRDefault="00B5094E" w:rsidP="00B5094E">
      <w:pPr>
        <w:rPr>
          <w:lang w:val="ru-RU"/>
        </w:rPr>
      </w:pPr>
      <w:r w:rsidRPr="00AF55B1">
        <w:rPr>
          <w:lang w:val="ru-RU"/>
        </w:rPr>
        <w:lastRenderedPageBreak/>
        <w:t>3.7</w:t>
      </w:r>
      <w:r w:rsidRPr="00AF55B1">
        <w:rPr>
          <w:lang w:val="ru-RU"/>
        </w:rPr>
        <w:tab/>
      </w:r>
      <w:r w:rsidR="00A76890" w:rsidRPr="00AF55B1">
        <w:rPr>
          <w:lang w:val="ru-RU"/>
        </w:rPr>
        <w:t xml:space="preserve">Генеральный секретарь говорит, что МСЭ </w:t>
      </w:r>
      <w:r w:rsidR="00493BD1" w:rsidRPr="00AF55B1">
        <w:rPr>
          <w:lang w:val="ru-RU"/>
        </w:rPr>
        <w:t xml:space="preserve">в последние годы </w:t>
      </w:r>
      <w:r w:rsidR="00A76890" w:rsidRPr="00AF55B1">
        <w:rPr>
          <w:lang w:val="ru-RU"/>
        </w:rPr>
        <w:t>использовал существующие внутренние ресурсы для расследования возрастающего числа утверждений о неправомерных действиях</w:t>
      </w:r>
      <w:r w:rsidR="00493BD1" w:rsidRPr="00AF55B1">
        <w:rPr>
          <w:lang w:val="ru-RU"/>
        </w:rPr>
        <w:t>, но сотрудники МСЭ не являются профессиональными расследователями</w:t>
      </w:r>
      <w:r w:rsidR="00A76890" w:rsidRPr="00AF55B1">
        <w:rPr>
          <w:lang w:val="ru-RU"/>
        </w:rPr>
        <w:t xml:space="preserve"> </w:t>
      </w:r>
      <w:r w:rsidR="00493BD1" w:rsidRPr="00AF55B1">
        <w:rPr>
          <w:lang w:val="ru-RU"/>
        </w:rPr>
        <w:t>и к их способностям предъявляются чрезмерные требования</w:t>
      </w:r>
      <w:r w:rsidRPr="00AF55B1">
        <w:rPr>
          <w:lang w:val="ru-RU"/>
        </w:rPr>
        <w:t xml:space="preserve">. IMAC </w:t>
      </w:r>
      <w:r w:rsidR="00493BD1" w:rsidRPr="00AF55B1">
        <w:rPr>
          <w:lang w:val="ru-RU"/>
        </w:rPr>
        <w:t xml:space="preserve">в последнее время выражает обеспокоенность относительно воздействия расследований </w:t>
      </w:r>
      <w:r w:rsidR="00611143" w:rsidRPr="00AF55B1">
        <w:rPr>
          <w:lang w:val="ru-RU"/>
        </w:rPr>
        <w:t>на важную работу подразделения внутреннего аудита</w:t>
      </w:r>
      <w:r w:rsidRPr="00AF55B1">
        <w:rPr>
          <w:lang w:val="ru-RU"/>
        </w:rPr>
        <w:t xml:space="preserve">. </w:t>
      </w:r>
      <w:r w:rsidR="00611143" w:rsidRPr="00AF55B1">
        <w:rPr>
          <w:lang w:val="ru-RU"/>
        </w:rPr>
        <w:t xml:space="preserve">Напоминая о заключении, сделанном на </w:t>
      </w:r>
      <w:r w:rsidRPr="00AF55B1">
        <w:rPr>
          <w:lang w:val="ru-RU"/>
        </w:rPr>
        <w:t xml:space="preserve">VCC-1, </w:t>
      </w:r>
      <w:r w:rsidR="00611143" w:rsidRPr="00AF55B1">
        <w:rPr>
          <w:lang w:val="ru-RU"/>
        </w:rPr>
        <w:t>он говорит, что провести очную сессию Совета оказалось невозможным, и предлагает Советнику от Российской Федерации пересмотреть свою позицию, учитывая безотлагательную потребность МСЭ укрепить функцию расследования</w:t>
      </w:r>
      <w:r w:rsidRPr="00AF55B1">
        <w:rPr>
          <w:lang w:val="ru-RU"/>
        </w:rPr>
        <w:t xml:space="preserve">. </w:t>
      </w:r>
      <w:r w:rsidR="0050208C" w:rsidRPr="00AF55B1">
        <w:rPr>
          <w:lang w:val="ru-RU"/>
        </w:rPr>
        <w:t xml:space="preserve">Рекомендации ОИГ будут полезным вкладом, для того чтобы избегать дублирования существующих структур Союза, и МСЭ извлечет </w:t>
      </w:r>
      <w:r w:rsidR="00A171BB" w:rsidRPr="00AF55B1">
        <w:rPr>
          <w:lang w:val="ru-RU"/>
        </w:rPr>
        <w:t xml:space="preserve">уроки из </w:t>
      </w:r>
      <w:r w:rsidR="0050208C" w:rsidRPr="00AF55B1">
        <w:rPr>
          <w:lang w:val="ru-RU"/>
        </w:rPr>
        <w:t>опыт</w:t>
      </w:r>
      <w:r w:rsidR="00A171BB" w:rsidRPr="00AF55B1">
        <w:rPr>
          <w:lang w:val="ru-RU"/>
        </w:rPr>
        <w:t>а других организаций, где имеются такие должности</w:t>
      </w:r>
      <w:r w:rsidRPr="00AF55B1">
        <w:rPr>
          <w:lang w:val="ru-RU"/>
        </w:rPr>
        <w:t xml:space="preserve">. </w:t>
      </w:r>
      <w:r w:rsidR="00A171BB" w:rsidRPr="00AF55B1">
        <w:rPr>
          <w:lang w:val="ru-RU"/>
        </w:rPr>
        <w:t xml:space="preserve">Создание новой функции расследования поможет </w:t>
      </w:r>
      <w:r w:rsidR="00C04CB1" w:rsidRPr="00AF55B1">
        <w:rPr>
          <w:lang w:val="ru-RU"/>
        </w:rPr>
        <w:t>повысить эффективность существующих в МСЭ структур</w:t>
      </w:r>
      <w:r w:rsidRPr="00AF55B1">
        <w:rPr>
          <w:lang w:val="ru-RU"/>
        </w:rPr>
        <w:t>.</w:t>
      </w:r>
    </w:p>
    <w:p w14:paraId="748C43C2" w14:textId="7D058B47" w:rsidR="00B5094E" w:rsidRPr="00AF55B1" w:rsidRDefault="00B5094E" w:rsidP="00B5094E">
      <w:pPr>
        <w:rPr>
          <w:lang w:val="ru-RU"/>
        </w:rPr>
      </w:pPr>
      <w:r w:rsidRPr="00AF55B1">
        <w:rPr>
          <w:lang w:val="ru-RU"/>
        </w:rPr>
        <w:t>3.8</w:t>
      </w:r>
      <w:r w:rsidRPr="00AF55B1">
        <w:rPr>
          <w:lang w:val="ru-RU"/>
        </w:rPr>
        <w:tab/>
      </w:r>
      <w:r w:rsidR="00C04CB1" w:rsidRPr="00AF55B1">
        <w:rPr>
          <w:lang w:val="ru-RU"/>
        </w:rPr>
        <w:t xml:space="preserve">Внутренний аудитор говорит, что все вопросы, поднятые в ходе обсуждения, и рекомендации ОИГ будут приняты во внимание при подготовке пересмотренной версии </w:t>
      </w:r>
      <w:r w:rsidR="00C04CB1" w:rsidRPr="00AF55B1">
        <w:rPr>
          <w:color w:val="000000"/>
          <w:lang w:val="ru-RU"/>
        </w:rPr>
        <w:t>устава службы внутреннего аудита и расследований</w:t>
      </w:r>
      <w:r w:rsidR="006355DF" w:rsidRPr="00AF55B1">
        <w:rPr>
          <w:color w:val="000000"/>
          <w:lang w:val="ru-RU"/>
        </w:rPr>
        <w:t>, которая будет представлена Совету</w:t>
      </w:r>
      <w:r w:rsidR="006355DF" w:rsidRPr="00AF55B1">
        <w:rPr>
          <w:color w:val="000000"/>
          <w:lang w:val="ru-RU"/>
        </w:rPr>
        <w:noBreakHyphen/>
        <w:t>21 на утверждение</w:t>
      </w:r>
      <w:r w:rsidRPr="00AF55B1">
        <w:rPr>
          <w:lang w:val="ru-RU"/>
        </w:rPr>
        <w:t xml:space="preserve">. </w:t>
      </w:r>
      <w:r w:rsidR="006355DF" w:rsidRPr="00AF55B1">
        <w:rPr>
          <w:lang w:val="ru-RU"/>
        </w:rPr>
        <w:t xml:space="preserve">Отвечая на замечание о </w:t>
      </w:r>
      <w:r w:rsidR="003C3C44" w:rsidRPr="00AF55B1">
        <w:rPr>
          <w:lang w:val="ru-RU"/>
        </w:rPr>
        <w:t>периодичности</w:t>
      </w:r>
      <w:r w:rsidR="006355DF" w:rsidRPr="00AF55B1">
        <w:rPr>
          <w:lang w:val="ru-RU"/>
        </w:rPr>
        <w:t xml:space="preserve"> пересмотров, он говорит, что ранее Совет принял к сведению рекомендацию ОИГ о пересмотре устава службы внутреннего аудита по меньшей мер раз в три года – пять лет</w:t>
      </w:r>
      <w:r w:rsidRPr="00AF55B1">
        <w:rPr>
          <w:lang w:val="ru-RU"/>
        </w:rPr>
        <w:t xml:space="preserve">. </w:t>
      </w:r>
      <w:r w:rsidR="00A710EA" w:rsidRPr="00AF55B1">
        <w:rPr>
          <w:lang w:val="ru-RU"/>
        </w:rPr>
        <w:t>Одним из вариантов было бы разделение устава внутреннего аудита и расследования, поскольку это две отдельные функции</w:t>
      </w:r>
      <w:r w:rsidRPr="00AF55B1">
        <w:rPr>
          <w:lang w:val="ru-RU"/>
        </w:rPr>
        <w:t xml:space="preserve">. </w:t>
      </w:r>
      <w:r w:rsidR="00A710EA" w:rsidRPr="00AF55B1">
        <w:rPr>
          <w:lang w:val="ru-RU"/>
        </w:rPr>
        <w:t xml:space="preserve">Управление по вопросам этики </w:t>
      </w:r>
      <w:r w:rsidR="003A5ABC" w:rsidRPr="00AF55B1">
        <w:rPr>
          <w:lang w:val="ru-RU"/>
        </w:rPr>
        <w:t>представляет собой еще одну отдельную функцию, и в служебном приказе </w:t>
      </w:r>
      <w:r w:rsidRPr="00AF55B1">
        <w:rPr>
          <w:lang w:val="ru-RU"/>
        </w:rPr>
        <w:t xml:space="preserve">19/10 </w:t>
      </w:r>
      <w:r w:rsidR="003A5ABC" w:rsidRPr="00AF55B1">
        <w:rPr>
          <w:lang w:val="ru-RU"/>
        </w:rPr>
        <w:t xml:space="preserve">по </w:t>
      </w:r>
      <w:r w:rsidR="003A5ABC" w:rsidRPr="00AF55B1">
        <w:rPr>
          <w:color w:val="000000"/>
          <w:lang w:val="ru-RU"/>
        </w:rPr>
        <w:t>руководящим указаниям МСЭ по проведению расследований указано, где заканчивается роль Управления по вопросам этики и начинается роль функции расследования</w:t>
      </w:r>
      <w:r w:rsidRPr="00AF55B1">
        <w:rPr>
          <w:lang w:val="ru-RU"/>
        </w:rPr>
        <w:t>.</w:t>
      </w:r>
    </w:p>
    <w:p w14:paraId="44106E06" w14:textId="0FD077B7" w:rsidR="00B5094E" w:rsidRPr="00AF55B1" w:rsidRDefault="00B5094E" w:rsidP="00B5094E">
      <w:pPr>
        <w:rPr>
          <w:lang w:val="ru-RU"/>
        </w:rPr>
      </w:pPr>
      <w:r w:rsidRPr="00AF55B1">
        <w:rPr>
          <w:lang w:val="ru-RU"/>
        </w:rPr>
        <w:t>3.9</w:t>
      </w:r>
      <w:r w:rsidRPr="00AF55B1">
        <w:rPr>
          <w:lang w:val="ru-RU"/>
        </w:rPr>
        <w:tab/>
      </w:r>
      <w:r w:rsidR="008145B7" w:rsidRPr="00AF55B1">
        <w:rPr>
          <w:lang w:val="ru-RU"/>
        </w:rPr>
        <w:t xml:space="preserve">Сотрудник по вопросам этики говорит, что создание новой функции расследования имеет </w:t>
      </w:r>
      <w:r w:rsidR="00401CE9" w:rsidRPr="00AF55B1">
        <w:rPr>
          <w:lang w:val="ru-RU"/>
        </w:rPr>
        <w:t>большое значение</w:t>
      </w:r>
      <w:r w:rsidR="007A46D3" w:rsidRPr="00AF55B1">
        <w:rPr>
          <w:lang w:val="ru-RU"/>
        </w:rPr>
        <w:t xml:space="preserve"> ввиду увеличения рабочей нагрузки, вызываемой</w:t>
      </w:r>
      <w:r w:rsidR="008145B7" w:rsidRPr="00AF55B1">
        <w:rPr>
          <w:lang w:val="ru-RU"/>
        </w:rPr>
        <w:t xml:space="preserve"> </w:t>
      </w:r>
      <w:r w:rsidR="007A46D3" w:rsidRPr="00AF55B1">
        <w:rPr>
          <w:lang w:val="ru-RU"/>
        </w:rPr>
        <w:t>ростом числа жалоб на неправомерные действия</w:t>
      </w:r>
      <w:r w:rsidRPr="00AF55B1">
        <w:rPr>
          <w:lang w:val="ru-RU"/>
        </w:rPr>
        <w:t xml:space="preserve">. </w:t>
      </w:r>
      <w:r w:rsidR="007A46D3" w:rsidRPr="00AF55B1">
        <w:rPr>
          <w:lang w:val="ru-RU"/>
        </w:rPr>
        <w:t>Она заверяет собрание, что замечания</w:t>
      </w:r>
      <w:r w:rsidR="005D702B" w:rsidRPr="00AF55B1">
        <w:rPr>
          <w:lang w:val="ru-RU"/>
        </w:rPr>
        <w:t xml:space="preserve"> относительно значения четкого разделения функций будут приняты во внимание</w:t>
      </w:r>
      <w:r w:rsidRPr="00AF55B1">
        <w:rPr>
          <w:lang w:val="ru-RU"/>
        </w:rPr>
        <w:t>.</w:t>
      </w:r>
    </w:p>
    <w:p w14:paraId="4559C275" w14:textId="07FB3224" w:rsidR="00B5094E" w:rsidRPr="00AF55B1" w:rsidRDefault="00B5094E" w:rsidP="00B5094E">
      <w:pPr>
        <w:rPr>
          <w:lang w:val="ru-RU"/>
        </w:rPr>
      </w:pPr>
      <w:bookmarkStart w:id="5" w:name="_Hlk61354899"/>
      <w:r w:rsidRPr="00AF55B1">
        <w:rPr>
          <w:lang w:val="ru-RU"/>
        </w:rPr>
        <w:t>3.10</w:t>
      </w:r>
      <w:r w:rsidRPr="00AF55B1">
        <w:rPr>
          <w:lang w:val="ru-RU"/>
        </w:rPr>
        <w:tab/>
      </w:r>
      <w:r w:rsidR="003B2F61" w:rsidRPr="00AF55B1">
        <w:rPr>
          <w:lang w:val="ru-RU"/>
        </w:rPr>
        <w:t xml:space="preserve">Советник от Российской Федерации, принимая к сведению представленные разъяснения, говорит, что в духе компромисса он мог бы согласиться с предлагаемой новой функцией. Он </w:t>
      </w:r>
      <w:r w:rsidR="003B2F61" w:rsidRPr="00AF55B1">
        <w:rPr>
          <w:color w:val="000000"/>
          <w:lang w:val="ru-RU"/>
        </w:rPr>
        <w:t>хотел бы, чтобы в протокол было занесено, что рассмотрение в МСЭ гуманитарных вопросов, таких как права человека, права женщин, гендерных вопросов в ИКТ, а также вопросов, связанных с усилением служб аудита, расследований и т. п., не должно приводить к уходу от рассмотрения субстантивных проблем регулирования, стандартизации и развития электросвязи/ИКТ и технических вопросов отрасли</w:t>
      </w:r>
      <w:r w:rsidR="003B2F61" w:rsidRPr="00AF55B1">
        <w:rPr>
          <w:lang w:val="ru-RU"/>
        </w:rPr>
        <w:t xml:space="preserve"> </w:t>
      </w:r>
      <w:r w:rsidR="003B2F61" w:rsidRPr="00AF55B1">
        <w:rPr>
          <w:color w:val="000000"/>
          <w:lang w:val="ru-RU"/>
        </w:rPr>
        <w:t>и к снижению активности Союза в этой области</w:t>
      </w:r>
      <w:r w:rsidR="003B2F61" w:rsidRPr="00AF55B1">
        <w:rPr>
          <w:lang w:val="ru-RU"/>
        </w:rPr>
        <w:t>. МСЭ должен в первую очередь рассматривать вопросы и решения, относящиеся к новым технологиям электросвязи/ИКТ (искусственный интеллект, большие данные, интернет вещей и другие).</w:t>
      </w:r>
    </w:p>
    <w:bookmarkEnd w:id="5"/>
    <w:p w14:paraId="1F85DA06" w14:textId="19FF61A4" w:rsidR="00B5094E" w:rsidRPr="00AF55B1" w:rsidRDefault="00B5094E" w:rsidP="00B5094E">
      <w:pPr>
        <w:rPr>
          <w:lang w:val="ru-RU"/>
        </w:rPr>
      </w:pPr>
      <w:r w:rsidRPr="00AF55B1">
        <w:rPr>
          <w:lang w:val="ru-RU"/>
        </w:rPr>
        <w:t>3.11</w:t>
      </w:r>
      <w:r w:rsidRPr="00AF55B1">
        <w:rPr>
          <w:lang w:val="ru-RU"/>
        </w:rPr>
        <w:tab/>
      </w:r>
      <w:r w:rsidR="00FF592C" w:rsidRPr="00AF55B1">
        <w:rPr>
          <w:lang w:val="ru-RU"/>
        </w:rPr>
        <w:t>Генеральный секретарь благодарит Советника от Российской Федерации за проявленную гибкость</w:t>
      </w:r>
      <w:r w:rsidRPr="00AF55B1">
        <w:rPr>
          <w:lang w:val="ru-RU"/>
        </w:rPr>
        <w:t xml:space="preserve">. </w:t>
      </w:r>
      <w:r w:rsidR="00FF592C" w:rsidRPr="00AF55B1">
        <w:rPr>
          <w:lang w:val="ru-RU"/>
        </w:rPr>
        <w:t>Что касается уровня должности, основная задача заключается в привлечении компетентного эксперта</w:t>
      </w:r>
      <w:r w:rsidRPr="00AF55B1">
        <w:rPr>
          <w:lang w:val="ru-RU"/>
        </w:rPr>
        <w:t xml:space="preserve">. </w:t>
      </w:r>
      <w:r w:rsidR="00063BFD" w:rsidRPr="00AF55B1">
        <w:rPr>
          <w:lang w:val="ru-RU"/>
        </w:rPr>
        <w:t>Если Советники одобрят укрепление функции расследования в МСЭ, он надеется получить возможность выбора уровня на основании заслуг и опыта кандидата, выбранного в результате тщательного процесса отбора на международном уровне</w:t>
      </w:r>
      <w:r w:rsidRPr="00AF55B1">
        <w:rPr>
          <w:lang w:val="ru-RU"/>
        </w:rPr>
        <w:t>.</w:t>
      </w:r>
    </w:p>
    <w:p w14:paraId="6D09D1A6" w14:textId="5C941B6B" w:rsidR="00B5094E" w:rsidRPr="00AF55B1" w:rsidRDefault="00B5094E" w:rsidP="00B5094E">
      <w:pPr>
        <w:rPr>
          <w:lang w:val="ru-RU"/>
        </w:rPr>
      </w:pPr>
      <w:r w:rsidRPr="00AF55B1">
        <w:rPr>
          <w:lang w:val="ru-RU"/>
        </w:rPr>
        <w:t>3.12</w:t>
      </w:r>
      <w:r w:rsidRPr="00AF55B1">
        <w:rPr>
          <w:lang w:val="ru-RU"/>
        </w:rPr>
        <w:tab/>
      </w:r>
      <w:r w:rsidR="00063BFD" w:rsidRPr="00AF55B1">
        <w:rPr>
          <w:lang w:val="ru-RU"/>
        </w:rPr>
        <w:t>Один из Советников согла</w:t>
      </w:r>
      <w:r w:rsidR="007D6D58" w:rsidRPr="00AF55B1">
        <w:rPr>
          <w:lang w:val="ru-RU"/>
        </w:rPr>
        <w:t>шается</w:t>
      </w:r>
      <w:r w:rsidR="00063BFD" w:rsidRPr="00AF55B1">
        <w:rPr>
          <w:lang w:val="ru-RU"/>
        </w:rPr>
        <w:t xml:space="preserve"> с тем, что Генеральному секретарю должна быть предоставлена возможность </w:t>
      </w:r>
      <w:r w:rsidR="00B609ED" w:rsidRPr="00AF55B1">
        <w:rPr>
          <w:lang w:val="ru-RU"/>
        </w:rPr>
        <w:t>установить должность на уровне</w:t>
      </w:r>
      <w:r w:rsidRPr="00AF55B1">
        <w:rPr>
          <w:lang w:val="ru-RU"/>
        </w:rPr>
        <w:t xml:space="preserve"> P.4 </w:t>
      </w:r>
      <w:r w:rsidR="00B609ED" w:rsidRPr="00AF55B1">
        <w:rPr>
          <w:lang w:val="ru-RU"/>
        </w:rPr>
        <w:t>или</w:t>
      </w:r>
      <w:r w:rsidRPr="00AF55B1">
        <w:rPr>
          <w:lang w:val="ru-RU"/>
        </w:rPr>
        <w:t xml:space="preserve"> P.5, </w:t>
      </w:r>
      <w:r w:rsidR="00B609ED" w:rsidRPr="00AF55B1">
        <w:rPr>
          <w:lang w:val="ru-RU"/>
        </w:rPr>
        <w:t>в зависимости от случая</w:t>
      </w:r>
      <w:r w:rsidRPr="00AF55B1">
        <w:rPr>
          <w:lang w:val="ru-RU"/>
        </w:rPr>
        <w:t>.</w:t>
      </w:r>
    </w:p>
    <w:p w14:paraId="2CBCB35C" w14:textId="05109A4C" w:rsidR="00B5094E" w:rsidRPr="00AF55B1" w:rsidRDefault="00B5094E" w:rsidP="00B5094E">
      <w:pPr>
        <w:rPr>
          <w:lang w:val="ru-RU"/>
        </w:rPr>
      </w:pPr>
      <w:r w:rsidRPr="00AF55B1">
        <w:rPr>
          <w:lang w:val="ru-RU"/>
        </w:rPr>
        <w:t>3.13</w:t>
      </w:r>
      <w:r w:rsidRPr="00AF55B1">
        <w:rPr>
          <w:lang w:val="ru-RU"/>
        </w:rPr>
        <w:tab/>
      </w:r>
      <w:r w:rsidR="00B609ED" w:rsidRPr="00AF55B1">
        <w:rPr>
          <w:lang w:val="ru-RU"/>
        </w:rPr>
        <w:t>Руководитель</w:t>
      </w:r>
      <w:r w:rsidRPr="00AF55B1">
        <w:rPr>
          <w:lang w:val="ru-RU"/>
        </w:rPr>
        <w:t xml:space="preserve"> FRMD </w:t>
      </w:r>
      <w:r w:rsidR="00B609ED" w:rsidRPr="00AF55B1">
        <w:rPr>
          <w:lang w:val="ru-RU"/>
        </w:rPr>
        <w:t>говорит, что после одобрения Советом учреждения должности будет произведено снятие средств с Резервного счета на период</w:t>
      </w:r>
      <w:r w:rsidRPr="00AF55B1">
        <w:rPr>
          <w:lang w:val="ru-RU"/>
        </w:rPr>
        <w:t xml:space="preserve"> 2021–2023</w:t>
      </w:r>
      <w:r w:rsidR="00B609ED" w:rsidRPr="00AF55B1">
        <w:rPr>
          <w:lang w:val="ru-RU"/>
        </w:rPr>
        <w:t> годов</w:t>
      </w:r>
      <w:r w:rsidRPr="00AF55B1">
        <w:rPr>
          <w:lang w:val="ru-RU"/>
        </w:rPr>
        <w:t xml:space="preserve">. </w:t>
      </w:r>
      <w:r w:rsidR="00773578" w:rsidRPr="00AF55B1">
        <w:rPr>
          <w:lang w:val="ru-RU"/>
        </w:rPr>
        <w:t xml:space="preserve">Ассигнования для новой должности будут произведены в финансовом плане на </w:t>
      </w:r>
      <w:r w:rsidRPr="00AF55B1">
        <w:rPr>
          <w:lang w:val="ru-RU"/>
        </w:rPr>
        <w:t>2024–2027</w:t>
      </w:r>
      <w:r w:rsidR="00773578" w:rsidRPr="00AF55B1">
        <w:rPr>
          <w:lang w:val="ru-RU"/>
        </w:rPr>
        <w:t> годы</w:t>
      </w:r>
      <w:r w:rsidRPr="00AF55B1">
        <w:rPr>
          <w:lang w:val="ru-RU"/>
        </w:rPr>
        <w:t xml:space="preserve">. </w:t>
      </w:r>
      <w:r w:rsidR="00773578" w:rsidRPr="00AF55B1">
        <w:rPr>
          <w:lang w:val="ru-RU"/>
        </w:rPr>
        <w:t>Отвечая на предложение о финансировании этой должности из внутренней экономии, с учетом текущей глобальной ситуации</w:t>
      </w:r>
      <w:r w:rsidRPr="00AF55B1">
        <w:rPr>
          <w:lang w:val="ru-RU"/>
        </w:rPr>
        <w:t xml:space="preserve">, </w:t>
      </w:r>
      <w:r w:rsidR="00773578" w:rsidRPr="00AF55B1">
        <w:rPr>
          <w:lang w:val="ru-RU"/>
        </w:rPr>
        <w:t>он говорит, что уровень полученных к настоящему времени взносов соразмерим с тем же периодом прошлого года</w:t>
      </w:r>
      <w:r w:rsidRPr="00AF55B1">
        <w:rPr>
          <w:lang w:val="ru-RU"/>
        </w:rPr>
        <w:t xml:space="preserve">. </w:t>
      </w:r>
    </w:p>
    <w:p w14:paraId="5E39932E" w14:textId="4F939C98" w:rsidR="00B5094E" w:rsidRPr="00AF55B1" w:rsidRDefault="00B5094E" w:rsidP="00B5094E">
      <w:pPr>
        <w:rPr>
          <w:rFonts w:asciiTheme="minorHAnsi" w:hAnsiTheme="minorHAnsi" w:cstheme="minorHAnsi"/>
          <w:lang w:val="ru-RU"/>
        </w:rPr>
      </w:pPr>
      <w:r w:rsidRPr="00AF55B1">
        <w:rPr>
          <w:lang w:val="ru-RU"/>
        </w:rPr>
        <w:t>3.14</w:t>
      </w:r>
      <w:r w:rsidRPr="00AF55B1">
        <w:rPr>
          <w:lang w:val="ru-RU"/>
        </w:rPr>
        <w:tab/>
      </w:r>
      <w:r w:rsidR="00773578" w:rsidRPr="00AF55B1">
        <w:rPr>
          <w:lang w:val="ru-RU"/>
        </w:rPr>
        <w:t>Председатель считает, что Советники желают сделать заключение, согласно которому, учитывая</w:t>
      </w:r>
      <w:r w:rsidR="007D6D58" w:rsidRPr="00AF55B1">
        <w:rPr>
          <w:lang w:val="ru-RU"/>
        </w:rPr>
        <w:t>,</w:t>
      </w:r>
      <w:r w:rsidR="00773578" w:rsidRPr="00AF55B1">
        <w:rPr>
          <w:lang w:val="ru-RU"/>
        </w:rPr>
        <w:t xml:space="preserve"> что данный пункт является срочным, будут проведены консультации по переписке </w:t>
      </w:r>
      <w:r w:rsidR="00773578" w:rsidRPr="00AF55B1">
        <w:rPr>
          <w:lang w:val="ru-RU"/>
        </w:rPr>
        <w:lastRenderedPageBreak/>
        <w:t>Государств – Членов Совета для одобрения укрепления функции расследования в МСЭ путем учреждения независимой и специальной должности уровня</w:t>
      </w:r>
      <w:r w:rsidRPr="00AF55B1">
        <w:rPr>
          <w:lang w:val="ru-RU"/>
        </w:rPr>
        <w:t xml:space="preserve"> P.5 </w:t>
      </w:r>
      <w:r w:rsidR="00773578" w:rsidRPr="00AF55B1">
        <w:rPr>
          <w:lang w:val="ru-RU"/>
        </w:rPr>
        <w:t>или</w:t>
      </w:r>
      <w:r w:rsidRPr="00AF55B1">
        <w:rPr>
          <w:lang w:val="ru-RU"/>
        </w:rPr>
        <w:t xml:space="preserve"> P.4</w:t>
      </w:r>
      <w:r w:rsidR="00996A13" w:rsidRPr="00AF55B1">
        <w:rPr>
          <w:lang w:val="ru-RU"/>
        </w:rPr>
        <w:t>, финансируемой за счет снятия средств с Резервного счета</w:t>
      </w:r>
      <w:r w:rsidRPr="00AF55B1">
        <w:rPr>
          <w:lang w:val="ru-RU"/>
        </w:rPr>
        <w:t xml:space="preserve">. </w:t>
      </w:r>
      <w:r w:rsidR="00996A13" w:rsidRPr="00AF55B1">
        <w:rPr>
          <w:lang w:val="ru-RU"/>
        </w:rPr>
        <w:t>Он также считает, что Советники предлагают секретариату принять во внимание комментарии и рекомендации ОИГ и представить пересмотренную версию устава службы внутреннего аудита и расследований сессии Совета</w:t>
      </w:r>
      <w:r w:rsidRPr="00AF55B1">
        <w:rPr>
          <w:rFonts w:asciiTheme="minorHAnsi" w:hAnsiTheme="minorHAnsi" w:cstheme="minorHAnsi"/>
          <w:lang w:val="ru-RU"/>
        </w:rPr>
        <w:t xml:space="preserve"> 2021</w:t>
      </w:r>
      <w:r w:rsidR="00996A13" w:rsidRPr="00AF55B1">
        <w:rPr>
          <w:rFonts w:asciiTheme="minorHAnsi" w:hAnsiTheme="minorHAnsi" w:cstheme="minorHAnsi"/>
          <w:lang w:val="ru-RU"/>
        </w:rPr>
        <w:t> года</w:t>
      </w:r>
      <w:r w:rsidRPr="00AF55B1">
        <w:rPr>
          <w:rFonts w:asciiTheme="minorHAnsi" w:hAnsiTheme="minorHAnsi" w:cstheme="minorHAnsi"/>
          <w:lang w:val="ru-RU"/>
        </w:rPr>
        <w:t>.</w:t>
      </w:r>
    </w:p>
    <w:p w14:paraId="7C1DE7BF" w14:textId="01E7EE41" w:rsidR="006A36F6" w:rsidRPr="00AF55B1" w:rsidRDefault="006A36F6" w:rsidP="006A36F6">
      <w:pPr>
        <w:rPr>
          <w:lang w:val="ru-RU"/>
        </w:rPr>
      </w:pPr>
      <w:r w:rsidRPr="00AF55B1">
        <w:rPr>
          <w:lang w:val="ru-RU"/>
        </w:rPr>
        <w:t>3.</w:t>
      </w:r>
      <w:r w:rsidR="00B5094E" w:rsidRPr="00AF55B1">
        <w:rPr>
          <w:lang w:val="ru-RU"/>
        </w:rPr>
        <w:t>15</w:t>
      </w:r>
      <w:r w:rsidRPr="00AF55B1">
        <w:rPr>
          <w:lang w:val="ru-RU"/>
        </w:rPr>
        <w:tab/>
      </w:r>
      <w:r w:rsidR="00AB3A53" w:rsidRPr="00AF55B1">
        <w:rPr>
          <w:lang w:val="ru-RU"/>
        </w:rPr>
        <w:t>Заключение</w:t>
      </w:r>
      <w:r w:rsidR="00190EA0" w:rsidRPr="00AF55B1">
        <w:rPr>
          <w:lang w:val="ru-RU"/>
        </w:rPr>
        <w:t xml:space="preserve"> </w:t>
      </w:r>
      <w:r w:rsidR="00190EA0" w:rsidRPr="00AF55B1">
        <w:rPr>
          <w:b/>
          <w:lang w:val="ru-RU"/>
        </w:rPr>
        <w:t>принимается</w:t>
      </w:r>
      <w:r w:rsidR="00190EA0" w:rsidRPr="00AF55B1">
        <w:rPr>
          <w:lang w:val="ru-RU"/>
        </w:rPr>
        <w:t>.</w:t>
      </w:r>
    </w:p>
    <w:p w14:paraId="08280E68" w14:textId="0403EC45" w:rsidR="00341EA9" w:rsidRPr="00AF55B1" w:rsidRDefault="00341EA9" w:rsidP="00341EA9">
      <w:pPr>
        <w:pStyle w:val="Heading1"/>
        <w:rPr>
          <w:lang w:val="ru-RU"/>
        </w:rPr>
      </w:pPr>
      <w:r w:rsidRPr="00AF55B1">
        <w:rPr>
          <w:lang w:val="ru-RU"/>
        </w:rPr>
        <w:t>4</w:t>
      </w:r>
      <w:r w:rsidRPr="00AF55B1">
        <w:rPr>
          <w:lang w:val="ru-RU"/>
        </w:rPr>
        <w:tab/>
      </w:r>
      <w:bookmarkStart w:id="6" w:name="lt_pId112"/>
      <w:r w:rsidR="00B5094E" w:rsidRPr="00AF55B1">
        <w:rPr>
          <w:bCs/>
          <w:szCs w:val="22"/>
          <w:lang w:val="ru-RU"/>
        </w:rPr>
        <w:t xml:space="preserve">Назначение нового Внешнего аудитора </w:t>
      </w:r>
      <w:r w:rsidR="009217D8" w:rsidRPr="00AF55B1">
        <w:rPr>
          <w:bCs/>
          <w:szCs w:val="22"/>
          <w:lang w:val="ru-RU"/>
        </w:rPr>
        <w:t>(</w:t>
      </w:r>
      <w:r w:rsidR="00190EA0" w:rsidRPr="00AF55B1">
        <w:rPr>
          <w:bCs/>
          <w:szCs w:val="22"/>
          <w:lang w:val="ru-RU"/>
        </w:rPr>
        <w:t>Документ </w:t>
      </w:r>
      <w:hyperlink r:id="rId29" w:history="1">
        <w:r w:rsidR="00B5094E" w:rsidRPr="00AF55B1">
          <w:rPr>
            <w:rStyle w:val="Hyperlink"/>
            <w:bCs/>
            <w:lang w:val="ru-RU"/>
          </w:rPr>
          <w:t>C20/49</w:t>
        </w:r>
      </w:hyperlink>
      <w:r w:rsidR="009217D8" w:rsidRPr="00AF55B1">
        <w:rPr>
          <w:bCs/>
          <w:szCs w:val="22"/>
          <w:lang w:val="ru-RU"/>
        </w:rPr>
        <w:t>)</w:t>
      </w:r>
      <w:bookmarkEnd w:id="6"/>
    </w:p>
    <w:p w14:paraId="50B6A0EB" w14:textId="2D4363F4" w:rsidR="00B5094E" w:rsidRPr="00AF55B1" w:rsidRDefault="00B5094E" w:rsidP="00B5094E">
      <w:pPr>
        <w:rPr>
          <w:lang w:val="ru-RU"/>
        </w:rPr>
      </w:pPr>
      <w:r w:rsidRPr="00AF55B1">
        <w:rPr>
          <w:lang w:val="ru-RU"/>
        </w:rPr>
        <w:t>4.1</w:t>
      </w:r>
      <w:r w:rsidRPr="00AF55B1">
        <w:rPr>
          <w:lang w:val="ru-RU"/>
        </w:rPr>
        <w:tab/>
      </w:r>
      <w:r w:rsidR="00996A13" w:rsidRPr="00AF55B1">
        <w:rPr>
          <w:lang w:val="ru-RU"/>
        </w:rPr>
        <w:t>Председатель напоминает, что Документ </w:t>
      </w:r>
      <w:r w:rsidRPr="00AF55B1">
        <w:rPr>
          <w:lang w:val="ru-RU"/>
        </w:rPr>
        <w:t xml:space="preserve">C20/49, </w:t>
      </w:r>
      <w:r w:rsidR="00996A13" w:rsidRPr="00AF55B1">
        <w:rPr>
          <w:lang w:val="ru-RU"/>
        </w:rPr>
        <w:t xml:space="preserve">содержащий отчет Комитета по оценке по выбору Внешнего аудитора, подробно обсуждался в ходе </w:t>
      </w:r>
      <w:r w:rsidRPr="00AF55B1">
        <w:rPr>
          <w:lang w:val="ru-RU"/>
        </w:rPr>
        <w:t xml:space="preserve">VCC-1. </w:t>
      </w:r>
      <w:r w:rsidR="00996A13" w:rsidRPr="00AF55B1">
        <w:rPr>
          <w:lang w:val="ru-RU"/>
        </w:rPr>
        <w:t>Было решено продолжить обсуждение на следующем очном собрании Совета, если таковое можно будет провести до конца</w:t>
      </w:r>
      <w:r w:rsidRPr="00AF55B1">
        <w:rPr>
          <w:lang w:val="ru-RU"/>
        </w:rPr>
        <w:t xml:space="preserve"> 2020</w:t>
      </w:r>
      <w:r w:rsidR="00996A13" w:rsidRPr="00AF55B1">
        <w:rPr>
          <w:lang w:val="ru-RU"/>
        </w:rPr>
        <w:t> года</w:t>
      </w:r>
      <w:r w:rsidRPr="00AF55B1">
        <w:rPr>
          <w:lang w:val="ru-RU"/>
        </w:rPr>
        <w:t xml:space="preserve">. </w:t>
      </w:r>
      <w:r w:rsidR="006E6A60" w:rsidRPr="00AF55B1">
        <w:rPr>
          <w:lang w:val="ru-RU"/>
        </w:rPr>
        <w:t>Поскольку это оказалось невозможным, необходимо было рассмотреть альтернативный порядок действий для принятия своевременного решения</w:t>
      </w:r>
      <w:r w:rsidRPr="00AF55B1">
        <w:rPr>
          <w:lang w:val="ru-RU"/>
        </w:rPr>
        <w:t>.</w:t>
      </w:r>
    </w:p>
    <w:p w14:paraId="09482E5E" w14:textId="76C96D5D" w:rsidR="00B5094E" w:rsidRPr="00AF55B1" w:rsidRDefault="00B5094E" w:rsidP="00B5094E">
      <w:pPr>
        <w:rPr>
          <w:lang w:val="ru-RU"/>
        </w:rPr>
      </w:pPr>
      <w:r w:rsidRPr="00AF55B1">
        <w:rPr>
          <w:lang w:val="ru-RU"/>
        </w:rPr>
        <w:t>4.2</w:t>
      </w:r>
      <w:r w:rsidRPr="00AF55B1">
        <w:rPr>
          <w:lang w:val="ru-RU"/>
        </w:rPr>
        <w:tab/>
      </w:r>
      <w:r w:rsidR="006E6A60" w:rsidRPr="00AF55B1">
        <w:rPr>
          <w:lang w:val="ru-RU"/>
        </w:rPr>
        <w:t xml:space="preserve">Представляя отчет о последующих мерах в связи с документом, представитель секретариата говорит, что Председатель Совета в июле 2020 года разослал Государствам – Членам Совета письмо, предлагая задавать вопросы, после того как несколько Советников на </w:t>
      </w:r>
      <w:r w:rsidRPr="00AF55B1">
        <w:rPr>
          <w:lang w:val="ru-RU"/>
        </w:rPr>
        <w:t xml:space="preserve">VCC-1 </w:t>
      </w:r>
      <w:r w:rsidR="006E6A60" w:rsidRPr="00AF55B1">
        <w:rPr>
          <w:lang w:val="ru-RU"/>
        </w:rPr>
        <w:t>запросили дополнительную информацию</w:t>
      </w:r>
      <w:r w:rsidR="00E16AAB" w:rsidRPr="00AF55B1">
        <w:rPr>
          <w:lang w:val="ru-RU"/>
        </w:rPr>
        <w:t xml:space="preserve"> по методике оценки и отбора</w:t>
      </w:r>
      <w:r w:rsidRPr="00AF55B1">
        <w:rPr>
          <w:lang w:val="ru-RU"/>
        </w:rPr>
        <w:t xml:space="preserve">. </w:t>
      </w:r>
      <w:r w:rsidR="00E16AAB" w:rsidRPr="00AF55B1">
        <w:rPr>
          <w:lang w:val="ru-RU"/>
        </w:rPr>
        <w:t>Тем не менее, вопросов не поступило, хотя последовали выражения поддержки и признательности</w:t>
      </w:r>
      <w:r w:rsidRPr="00AF55B1">
        <w:rPr>
          <w:lang w:val="ru-RU"/>
        </w:rPr>
        <w:t>.</w:t>
      </w:r>
    </w:p>
    <w:p w14:paraId="31277B34" w14:textId="2AF71A38" w:rsidR="00B5094E" w:rsidRPr="00AF55B1" w:rsidRDefault="00B5094E" w:rsidP="00B5094E">
      <w:pPr>
        <w:rPr>
          <w:lang w:val="ru-RU"/>
        </w:rPr>
      </w:pPr>
      <w:r w:rsidRPr="00AF55B1">
        <w:rPr>
          <w:lang w:val="ru-RU"/>
        </w:rPr>
        <w:t>4.3</w:t>
      </w:r>
      <w:r w:rsidRPr="00AF55B1">
        <w:rPr>
          <w:lang w:val="ru-RU"/>
        </w:rPr>
        <w:tab/>
      </w:r>
      <w:r w:rsidR="00794215" w:rsidRPr="00AF55B1">
        <w:rPr>
          <w:lang w:val="ru-RU"/>
        </w:rPr>
        <w:t xml:space="preserve">Одна из Советников высказывает высокую оценку, данную ее страной работе Комитета по оценке, и согласие на назначение </w:t>
      </w:r>
      <w:r w:rsidR="00794215" w:rsidRPr="00AF55B1">
        <w:rPr>
          <w:color w:val="000000"/>
          <w:lang w:val="ru-RU"/>
        </w:rPr>
        <w:t>Национального ревизионного управления Соединенного Королевства</w:t>
      </w:r>
      <w:r w:rsidR="00794215" w:rsidRPr="00AF55B1">
        <w:rPr>
          <w:lang w:val="ru-RU"/>
        </w:rPr>
        <w:t xml:space="preserve"> Внешним аудитором</w:t>
      </w:r>
      <w:r w:rsidRPr="00AF55B1">
        <w:rPr>
          <w:lang w:val="ru-RU"/>
        </w:rPr>
        <w:t>.</w:t>
      </w:r>
    </w:p>
    <w:p w14:paraId="52AE566D" w14:textId="6CEB5C31" w:rsidR="00B5094E" w:rsidRPr="00AF55B1" w:rsidRDefault="00B5094E" w:rsidP="00B5094E">
      <w:pPr>
        <w:rPr>
          <w:lang w:val="ru-RU"/>
        </w:rPr>
      </w:pPr>
      <w:r w:rsidRPr="00AF55B1">
        <w:rPr>
          <w:lang w:val="ru-RU"/>
        </w:rPr>
        <w:t>4.4</w:t>
      </w:r>
      <w:r w:rsidRPr="00AF55B1">
        <w:rPr>
          <w:lang w:val="ru-RU"/>
        </w:rPr>
        <w:tab/>
      </w:r>
      <w:r w:rsidR="00794215" w:rsidRPr="00AF55B1">
        <w:rPr>
          <w:lang w:val="ru-RU"/>
        </w:rPr>
        <w:t>Председатель отмечает, что важно наконец уведомить учреждения-кандидаты об итогах работы Комитета по оценке</w:t>
      </w:r>
      <w:r w:rsidR="003E2A0B" w:rsidRPr="00AF55B1">
        <w:rPr>
          <w:lang w:val="ru-RU"/>
        </w:rPr>
        <w:t>, и напоминает, что их заявки остаются действительными только до апреля 2021 года, перед следующей запланированной сессией Совета</w:t>
      </w:r>
      <w:r w:rsidRPr="00AF55B1">
        <w:rPr>
          <w:lang w:val="ru-RU"/>
        </w:rPr>
        <w:t xml:space="preserve">. </w:t>
      </w:r>
      <w:r w:rsidR="003E2A0B" w:rsidRPr="00AF55B1">
        <w:rPr>
          <w:lang w:val="ru-RU"/>
        </w:rPr>
        <w:t>Вследствие этого, и поскольку дополнительных вопросов не было получено, он считает, что Советники желают сделать заключение, согласно которому, учитывая</w:t>
      </w:r>
      <w:r w:rsidR="007D6D58" w:rsidRPr="00AF55B1">
        <w:rPr>
          <w:lang w:val="ru-RU"/>
        </w:rPr>
        <w:t>,</w:t>
      </w:r>
      <w:r w:rsidR="003E2A0B" w:rsidRPr="00AF55B1">
        <w:rPr>
          <w:lang w:val="ru-RU"/>
        </w:rPr>
        <w:t xml:space="preserve"> что данный пункт является срочным, будут проведены консультации по переписке Государств – Членов Совета для принятия проекта решения, содержащегося в Приложении А к Документу </w:t>
      </w:r>
      <w:r w:rsidRPr="00AF55B1">
        <w:rPr>
          <w:lang w:val="ru-RU"/>
        </w:rPr>
        <w:t>C20/49.</w:t>
      </w:r>
    </w:p>
    <w:p w14:paraId="10C0F0B3" w14:textId="1C40926A" w:rsidR="009217D8" w:rsidRPr="00AF55B1" w:rsidRDefault="009217D8" w:rsidP="009217D8">
      <w:pPr>
        <w:rPr>
          <w:color w:val="000000" w:themeColor="text1"/>
          <w:lang w:val="ru-RU"/>
        </w:rPr>
      </w:pPr>
      <w:r w:rsidRPr="00AF55B1">
        <w:rPr>
          <w:color w:val="000000" w:themeColor="text1"/>
          <w:lang w:val="ru-RU"/>
        </w:rPr>
        <w:t>4.</w:t>
      </w:r>
      <w:r w:rsidR="00B5094E" w:rsidRPr="00AF55B1">
        <w:rPr>
          <w:color w:val="000000" w:themeColor="text1"/>
          <w:lang w:val="ru-RU"/>
        </w:rPr>
        <w:t>5</w:t>
      </w:r>
      <w:r w:rsidRPr="00AF55B1">
        <w:rPr>
          <w:color w:val="000000" w:themeColor="text1"/>
          <w:lang w:val="ru-RU"/>
        </w:rPr>
        <w:tab/>
      </w:r>
      <w:r w:rsidR="00AB3A53" w:rsidRPr="00AF55B1">
        <w:rPr>
          <w:lang w:val="ru-RU"/>
        </w:rPr>
        <w:t>Заключение</w:t>
      </w:r>
      <w:r w:rsidR="00190EA0" w:rsidRPr="00AF55B1">
        <w:rPr>
          <w:color w:val="000000" w:themeColor="text1"/>
          <w:lang w:val="ru-RU"/>
        </w:rPr>
        <w:t xml:space="preserve"> </w:t>
      </w:r>
      <w:r w:rsidR="00190EA0" w:rsidRPr="00AF55B1">
        <w:rPr>
          <w:b/>
          <w:color w:val="000000" w:themeColor="text1"/>
          <w:lang w:val="ru-RU"/>
        </w:rPr>
        <w:t>принимается</w:t>
      </w:r>
      <w:r w:rsidR="00190EA0" w:rsidRPr="00AF55B1">
        <w:rPr>
          <w:color w:val="000000" w:themeColor="text1"/>
          <w:lang w:val="ru-RU"/>
        </w:rPr>
        <w:t>.</w:t>
      </w:r>
    </w:p>
    <w:p w14:paraId="13C28FBA" w14:textId="190735F4" w:rsidR="00341EA9" w:rsidRPr="00AF55B1" w:rsidRDefault="00341EA9" w:rsidP="00341EA9">
      <w:pPr>
        <w:pStyle w:val="Heading1"/>
        <w:rPr>
          <w:bCs/>
          <w:lang w:val="ru-RU"/>
        </w:rPr>
      </w:pPr>
      <w:r w:rsidRPr="00AF55B1">
        <w:rPr>
          <w:bCs/>
          <w:lang w:val="ru-RU"/>
        </w:rPr>
        <w:t>5</w:t>
      </w:r>
      <w:r w:rsidRPr="00AF55B1">
        <w:rPr>
          <w:bCs/>
          <w:lang w:val="ru-RU"/>
        </w:rPr>
        <w:tab/>
      </w:r>
      <w:r w:rsidR="00B5094E" w:rsidRPr="00AF55B1">
        <w:rPr>
          <w:bCs/>
          <w:szCs w:val="22"/>
          <w:lang w:val="ru-RU"/>
        </w:rPr>
        <w:t>Отчет о ходе осуществления проекта по помещениям штаб-квартиры Союза и</w:t>
      </w:r>
      <w:r w:rsidR="00B5094E" w:rsidRPr="00AF55B1">
        <w:rPr>
          <w:lang w:val="ru-RU"/>
        </w:rPr>
        <w:t xml:space="preserve"> </w:t>
      </w:r>
      <w:r w:rsidR="00B5094E" w:rsidRPr="00AF55B1">
        <w:rPr>
          <w:bCs/>
          <w:szCs w:val="22"/>
          <w:lang w:val="ru-RU"/>
        </w:rPr>
        <w:t>краткий отчет о работе Консультативной группы Государств-Членов (КГГЧ) по проекту, связанному с помещениями штаб-квартиры Союза</w:t>
      </w:r>
      <w:r w:rsidR="00380AAF" w:rsidRPr="00AF55B1">
        <w:rPr>
          <w:bCs/>
          <w:szCs w:val="22"/>
          <w:lang w:val="ru-RU"/>
        </w:rPr>
        <w:br/>
      </w:r>
      <w:bookmarkStart w:id="7" w:name="lt_pId171"/>
      <w:r w:rsidR="00380AAF" w:rsidRPr="00AF55B1">
        <w:rPr>
          <w:bCs/>
          <w:szCs w:val="22"/>
          <w:lang w:val="ru-RU"/>
        </w:rPr>
        <w:t>(</w:t>
      </w:r>
      <w:r w:rsidR="00190EA0" w:rsidRPr="00AF55B1">
        <w:rPr>
          <w:bCs/>
          <w:szCs w:val="22"/>
          <w:lang w:val="ru-RU"/>
        </w:rPr>
        <w:t>Документ</w:t>
      </w:r>
      <w:r w:rsidR="00B5094E" w:rsidRPr="00AF55B1">
        <w:rPr>
          <w:bCs/>
          <w:szCs w:val="22"/>
          <w:lang w:val="ru-RU"/>
        </w:rPr>
        <w:t>ы</w:t>
      </w:r>
      <w:r w:rsidR="00190EA0" w:rsidRPr="00AF55B1">
        <w:rPr>
          <w:bCs/>
          <w:szCs w:val="22"/>
          <w:lang w:val="ru-RU"/>
        </w:rPr>
        <w:t> </w:t>
      </w:r>
      <w:hyperlink r:id="rId30" w:history="1">
        <w:r w:rsidR="00B5094E" w:rsidRPr="00AF55B1">
          <w:rPr>
            <w:rStyle w:val="Hyperlink"/>
            <w:bCs/>
            <w:lang w:val="ru-RU"/>
          </w:rPr>
          <w:t>C20/7(Rev.1)</w:t>
        </w:r>
      </w:hyperlink>
      <w:r w:rsidR="00B5094E" w:rsidRPr="00AF55B1">
        <w:rPr>
          <w:bCs/>
          <w:lang w:val="ru-RU"/>
        </w:rPr>
        <w:t xml:space="preserve">, </w:t>
      </w:r>
      <w:hyperlink r:id="rId31" w:history="1">
        <w:r w:rsidR="00B5094E" w:rsidRPr="00AF55B1">
          <w:rPr>
            <w:rStyle w:val="Hyperlink"/>
            <w:bCs/>
            <w:lang w:val="ru-RU"/>
          </w:rPr>
          <w:t>C20/48(Rev.1)</w:t>
        </w:r>
      </w:hyperlink>
      <w:r w:rsidR="00B5094E" w:rsidRPr="00AF55B1">
        <w:rPr>
          <w:bCs/>
          <w:lang w:val="ru-RU"/>
        </w:rPr>
        <w:t xml:space="preserve">, </w:t>
      </w:r>
      <w:hyperlink r:id="rId32" w:history="1">
        <w:r w:rsidR="00B5094E" w:rsidRPr="00AF55B1">
          <w:rPr>
            <w:rStyle w:val="Hyperlink"/>
            <w:bCs/>
            <w:lang w:val="ru-RU"/>
          </w:rPr>
          <w:t>C20/77</w:t>
        </w:r>
      </w:hyperlink>
      <w:r w:rsidR="00B5094E" w:rsidRPr="00AF55B1">
        <w:rPr>
          <w:bCs/>
          <w:lang w:val="ru-RU"/>
        </w:rPr>
        <w:t xml:space="preserve">, </w:t>
      </w:r>
      <w:hyperlink r:id="rId33" w:history="1">
        <w:r w:rsidR="00B5094E" w:rsidRPr="00AF55B1">
          <w:rPr>
            <w:rStyle w:val="Hyperlink"/>
            <w:bCs/>
            <w:lang w:val="ru-RU"/>
          </w:rPr>
          <w:t>C20/INF/20</w:t>
        </w:r>
      </w:hyperlink>
      <w:r w:rsidR="00B5094E" w:rsidRPr="00AF55B1">
        <w:rPr>
          <w:bCs/>
          <w:lang w:val="ru-RU"/>
        </w:rPr>
        <w:t xml:space="preserve"> и </w:t>
      </w:r>
      <w:hyperlink r:id="rId34" w:history="1">
        <w:r w:rsidR="00B5094E" w:rsidRPr="00AF55B1">
          <w:rPr>
            <w:rStyle w:val="Hyperlink"/>
            <w:bCs/>
            <w:lang w:val="ru-RU"/>
          </w:rPr>
          <w:t>C20/INF/21</w:t>
        </w:r>
      </w:hyperlink>
      <w:r w:rsidR="00380AAF" w:rsidRPr="00AF55B1">
        <w:rPr>
          <w:bCs/>
          <w:szCs w:val="22"/>
          <w:lang w:val="ru-RU"/>
        </w:rPr>
        <w:t>)</w:t>
      </w:r>
      <w:bookmarkEnd w:id="7"/>
    </w:p>
    <w:p w14:paraId="6AB792A8" w14:textId="68AB29C7" w:rsidR="00B5094E" w:rsidRPr="00AF55B1" w:rsidRDefault="00B5094E" w:rsidP="00B5094E">
      <w:pPr>
        <w:rPr>
          <w:lang w:val="ru-RU"/>
        </w:rPr>
      </w:pPr>
      <w:bookmarkStart w:id="8" w:name="lt_pId080"/>
      <w:r w:rsidRPr="00AF55B1">
        <w:rPr>
          <w:lang w:val="ru-RU"/>
        </w:rPr>
        <w:t>5.1</w:t>
      </w:r>
      <w:r w:rsidRPr="00AF55B1">
        <w:rPr>
          <w:lang w:val="ru-RU"/>
        </w:rPr>
        <w:tab/>
      </w:r>
      <w:r w:rsidR="003E2A0B" w:rsidRPr="00AF55B1">
        <w:rPr>
          <w:lang w:val="ru-RU"/>
        </w:rPr>
        <w:t>Представитель секретариата представляет Документ </w:t>
      </w:r>
      <w:r w:rsidRPr="00AF55B1">
        <w:rPr>
          <w:lang w:val="ru-RU"/>
        </w:rPr>
        <w:t xml:space="preserve">C20/7(Rev.1), </w:t>
      </w:r>
      <w:r w:rsidR="003E2A0B" w:rsidRPr="00AF55B1">
        <w:rPr>
          <w:lang w:val="ru-RU"/>
        </w:rPr>
        <w:t>в котором, как она отмечает, содержится краткое изложение хода работы по проекту нового здания штаб-квартиры Союза после</w:t>
      </w:r>
      <w:r w:rsidRPr="00AF55B1">
        <w:rPr>
          <w:lang w:val="ru-RU"/>
        </w:rPr>
        <w:t xml:space="preserve"> VCC-1. </w:t>
      </w:r>
      <w:r w:rsidR="003E2A0B" w:rsidRPr="00AF55B1">
        <w:rPr>
          <w:lang w:val="ru-RU"/>
        </w:rPr>
        <w:t>Были проведены семинары-практикумы и семинары</w:t>
      </w:r>
      <w:r w:rsidR="00C33A42" w:rsidRPr="00AF55B1">
        <w:rPr>
          <w:lang w:val="ru-RU"/>
        </w:rPr>
        <w:t xml:space="preserve">, чтобы дать проектировщикам возможность доработать </w:t>
      </w:r>
      <w:r w:rsidR="00C33A42" w:rsidRPr="00AF55B1">
        <w:rPr>
          <w:color w:val="000000"/>
          <w:lang w:val="ru-RU"/>
        </w:rPr>
        <w:t>оценку затрат на этап 4.32, которая должна быть готова к концу ноября</w:t>
      </w:r>
      <w:r w:rsidRPr="00AF55B1">
        <w:rPr>
          <w:lang w:val="ru-RU"/>
        </w:rPr>
        <w:t xml:space="preserve"> 2020</w:t>
      </w:r>
      <w:r w:rsidR="00C33A42" w:rsidRPr="00AF55B1">
        <w:rPr>
          <w:lang w:val="ru-RU"/>
        </w:rPr>
        <w:t> года</w:t>
      </w:r>
      <w:r w:rsidRPr="00AF55B1">
        <w:rPr>
          <w:lang w:val="ru-RU"/>
        </w:rPr>
        <w:t xml:space="preserve">. </w:t>
      </w:r>
      <w:r w:rsidR="00C33A42" w:rsidRPr="00AF55B1">
        <w:rPr>
          <w:lang w:val="ru-RU"/>
        </w:rPr>
        <w:t>Работа над проектом ведется по графику и в рамках согласованного бюджета несмотря на пандемию, но еще рано прогнозировать, какое влияние в кон</w:t>
      </w:r>
      <w:r w:rsidR="00D128F6" w:rsidRPr="00AF55B1">
        <w:rPr>
          <w:lang w:val="ru-RU"/>
        </w:rPr>
        <w:t>еч</w:t>
      </w:r>
      <w:r w:rsidR="00C33A42" w:rsidRPr="00AF55B1">
        <w:rPr>
          <w:lang w:val="ru-RU"/>
        </w:rPr>
        <w:t>ном счете окажет</w:t>
      </w:r>
      <w:r w:rsidRPr="00AF55B1">
        <w:rPr>
          <w:lang w:val="ru-RU"/>
        </w:rPr>
        <w:t xml:space="preserve"> COVID-19. </w:t>
      </w:r>
      <w:r w:rsidR="00C33A42" w:rsidRPr="00AF55B1">
        <w:rPr>
          <w:lang w:val="ru-RU"/>
        </w:rPr>
        <w:t xml:space="preserve">Вследствие этого секретариат привлекает экспертов для разработки </w:t>
      </w:r>
      <w:r w:rsidR="00C33A42" w:rsidRPr="00AF55B1">
        <w:rPr>
          <w:color w:val="000000"/>
          <w:lang w:val="ru-RU"/>
        </w:rPr>
        <w:t>плана реализации стратегии по условиям работы персонала</w:t>
      </w:r>
      <w:r w:rsidR="00C33A42" w:rsidRPr="00AF55B1">
        <w:rPr>
          <w:lang w:val="ru-RU"/>
        </w:rPr>
        <w:t xml:space="preserve"> и проведения анализа рабочих мест после пандемии </w:t>
      </w:r>
      <w:r w:rsidRPr="00AF55B1">
        <w:rPr>
          <w:lang w:val="ru-RU"/>
        </w:rPr>
        <w:t xml:space="preserve">COVID </w:t>
      </w:r>
      <w:r w:rsidR="00C33A42" w:rsidRPr="00AF55B1">
        <w:rPr>
          <w:lang w:val="ru-RU"/>
        </w:rPr>
        <w:t>для определения воздействия на персонал МСЭ и проект здания</w:t>
      </w:r>
      <w:r w:rsidRPr="00AF55B1">
        <w:rPr>
          <w:lang w:val="ru-RU"/>
        </w:rPr>
        <w:t>.</w:t>
      </w:r>
    </w:p>
    <w:p w14:paraId="1F821D8A" w14:textId="2C0BC856" w:rsidR="00B5094E" w:rsidRPr="00AF55B1" w:rsidRDefault="00B5094E" w:rsidP="00B5094E">
      <w:pPr>
        <w:rPr>
          <w:lang w:val="ru-RU"/>
        </w:rPr>
      </w:pPr>
      <w:r w:rsidRPr="00AF55B1">
        <w:rPr>
          <w:lang w:val="ru-RU"/>
        </w:rPr>
        <w:t>5.2</w:t>
      </w:r>
      <w:r w:rsidRPr="00AF55B1">
        <w:rPr>
          <w:lang w:val="ru-RU"/>
        </w:rPr>
        <w:tab/>
      </w:r>
      <w:r w:rsidR="00C33A42" w:rsidRPr="00AF55B1">
        <w:rPr>
          <w:lang w:val="ru-RU"/>
        </w:rPr>
        <w:t>Она также представляет Документ </w:t>
      </w:r>
      <w:r w:rsidRPr="00AF55B1">
        <w:rPr>
          <w:lang w:val="ru-RU"/>
        </w:rPr>
        <w:t xml:space="preserve">C20/77, </w:t>
      </w:r>
      <w:r w:rsidR="00D34BC9" w:rsidRPr="00AF55B1">
        <w:rPr>
          <w:lang w:val="ru-RU"/>
        </w:rPr>
        <w:t xml:space="preserve">в котором содержится отчет по анализу вариантов продажи здания "Башня", проведенному по рекомендации </w:t>
      </w:r>
      <w:r w:rsidR="00D34BC9" w:rsidRPr="00AF55B1">
        <w:rPr>
          <w:color w:val="000000"/>
          <w:lang w:val="ru-RU"/>
        </w:rPr>
        <w:t>КГГЧ</w:t>
      </w:r>
      <w:r w:rsidRPr="00AF55B1">
        <w:rPr>
          <w:lang w:val="ru-RU"/>
        </w:rPr>
        <w:t xml:space="preserve">. </w:t>
      </w:r>
      <w:r w:rsidR="00243542" w:rsidRPr="00AF55B1">
        <w:rPr>
          <w:lang w:val="ru-RU"/>
        </w:rPr>
        <w:t xml:space="preserve">Нет острой необходимости принимать решение немедленно, поскольку МСЭ </w:t>
      </w:r>
      <w:r w:rsidR="00D128F6" w:rsidRPr="00AF55B1">
        <w:rPr>
          <w:lang w:val="ru-RU"/>
        </w:rPr>
        <w:t xml:space="preserve">еще </w:t>
      </w:r>
      <w:r w:rsidR="00243542" w:rsidRPr="00AF55B1">
        <w:rPr>
          <w:lang w:val="ru-RU"/>
        </w:rPr>
        <w:t>требуется приступить к проведению административных процедур с принимающей страной в отношении продажи здания "Башня"</w:t>
      </w:r>
      <w:r w:rsidRPr="00AF55B1">
        <w:rPr>
          <w:lang w:val="ru-RU"/>
        </w:rPr>
        <w:t xml:space="preserve">. </w:t>
      </w:r>
      <w:r w:rsidR="00243542" w:rsidRPr="00AF55B1">
        <w:rPr>
          <w:lang w:val="ru-RU"/>
        </w:rPr>
        <w:lastRenderedPageBreak/>
        <w:t>В</w:t>
      </w:r>
      <w:r w:rsidR="00D128F6" w:rsidRPr="00AF55B1">
        <w:rPr>
          <w:lang w:val="ru-RU"/>
        </w:rPr>
        <w:t> </w:t>
      </w:r>
      <w:r w:rsidR="00243542" w:rsidRPr="00AF55B1">
        <w:rPr>
          <w:lang w:val="ru-RU"/>
        </w:rPr>
        <w:t>соответствии с этим Советникам предлагается рассмотреть документ в ожидании принятия решения на Совете</w:t>
      </w:r>
      <w:r w:rsidR="00243542" w:rsidRPr="00AF55B1">
        <w:rPr>
          <w:lang w:val="ru-RU"/>
        </w:rPr>
        <w:noBreakHyphen/>
      </w:r>
      <w:r w:rsidRPr="00AF55B1">
        <w:rPr>
          <w:lang w:val="ru-RU"/>
        </w:rPr>
        <w:t>21.</w:t>
      </w:r>
    </w:p>
    <w:p w14:paraId="5DB3EDD4" w14:textId="4C26F887" w:rsidR="00B5094E" w:rsidRPr="00AF55B1" w:rsidRDefault="00B5094E" w:rsidP="00B5094E">
      <w:pPr>
        <w:rPr>
          <w:lang w:val="ru-RU"/>
        </w:rPr>
      </w:pPr>
      <w:r w:rsidRPr="00AF55B1">
        <w:rPr>
          <w:lang w:val="ru-RU"/>
        </w:rPr>
        <w:t>5.3</w:t>
      </w:r>
      <w:r w:rsidRPr="00AF55B1">
        <w:rPr>
          <w:lang w:val="ru-RU"/>
        </w:rPr>
        <w:tab/>
      </w:r>
      <w:r w:rsidR="00243542" w:rsidRPr="00AF55B1">
        <w:rPr>
          <w:lang w:val="ru-RU"/>
        </w:rPr>
        <w:t>Председатель</w:t>
      </w:r>
      <w:r w:rsidRPr="00AF55B1">
        <w:rPr>
          <w:lang w:val="ru-RU"/>
        </w:rPr>
        <w:t xml:space="preserve"> </w:t>
      </w:r>
      <w:r w:rsidR="00243542" w:rsidRPr="00AF55B1">
        <w:rPr>
          <w:color w:val="000000"/>
          <w:lang w:val="ru-RU"/>
        </w:rPr>
        <w:t>КГГЧ</w:t>
      </w:r>
      <w:r w:rsidRPr="00AF55B1">
        <w:rPr>
          <w:lang w:val="ru-RU"/>
        </w:rPr>
        <w:t xml:space="preserve"> </w:t>
      </w:r>
      <w:r w:rsidR="00243542" w:rsidRPr="00AF55B1">
        <w:rPr>
          <w:lang w:val="ru-RU"/>
        </w:rPr>
        <w:t>представляет Документ </w:t>
      </w:r>
      <w:r w:rsidRPr="00AF55B1">
        <w:rPr>
          <w:lang w:val="ru-RU"/>
        </w:rPr>
        <w:t xml:space="preserve">C20/48(Rev.1), </w:t>
      </w:r>
      <w:r w:rsidR="00243542" w:rsidRPr="00AF55B1">
        <w:rPr>
          <w:lang w:val="ru-RU"/>
        </w:rPr>
        <w:t>в котором содержится информация о работе</w:t>
      </w:r>
      <w:r w:rsidRPr="00AF55B1">
        <w:rPr>
          <w:lang w:val="ru-RU"/>
        </w:rPr>
        <w:t xml:space="preserve"> </w:t>
      </w:r>
      <w:r w:rsidR="00243542" w:rsidRPr="00AF55B1">
        <w:rPr>
          <w:color w:val="000000"/>
          <w:lang w:val="ru-RU"/>
        </w:rPr>
        <w:t>КГГЧ</w:t>
      </w:r>
      <w:r w:rsidRPr="00AF55B1">
        <w:rPr>
          <w:lang w:val="ru-RU"/>
        </w:rPr>
        <w:t xml:space="preserve"> </w:t>
      </w:r>
      <w:r w:rsidR="00243542" w:rsidRPr="00AF55B1">
        <w:rPr>
          <w:lang w:val="ru-RU"/>
        </w:rPr>
        <w:t>после</w:t>
      </w:r>
      <w:r w:rsidRPr="00AF55B1">
        <w:rPr>
          <w:lang w:val="ru-RU"/>
        </w:rPr>
        <w:t xml:space="preserve"> VCC-1. </w:t>
      </w:r>
      <w:r w:rsidR="00243542" w:rsidRPr="00AF55B1">
        <w:rPr>
          <w:lang w:val="ru-RU"/>
        </w:rPr>
        <w:t xml:space="preserve">В то же время </w:t>
      </w:r>
      <w:r w:rsidR="007D6D58" w:rsidRPr="00AF55B1">
        <w:rPr>
          <w:lang w:val="ru-RU"/>
        </w:rPr>
        <w:t xml:space="preserve">в нем </w:t>
      </w:r>
      <w:r w:rsidR="00243542" w:rsidRPr="00AF55B1">
        <w:rPr>
          <w:lang w:val="ru-RU"/>
        </w:rPr>
        <w:t>не охва</w:t>
      </w:r>
      <w:r w:rsidR="007D6D58" w:rsidRPr="00AF55B1">
        <w:rPr>
          <w:lang w:val="ru-RU"/>
        </w:rPr>
        <w:t xml:space="preserve">чено </w:t>
      </w:r>
      <w:r w:rsidR="00243542" w:rsidRPr="00AF55B1">
        <w:rPr>
          <w:lang w:val="ru-RU"/>
        </w:rPr>
        <w:t>12</w:t>
      </w:r>
      <w:r w:rsidR="00243542" w:rsidRPr="00AF55B1">
        <w:rPr>
          <w:lang w:val="ru-RU"/>
        </w:rPr>
        <w:noBreakHyphen/>
      </w:r>
      <w:r w:rsidR="007D6D58" w:rsidRPr="00AF55B1">
        <w:rPr>
          <w:lang w:val="ru-RU"/>
        </w:rPr>
        <w:t>е</w:t>
      </w:r>
      <w:r w:rsidR="00243542" w:rsidRPr="00AF55B1">
        <w:rPr>
          <w:lang w:val="ru-RU"/>
        </w:rPr>
        <w:t xml:space="preserve"> собрани</w:t>
      </w:r>
      <w:r w:rsidR="007D6D58" w:rsidRPr="00AF55B1">
        <w:rPr>
          <w:lang w:val="ru-RU"/>
        </w:rPr>
        <w:t>е</w:t>
      </w:r>
      <w:r w:rsidRPr="00AF55B1">
        <w:rPr>
          <w:lang w:val="ru-RU"/>
        </w:rPr>
        <w:t xml:space="preserve"> </w:t>
      </w:r>
      <w:r w:rsidR="00243542" w:rsidRPr="00AF55B1">
        <w:rPr>
          <w:color w:val="000000"/>
          <w:lang w:val="ru-RU"/>
        </w:rPr>
        <w:t>КГГЧ, которое прошло</w:t>
      </w:r>
      <w:r w:rsidRPr="00AF55B1">
        <w:rPr>
          <w:lang w:val="ru-RU"/>
        </w:rPr>
        <w:t xml:space="preserve"> 12</w:t>
      </w:r>
      <w:r w:rsidR="006D4575" w:rsidRPr="00AF55B1">
        <w:rPr>
          <w:lang w:val="ru-RU"/>
        </w:rPr>
        <w:t> ноября</w:t>
      </w:r>
      <w:r w:rsidRPr="00AF55B1">
        <w:rPr>
          <w:lang w:val="ru-RU"/>
        </w:rPr>
        <w:t xml:space="preserve"> 2020</w:t>
      </w:r>
      <w:r w:rsidR="006D4575" w:rsidRPr="00AF55B1">
        <w:rPr>
          <w:lang w:val="ru-RU"/>
        </w:rPr>
        <w:t> года и на котором члены</w:t>
      </w:r>
      <w:r w:rsidRPr="00AF55B1">
        <w:rPr>
          <w:lang w:val="ru-RU"/>
        </w:rPr>
        <w:t xml:space="preserve"> </w:t>
      </w:r>
      <w:r w:rsidR="00243542" w:rsidRPr="00AF55B1">
        <w:rPr>
          <w:color w:val="000000"/>
          <w:lang w:val="ru-RU"/>
        </w:rPr>
        <w:t>КГГЧ</w:t>
      </w:r>
      <w:r w:rsidRPr="00AF55B1">
        <w:rPr>
          <w:lang w:val="ru-RU"/>
        </w:rPr>
        <w:t xml:space="preserve"> </w:t>
      </w:r>
      <w:r w:rsidR="006D4575" w:rsidRPr="00AF55B1">
        <w:rPr>
          <w:lang w:val="ru-RU"/>
        </w:rPr>
        <w:t>обсудили отчет</w:t>
      </w:r>
      <w:r w:rsidR="00F30774" w:rsidRPr="00AF55B1">
        <w:rPr>
          <w:lang w:val="ru-RU"/>
        </w:rPr>
        <w:t>, содержащийся в Документе </w:t>
      </w:r>
      <w:r w:rsidRPr="00AF55B1">
        <w:rPr>
          <w:lang w:val="ru-RU"/>
        </w:rPr>
        <w:t xml:space="preserve">C20/7(Rev.1), </w:t>
      </w:r>
      <w:r w:rsidR="00F30774" w:rsidRPr="00AF55B1">
        <w:rPr>
          <w:lang w:val="ru-RU"/>
        </w:rPr>
        <w:t>рассмотрели девять пересмотренных в последнее время пунктов реестра рисков, запросили уточнений по отчетам, содержащимся в Документах </w:t>
      </w:r>
      <w:r w:rsidRPr="00AF55B1">
        <w:rPr>
          <w:lang w:val="ru-RU"/>
        </w:rPr>
        <w:t xml:space="preserve">C20/77 </w:t>
      </w:r>
      <w:r w:rsidR="00F30774" w:rsidRPr="00AF55B1">
        <w:rPr>
          <w:lang w:val="ru-RU"/>
        </w:rPr>
        <w:t>и</w:t>
      </w:r>
      <w:r w:rsidRPr="00AF55B1">
        <w:rPr>
          <w:lang w:val="ru-RU"/>
        </w:rPr>
        <w:t xml:space="preserve"> C20/INF/20</w:t>
      </w:r>
      <w:r w:rsidR="00F30774" w:rsidRPr="00AF55B1">
        <w:rPr>
          <w:lang w:val="ru-RU"/>
        </w:rPr>
        <w:t xml:space="preserve">, и рассмотрели последствия пандемии </w:t>
      </w:r>
      <w:r w:rsidRPr="00AF55B1">
        <w:rPr>
          <w:lang w:val="ru-RU"/>
        </w:rPr>
        <w:t xml:space="preserve">COVID </w:t>
      </w:r>
      <w:r w:rsidR="00F30774" w:rsidRPr="00AF55B1">
        <w:rPr>
          <w:lang w:val="ru-RU"/>
        </w:rPr>
        <w:t>для проекта, которые описываются в Документе </w:t>
      </w:r>
      <w:r w:rsidRPr="00AF55B1">
        <w:rPr>
          <w:lang w:val="ru-RU"/>
        </w:rPr>
        <w:t xml:space="preserve">C20/INF/21. </w:t>
      </w:r>
      <w:r w:rsidR="00B44248" w:rsidRPr="00AF55B1">
        <w:rPr>
          <w:lang w:val="ru-RU"/>
        </w:rPr>
        <w:t>Он предлагает Советникам принять отчет к сведению, но обращает внимание на два вопроса, заслуживающие внимания в ближайшей перспективе</w:t>
      </w:r>
      <w:r w:rsidRPr="00AF55B1">
        <w:rPr>
          <w:lang w:val="ru-RU"/>
        </w:rPr>
        <w:t xml:space="preserve">: </w:t>
      </w:r>
      <w:r w:rsidR="00B44248" w:rsidRPr="00AF55B1">
        <w:rPr>
          <w:lang w:val="ru-RU"/>
        </w:rPr>
        <w:t>в фонде реестра рисков недостаточно средств, требующихся в соответствии с Решением 619 Совета</w:t>
      </w:r>
      <w:r w:rsidRPr="00AF55B1">
        <w:rPr>
          <w:lang w:val="ru-RU"/>
        </w:rPr>
        <w:t xml:space="preserve">; </w:t>
      </w:r>
      <w:r w:rsidR="00E344E1" w:rsidRPr="00AF55B1">
        <w:rPr>
          <w:lang w:val="ru-RU"/>
        </w:rPr>
        <w:t>и необходимо пересмотреть политику МСЭ в отношении телеработы и назначенных рабочих мест, чтобы сократить среднюю занятость мест на треть и тем самым гарантировать, что новое здание будет достаточным для существующего персонала, если необходимо будет соблюдать социальную дистанцию</w:t>
      </w:r>
      <w:r w:rsidRPr="00AF55B1">
        <w:rPr>
          <w:lang w:val="ru-RU"/>
        </w:rPr>
        <w:t xml:space="preserve">. </w:t>
      </w:r>
      <w:r w:rsidR="00E344E1" w:rsidRPr="00AF55B1">
        <w:rPr>
          <w:lang w:val="ru-RU"/>
        </w:rPr>
        <w:t xml:space="preserve">Он благодарит членов </w:t>
      </w:r>
      <w:r w:rsidR="00E344E1" w:rsidRPr="00AF55B1">
        <w:rPr>
          <w:color w:val="000000"/>
          <w:lang w:val="ru-RU"/>
        </w:rPr>
        <w:t>КГГЧ</w:t>
      </w:r>
      <w:r w:rsidR="00E344E1" w:rsidRPr="00AF55B1">
        <w:rPr>
          <w:lang w:val="ru-RU"/>
        </w:rPr>
        <w:t xml:space="preserve"> за работу и секретариат за постоянную поддержку</w:t>
      </w:r>
      <w:r w:rsidRPr="00AF55B1">
        <w:rPr>
          <w:lang w:val="ru-RU"/>
        </w:rPr>
        <w:t>.</w:t>
      </w:r>
    </w:p>
    <w:p w14:paraId="5AB7CEC8" w14:textId="12E0E771" w:rsidR="00B5094E" w:rsidRPr="00AF55B1" w:rsidRDefault="00B5094E" w:rsidP="00B5094E">
      <w:pPr>
        <w:rPr>
          <w:lang w:val="ru-RU"/>
        </w:rPr>
      </w:pPr>
      <w:r w:rsidRPr="00AF55B1">
        <w:rPr>
          <w:lang w:val="ru-RU"/>
        </w:rPr>
        <w:t>5.4</w:t>
      </w:r>
      <w:r w:rsidRPr="00AF55B1">
        <w:rPr>
          <w:lang w:val="ru-RU"/>
        </w:rPr>
        <w:tab/>
      </w:r>
      <w:r w:rsidR="00E344E1" w:rsidRPr="00AF55B1">
        <w:rPr>
          <w:lang w:val="ru-RU"/>
        </w:rPr>
        <w:t>Советники дают высокую оценку отчетам, сотрудничеству Союза с принимающей страной и достигнутому к настоящему времени прогрессу</w:t>
      </w:r>
      <w:r w:rsidRPr="00AF55B1">
        <w:rPr>
          <w:lang w:val="ru-RU"/>
        </w:rPr>
        <w:t xml:space="preserve">. </w:t>
      </w:r>
      <w:r w:rsidR="00E344E1" w:rsidRPr="00AF55B1">
        <w:rPr>
          <w:lang w:val="ru-RU"/>
        </w:rPr>
        <w:t>Один из Советников настоятельно рекомендует секретариату</w:t>
      </w:r>
      <w:r w:rsidR="00B2080C" w:rsidRPr="00AF55B1">
        <w:rPr>
          <w:lang w:val="ru-RU"/>
        </w:rPr>
        <w:t xml:space="preserve"> оценивать потенциальные последствия любого решения о превращении проведения виртуальных собраний или работы из дома в стандартную практику</w:t>
      </w:r>
      <w:r w:rsidRPr="00AF55B1">
        <w:rPr>
          <w:lang w:val="ru-RU"/>
        </w:rPr>
        <w:t>.</w:t>
      </w:r>
    </w:p>
    <w:p w14:paraId="5884B6A8" w14:textId="78356505" w:rsidR="00B5094E" w:rsidRPr="00AF55B1" w:rsidRDefault="00B5094E" w:rsidP="00B5094E">
      <w:pPr>
        <w:rPr>
          <w:lang w:val="ru-RU"/>
        </w:rPr>
      </w:pPr>
      <w:r w:rsidRPr="00AF55B1">
        <w:rPr>
          <w:lang w:val="ru-RU"/>
        </w:rPr>
        <w:t>5.5</w:t>
      </w:r>
      <w:r w:rsidRPr="00AF55B1">
        <w:rPr>
          <w:lang w:val="ru-RU"/>
        </w:rPr>
        <w:tab/>
      </w:r>
      <w:r w:rsidR="00B2080C" w:rsidRPr="00AF55B1">
        <w:rPr>
          <w:lang w:val="ru-RU"/>
        </w:rPr>
        <w:t>Представитель секретариата отвечает на вопросы Советников</w:t>
      </w:r>
      <w:r w:rsidRPr="00AF55B1">
        <w:rPr>
          <w:lang w:val="ru-RU"/>
        </w:rPr>
        <w:t xml:space="preserve">. </w:t>
      </w:r>
      <w:r w:rsidR="00B2080C" w:rsidRPr="00AF55B1">
        <w:rPr>
          <w:lang w:val="ru-RU"/>
        </w:rPr>
        <w:t>Она говорит, что в настоящее время не ожидается повышения затрат на строительство здания в результате пандемии</w:t>
      </w:r>
      <w:r w:rsidRPr="00AF55B1">
        <w:rPr>
          <w:lang w:val="ru-RU"/>
        </w:rPr>
        <w:t xml:space="preserve">. </w:t>
      </w:r>
      <w:r w:rsidR="00B2080C" w:rsidRPr="00AF55B1">
        <w:rPr>
          <w:lang w:val="ru-RU"/>
        </w:rPr>
        <w:t>Аналогичным образом, маловероятно, чтобы разработка вакцины оказала какое-либо воздействие на проект здания</w:t>
      </w:r>
      <w:r w:rsidRPr="00AF55B1">
        <w:rPr>
          <w:lang w:val="ru-RU"/>
        </w:rPr>
        <w:t xml:space="preserve">. </w:t>
      </w:r>
      <w:r w:rsidR="00B2080C" w:rsidRPr="00AF55B1">
        <w:rPr>
          <w:lang w:val="ru-RU"/>
        </w:rPr>
        <w:t>Анализ рабочих мест, проведенный консалтинговой фирмой, поможет МСЭ принять решения относительно проектирования рабочих мест и осуществить практические решения, в долгосрочной перспективе и в период перемещения, для принятия во внимания таких факторов, как социальная дистанция, телеработа и меры по обеспечению здоровой рабочей обстановки</w:t>
      </w:r>
      <w:r w:rsidRPr="00AF55B1">
        <w:rPr>
          <w:lang w:val="ru-RU"/>
        </w:rPr>
        <w:t xml:space="preserve">. </w:t>
      </w:r>
      <w:r w:rsidR="003704DC" w:rsidRPr="00AF55B1">
        <w:rPr>
          <w:lang w:val="ru-RU"/>
        </w:rPr>
        <w:t>Что касается плана перемещения, если ситуация нормализуется</w:t>
      </w:r>
      <w:r w:rsidR="003D304B" w:rsidRPr="00AF55B1">
        <w:rPr>
          <w:lang w:val="ru-RU"/>
        </w:rPr>
        <w:t>, персонал будет перемещен в другие здания МСЭ</w:t>
      </w:r>
      <w:r w:rsidR="00475CC7" w:rsidRPr="00AF55B1">
        <w:rPr>
          <w:lang w:val="ru-RU"/>
        </w:rPr>
        <w:t>,</w:t>
      </w:r>
      <w:r w:rsidR="003D304B" w:rsidRPr="00AF55B1">
        <w:rPr>
          <w:lang w:val="ru-RU"/>
        </w:rPr>
        <w:t xml:space="preserve"> и вместимость нового здания будет достаточной</w:t>
      </w:r>
      <w:r w:rsidRPr="00AF55B1">
        <w:rPr>
          <w:lang w:val="ru-RU"/>
        </w:rPr>
        <w:t xml:space="preserve">. </w:t>
      </w:r>
      <w:r w:rsidR="003D304B" w:rsidRPr="00AF55B1">
        <w:rPr>
          <w:lang w:val="ru-RU"/>
        </w:rPr>
        <w:t>Если невозможно будет вернуться к нормальным условиям работы, можно будет сохранить механизмы телеработы и виртуальных собраний</w:t>
      </w:r>
      <w:r w:rsidRPr="00AF55B1">
        <w:rPr>
          <w:lang w:val="ru-RU"/>
        </w:rPr>
        <w:t xml:space="preserve">. </w:t>
      </w:r>
      <w:r w:rsidR="00620BB0" w:rsidRPr="00AF55B1">
        <w:rPr>
          <w:lang w:val="ru-RU"/>
        </w:rPr>
        <w:t>Аналогичным образом, если будут выпущены рекомендации или нормы, включающие меры социального дистанцирования, телеработу необходимо будет включить в план распределения площадей для новых помещений</w:t>
      </w:r>
      <w:r w:rsidRPr="00AF55B1">
        <w:rPr>
          <w:lang w:val="ru-RU"/>
        </w:rPr>
        <w:t xml:space="preserve">. </w:t>
      </w:r>
      <w:r w:rsidR="00620BB0" w:rsidRPr="00AF55B1">
        <w:rPr>
          <w:lang w:val="ru-RU"/>
        </w:rPr>
        <w:t>Процесс выбора консалтинговой компании должен быть завершен к концу ноября</w:t>
      </w:r>
      <w:r w:rsidRPr="00AF55B1">
        <w:rPr>
          <w:lang w:val="ru-RU"/>
        </w:rPr>
        <w:t xml:space="preserve">. </w:t>
      </w:r>
      <w:r w:rsidR="00620BB0" w:rsidRPr="00AF55B1">
        <w:rPr>
          <w:lang w:val="ru-RU"/>
        </w:rPr>
        <w:t>Цель заключается в возможно более оперативном привлечении экспертов, с тем чтобы представить первоначальные итоговые материалы Совету</w:t>
      </w:r>
      <w:r w:rsidR="00620BB0" w:rsidRPr="00AF55B1">
        <w:rPr>
          <w:lang w:val="ru-RU"/>
        </w:rPr>
        <w:noBreakHyphen/>
      </w:r>
      <w:r w:rsidRPr="00AF55B1">
        <w:rPr>
          <w:lang w:val="ru-RU"/>
        </w:rPr>
        <w:t xml:space="preserve">21. </w:t>
      </w:r>
      <w:r w:rsidR="00620BB0" w:rsidRPr="00AF55B1">
        <w:rPr>
          <w:lang w:val="ru-RU"/>
        </w:rPr>
        <w:t xml:space="preserve">Секретариат может распространить </w:t>
      </w:r>
      <w:r w:rsidR="00802EC8" w:rsidRPr="00AF55B1">
        <w:rPr>
          <w:lang w:val="ru-RU"/>
        </w:rPr>
        <w:t xml:space="preserve">техническое задание </w:t>
      </w:r>
      <w:r w:rsidR="00620BB0" w:rsidRPr="00AF55B1">
        <w:rPr>
          <w:lang w:val="ru-RU"/>
        </w:rPr>
        <w:t>по тендеру для определения консалтинговой фирмы, но желательно после окончания тендера</w:t>
      </w:r>
      <w:r w:rsidRPr="00AF55B1">
        <w:rPr>
          <w:lang w:val="ru-RU"/>
        </w:rPr>
        <w:t xml:space="preserve">. </w:t>
      </w:r>
    </w:p>
    <w:p w14:paraId="7660295D" w14:textId="3EE7D5AC" w:rsidR="00B5094E" w:rsidRPr="00AF55B1" w:rsidRDefault="00B5094E" w:rsidP="00B5094E">
      <w:pPr>
        <w:rPr>
          <w:lang w:val="ru-RU"/>
        </w:rPr>
      </w:pPr>
      <w:r w:rsidRPr="00AF55B1">
        <w:rPr>
          <w:lang w:val="ru-RU"/>
        </w:rPr>
        <w:t>5.6</w:t>
      </w:r>
      <w:r w:rsidRPr="00AF55B1">
        <w:rPr>
          <w:lang w:val="ru-RU"/>
        </w:rPr>
        <w:tab/>
      </w:r>
      <w:r w:rsidR="00F65FFD" w:rsidRPr="00AF55B1">
        <w:rPr>
          <w:lang w:val="ru-RU"/>
        </w:rPr>
        <w:t>Один из Советников настоятельно рекомендует секретариату рассмотреть вопрос о наличии залов заседаний для исследовательских комиссий и рабочих групп МСЭ на период строительства</w:t>
      </w:r>
      <w:r w:rsidRPr="00AF55B1">
        <w:rPr>
          <w:lang w:val="ru-RU"/>
        </w:rPr>
        <w:t xml:space="preserve">; </w:t>
      </w:r>
      <w:r w:rsidR="00C04583" w:rsidRPr="00AF55B1">
        <w:rPr>
          <w:lang w:val="ru-RU"/>
        </w:rPr>
        <w:t>были найдены решения для широкомасштабных мероприятий</w:t>
      </w:r>
      <w:r w:rsidRPr="00AF55B1">
        <w:rPr>
          <w:lang w:val="ru-RU"/>
        </w:rPr>
        <w:t xml:space="preserve">. </w:t>
      </w:r>
      <w:r w:rsidR="00C04583" w:rsidRPr="00AF55B1">
        <w:rPr>
          <w:lang w:val="ru-RU"/>
        </w:rPr>
        <w:t>Учитывая, что лишь определенная часть персонала может иметь возможность работать в новых помещениях ввиду требований социального дистанцирования, продажа здания "Башня" не представляется целесообразной</w:t>
      </w:r>
      <w:r w:rsidRPr="00AF55B1">
        <w:rPr>
          <w:lang w:val="ru-RU"/>
        </w:rPr>
        <w:t xml:space="preserve">. </w:t>
      </w:r>
      <w:r w:rsidR="00C04583" w:rsidRPr="00AF55B1">
        <w:rPr>
          <w:lang w:val="ru-RU"/>
        </w:rPr>
        <w:t>Необходим продуманный подход к проведению виртуальных собраний, в том числе в отношении программного обеспечения</w:t>
      </w:r>
      <w:r w:rsidRPr="00AF55B1">
        <w:rPr>
          <w:lang w:val="ru-RU"/>
        </w:rPr>
        <w:t xml:space="preserve">. </w:t>
      </w:r>
      <w:r w:rsidR="00C04583" w:rsidRPr="00AF55B1">
        <w:rPr>
          <w:lang w:val="ru-RU"/>
        </w:rPr>
        <w:t>Учитывая неопределенность ситуации с недвижимостью в Женеве, секретариату следует осуществлять взаимодействие с властями Женевы по вопросам, касающимся "</w:t>
      </w:r>
      <w:r w:rsidR="00C04583" w:rsidRPr="00AF55B1">
        <w:rPr>
          <w:color w:val="000000"/>
          <w:lang w:val="ru-RU"/>
        </w:rPr>
        <w:t xml:space="preserve">права </w:t>
      </w:r>
      <w:proofErr w:type="spellStart"/>
      <w:r w:rsidR="00C04583" w:rsidRPr="00AF55B1">
        <w:rPr>
          <w:color w:val="000000"/>
          <w:lang w:val="ru-RU"/>
        </w:rPr>
        <w:t>суперфиция</w:t>
      </w:r>
      <w:proofErr w:type="spellEnd"/>
      <w:r w:rsidR="00C04583" w:rsidRPr="00AF55B1">
        <w:rPr>
          <w:color w:val="000000"/>
          <w:lang w:val="ru-RU"/>
        </w:rPr>
        <w:t>" в отношении здания "Башня", которое будет оказывать существенное влияние на привлекательность объекта для покупателей и на оценку здания</w:t>
      </w:r>
      <w:r w:rsidRPr="00AF55B1">
        <w:rPr>
          <w:lang w:val="ru-RU"/>
        </w:rPr>
        <w:t xml:space="preserve">. </w:t>
      </w:r>
      <w:r w:rsidR="00C04583" w:rsidRPr="00AF55B1">
        <w:rPr>
          <w:lang w:val="ru-RU"/>
        </w:rPr>
        <w:t xml:space="preserve">Важно быть в курсе стратегии властей в этом отношении, учитывая их </w:t>
      </w:r>
      <w:r w:rsidR="00967540" w:rsidRPr="00AF55B1">
        <w:rPr>
          <w:lang w:val="ru-RU"/>
        </w:rPr>
        <w:t>преимущественное право покупки</w:t>
      </w:r>
      <w:r w:rsidRPr="00AF55B1">
        <w:rPr>
          <w:lang w:val="ru-RU"/>
        </w:rPr>
        <w:t xml:space="preserve">. </w:t>
      </w:r>
      <w:r w:rsidR="00967540" w:rsidRPr="00AF55B1">
        <w:rPr>
          <w:lang w:val="ru-RU"/>
        </w:rPr>
        <w:t xml:space="preserve">МСЭ может оставить за собой право использования зала им. </w:t>
      </w:r>
      <w:proofErr w:type="gramStart"/>
      <w:r w:rsidR="00967540" w:rsidRPr="00AF55B1">
        <w:rPr>
          <w:lang w:val="ru-RU"/>
        </w:rPr>
        <w:t>А.С.</w:t>
      </w:r>
      <w:proofErr w:type="gramEnd"/>
      <w:r w:rsidR="00967540" w:rsidRPr="00AF55B1">
        <w:rPr>
          <w:lang w:val="ru-RU"/>
        </w:rPr>
        <w:t xml:space="preserve"> Попова, если объект будет приобретен государственным учреждением или международной организацией, которые согласятся на совместное использование</w:t>
      </w:r>
      <w:r w:rsidRPr="00AF55B1">
        <w:rPr>
          <w:lang w:val="ru-RU"/>
        </w:rPr>
        <w:t xml:space="preserve">. </w:t>
      </w:r>
      <w:r w:rsidR="00967540" w:rsidRPr="00AF55B1">
        <w:rPr>
          <w:lang w:val="ru-RU"/>
        </w:rPr>
        <w:t xml:space="preserve">Секретариату и </w:t>
      </w:r>
      <w:r w:rsidR="00243542" w:rsidRPr="00AF55B1">
        <w:rPr>
          <w:color w:val="000000"/>
          <w:lang w:val="ru-RU"/>
        </w:rPr>
        <w:t>КГГЧ</w:t>
      </w:r>
      <w:r w:rsidRPr="00AF55B1">
        <w:rPr>
          <w:lang w:val="ru-RU"/>
        </w:rPr>
        <w:t xml:space="preserve"> </w:t>
      </w:r>
      <w:r w:rsidR="00967540" w:rsidRPr="00AF55B1">
        <w:rPr>
          <w:lang w:val="ru-RU"/>
        </w:rPr>
        <w:t>необходимо разработать эффективную стратегию, которая учитывала бы изменения на местном рынке недвижимости и в глобальной экономике</w:t>
      </w:r>
      <w:r w:rsidRPr="00AF55B1">
        <w:rPr>
          <w:lang w:val="ru-RU"/>
        </w:rPr>
        <w:t xml:space="preserve">. </w:t>
      </w:r>
    </w:p>
    <w:p w14:paraId="621FC8EC" w14:textId="695EB7D8" w:rsidR="00B5094E" w:rsidRPr="00AF55B1" w:rsidRDefault="00B5094E" w:rsidP="00B5094E">
      <w:pPr>
        <w:rPr>
          <w:lang w:val="ru-RU"/>
        </w:rPr>
      </w:pPr>
      <w:r w:rsidRPr="00AF55B1">
        <w:rPr>
          <w:lang w:val="ru-RU"/>
        </w:rPr>
        <w:lastRenderedPageBreak/>
        <w:t>5.7</w:t>
      </w:r>
      <w:r w:rsidRPr="00AF55B1">
        <w:rPr>
          <w:lang w:val="ru-RU"/>
        </w:rPr>
        <w:tab/>
      </w:r>
      <w:r w:rsidR="00967540" w:rsidRPr="00AF55B1">
        <w:rPr>
          <w:lang w:val="ru-RU"/>
        </w:rPr>
        <w:t>Представитель секретариата, отвечая на замечания, касающиеся здания "Башня", говорит, что консультации с властями Женевы продолжаются</w:t>
      </w:r>
      <w:r w:rsidRPr="00AF55B1">
        <w:rPr>
          <w:lang w:val="ru-RU"/>
        </w:rPr>
        <w:t xml:space="preserve">. </w:t>
      </w:r>
      <w:r w:rsidR="00480364" w:rsidRPr="00AF55B1">
        <w:rPr>
          <w:lang w:val="ru-RU"/>
        </w:rPr>
        <w:t>Она заверяет Советников, что Совету</w:t>
      </w:r>
      <w:r w:rsidR="00480364" w:rsidRPr="00AF55B1">
        <w:rPr>
          <w:lang w:val="ru-RU"/>
        </w:rPr>
        <w:noBreakHyphen/>
        <w:t>21 будет представлена информация о достигнутом прогрессе</w:t>
      </w:r>
      <w:r w:rsidRPr="00AF55B1">
        <w:rPr>
          <w:lang w:val="ru-RU"/>
        </w:rPr>
        <w:t>.</w:t>
      </w:r>
    </w:p>
    <w:p w14:paraId="786BF48D" w14:textId="2B791B34" w:rsidR="00B5094E" w:rsidRPr="00AF55B1" w:rsidRDefault="00B5094E" w:rsidP="00B5094E">
      <w:pPr>
        <w:rPr>
          <w:lang w:val="ru-RU"/>
        </w:rPr>
      </w:pPr>
      <w:r w:rsidRPr="00AF55B1">
        <w:rPr>
          <w:lang w:val="ru-RU"/>
        </w:rPr>
        <w:t>5.8</w:t>
      </w:r>
      <w:r w:rsidRPr="00AF55B1">
        <w:rPr>
          <w:lang w:val="ru-RU"/>
        </w:rPr>
        <w:tab/>
      </w:r>
      <w:r w:rsidR="00480364" w:rsidRPr="00AF55B1">
        <w:rPr>
          <w:lang w:val="ru-RU"/>
        </w:rPr>
        <w:t>Руководитель Департамента конференций и публикаций говорит, что с рабочими группами, Секторами и департаментами, как и с ФИПОИ, осуществляется постоянное взаимодействие, чтобы обеспечить наличие помещений для конференций и собраний, в том числе для собраний групп меньшего размера</w:t>
      </w:r>
      <w:r w:rsidRPr="00AF55B1">
        <w:rPr>
          <w:lang w:val="ru-RU"/>
        </w:rPr>
        <w:t xml:space="preserve">. </w:t>
      </w:r>
      <w:r w:rsidR="00480364" w:rsidRPr="00AF55B1">
        <w:rPr>
          <w:lang w:val="ru-RU"/>
        </w:rPr>
        <w:t>Кроме того, ведутся консультации с правительством Венгрии с целью организации собраний в Будапеште в будущем</w:t>
      </w:r>
      <w:r w:rsidRPr="00AF55B1">
        <w:rPr>
          <w:lang w:val="ru-RU"/>
        </w:rPr>
        <w:t xml:space="preserve">. </w:t>
      </w:r>
      <w:r w:rsidR="00480364" w:rsidRPr="00AF55B1">
        <w:rPr>
          <w:lang w:val="ru-RU"/>
        </w:rPr>
        <w:t xml:space="preserve">Он дает высокую оценку превосходному сотрудничеству с властями Швейцарии, которое будет продолжаться для обеспечения предоставления </w:t>
      </w:r>
      <w:r w:rsidR="00C37B83" w:rsidRPr="00AF55B1">
        <w:rPr>
          <w:lang w:val="ru-RU"/>
        </w:rPr>
        <w:t>помещений для проведения конференций на этапе строительства</w:t>
      </w:r>
      <w:r w:rsidRPr="00AF55B1">
        <w:rPr>
          <w:lang w:val="ru-RU"/>
        </w:rPr>
        <w:t>.</w:t>
      </w:r>
    </w:p>
    <w:p w14:paraId="6091B7DC" w14:textId="0332F66D" w:rsidR="00B5094E" w:rsidRPr="00AF55B1" w:rsidRDefault="00B5094E" w:rsidP="00B5094E">
      <w:pPr>
        <w:rPr>
          <w:lang w:val="ru-RU"/>
        </w:rPr>
      </w:pPr>
      <w:r w:rsidRPr="00AF55B1">
        <w:rPr>
          <w:lang w:val="ru-RU"/>
        </w:rPr>
        <w:t>5.9</w:t>
      </w:r>
      <w:r w:rsidRPr="00AF55B1">
        <w:rPr>
          <w:lang w:val="ru-RU"/>
        </w:rPr>
        <w:tab/>
      </w:r>
      <w:r w:rsidR="00C37B83" w:rsidRPr="00AF55B1">
        <w:rPr>
          <w:lang w:val="ru-RU"/>
        </w:rPr>
        <w:t>Советник от Швейцарии дает высокую оценку превосходному сотрудничеству, в том числе на уровне кантона, между его администрацией и МСЭ</w:t>
      </w:r>
      <w:r w:rsidRPr="00AF55B1">
        <w:rPr>
          <w:lang w:val="ru-RU"/>
        </w:rPr>
        <w:t xml:space="preserve">. </w:t>
      </w:r>
      <w:r w:rsidR="00C37B83" w:rsidRPr="00AF55B1">
        <w:rPr>
          <w:lang w:val="ru-RU"/>
        </w:rPr>
        <w:t xml:space="preserve">Окончательное утверждение </w:t>
      </w:r>
      <w:r w:rsidR="00C37B83" w:rsidRPr="00AF55B1">
        <w:rPr>
          <w:color w:val="000000"/>
          <w:lang w:val="ru-RU"/>
        </w:rPr>
        <w:t>заявки на предоставление ссуды ожидается в начале декабря, что означает, что средства, вероятно, будут в наличии в январе 2021 года</w:t>
      </w:r>
      <w:r w:rsidRPr="00AF55B1">
        <w:rPr>
          <w:lang w:val="ru-RU"/>
        </w:rPr>
        <w:t xml:space="preserve">. </w:t>
      </w:r>
      <w:r w:rsidR="00C37B83" w:rsidRPr="00AF55B1">
        <w:rPr>
          <w:lang w:val="ru-RU"/>
        </w:rPr>
        <w:t>Власти принимающей страны и МСЭ проведут технико-экономическое обоснование для оценки предложенных мер безопасности для объекта "</w:t>
      </w:r>
      <w:proofErr w:type="spellStart"/>
      <w:r w:rsidR="00C37B83" w:rsidRPr="00AF55B1">
        <w:rPr>
          <w:lang w:val="ru-RU"/>
        </w:rPr>
        <w:t>Варембе</w:t>
      </w:r>
      <w:proofErr w:type="spellEnd"/>
      <w:r w:rsidR="00C37B83" w:rsidRPr="00AF55B1">
        <w:rPr>
          <w:lang w:val="ru-RU"/>
        </w:rPr>
        <w:t>"</w:t>
      </w:r>
      <w:r w:rsidRPr="00AF55B1">
        <w:rPr>
          <w:lang w:val="ru-RU"/>
        </w:rPr>
        <w:t xml:space="preserve">. </w:t>
      </w:r>
      <w:r w:rsidR="00C37B83" w:rsidRPr="00AF55B1">
        <w:rPr>
          <w:lang w:val="ru-RU"/>
        </w:rPr>
        <w:t>Будут приняты меры для учета потребностей Союза на всех этапах этого процесса и для обеспечения координации с властями кантона для нахождения приемлемых для всех решений</w:t>
      </w:r>
      <w:r w:rsidRPr="00AF55B1">
        <w:rPr>
          <w:lang w:val="ru-RU"/>
        </w:rPr>
        <w:t xml:space="preserve">. </w:t>
      </w:r>
      <w:r w:rsidR="00C37B83" w:rsidRPr="00AF55B1">
        <w:rPr>
          <w:lang w:val="ru-RU"/>
        </w:rPr>
        <w:t>Швейцарские органы власти работают над тем, чтобы помочь МСЭ найти альтернативные помещения на время этапа строительства</w:t>
      </w:r>
      <w:r w:rsidR="00B357F2" w:rsidRPr="00AF55B1">
        <w:rPr>
          <w:lang w:val="ru-RU"/>
        </w:rPr>
        <w:t>, в координации с ФИПОИ и МЦ</w:t>
      </w:r>
      <w:r w:rsidR="00802EC8" w:rsidRPr="00AF55B1">
        <w:rPr>
          <w:lang w:val="ru-RU"/>
        </w:rPr>
        <w:t>К</w:t>
      </w:r>
      <w:r w:rsidR="00B357F2" w:rsidRPr="00AF55B1">
        <w:rPr>
          <w:lang w:val="ru-RU"/>
        </w:rPr>
        <w:t>Ж</w:t>
      </w:r>
      <w:r w:rsidRPr="00AF55B1">
        <w:rPr>
          <w:lang w:val="ru-RU"/>
        </w:rPr>
        <w:t xml:space="preserve">. </w:t>
      </w:r>
      <w:r w:rsidR="00B357F2" w:rsidRPr="00AF55B1">
        <w:rPr>
          <w:lang w:val="ru-RU"/>
        </w:rPr>
        <w:t>Варианты для конференций большого масштаба уже определены</w:t>
      </w:r>
      <w:r w:rsidRPr="00AF55B1">
        <w:rPr>
          <w:lang w:val="ru-RU"/>
        </w:rPr>
        <w:t>.</w:t>
      </w:r>
    </w:p>
    <w:p w14:paraId="51476FD4" w14:textId="5160F37F" w:rsidR="00B5094E" w:rsidRPr="00AF55B1" w:rsidRDefault="00B5094E" w:rsidP="00B5094E">
      <w:pPr>
        <w:rPr>
          <w:lang w:val="ru-RU"/>
        </w:rPr>
      </w:pPr>
      <w:r w:rsidRPr="00AF55B1">
        <w:rPr>
          <w:lang w:val="ru-RU"/>
        </w:rPr>
        <w:t>5.10</w:t>
      </w:r>
      <w:r w:rsidRPr="00AF55B1">
        <w:rPr>
          <w:lang w:val="ru-RU"/>
        </w:rPr>
        <w:tab/>
      </w:r>
      <w:r w:rsidR="0097287C" w:rsidRPr="00AF55B1">
        <w:rPr>
          <w:lang w:val="ru-RU"/>
        </w:rPr>
        <w:t>Несколько Советников выражают обеспокоенность в отношении идеи выделения средств из фонда АСХИ для фонда реестра рисков</w:t>
      </w:r>
      <w:r w:rsidRPr="00AF55B1">
        <w:rPr>
          <w:lang w:val="ru-RU"/>
        </w:rPr>
        <w:t xml:space="preserve">. </w:t>
      </w:r>
      <w:r w:rsidR="0097287C" w:rsidRPr="00AF55B1">
        <w:rPr>
          <w:lang w:val="ru-RU"/>
        </w:rPr>
        <w:t>Один из Советников спрашивает, можно ли использовать какие-либо средства экономии</w:t>
      </w:r>
      <w:r w:rsidR="00475CC7" w:rsidRPr="00AF55B1">
        <w:rPr>
          <w:lang w:val="ru-RU"/>
        </w:rPr>
        <w:t>, полученной</w:t>
      </w:r>
      <w:r w:rsidR="0097287C" w:rsidRPr="00AF55B1">
        <w:rPr>
          <w:lang w:val="ru-RU"/>
        </w:rPr>
        <w:t xml:space="preserve"> во время пандемии, в том числе </w:t>
      </w:r>
      <w:r w:rsidR="00475CC7" w:rsidRPr="00AF55B1">
        <w:rPr>
          <w:lang w:val="ru-RU"/>
        </w:rPr>
        <w:t>от</w:t>
      </w:r>
      <w:r w:rsidR="0097287C" w:rsidRPr="00AF55B1">
        <w:rPr>
          <w:lang w:val="ru-RU"/>
        </w:rPr>
        <w:t xml:space="preserve"> поезд</w:t>
      </w:r>
      <w:r w:rsidR="00475CC7" w:rsidRPr="00AF55B1">
        <w:rPr>
          <w:lang w:val="ru-RU"/>
        </w:rPr>
        <w:t>о</w:t>
      </w:r>
      <w:r w:rsidR="0097287C" w:rsidRPr="00AF55B1">
        <w:rPr>
          <w:lang w:val="ru-RU"/>
        </w:rPr>
        <w:t>к</w:t>
      </w:r>
      <w:r w:rsidRPr="00AF55B1">
        <w:rPr>
          <w:lang w:val="ru-RU"/>
        </w:rPr>
        <w:t xml:space="preserve">. </w:t>
      </w:r>
      <w:r w:rsidR="0097287C" w:rsidRPr="00AF55B1">
        <w:rPr>
          <w:lang w:val="ru-RU"/>
        </w:rPr>
        <w:t xml:space="preserve">Другие Советники и Председатель </w:t>
      </w:r>
      <w:r w:rsidR="00243542" w:rsidRPr="00AF55B1">
        <w:rPr>
          <w:lang w:val="ru-RU"/>
        </w:rPr>
        <w:t>КГГЧ</w:t>
      </w:r>
      <w:r w:rsidRPr="00AF55B1">
        <w:rPr>
          <w:lang w:val="ru-RU"/>
        </w:rPr>
        <w:t xml:space="preserve"> </w:t>
      </w:r>
      <w:r w:rsidR="0097287C" w:rsidRPr="00AF55B1">
        <w:rPr>
          <w:lang w:val="ru-RU"/>
        </w:rPr>
        <w:t xml:space="preserve">предлагают поручить </w:t>
      </w:r>
      <w:r w:rsidR="00243542" w:rsidRPr="00AF55B1">
        <w:rPr>
          <w:lang w:val="ru-RU"/>
        </w:rPr>
        <w:t>РГС-ФЛР</w:t>
      </w:r>
      <w:r w:rsidRPr="00AF55B1">
        <w:rPr>
          <w:lang w:val="ru-RU"/>
        </w:rPr>
        <w:t xml:space="preserve"> </w:t>
      </w:r>
      <w:r w:rsidR="0097287C" w:rsidRPr="00AF55B1">
        <w:rPr>
          <w:lang w:val="ru-RU"/>
        </w:rPr>
        <w:t>рассмотрение вопроса об обеспечении достаточного финансирования фонда реестра рисков, поскольку эт</w:t>
      </w:r>
      <w:r w:rsidR="002E0F1A" w:rsidRPr="00AF55B1">
        <w:rPr>
          <w:lang w:val="ru-RU"/>
        </w:rPr>
        <w:t>а</w:t>
      </w:r>
      <w:r w:rsidR="0097287C" w:rsidRPr="00AF55B1">
        <w:rPr>
          <w:lang w:val="ru-RU"/>
        </w:rPr>
        <w:t xml:space="preserve"> </w:t>
      </w:r>
      <w:r w:rsidR="002E0F1A" w:rsidRPr="00AF55B1">
        <w:rPr>
          <w:lang w:val="ru-RU"/>
        </w:rPr>
        <w:t xml:space="preserve">тема </w:t>
      </w:r>
      <w:r w:rsidR="0097287C" w:rsidRPr="00AF55B1">
        <w:rPr>
          <w:lang w:val="ru-RU"/>
        </w:rPr>
        <w:t>касается других финансовых вопросов</w:t>
      </w:r>
      <w:r w:rsidRPr="00AF55B1">
        <w:rPr>
          <w:lang w:val="ru-RU"/>
        </w:rPr>
        <w:t>.</w:t>
      </w:r>
    </w:p>
    <w:p w14:paraId="3C99E9FD" w14:textId="2EB6F3DD" w:rsidR="00B5094E" w:rsidRPr="00AF55B1" w:rsidRDefault="00B5094E" w:rsidP="00B5094E">
      <w:pPr>
        <w:rPr>
          <w:lang w:val="ru-RU"/>
        </w:rPr>
      </w:pPr>
      <w:r w:rsidRPr="00AF55B1">
        <w:rPr>
          <w:lang w:val="ru-RU"/>
        </w:rPr>
        <w:t>5.11</w:t>
      </w:r>
      <w:r w:rsidRPr="00AF55B1">
        <w:rPr>
          <w:lang w:val="ru-RU"/>
        </w:rPr>
        <w:tab/>
      </w:r>
      <w:r w:rsidR="0097287C" w:rsidRPr="00AF55B1">
        <w:rPr>
          <w:lang w:val="ru-RU"/>
        </w:rPr>
        <w:t>Представитель секретариата, отвечая на замечания Советников, говорит, что финансирование фонда реестра рисков останется без изменений, и отмечает, что потенциальные риски всегда существуют</w:t>
      </w:r>
      <w:r w:rsidRPr="00AF55B1">
        <w:rPr>
          <w:lang w:val="ru-RU"/>
        </w:rPr>
        <w:t>.</w:t>
      </w:r>
    </w:p>
    <w:p w14:paraId="77B25DCE" w14:textId="0F6A33FE" w:rsidR="00B5094E" w:rsidRPr="00AF55B1" w:rsidRDefault="00B5094E" w:rsidP="00B5094E">
      <w:pPr>
        <w:rPr>
          <w:lang w:val="ru-RU"/>
        </w:rPr>
      </w:pPr>
      <w:r w:rsidRPr="00AF55B1">
        <w:rPr>
          <w:lang w:val="ru-RU"/>
        </w:rPr>
        <w:t>5.12</w:t>
      </w:r>
      <w:r w:rsidRPr="00AF55B1">
        <w:rPr>
          <w:lang w:val="ru-RU"/>
        </w:rPr>
        <w:tab/>
      </w:r>
      <w:r w:rsidR="0097287C" w:rsidRPr="00AF55B1">
        <w:rPr>
          <w:lang w:val="ru-RU"/>
        </w:rPr>
        <w:t>Руководитель</w:t>
      </w:r>
      <w:r w:rsidRPr="00AF55B1">
        <w:rPr>
          <w:lang w:val="ru-RU"/>
        </w:rPr>
        <w:t xml:space="preserve"> FRMD </w:t>
      </w:r>
      <w:r w:rsidR="0097287C" w:rsidRPr="00AF55B1">
        <w:rPr>
          <w:lang w:val="ru-RU"/>
        </w:rPr>
        <w:t>говорит, что предложение об использовании средств АСХИ для фонда реестра рисков было отклонено</w:t>
      </w:r>
      <w:r w:rsidRPr="00AF55B1">
        <w:rPr>
          <w:lang w:val="ru-RU"/>
        </w:rPr>
        <w:t xml:space="preserve">. </w:t>
      </w:r>
      <w:r w:rsidR="0097287C" w:rsidRPr="00AF55B1">
        <w:rPr>
          <w:lang w:val="ru-RU"/>
        </w:rPr>
        <w:t xml:space="preserve">МСЭ должен будет выполнить рекомендацию – при условии утверждения Генеральной Ассамблеей Организации Объединенных Наций – о применении увеличения на 5,5 процента будущих бюджетов </w:t>
      </w:r>
      <w:r w:rsidR="00E24AD4" w:rsidRPr="00AF55B1">
        <w:rPr>
          <w:lang w:val="ru-RU"/>
        </w:rPr>
        <w:t>для найма новых сотрудников с 2022 года для сокращения обязательств АСХИ при продолжении найма новых сотрудников и покрытии дефицита по медицинскому страхованию</w:t>
      </w:r>
      <w:r w:rsidRPr="00AF55B1">
        <w:rPr>
          <w:lang w:val="ru-RU"/>
        </w:rPr>
        <w:t xml:space="preserve">. </w:t>
      </w:r>
      <w:r w:rsidR="00E24AD4" w:rsidRPr="00AF55B1">
        <w:rPr>
          <w:lang w:val="ru-RU"/>
        </w:rPr>
        <w:t>Фонд реестра рисков был учрежден в 2019 году с первоначальным ассигнованием</w:t>
      </w:r>
      <w:r w:rsidRPr="00AF55B1">
        <w:rPr>
          <w:lang w:val="ru-RU"/>
        </w:rPr>
        <w:t xml:space="preserve"> 1</w:t>
      </w:r>
      <w:r w:rsidR="00E24AD4" w:rsidRPr="00AF55B1">
        <w:rPr>
          <w:lang w:val="ru-RU"/>
        </w:rPr>
        <w:t>,</w:t>
      </w:r>
      <w:r w:rsidRPr="00AF55B1">
        <w:rPr>
          <w:lang w:val="ru-RU"/>
        </w:rPr>
        <w:t>42</w:t>
      </w:r>
      <w:r w:rsidR="00E24AD4" w:rsidRPr="00AF55B1">
        <w:rPr>
          <w:lang w:val="ru-RU"/>
        </w:rPr>
        <w:t> </w:t>
      </w:r>
      <w:proofErr w:type="gramStart"/>
      <w:r w:rsidR="00E24AD4" w:rsidRPr="00AF55B1">
        <w:rPr>
          <w:lang w:val="ru-RU"/>
        </w:rPr>
        <w:t>млн.</w:t>
      </w:r>
      <w:proofErr w:type="gramEnd"/>
      <w:r w:rsidR="00E24AD4" w:rsidRPr="00AF55B1">
        <w:rPr>
          <w:lang w:val="ru-RU"/>
        </w:rPr>
        <w:t xml:space="preserve"> швейцарских франков</w:t>
      </w:r>
      <w:r w:rsidRPr="00AF55B1">
        <w:rPr>
          <w:lang w:val="ru-RU"/>
        </w:rPr>
        <w:t xml:space="preserve">. </w:t>
      </w:r>
      <w:r w:rsidR="00E24AD4" w:rsidRPr="00AF55B1">
        <w:rPr>
          <w:lang w:val="ru-RU"/>
        </w:rPr>
        <w:t>На 2020 финансовый год планируется дополнительное ассигнование в размере 3,6 </w:t>
      </w:r>
      <w:proofErr w:type="gramStart"/>
      <w:r w:rsidR="00E24AD4" w:rsidRPr="00AF55B1">
        <w:rPr>
          <w:lang w:val="ru-RU"/>
        </w:rPr>
        <w:t>млн.</w:t>
      </w:r>
      <w:proofErr w:type="gramEnd"/>
      <w:r w:rsidR="00E24AD4" w:rsidRPr="00AF55B1">
        <w:rPr>
          <w:lang w:val="ru-RU"/>
        </w:rPr>
        <w:t xml:space="preserve"> швейцарских франков</w:t>
      </w:r>
      <w:r w:rsidRPr="00AF55B1">
        <w:rPr>
          <w:lang w:val="ru-RU"/>
        </w:rPr>
        <w:t xml:space="preserve">. </w:t>
      </w:r>
    </w:p>
    <w:p w14:paraId="10C5B24E" w14:textId="3D801F85" w:rsidR="00B5094E" w:rsidRPr="00AF55B1" w:rsidRDefault="00B5094E" w:rsidP="00B5094E">
      <w:pPr>
        <w:rPr>
          <w:lang w:val="ru-RU"/>
        </w:rPr>
      </w:pPr>
      <w:r w:rsidRPr="00AF55B1">
        <w:rPr>
          <w:lang w:val="ru-RU"/>
        </w:rPr>
        <w:t>5.13</w:t>
      </w:r>
      <w:r w:rsidRPr="00AF55B1">
        <w:rPr>
          <w:lang w:val="ru-RU"/>
        </w:rPr>
        <w:tab/>
      </w:r>
      <w:r w:rsidR="00E24AD4" w:rsidRPr="00AF55B1">
        <w:rPr>
          <w:lang w:val="ru-RU"/>
        </w:rPr>
        <w:t>Один из Советников выражает обеспокоенность по поводу того, располагает ли фонд реестра рисков достаточными ресурсами для покрытия новых рисков</w:t>
      </w:r>
      <w:r w:rsidR="00220493" w:rsidRPr="00AF55B1">
        <w:rPr>
          <w:lang w:val="ru-RU"/>
        </w:rPr>
        <w:t>, определенных в отчете</w:t>
      </w:r>
      <w:r w:rsidRPr="00AF55B1">
        <w:rPr>
          <w:lang w:val="ru-RU"/>
        </w:rPr>
        <w:t xml:space="preserve"> </w:t>
      </w:r>
      <w:r w:rsidR="00243542" w:rsidRPr="00AF55B1">
        <w:rPr>
          <w:color w:val="000000"/>
          <w:lang w:val="ru-RU"/>
        </w:rPr>
        <w:t>КГГЧ</w:t>
      </w:r>
      <w:r w:rsidR="00220493" w:rsidRPr="00AF55B1">
        <w:rPr>
          <w:color w:val="000000"/>
          <w:lang w:val="ru-RU"/>
        </w:rPr>
        <w:t>, включая стоимость перемещения персонала на этапе строительства, необходимость обеспечения физического дистанцирования и использование коммерческих помещений, если органы власти Швейцарии не смогут принять все мероприятия МСЭ</w:t>
      </w:r>
      <w:r w:rsidRPr="00AF55B1">
        <w:rPr>
          <w:lang w:val="ru-RU"/>
        </w:rPr>
        <w:t>.</w:t>
      </w:r>
    </w:p>
    <w:p w14:paraId="0B562797" w14:textId="6CA46A60" w:rsidR="00B5094E" w:rsidRPr="00AF55B1" w:rsidRDefault="00B5094E" w:rsidP="00B5094E">
      <w:pPr>
        <w:rPr>
          <w:lang w:val="ru-RU"/>
        </w:rPr>
      </w:pPr>
      <w:r w:rsidRPr="00AF55B1">
        <w:rPr>
          <w:lang w:val="ru-RU"/>
        </w:rPr>
        <w:t>5.14</w:t>
      </w:r>
      <w:r w:rsidRPr="00AF55B1">
        <w:rPr>
          <w:lang w:val="ru-RU"/>
        </w:rPr>
        <w:tab/>
      </w:r>
      <w:r w:rsidR="00220493" w:rsidRPr="00AF55B1">
        <w:rPr>
          <w:lang w:val="ru-RU"/>
        </w:rPr>
        <w:t xml:space="preserve">Председатель говорит, что </w:t>
      </w:r>
      <w:r w:rsidR="00243542" w:rsidRPr="00AF55B1">
        <w:rPr>
          <w:color w:val="000000"/>
          <w:lang w:val="ru-RU"/>
        </w:rPr>
        <w:t>КГГЧ</w:t>
      </w:r>
      <w:r w:rsidRPr="00AF55B1">
        <w:rPr>
          <w:lang w:val="ru-RU"/>
        </w:rPr>
        <w:t xml:space="preserve"> </w:t>
      </w:r>
      <w:r w:rsidR="00220493" w:rsidRPr="00AF55B1">
        <w:rPr>
          <w:lang w:val="ru-RU"/>
        </w:rPr>
        <w:t>и секретариат учтут все сделанные замечания</w:t>
      </w:r>
      <w:r w:rsidRPr="00AF55B1">
        <w:rPr>
          <w:lang w:val="ru-RU"/>
        </w:rPr>
        <w:t>.</w:t>
      </w:r>
    </w:p>
    <w:p w14:paraId="033989C0" w14:textId="78595D7A" w:rsidR="00B5094E" w:rsidRPr="00AF55B1" w:rsidRDefault="00B5094E" w:rsidP="00B5094E">
      <w:pPr>
        <w:rPr>
          <w:lang w:val="ru-RU"/>
        </w:rPr>
      </w:pPr>
      <w:r w:rsidRPr="00AF55B1">
        <w:rPr>
          <w:lang w:val="ru-RU"/>
        </w:rPr>
        <w:t>5.15</w:t>
      </w:r>
      <w:r w:rsidRPr="00AF55B1">
        <w:rPr>
          <w:lang w:val="ru-RU"/>
        </w:rPr>
        <w:tab/>
      </w:r>
      <w:r w:rsidR="00220493" w:rsidRPr="00AF55B1">
        <w:rPr>
          <w:lang w:val="ru-RU"/>
        </w:rPr>
        <w:t>Руководитель</w:t>
      </w:r>
      <w:r w:rsidRPr="00AF55B1">
        <w:rPr>
          <w:lang w:val="ru-RU"/>
        </w:rPr>
        <w:t xml:space="preserve"> FRMD </w:t>
      </w:r>
      <w:r w:rsidR="00220493" w:rsidRPr="00AF55B1">
        <w:rPr>
          <w:lang w:val="ru-RU"/>
        </w:rPr>
        <w:t>предлагает</w:t>
      </w:r>
      <w:r w:rsidRPr="00AF55B1">
        <w:rPr>
          <w:lang w:val="ru-RU"/>
        </w:rPr>
        <w:t xml:space="preserve"> </w:t>
      </w:r>
      <w:r w:rsidR="00243542" w:rsidRPr="00AF55B1">
        <w:rPr>
          <w:lang w:val="ru-RU"/>
        </w:rPr>
        <w:t>РГС-ФЛР</w:t>
      </w:r>
      <w:r w:rsidRPr="00AF55B1">
        <w:rPr>
          <w:lang w:val="ru-RU"/>
        </w:rPr>
        <w:t xml:space="preserve">, </w:t>
      </w:r>
      <w:r w:rsidR="00220493" w:rsidRPr="00AF55B1">
        <w:rPr>
          <w:lang w:val="ru-RU"/>
        </w:rPr>
        <w:t xml:space="preserve">секретариату и </w:t>
      </w:r>
      <w:r w:rsidR="00243542" w:rsidRPr="00AF55B1">
        <w:rPr>
          <w:color w:val="000000"/>
          <w:lang w:val="ru-RU"/>
        </w:rPr>
        <w:t>КГГЧ</w:t>
      </w:r>
      <w:r w:rsidRPr="00AF55B1">
        <w:rPr>
          <w:lang w:val="ru-RU"/>
        </w:rPr>
        <w:t xml:space="preserve"> </w:t>
      </w:r>
      <w:r w:rsidR="00220493" w:rsidRPr="00AF55B1">
        <w:rPr>
          <w:lang w:val="ru-RU"/>
        </w:rPr>
        <w:t xml:space="preserve">совместно работать для выработки решения, понимая </w:t>
      </w:r>
      <w:r w:rsidR="00475CC7" w:rsidRPr="00AF55B1">
        <w:rPr>
          <w:lang w:val="ru-RU"/>
        </w:rPr>
        <w:t>при этом,</w:t>
      </w:r>
      <w:r w:rsidR="002E0F1A" w:rsidRPr="00AF55B1">
        <w:rPr>
          <w:lang w:val="ru-RU"/>
        </w:rPr>
        <w:t xml:space="preserve"> </w:t>
      </w:r>
      <w:r w:rsidR="00220493" w:rsidRPr="00AF55B1">
        <w:rPr>
          <w:lang w:val="ru-RU"/>
        </w:rPr>
        <w:t>что Генеральный секретарь обязался обеспечить достаточные ресурсы для фонда реестра рисков</w:t>
      </w:r>
      <w:r w:rsidRPr="00AF55B1">
        <w:rPr>
          <w:lang w:val="ru-RU"/>
        </w:rPr>
        <w:t>.</w:t>
      </w:r>
    </w:p>
    <w:p w14:paraId="51663F93" w14:textId="5C4CA760" w:rsidR="00B5094E" w:rsidRPr="00AF55B1" w:rsidRDefault="00B5094E" w:rsidP="00B5094E">
      <w:pPr>
        <w:rPr>
          <w:lang w:val="ru-RU"/>
        </w:rPr>
      </w:pPr>
      <w:r w:rsidRPr="00AF55B1">
        <w:rPr>
          <w:lang w:val="ru-RU"/>
        </w:rPr>
        <w:t>5.16</w:t>
      </w:r>
      <w:r w:rsidRPr="00AF55B1">
        <w:rPr>
          <w:lang w:val="ru-RU"/>
        </w:rPr>
        <w:tab/>
      </w:r>
      <w:r w:rsidR="00220493" w:rsidRPr="00AF55B1">
        <w:rPr>
          <w:lang w:val="ru-RU"/>
        </w:rPr>
        <w:t>Председатель считает, что Советники желают сделать следующее заключение</w:t>
      </w:r>
      <w:r w:rsidRPr="00AF55B1">
        <w:rPr>
          <w:lang w:val="ru-RU"/>
        </w:rPr>
        <w:t>:</w:t>
      </w:r>
    </w:p>
    <w:p w14:paraId="5AA1C66A" w14:textId="14CF0577" w:rsidR="00B5094E" w:rsidRPr="00AF55B1" w:rsidRDefault="00B5094E" w:rsidP="00B5094E">
      <w:pPr>
        <w:pStyle w:val="enumlev1"/>
        <w:rPr>
          <w:lang w:val="ru-RU"/>
        </w:rPr>
      </w:pPr>
      <w:r w:rsidRPr="00AF55B1">
        <w:rPr>
          <w:lang w:val="ru-RU"/>
        </w:rPr>
        <w:t>–</w:t>
      </w:r>
      <w:r w:rsidRPr="00AF55B1">
        <w:rPr>
          <w:lang w:val="ru-RU"/>
        </w:rPr>
        <w:tab/>
      </w:r>
      <w:r w:rsidR="00220493" w:rsidRPr="00AF55B1">
        <w:rPr>
          <w:lang w:val="ru-RU"/>
        </w:rPr>
        <w:t>Советники принимают к сведению Документ </w:t>
      </w:r>
      <w:r w:rsidRPr="00AF55B1">
        <w:rPr>
          <w:lang w:val="ru-RU"/>
        </w:rPr>
        <w:t>C20/7(Rev.1).</w:t>
      </w:r>
    </w:p>
    <w:p w14:paraId="0B45C374" w14:textId="69B0FB01" w:rsidR="00B5094E" w:rsidRPr="00AF55B1" w:rsidRDefault="00B5094E" w:rsidP="00B5094E">
      <w:pPr>
        <w:pStyle w:val="enumlev1"/>
        <w:rPr>
          <w:lang w:val="ru-RU"/>
        </w:rPr>
      </w:pPr>
      <w:r w:rsidRPr="00AF55B1">
        <w:rPr>
          <w:lang w:val="ru-RU"/>
        </w:rPr>
        <w:lastRenderedPageBreak/>
        <w:t>–</w:t>
      </w:r>
      <w:r w:rsidRPr="00AF55B1">
        <w:rPr>
          <w:lang w:val="ru-RU"/>
        </w:rPr>
        <w:tab/>
      </w:r>
      <w:r w:rsidR="00220493" w:rsidRPr="00AF55B1">
        <w:rPr>
          <w:lang w:val="ru-RU"/>
        </w:rPr>
        <w:t>Советники рассматривают Документ </w:t>
      </w:r>
      <w:r w:rsidRPr="00AF55B1">
        <w:rPr>
          <w:lang w:val="ru-RU"/>
        </w:rPr>
        <w:t xml:space="preserve">C20/77 </w:t>
      </w:r>
      <w:r w:rsidR="00220493" w:rsidRPr="00AF55B1">
        <w:rPr>
          <w:lang w:val="ru-RU"/>
        </w:rPr>
        <w:t>и примут решение по этому вопросу на сессии Совета 2021 года</w:t>
      </w:r>
      <w:r w:rsidRPr="00AF55B1">
        <w:rPr>
          <w:lang w:val="ru-RU"/>
        </w:rPr>
        <w:t>.</w:t>
      </w:r>
    </w:p>
    <w:p w14:paraId="0E67DEAF" w14:textId="5B7455FA" w:rsidR="00B5094E" w:rsidRPr="00AF55B1" w:rsidRDefault="00B5094E" w:rsidP="00B5094E">
      <w:pPr>
        <w:pStyle w:val="enumlev1"/>
        <w:rPr>
          <w:lang w:val="ru-RU"/>
        </w:rPr>
      </w:pPr>
      <w:r w:rsidRPr="00AF55B1">
        <w:rPr>
          <w:lang w:val="ru-RU"/>
        </w:rPr>
        <w:t>–</w:t>
      </w:r>
      <w:r w:rsidRPr="00AF55B1">
        <w:rPr>
          <w:lang w:val="ru-RU"/>
        </w:rPr>
        <w:tab/>
      </w:r>
      <w:r w:rsidR="00220493" w:rsidRPr="00AF55B1">
        <w:rPr>
          <w:lang w:val="ru-RU"/>
        </w:rPr>
        <w:t>Секретариат проведет информационную сессию в первом семестре</w:t>
      </w:r>
      <w:r w:rsidRPr="00AF55B1">
        <w:rPr>
          <w:lang w:val="ru-RU"/>
        </w:rPr>
        <w:t xml:space="preserve"> 2021</w:t>
      </w:r>
      <w:r w:rsidR="00220493" w:rsidRPr="00AF55B1">
        <w:rPr>
          <w:lang w:val="ru-RU"/>
        </w:rPr>
        <w:t> года, после утверждения ссуды, представления разрешений на строительство и получения первоначальных сведений о будущих условиях работы персонала</w:t>
      </w:r>
      <w:r w:rsidRPr="00AF55B1">
        <w:rPr>
          <w:lang w:val="ru-RU"/>
        </w:rPr>
        <w:t>.</w:t>
      </w:r>
    </w:p>
    <w:p w14:paraId="41D69320" w14:textId="18D27853" w:rsidR="00B5094E" w:rsidRPr="00AF55B1" w:rsidRDefault="00B5094E" w:rsidP="00B5094E">
      <w:pPr>
        <w:pStyle w:val="enumlev1"/>
        <w:rPr>
          <w:lang w:val="ru-RU"/>
        </w:rPr>
      </w:pPr>
      <w:r w:rsidRPr="00AF55B1">
        <w:rPr>
          <w:lang w:val="ru-RU"/>
        </w:rPr>
        <w:t>–</w:t>
      </w:r>
      <w:r w:rsidRPr="00AF55B1">
        <w:rPr>
          <w:lang w:val="ru-RU"/>
        </w:rPr>
        <w:tab/>
      </w:r>
      <w:r w:rsidR="008144FE" w:rsidRPr="00AF55B1">
        <w:rPr>
          <w:lang w:val="ru-RU"/>
        </w:rPr>
        <w:t>Советники предлагают</w:t>
      </w:r>
      <w:r w:rsidRPr="00AF55B1">
        <w:rPr>
          <w:lang w:val="ru-RU"/>
        </w:rPr>
        <w:t xml:space="preserve"> </w:t>
      </w:r>
      <w:r w:rsidR="00243542" w:rsidRPr="00AF55B1">
        <w:rPr>
          <w:color w:val="000000"/>
          <w:lang w:val="ru-RU"/>
        </w:rPr>
        <w:t>КГГЧ</w:t>
      </w:r>
      <w:r w:rsidRPr="00AF55B1">
        <w:rPr>
          <w:lang w:val="ru-RU"/>
        </w:rPr>
        <w:t xml:space="preserve"> </w:t>
      </w:r>
      <w:r w:rsidR="008144FE" w:rsidRPr="00AF55B1">
        <w:rPr>
          <w:lang w:val="ru-RU"/>
        </w:rPr>
        <w:t>принять во внимание замечания, сделанные на собрании, и отразить их в дальнейшей работе Группы</w:t>
      </w:r>
      <w:r w:rsidRPr="00AF55B1">
        <w:rPr>
          <w:lang w:val="ru-RU"/>
        </w:rPr>
        <w:t>.</w:t>
      </w:r>
    </w:p>
    <w:p w14:paraId="5FD70B43" w14:textId="72F4F17F" w:rsidR="00B5094E" w:rsidRPr="00AF55B1" w:rsidRDefault="00B5094E" w:rsidP="00B5094E">
      <w:pPr>
        <w:pStyle w:val="enumlev1"/>
        <w:rPr>
          <w:lang w:val="ru-RU"/>
        </w:rPr>
      </w:pPr>
      <w:r w:rsidRPr="00AF55B1">
        <w:rPr>
          <w:lang w:val="ru-RU"/>
        </w:rPr>
        <w:t>–</w:t>
      </w:r>
      <w:r w:rsidRPr="00AF55B1">
        <w:rPr>
          <w:lang w:val="ru-RU"/>
        </w:rPr>
        <w:tab/>
      </w:r>
      <w:r w:rsidR="008144FE" w:rsidRPr="00AF55B1">
        <w:rPr>
          <w:lang w:val="ru-RU"/>
        </w:rPr>
        <w:t xml:space="preserve">Принимается решение о том, что </w:t>
      </w:r>
      <w:r w:rsidR="00372373" w:rsidRPr="00AF55B1">
        <w:rPr>
          <w:lang w:val="ru-RU"/>
        </w:rPr>
        <w:t>вопросы, касающиеся фонда реестра рисков, могут обсуждаться на следующем собрании</w:t>
      </w:r>
      <w:r w:rsidRPr="00AF55B1">
        <w:rPr>
          <w:lang w:val="ru-RU"/>
        </w:rPr>
        <w:t xml:space="preserve"> </w:t>
      </w:r>
      <w:r w:rsidR="00243542" w:rsidRPr="00AF55B1">
        <w:rPr>
          <w:lang w:val="ru-RU"/>
        </w:rPr>
        <w:t>РГС-ФЛР</w:t>
      </w:r>
      <w:r w:rsidRPr="00AF55B1">
        <w:rPr>
          <w:lang w:val="ru-RU"/>
        </w:rPr>
        <w:t>.</w:t>
      </w:r>
    </w:p>
    <w:p w14:paraId="09C690BB" w14:textId="3666764A" w:rsidR="00380AAF" w:rsidRPr="00AF55B1" w:rsidRDefault="00380AAF" w:rsidP="00380AAF">
      <w:pPr>
        <w:rPr>
          <w:lang w:val="ru-RU"/>
        </w:rPr>
      </w:pPr>
      <w:r w:rsidRPr="00AF55B1">
        <w:rPr>
          <w:lang w:val="ru-RU"/>
        </w:rPr>
        <w:t>5</w:t>
      </w:r>
      <w:r w:rsidR="00B5094E" w:rsidRPr="00AF55B1">
        <w:rPr>
          <w:lang w:val="ru-RU"/>
        </w:rPr>
        <w:t>.17</w:t>
      </w:r>
      <w:r w:rsidRPr="00AF55B1">
        <w:rPr>
          <w:lang w:val="ru-RU"/>
        </w:rPr>
        <w:tab/>
      </w:r>
      <w:r w:rsidR="00190EA0" w:rsidRPr="00AF55B1">
        <w:rPr>
          <w:lang w:val="ru-RU"/>
        </w:rPr>
        <w:t xml:space="preserve">Предложение </w:t>
      </w:r>
      <w:r w:rsidR="00190EA0" w:rsidRPr="00AF55B1">
        <w:rPr>
          <w:b/>
          <w:lang w:val="ru-RU"/>
        </w:rPr>
        <w:t>принимается</w:t>
      </w:r>
      <w:r w:rsidR="00190EA0" w:rsidRPr="00AF55B1">
        <w:rPr>
          <w:lang w:val="ru-RU"/>
        </w:rPr>
        <w:t>.</w:t>
      </w:r>
    </w:p>
    <w:bookmarkEnd w:id="8"/>
    <w:p w14:paraId="21E039B8" w14:textId="5DBE71F0" w:rsidR="00341EA9" w:rsidRPr="00AF55B1" w:rsidRDefault="00341EA9" w:rsidP="00BC4A76">
      <w:pPr>
        <w:pStyle w:val="Heading1"/>
        <w:rPr>
          <w:lang w:val="ru-RU"/>
        </w:rPr>
      </w:pPr>
      <w:r w:rsidRPr="00AF55B1">
        <w:rPr>
          <w:lang w:val="ru-RU"/>
        </w:rPr>
        <w:t>6</w:t>
      </w:r>
      <w:r w:rsidRPr="00AF55B1">
        <w:rPr>
          <w:lang w:val="ru-RU"/>
        </w:rPr>
        <w:tab/>
      </w:r>
      <w:r w:rsidR="00BC4A76" w:rsidRPr="00AF55B1">
        <w:rPr>
          <w:bCs/>
          <w:szCs w:val="22"/>
          <w:lang w:val="ru-RU"/>
        </w:rPr>
        <w:t>Стратегия по условиям работы персонала и План реализации</w:t>
      </w:r>
      <w:r w:rsidR="00BC4A76" w:rsidRPr="00AF55B1">
        <w:rPr>
          <w:lang w:val="ru-RU"/>
        </w:rPr>
        <w:t xml:space="preserve"> </w:t>
      </w:r>
      <w:r w:rsidR="00380AAF" w:rsidRPr="00AF55B1">
        <w:rPr>
          <w:lang w:val="ru-RU"/>
        </w:rPr>
        <w:t>(Документ </w:t>
      </w:r>
      <w:hyperlink r:id="rId35" w:history="1">
        <w:r w:rsidR="00BC4A76" w:rsidRPr="00AF55B1">
          <w:rPr>
            <w:rStyle w:val="Hyperlink"/>
            <w:bCs/>
            <w:lang w:val="ru-RU"/>
          </w:rPr>
          <w:t>C20/29</w:t>
        </w:r>
      </w:hyperlink>
      <w:r w:rsidR="00380AAF" w:rsidRPr="00AF55B1">
        <w:rPr>
          <w:lang w:val="ru-RU"/>
        </w:rPr>
        <w:t>)</w:t>
      </w:r>
    </w:p>
    <w:p w14:paraId="21E5B800" w14:textId="31F2A22F" w:rsidR="00BC4A76" w:rsidRPr="00AF55B1" w:rsidRDefault="00BC4A76" w:rsidP="00BC4A76">
      <w:pPr>
        <w:rPr>
          <w:lang w:val="ru-RU"/>
        </w:rPr>
      </w:pPr>
      <w:bookmarkStart w:id="9" w:name="_Hlk43127067"/>
      <w:r w:rsidRPr="00AF55B1">
        <w:rPr>
          <w:rFonts w:asciiTheme="minorHAnsi" w:hAnsiTheme="minorHAnsi" w:cstheme="minorHAnsi"/>
          <w:color w:val="000000"/>
          <w:lang w:val="ru-RU" w:eastAsia="en-GB"/>
        </w:rPr>
        <w:t>6.1</w:t>
      </w:r>
      <w:r w:rsidRPr="00AF55B1">
        <w:rPr>
          <w:rFonts w:asciiTheme="minorHAnsi" w:hAnsiTheme="minorHAnsi" w:cstheme="minorHAnsi"/>
          <w:color w:val="000000"/>
          <w:lang w:val="ru-RU" w:eastAsia="en-GB"/>
        </w:rPr>
        <w:tab/>
      </w:r>
      <w:r w:rsidR="00636A1A" w:rsidRPr="00AF55B1">
        <w:rPr>
          <w:rFonts w:asciiTheme="minorHAnsi" w:hAnsiTheme="minorHAnsi" w:cstheme="minorHAnsi"/>
          <w:color w:val="000000"/>
          <w:lang w:val="ru-RU" w:eastAsia="en-GB"/>
        </w:rPr>
        <w:t>Председатель обращает внимание на Документ</w:t>
      </w:r>
      <w:r w:rsidR="00636A1A" w:rsidRPr="00AF55B1">
        <w:rPr>
          <w:lang w:val="ru-RU"/>
        </w:rPr>
        <w:t> </w:t>
      </w:r>
      <w:r w:rsidRPr="00AF55B1">
        <w:rPr>
          <w:lang w:val="ru-RU"/>
        </w:rPr>
        <w:t>C20/29</w:t>
      </w:r>
      <w:r w:rsidR="00636A1A" w:rsidRPr="00AF55B1">
        <w:rPr>
          <w:lang w:val="ru-RU"/>
        </w:rPr>
        <w:t xml:space="preserve">, содержащий отчет о </w:t>
      </w:r>
      <w:r w:rsidR="00636A1A" w:rsidRPr="00AF55B1">
        <w:rPr>
          <w:bCs/>
          <w:szCs w:val="22"/>
          <w:lang w:val="ru-RU"/>
        </w:rPr>
        <w:t>стратегии по условиям работы персонала и плане реализации</w:t>
      </w:r>
      <w:r w:rsidRPr="00AF55B1">
        <w:rPr>
          <w:lang w:val="ru-RU"/>
        </w:rPr>
        <w:t xml:space="preserve"> </w:t>
      </w:r>
      <w:r w:rsidR="00636A1A" w:rsidRPr="00AF55B1">
        <w:rPr>
          <w:lang w:val="ru-RU"/>
        </w:rPr>
        <w:t>на период</w:t>
      </w:r>
      <w:r w:rsidRPr="00AF55B1">
        <w:rPr>
          <w:lang w:val="ru-RU"/>
        </w:rPr>
        <w:t xml:space="preserve"> 2020–2022</w:t>
      </w:r>
      <w:r w:rsidR="00636A1A" w:rsidRPr="00AF55B1">
        <w:rPr>
          <w:lang w:val="ru-RU"/>
        </w:rPr>
        <w:t> год</w:t>
      </w:r>
      <w:r w:rsidR="00475CC7" w:rsidRPr="00AF55B1">
        <w:rPr>
          <w:lang w:val="ru-RU"/>
        </w:rPr>
        <w:t>ов</w:t>
      </w:r>
      <w:r w:rsidRPr="00AF55B1">
        <w:rPr>
          <w:lang w:val="ru-RU"/>
        </w:rPr>
        <w:t xml:space="preserve">, </w:t>
      </w:r>
      <w:r w:rsidR="00636A1A" w:rsidRPr="00AF55B1">
        <w:rPr>
          <w:lang w:val="ru-RU"/>
        </w:rPr>
        <w:t xml:space="preserve">который был составлен при консультациях с </w:t>
      </w:r>
      <w:r w:rsidR="00475CC7" w:rsidRPr="00AF55B1">
        <w:rPr>
          <w:lang w:val="ru-RU"/>
        </w:rPr>
        <w:t>С</w:t>
      </w:r>
      <w:r w:rsidR="00636A1A" w:rsidRPr="00AF55B1">
        <w:rPr>
          <w:lang w:val="ru-RU"/>
        </w:rPr>
        <w:t>оветом персонала в соответствии с Решением </w:t>
      </w:r>
      <w:r w:rsidRPr="00AF55B1">
        <w:rPr>
          <w:lang w:val="ru-RU"/>
        </w:rPr>
        <w:t>619.</w:t>
      </w:r>
    </w:p>
    <w:p w14:paraId="04D095F8" w14:textId="1176B554" w:rsidR="00BC4A76" w:rsidRPr="00AF55B1" w:rsidRDefault="00BC4A76" w:rsidP="00BC4A76">
      <w:pPr>
        <w:rPr>
          <w:lang w:val="ru-RU"/>
        </w:rPr>
      </w:pPr>
      <w:r w:rsidRPr="00AF55B1">
        <w:rPr>
          <w:lang w:val="ru-RU"/>
        </w:rPr>
        <w:t>6.2</w:t>
      </w:r>
      <w:r w:rsidRPr="00AF55B1">
        <w:rPr>
          <w:lang w:val="ru-RU"/>
        </w:rPr>
        <w:tab/>
      </w:r>
      <w:r w:rsidR="00636A1A" w:rsidRPr="00AF55B1">
        <w:rPr>
          <w:lang w:val="ru-RU"/>
        </w:rPr>
        <w:t>Один из Советников предлагает представить отчет на рассмотрение следующему собранию</w:t>
      </w:r>
      <w:r w:rsidRPr="00AF55B1">
        <w:rPr>
          <w:lang w:val="ru-RU"/>
        </w:rPr>
        <w:t xml:space="preserve"> </w:t>
      </w:r>
      <w:r w:rsidR="00243542" w:rsidRPr="00AF55B1">
        <w:rPr>
          <w:lang w:val="ru-RU"/>
        </w:rPr>
        <w:t>РГС-ФЛР</w:t>
      </w:r>
      <w:r w:rsidRPr="00AF55B1">
        <w:rPr>
          <w:lang w:val="ru-RU"/>
        </w:rPr>
        <w:t>.</w:t>
      </w:r>
    </w:p>
    <w:p w14:paraId="511606E3" w14:textId="6C2881BF" w:rsidR="00BC4A76" w:rsidRPr="00AF55B1" w:rsidRDefault="00BC4A76" w:rsidP="00BC4A76">
      <w:pPr>
        <w:rPr>
          <w:lang w:val="ru-RU"/>
        </w:rPr>
      </w:pPr>
      <w:r w:rsidRPr="00AF55B1">
        <w:rPr>
          <w:lang w:val="ru-RU"/>
        </w:rPr>
        <w:t>6.3</w:t>
      </w:r>
      <w:r w:rsidRPr="00AF55B1">
        <w:rPr>
          <w:lang w:val="ru-RU"/>
        </w:rPr>
        <w:tab/>
      </w:r>
      <w:r w:rsidR="00636A1A" w:rsidRPr="00AF55B1">
        <w:rPr>
          <w:lang w:val="ru-RU"/>
        </w:rPr>
        <w:t>Председатель считает, что Советники желают сделать заключение, согласно которому секретариат проведет информационную сессию в первом семестре 2021 года, когда будут получены первоначальные сведения о будущих условиях работы персонала, и принимают решение об обсуждении Документа </w:t>
      </w:r>
      <w:r w:rsidRPr="00AF55B1">
        <w:rPr>
          <w:lang w:val="ru-RU"/>
        </w:rPr>
        <w:t xml:space="preserve">C20/29 </w:t>
      </w:r>
      <w:r w:rsidR="00636A1A" w:rsidRPr="00AF55B1">
        <w:rPr>
          <w:lang w:val="ru-RU"/>
        </w:rPr>
        <w:t xml:space="preserve">на следующем собрании </w:t>
      </w:r>
      <w:r w:rsidR="00243542" w:rsidRPr="00AF55B1">
        <w:rPr>
          <w:lang w:val="ru-RU"/>
        </w:rPr>
        <w:t>РГС-ФЛР</w:t>
      </w:r>
      <w:r w:rsidRPr="00AF55B1">
        <w:rPr>
          <w:lang w:val="ru-RU"/>
        </w:rPr>
        <w:t>.</w:t>
      </w:r>
    </w:p>
    <w:p w14:paraId="19BAA8E0" w14:textId="6DA8D5A5" w:rsidR="00380AAF" w:rsidRPr="00AF55B1" w:rsidRDefault="00380AAF" w:rsidP="00380AAF">
      <w:pPr>
        <w:rPr>
          <w:lang w:val="ru-RU"/>
        </w:rPr>
      </w:pPr>
      <w:r w:rsidRPr="00AF55B1">
        <w:rPr>
          <w:lang w:val="ru-RU"/>
        </w:rPr>
        <w:t>6.</w:t>
      </w:r>
      <w:r w:rsidR="00BC4A76" w:rsidRPr="00AF55B1">
        <w:rPr>
          <w:lang w:val="ru-RU"/>
        </w:rPr>
        <w:t>4</w:t>
      </w:r>
      <w:r w:rsidRPr="00AF55B1">
        <w:rPr>
          <w:lang w:val="ru-RU"/>
        </w:rPr>
        <w:tab/>
      </w:r>
      <w:r w:rsidR="00AB3A53" w:rsidRPr="00AF55B1">
        <w:rPr>
          <w:lang w:val="ru-RU"/>
        </w:rPr>
        <w:t>Заключение</w:t>
      </w:r>
      <w:r w:rsidRPr="00AF55B1">
        <w:rPr>
          <w:lang w:val="ru-RU"/>
        </w:rPr>
        <w:t xml:space="preserve"> </w:t>
      </w:r>
      <w:r w:rsidRPr="00AF55B1">
        <w:rPr>
          <w:b/>
          <w:lang w:val="ru-RU"/>
        </w:rPr>
        <w:t>принимается</w:t>
      </w:r>
      <w:r w:rsidRPr="00AF55B1">
        <w:rPr>
          <w:lang w:val="ru-RU"/>
        </w:rPr>
        <w:t>.</w:t>
      </w:r>
    </w:p>
    <w:bookmarkEnd w:id="9"/>
    <w:p w14:paraId="48197FBA" w14:textId="1F4B65C9" w:rsidR="00BC4A76" w:rsidRPr="00AF55B1" w:rsidRDefault="00BC4A76" w:rsidP="00BC4A76">
      <w:pPr>
        <w:tabs>
          <w:tab w:val="clear" w:pos="794"/>
          <w:tab w:val="clear" w:pos="1191"/>
          <w:tab w:val="clear" w:pos="1588"/>
          <w:tab w:val="clear" w:pos="1985"/>
        </w:tabs>
        <w:spacing w:before="360" w:after="120"/>
        <w:ind w:left="794" w:hanging="794"/>
        <w:rPr>
          <w:rFonts w:asciiTheme="minorHAnsi" w:hAnsiTheme="minorHAnsi" w:cstheme="minorHAnsi"/>
          <w:b/>
          <w:bCs/>
          <w:sz w:val="26"/>
          <w:szCs w:val="26"/>
          <w:lang w:val="ru-RU"/>
        </w:rPr>
      </w:pPr>
      <w:r w:rsidRPr="00AF55B1">
        <w:rPr>
          <w:rFonts w:asciiTheme="minorHAnsi" w:hAnsiTheme="minorHAnsi" w:cstheme="minorHAnsi"/>
          <w:b/>
          <w:bCs/>
          <w:sz w:val="26"/>
          <w:szCs w:val="26"/>
          <w:lang w:val="ru-RU"/>
        </w:rPr>
        <w:t>7</w:t>
      </w:r>
      <w:r w:rsidRPr="00AF55B1">
        <w:rPr>
          <w:rFonts w:asciiTheme="minorHAnsi" w:hAnsiTheme="minorHAnsi" w:cstheme="minorHAnsi"/>
          <w:b/>
          <w:bCs/>
          <w:sz w:val="26"/>
          <w:szCs w:val="26"/>
          <w:lang w:val="ru-RU"/>
        </w:rPr>
        <w:tab/>
      </w:r>
      <w:r w:rsidR="00636A1A" w:rsidRPr="00AF55B1">
        <w:rPr>
          <w:rFonts w:asciiTheme="minorHAnsi" w:hAnsiTheme="minorHAnsi" w:cstheme="minorHAnsi"/>
          <w:b/>
          <w:bCs/>
          <w:sz w:val="26"/>
          <w:szCs w:val="26"/>
          <w:lang w:val="ru-RU"/>
        </w:rPr>
        <w:t>Отчеты рабочих групп Совета</w:t>
      </w:r>
      <w:r w:rsidRPr="00AF55B1">
        <w:rPr>
          <w:rFonts w:asciiTheme="minorHAnsi" w:hAnsiTheme="minorHAnsi" w:cstheme="minorHAnsi"/>
          <w:b/>
          <w:bCs/>
          <w:sz w:val="26"/>
          <w:szCs w:val="26"/>
          <w:lang w:val="ru-RU"/>
        </w:rPr>
        <w:t xml:space="preserve"> (Документы </w:t>
      </w:r>
      <w:hyperlink r:id="rId36" w:history="1">
        <w:r w:rsidRPr="00AF55B1">
          <w:rPr>
            <w:rStyle w:val="Hyperlink"/>
            <w:rFonts w:asciiTheme="minorHAnsi" w:hAnsiTheme="minorHAnsi" w:cstheme="minorHAnsi"/>
            <w:b/>
            <w:bCs/>
            <w:sz w:val="26"/>
            <w:szCs w:val="26"/>
            <w:lang w:val="ru-RU"/>
          </w:rPr>
          <w:t>C20/8</w:t>
        </w:r>
      </w:hyperlink>
      <w:r w:rsidRPr="00AF55B1">
        <w:rPr>
          <w:rFonts w:asciiTheme="minorHAnsi" w:hAnsiTheme="minorHAnsi" w:cstheme="minorHAnsi"/>
          <w:b/>
          <w:bCs/>
          <w:sz w:val="26"/>
          <w:szCs w:val="26"/>
          <w:lang w:val="ru-RU"/>
        </w:rPr>
        <w:t xml:space="preserve">, </w:t>
      </w:r>
      <w:hyperlink r:id="rId37" w:history="1">
        <w:r w:rsidRPr="00AF55B1">
          <w:rPr>
            <w:rStyle w:val="Hyperlink"/>
            <w:rFonts w:asciiTheme="minorHAnsi" w:hAnsiTheme="minorHAnsi" w:cstheme="minorHAnsi"/>
            <w:b/>
            <w:bCs/>
            <w:sz w:val="26"/>
            <w:szCs w:val="26"/>
            <w:lang w:val="ru-RU"/>
          </w:rPr>
          <w:t>C20/12</w:t>
        </w:r>
      </w:hyperlink>
      <w:r w:rsidRPr="00AF55B1">
        <w:rPr>
          <w:rFonts w:asciiTheme="minorHAnsi" w:hAnsiTheme="minorHAnsi" w:cstheme="minorHAnsi"/>
          <w:b/>
          <w:bCs/>
          <w:sz w:val="26"/>
          <w:szCs w:val="26"/>
          <w:lang w:val="ru-RU"/>
        </w:rPr>
        <w:t xml:space="preserve">, </w:t>
      </w:r>
      <w:hyperlink r:id="rId38" w:history="1">
        <w:r w:rsidRPr="00AF55B1">
          <w:rPr>
            <w:rStyle w:val="Hyperlink"/>
            <w:rFonts w:asciiTheme="minorHAnsi" w:hAnsiTheme="minorHAnsi" w:cstheme="minorHAnsi"/>
            <w:b/>
            <w:bCs/>
            <w:sz w:val="26"/>
            <w:szCs w:val="26"/>
            <w:lang w:val="ru-RU"/>
          </w:rPr>
          <w:t>C20/51</w:t>
        </w:r>
      </w:hyperlink>
      <w:r w:rsidRPr="00AF55B1">
        <w:rPr>
          <w:rFonts w:asciiTheme="minorHAnsi" w:hAnsiTheme="minorHAnsi" w:cstheme="minorHAnsi"/>
          <w:b/>
          <w:bCs/>
          <w:sz w:val="26"/>
          <w:szCs w:val="26"/>
          <w:lang w:val="ru-RU"/>
        </w:rPr>
        <w:t xml:space="preserve">, </w:t>
      </w:r>
      <w:hyperlink r:id="rId39" w:history="1">
        <w:r w:rsidRPr="00AF55B1">
          <w:rPr>
            <w:rStyle w:val="Hyperlink"/>
            <w:rFonts w:asciiTheme="minorHAnsi" w:hAnsiTheme="minorHAnsi" w:cstheme="minorHAnsi"/>
            <w:b/>
            <w:bCs/>
            <w:sz w:val="26"/>
            <w:szCs w:val="26"/>
            <w:lang w:val="ru-RU"/>
          </w:rPr>
          <w:t>C20/57</w:t>
        </w:r>
      </w:hyperlink>
      <w:r w:rsidRPr="00AF55B1">
        <w:rPr>
          <w:rFonts w:asciiTheme="minorHAnsi" w:hAnsiTheme="minorHAnsi" w:cstheme="minorHAnsi"/>
          <w:b/>
          <w:bCs/>
          <w:sz w:val="26"/>
          <w:szCs w:val="26"/>
          <w:lang w:val="ru-RU"/>
        </w:rPr>
        <w:t xml:space="preserve">, </w:t>
      </w:r>
      <w:hyperlink r:id="rId40" w:history="1">
        <w:r w:rsidRPr="00AF55B1">
          <w:rPr>
            <w:rStyle w:val="Hyperlink"/>
            <w:rFonts w:asciiTheme="minorHAnsi" w:hAnsiTheme="minorHAnsi" w:cstheme="minorHAnsi"/>
            <w:b/>
            <w:bCs/>
            <w:sz w:val="26"/>
            <w:szCs w:val="26"/>
            <w:lang w:val="ru-RU"/>
          </w:rPr>
          <w:t>C20/67</w:t>
        </w:r>
      </w:hyperlink>
      <w:r w:rsidRPr="00AF55B1">
        <w:rPr>
          <w:rFonts w:asciiTheme="minorHAnsi" w:hAnsiTheme="minorHAnsi" w:cstheme="minorHAnsi"/>
          <w:b/>
          <w:bCs/>
          <w:sz w:val="26"/>
          <w:szCs w:val="26"/>
          <w:lang w:val="ru-RU"/>
        </w:rPr>
        <w:t>)</w:t>
      </w:r>
    </w:p>
    <w:p w14:paraId="1545E7E0" w14:textId="3F8218D2" w:rsidR="00BC4A76" w:rsidRPr="00AF55B1" w:rsidRDefault="00BC4A76" w:rsidP="00BC4A76">
      <w:pPr>
        <w:rPr>
          <w:lang w:val="ru-RU"/>
        </w:rPr>
      </w:pPr>
      <w:r w:rsidRPr="00AF55B1">
        <w:rPr>
          <w:lang w:val="ru-RU"/>
        </w:rPr>
        <w:t>7.1</w:t>
      </w:r>
      <w:r w:rsidRPr="00AF55B1">
        <w:rPr>
          <w:lang w:val="ru-RU"/>
        </w:rPr>
        <w:tab/>
      </w:r>
      <w:r w:rsidR="00636A1A" w:rsidRPr="00AF55B1">
        <w:rPr>
          <w:lang w:val="ru-RU"/>
        </w:rPr>
        <w:t>Председатель обращает внимание на Документы </w:t>
      </w:r>
      <w:hyperlink r:id="rId41" w:history="1">
        <w:r w:rsidRPr="00AF55B1">
          <w:rPr>
            <w:lang w:val="ru-RU"/>
          </w:rPr>
          <w:t>C20/8</w:t>
        </w:r>
      </w:hyperlink>
      <w:r w:rsidRPr="00AF55B1">
        <w:rPr>
          <w:lang w:val="ru-RU"/>
        </w:rPr>
        <w:t xml:space="preserve">, C20/12, </w:t>
      </w:r>
      <w:hyperlink r:id="rId42" w:history="1">
        <w:r w:rsidRPr="00AF55B1">
          <w:rPr>
            <w:lang w:val="ru-RU"/>
          </w:rPr>
          <w:t>C20/51</w:t>
        </w:r>
      </w:hyperlink>
      <w:r w:rsidR="00636A1A" w:rsidRPr="00AF55B1">
        <w:rPr>
          <w:lang w:val="ru-RU"/>
        </w:rPr>
        <w:t xml:space="preserve"> и</w:t>
      </w:r>
      <w:r w:rsidRPr="00AF55B1">
        <w:rPr>
          <w:lang w:val="ru-RU"/>
        </w:rPr>
        <w:t xml:space="preserve"> </w:t>
      </w:r>
      <w:hyperlink r:id="rId43" w:history="1">
        <w:r w:rsidRPr="00AF55B1">
          <w:rPr>
            <w:lang w:val="ru-RU"/>
          </w:rPr>
          <w:t>C20/57</w:t>
        </w:r>
      </w:hyperlink>
      <w:r w:rsidR="00636A1A" w:rsidRPr="00AF55B1">
        <w:rPr>
          <w:lang w:val="ru-RU"/>
        </w:rPr>
        <w:t>, в которых содержатся отчеты различных рабочих групп Совета</w:t>
      </w:r>
      <w:r w:rsidRPr="00AF55B1">
        <w:rPr>
          <w:lang w:val="ru-RU"/>
        </w:rPr>
        <w:t>.</w:t>
      </w:r>
      <w:r w:rsidR="000B6883" w:rsidRPr="00AF55B1">
        <w:rPr>
          <w:lang w:val="ru-RU"/>
        </w:rPr>
        <w:t xml:space="preserve"> Он считает, что Советники желают сделать заключение, согласно которому, учитывая, что собрания рабочих групп Совета должны пройти в начале 2021 года, будут проведены консультации по переписке для принятия отчетов к сведению и их одобрения</w:t>
      </w:r>
      <w:r w:rsidRPr="00AF55B1">
        <w:rPr>
          <w:lang w:val="ru-RU"/>
        </w:rPr>
        <w:t>.</w:t>
      </w:r>
    </w:p>
    <w:p w14:paraId="35DD4608" w14:textId="4A0FC6CB" w:rsidR="00BC4A76" w:rsidRPr="00AF55B1" w:rsidRDefault="00BC4A76" w:rsidP="00BC4A76">
      <w:pPr>
        <w:rPr>
          <w:rFonts w:asciiTheme="minorHAnsi" w:hAnsiTheme="minorHAnsi" w:cstheme="minorHAnsi"/>
          <w:lang w:val="ru-RU"/>
        </w:rPr>
      </w:pPr>
      <w:r w:rsidRPr="00AF55B1">
        <w:rPr>
          <w:rFonts w:asciiTheme="minorHAnsi" w:hAnsiTheme="minorHAnsi" w:cstheme="minorHAnsi"/>
          <w:lang w:val="ru-RU"/>
        </w:rPr>
        <w:t>7.2</w:t>
      </w:r>
      <w:r w:rsidRPr="00AF55B1">
        <w:rPr>
          <w:rFonts w:asciiTheme="minorHAnsi" w:hAnsiTheme="minorHAnsi" w:cstheme="minorHAnsi"/>
          <w:lang w:val="ru-RU"/>
        </w:rPr>
        <w:tab/>
      </w:r>
      <w:r w:rsidRPr="00AF55B1">
        <w:rPr>
          <w:lang w:val="ru-RU"/>
        </w:rPr>
        <w:t xml:space="preserve">Заключение </w:t>
      </w:r>
      <w:r w:rsidRPr="00AF55B1">
        <w:rPr>
          <w:b/>
          <w:lang w:val="ru-RU"/>
        </w:rPr>
        <w:t>принимается</w:t>
      </w:r>
      <w:r w:rsidRPr="00AF55B1">
        <w:rPr>
          <w:rFonts w:asciiTheme="minorHAnsi" w:hAnsiTheme="minorHAnsi" w:cstheme="minorHAnsi"/>
          <w:lang w:val="ru-RU"/>
        </w:rPr>
        <w:t>.</w:t>
      </w:r>
    </w:p>
    <w:p w14:paraId="04D46997" w14:textId="501F09F0" w:rsidR="00BC4A76" w:rsidRPr="00AF55B1" w:rsidRDefault="00BC4A76" w:rsidP="00BC4A76">
      <w:pPr>
        <w:rPr>
          <w:lang w:val="ru-RU"/>
        </w:rPr>
      </w:pPr>
      <w:r w:rsidRPr="00AF55B1">
        <w:rPr>
          <w:lang w:val="ru-RU"/>
        </w:rPr>
        <w:t>7.3</w:t>
      </w:r>
      <w:r w:rsidRPr="00AF55B1">
        <w:rPr>
          <w:lang w:val="ru-RU"/>
        </w:rPr>
        <w:tab/>
      </w:r>
      <w:r w:rsidR="000B6883" w:rsidRPr="00AF55B1">
        <w:rPr>
          <w:lang w:val="ru-RU"/>
        </w:rPr>
        <w:t>Председатель говорит, что в Документе </w:t>
      </w:r>
      <w:r w:rsidRPr="00AF55B1">
        <w:rPr>
          <w:lang w:val="ru-RU"/>
        </w:rPr>
        <w:t xml:space="preserve">C20/67 </w:t>
      </w:r>
      <w:r w:rsidR="000B6883" w:rsidRPr="00AF55B1">
        <w:rPr>
          <w:lang w:val="ru-RU"/>
        </w:rPr>
        <w:t>содержится вклад Российской Федерации о согласовании веб-сайтов Секторов МСЭ на всех шести языках Союза</w:t>
      </w:r>
      <w:r w:rsidRPr="00AF55B1">
        <w:rPr>
          <w:lang w:val="ru-RU"/>
        </w:rPr>
        <w:t xml:space="preserve">. </w:t>
      </w:r>
      <w:r w:rsidR="000B6883" w:rsidRPr="00AF55B1">
        <w:rPr>
          <w:lang w:val="ru-RU"/>
        </w:rPr>
        <w:t>Он предлагает Советникам сделать заключение о рассмотрении предложений на следующем собрании</w:t>
      </w:r>
      <w:r w:rsidRPr="00AF55B1">
        <w:rPr>
          <w:lang w:val="ru-RU"/>
        </w:rPr>
        <w:t xml:space="preserve"> </w:t>
      </w:r>
      <w:r w:rsidR="000B6883" w:rsidRPr="00AF55B1">
        <w:rPr>
          <w:lang w:val="ru-RU"/>
        </w:rPr>
        <w:t>РГС-ЯЗ</w:t>
      </w:r>
      <w:r w:rsidRPr="00AF55B1">
        <w:rPr>
          <w:lang w:val="ru-RU"/>
        </w:rPr>
        <w:t>.</w:t>
      </w:r>
    </w:p>
    <w:p w14:paraId="3AC649F4" w14:textId="418A8ED8" w:rsidR="00341EA9" w:rsidRPr="00AF55B1" w:rsidRDefault="00341EA9" w:rsidP="00341EA9">
      <w:pPr>
        <w:rPr>
          <w:lang w:val="ru-RU"/>
        </w:rPr>
      </w:pPr>
      <w:r w:rsidRPr="00AF55B1">
        <w:rPr>
          <w:lang w:val="ru-RU"/>
        </w:rPr>
        <w:t>7.</w:t>
      </w:r>
      <w:r w:rsidR="00BC4A76" w:rsidRPr="00AF55B1">
        <w:rPr>
          <w:lang w:val="ru-RU"/>
        </w:rPr>
        <w:t>4</w:t>
      </w:r>
      <w:r w:rsidRPr="00AF55B1">
        <w:rPr>
          <w:lang w:val="ru-RU"/>
        </w:rPr>
        <w:tab/>
      </w:r>
      <w:r w:rsidR="00AB3A53" w:rsidRPr="00AF55B1">
        <w:rPr>
          <w:lang w:val="ru-RU"/>
        </w:rPr>
        <w:t>Заключение</w:t>
      </w:r>
      <w:r w:rsidR="00FC621E" w:rsidRPr="00AF55B1">
        <w:rPr>
          <w:lang w:val="ru-RU"/>
        </w:rPr>
        <w:t xml:space="preserve"> </w:t>
      </w:r>
      <w:r w:rsidR="00FC621E" w:rsidRPr="00AF55B1">
        <w:rPr>
          <w:b/>
          <w:lang w:val="ru-RU"/>
        </w:rPr>
        <w:t>принимается</w:t>
      </w:r>
      <w:r w:rsidRPr="00AF55B1">
        <w:rPr>
          <w:lang w:val="ru-RU"/>
        </w:rPr>
        <w:t>.</w:t>
      </w:r>
    </w:p>
    <w:p w14:paraId="44A48F18" w14:textId="47FE421F" w:rsidR="00341EA9" w:rsidRPr="00AF55B1" w:rsidRDefault="00674719" w:rsidP="00481981">
      <w:pPr>
        <w:tabs>
          <w:tab w:val="clear" w:pos="1191"/>
          <w:tab w:val="clear" w:pos="1588"/>
          <w:tab w:val="clear" w:pos="1985"/>
          <w:tab w:val="left" w:pos="6804"/>
        </w:tabs>
        <w:spacing w:before="1080"/>
        <w:rPr>
          <w:lang w:val="ru-RU"/>
        </w:rPr>
      </w:pPr>
      <w:r w:rsidRPr="00AF55B1">
        <w:rPr>
          <w:lang w:val="ru-RU"/>
        </w:rPr>
        <w:t>Генеральный секретарь</w:t>
      </w:r>
      <w:r w:rsidR="00A03364" w:rsidRPr="00AF55B1">
        <w:rPr>
          <w:lang w:val="ru-RU"/>
        </w:rPr>
        <w:t>:</w:t>
      </w:r>
      <w:r w:rsidR="00341EA9" w:rsidRPr="00AF55B1">
        <w:rPr>
          <w:lang w:val="ru-RU"/>
        </w:rPr>
        <w:tab/>
      </w:r>
      <w:r w:rsidR="00711347" w:rsidRPr="00AF55B1">
        <w:rPr>
          <w:szCs w:val="24"/>
          <w:lang w:val="ru-RU"/>
        </w:rPr>
        <w:t>Председатель</w:t>
      </w:r>
      <w:r w:rsidR="00A03364" w:rsidRPr="00AF55B1">
        <w:rPr>
          <w:szCs w:val="24"/>
          <w:lang w:val="ru-RU"/>
        </w:rPr>
        <w:t>:</w:t>
      </w:r>
      <w:r w:rsidRPr="00AF55B1">
        <w:rPr>
          <w:lang w:val="ru-RU"/>
        </w:rPr>
        <w:br/>
        <w:t>Х. ЧЖАО</w:t>
      </w:r>
      <w:r w:rsidRPr="00AF55B1">
        <w:rPr>
          <w:lang w:val="ru-RU"/>
        </w:rPr>
        <w:tab/>
      </w:r>
      <w:r w:rsidRPr="00AF55B1">
        <w:rPr>
          <w:lang w:val="ru-RU"/>
        </w:rPr>
        <w:tab/>
      </w:r>
      <w:r w:rsidR="006F1121" w:rsidRPr="00AF55B1">
        <w:rPr>
          <w:lang w:val="ru-RU"/>
        </w:rPr>
        <w:t xml:space="preserve">С. </w:t>
      </w:r>
      <w:r w:rsidR="006F1121" w:rsidRPr="00AF55B1">
        <w:rPr>
          <w:color w:val="000000"/>
          <w:lang w:val="ru-RU"/>
        </w:rPr>
        <w:t>БИН ГЕЛАЙТА</w:t>
      </w:r>
    </w:p>
    <w:sectPr w:rsidR="00341EA9" w:rsidRPr="00AF55B1" w:rsidSect="00481981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footerReference w:type="first" r:id="rId49"/>
      <w:pgSz w:w="11907" w:h="16834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D3F0AA" w14:textId="77777777" w:rsidR="00C43025" w:rsidRDefault="00C43025">
      <w:r>
        <w:separator/>
      </w:r>
    </w:p>
  </w:endnote>
  <w:endnote w:type="continuationSeparator" w:id="0">
    <w:p w14:paraId="192728AD" w14:textId="77777777" w:rsidR="00C43025" w:rsidRDefault="00C43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7D0AE" w14:textId="77777777" w:rsidR="00C43025" w:rsidRDefault="00C430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9765A" w14:textId="1422992C" w:rsidR="00C43025" w:rsidRPr="00EE595D" w:rsidRDefault="00C43025" w:rsidP="009B0BAE">
    <w:pPr>
      <w:pStyle w:val="Footer"/>
      <w:rPr>
        <w:sz w:val="18"/>
        <w:szCs w:val="18"/>
      </w:rPr>
    </w:pPr>
    <w:r>
      <w:fldChar w:fldCharType="begin"/>
    </w:r>
    <w:r w:rsidRPr="00EE595D">
      <w:instrText xml:space="preserve"> FILENAME \p  \* MERGEFORMAT </w:instrText>
    </w:r>
    <w:r>
      <w:fldChar w:fldCharType="separate"/>
    </w:r>
    <w:r>
      <w:t>P:\RUS\SG\CONSEIL\VC-2\000\0013R.docx</w:t>
    </w:r>
    <w:r>
      <w:rPr>
        <w:lang w:val="en-US"/>
      </w:rPr>
      <w:fldChar w:fldCharType="end"/>
    </w:r>
    <w:r w:rsidRPr="00EE595D">
      <w:t xml:space="preserve"> (</w:t>
    </w:r>
    <w:r>
      <w:t>481103</w:t>
    </w:r>
    <w:r w:rsidRPr="00EE595D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A5A99" w14:textId="77777777" w:rsidR="00C43025" w:rsidRDefault="00C4302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250844" w14:textId="77777777" w:rsidR="00C43025" w:rsidRDefault="00C43025">
      <w:r>
        <w:t>____________________</w:t>
      </w:r>
    </w:p>
  </w:footnote>
  <w:footnote w:type="continuationSeparator" w:id="0">
    <w:p w14:paraId="21540E90" w14:textId="77777777" w:rsidR="00C43025" w:rsidRDefault="00C43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74596" w14:textId="77777777" w:rsidR="00C43025" w:rsidRDefault="00C430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EBFE8" w14:textId="742BF4BE" w:rsidR="00C43025" w:rsidRDefault="00C43025" w:rsidP="00BD57B7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7551E7E" w14:textId="3D94D622" w:rsidR="00C43025" w:rsidRDefault="00C43025" w:rsidP="009E0BEE">
    <w:pPr>
      <w:pStyle w:val="Header"/>
    </w:pPr>
    <w:r>
      <w:t>VC-2/</w:t>
    </w:r>
    <w:r>
      <w:rPr>
        <w:lang w:val="ru-RU"/>
      </w:rPr>
      <w:t>1</w:t>
    </w:r>
    <w:r>
      <w:rPr>
        <w:lang w:val="en-US"/>
      </w:rPr>
      <w:t>3</w:t>
    </w:r>
    <w:r>
      <w:t>-R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89A594" w14:textId="77777777" w:rsidR="00C43025" w:rsidRDefault="00C430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CA" w:vendorID="64" w:dllVersion="4096" w:nlCheck="1" w:checkStyle="0"/>
  <w:activeWritingStyle w:appName="MSWord" w:lang="fr-FR" w:vendorID="64" w:dllVersion="409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80A"/>
    <w:rsid w:val="00004360"/>
    <w:rsid w:val="000065D2"/>
    <w:rsid w:val="00015190"/>
    <w:rsid w:val="00017208"/>
    <w:rsid w:val="0002183E"/>
    <w:rsid w:val="00022646"/>
    <w:rsid w:val="000238DC"/>
    <w:rsid w:val="00042E56"/>
    <w:rsid w:val="000569B4"/>
    <w:rsid w:val="00057FCB"/>
    <w:rsid w:val="0006325E"/>
    <w:rsid w:val="00063BFD"/>
    <w:rsid w:val="00073C28"/>
    <w:rsid w:val="00080E82"/>
    <w:rsid w:val="0008180A"/>
    <w:rsid w:val="00081A9E"/>
    <w:rsid w:val="00086681"/>
    <w:rsid w:val="00096F25"/>
    <w:rsid w:val="000A1564"/>
    <w:rsid w:val="000A5261"/>
    <w:rsid w:val="000B6883"/>
    <w:rsid w:val="000E0BC0"/>
    <w:rsid w:val="000E568E"/>
    <w:rsid w:val="000F0195"/>
    <w:rsid w:val="00106410"/>
    <w:rsid w:val="001212FE"/>
    <w:rsid w:val="00132B8F"/>
    <w:rsid w:val="00136799"/>
    <w:rsid w:val="0013741A"/>
    <w:rsid w:val="00141340"/>
    <w:rsid w:val="00141A63"/>
    <w:rsid w:val="00145DF3"/>
    <w:rsid w:val="0014734F"/>
    <w:rsid w:val="00153FCF"/>
    <w:rsid w:val="0015710D"/>
    <w:rsid w:val="00161886"/>
    <w:rsid w:val="00162D45"/>
    <w:rsid w:val="00163A32"/>
    <w:rsid w:val="00164D2E"/>
    <w:rsid w:val="0016795E"/>
    <w:rsid w:val="00176221"/>
    <w:rsid w:val="00190190"/>
    <w:rsid w:val="00190EA0"/>
    <w:rsid w:val="00192B41"/>
    <w:rsid w:val="001B33EB"/>
    <w:rsid w:val="001B7B09"/>
    <w:rsid w:val="001E1234"/>
    <w:rsid w:val="001E6719"/>
    <w:rsid w:val="002078F9"/>
    <w:rsid w:val="00211A5E"/>
    <w:rsid w:val="00220493"/>
    <w:rsid w:val="00225368"/>
    <w:rsid w:val="00227FF0"/>
    <w:rsid w:val="00230F95"/>
    <w:rsid w:val="00243542"/>
    <w:rsid w:val="002548E7"/>
    <w:rsid w:val="0026600C"/>
    <w:rsid w:val="00283353"/>
    <w:rsid w:val="00291EB6"/>
    <w:rsid w:val="0029416E"/>
    <w:rsid w:val="002A521B"/>
    <w:rsid w:val="002B3763"/>
    <w:rsid w:val="002D2F57"/>
    <w:rsid w:val="002D48C5"/>
    <w:rsid w:val="002D782D"/>
    <w:rsid w:val="002E0F1A"/>
    <w:rsid w:val="002F0765"/>
    <w:rsid w:val="002F144B"/>
    <w:rsid w:val="002F53BC"/>
    <w:rsid w:val="002F6B20"/>
    <w:rsid w:val="00303198"/>
    <w:rsid w:val="00304840"/>
    <w:rsid w:val="0031201D"/>
    <w:rsid w:val="00327582"/>
    <w:rsid w:val="00341EA9"/>
    <w:rsid w:val="0035343D"/>
    <w:rsid w:val="003538BD"/>
    <w:rsid w:val="00361344"/>
    <w:rsid w:val="00363C34"/>
    <w:rsid w:val="00365648"/>
    <w:rsid w:val="003704DC"/>
    <w:rsid w:val="00372373"/>
    <w:rsid w:val="00380AAF"/>
    <w:rsid w:val="003A5ABC"/>
    <w:rsid w:val="003B2F61"/>
    <w:rsid w:val="003B77DF"/>
    <w:rsid w:val="003C1784"/>
    <w:rsid w:val="003C3C44"/>
    <w:rsid w:val="003D304B"/>
    <w:rsid w:val="003E08B2"/>
    <w:rsid w:val="003E2A0B"/>
    <w:rsid w:val="003F099E"/>
    <w:rsid w:val="003F235E"/>
    <w:rsid w:val="003F6EA8"/>
    <w:rsid w:val="00401CE9"/>
    <w:rsid w:val="004023E0"/>
    <w:rsid w:val="00403DD8"/>
    <w:rsid w:val="00410EAB"/>
    <w:rsid w:val="00427961"/>
    <w:rsid w:val="00432028"/>
    <w:rsid w:val="00436A41"/>
    <w:rsid w:val="00442515"/>
    <w:rsid w:val="0045686C"/>
    <w:rsid w:val="0046079E"/>
    <w:rsid w:val="00466E1A"/>
    <w:rsid w:val="004674DB"/>
    <w:rsid w:val="0047131A"/>
    <w:rsid w:val="00475CC7"/>
    <w:rsid w:val="0047664F"/>
    <w:rsid w:val="00476BE7"/>
    <w:rsid w:val="00480364"/>
    <w:rsid w:val="00481981"/>
    <w:rsid w:val="0048274B"/>
    <w:rsid w:val="00483A38"/>
    <w:rsid w:val="004918C4"/>
    <w:rsid w:val="00493BD1"/>
    <w:rsid w:val="00497703"/>
    <w:rsid w:val="004A0374"/>
    <w:rsid w:val="004A3F38"/>
    <w:rsid w:val="004A45B5"/>
    <w:rsid w:val="004B17EE"/>
    <w:rsid w:val="004B6AC7"/>
    <w:rsid w:val="004D0129"/>
    <w:rsid w:val="004D4E3C"/>
    <w:rsid w:val="004E0C5F"/>
    <w:rsid w:val="004E1ADD"/>
    <w:rsid w:val="004E51AD"/>
    <w:rsid w:val="004F0822"/>
    <w:rsid w:val="0050208C"/>
    <w:rsid w:val="00533AE9"/>
    <w:rsid w:val="00541510"/>
    <w:rsid w:val="00544ECF"/>
    <w:rsid w:val="00561DDE"/>
    <w:rsid w:val="005A1290"/>
    <w:rsid w:val="005A5AAC"/>
    <w:rsid w:val="005A64D5"/>
    <w:rsid w:val="005A6FA4"/>
    <w:rsid w:val="005B2B4C"/>
    <w:rsid w:val="005B3DEC"/>
    <w:rsid w:val="005D702B"/>
    <w:rsid w:val="005E03EC"/>
    <w:rsid w:val="005E6F7D"/>
    <w:rsid w:val="005F1811"/>
    <w:rsid w:val="005F3393"/>
    <w:rsid w:val="005F62B8"/>
    <w:rsid w:val="00601994"/>
    <w:rsid w:val="00611143"/>
    <w:rsid w:val="00614A77"/>
    <w:rsid w:val="00620BB0"/>
    <w:rsid w:val="0062612A"/>
    <w:rsid w:val="006317F0"/>
    <w:rsid w:val="0063477C"/>
    <w:rsid w:val="006355DF"/>
    <w:rsid w:val="00635634"/>
    <w:rsid w:val="00636A1A"/>
    <w:rsid w:val="00643934"/>
    <w:rsid w:val="00647813"/>
    <w:rsid w:val="006736F4"/>
    <w:rsid w:val="00674719"/>
    <w:rsid w:val="006A1178"/>
    <w:rsid w:val="006A36F6"/>
    <w:rsid w:val="006A6C4A"/>
    <w:rsid w:val="006A7A47"/>
    <w:rsid w:val="006B2B9C"/>
    <w:rsid w:val="006B35D5"/>
    <w:rsid w:val="006B3DAA"/>
    <w:rsid w:val="006C13FE"/>
    <w:rsid w:val="006D213B"/>
    <w:rsid w:val="006D4575"/>
    <w:rsid w:val="006D6CE7"/>
    <w:rsid w:val="006D6F65"/>
    <w:rsid w:val="006E2D42"/>
    <w:rsid w:val="006E4F10"/>
    <w:rsid w:val="006E67F2"/>
    <w:rsid w:val="006E6A60"/>
    <w:rsid w:val="006E6F75"/>
    <w:rsid w:val="006F1121"/>
    <w:rsid w:val="00703676"/>
    <w:rsid w:val="00703889"/>
    <w:rsid w:val="00707304"/>
    <w:rsid w:val="00711347"/>
    <w:rsid w:val="00712459"/>
    <w:rsid w:val="00724066"/>
    <w:rsid w:val="00732269"/>
    <w:rsid w:val="00742D3F"/>
    <w:rsid w:val="00747594"/>
    <w:rsid w:val="00754092"/>
    <w:rsid w:val="00764680"/>
    <w:rsid w:val="00764916"/>
    <w:rsid w:val="0076503F"/>
    <w:rsid w:val="007700D9"/>
    <w:rsid w:val="00773578"/>
    <w:rsid w:val="007756B9"/>
    <w:rsid w:val="00775B9D"/>
    <w:rsid w:val="00785ABD"/>
    <w:rsid w:val="00790693"/>
    <w:rsid w:val="00794215"/>
    <w:rsid w:val="00795DC6"/>
    <w:rsid w:val="007A2DD4"/>
    <w:rsid w:val="007A46D3"/>
    <w:rsid w:val="007D38B5"/>
    <w:rsid w:val="007D6D58"/>
    <w:rsid w:val="007E1DAE"/>
    <w:rsid w:val="007E25D6"/>
    <w:rsid w:val="007E7EA0"/>
    <w:rsid w:val="007F2521"/>
    <w:rsid w:val="00802EC8"/>
    <w:rsid w:val="00807255"/>
    <w:rsid w:val="0081023E"/>
    <w:rsid w:val="008144FE"/>
    <w:rsid w:val="008145B7"/>
    <w:rsid w:val="008173AA"/>
    <w:rsid w:val="008363F0"/>
    <w:rsid w:val="00840A14"/>
    <w:rsid w:val="00860D58"/>
    <w:rsid w:val="00862206"/>
    <w:rsid w:val="0087073C"/>
    <w:rsid w:val="00875E97"/>
    <w:rsid w:val="00877B16"/>
    <w:rsid w:val="008A49C3"/>
    <w:rsid w:val="008B62B4"/>
    <w:rsid w:val="008D2D7B"/>
    <w:rsid w:val="008E0737"/>
    <w:rsid w:val="008F7C2C"/>
    <w:rsid w:val="009009F7"/>
    <w:rsid w:val="009217D8"/>
    <w:rsid w:val="00924B94"/>
    <w:rsid w:val="00940E23"/>
    <w:rsid w:val="00940E96"/>
    <w:rsid w:val="00943923"/>
    <w:rsid w:val="00967540"/>
    <w:rsid w:val="00967E0F"/>
    <w:rsid w:val="0097287C"/>
    <w:rsid w:val="0099100B"/>
    <w:rsid w:val="0099299F"/>
    <w:rsid w:val="00996A13"/>
    <w:rsid w:val="00996CF8"/>
    <w:rsid w:val="009A0CED"/>
    <w:rsid w:val="009A37CE"/>
    <w:rsid w:val="009B0BAE"/>
    <w:rsid w:val="009B6672"/>
    <w:rsid w:val="009C1C89"/>
    <w:rsid w:val="009C2AD4"/>
    <w:rsid w:val="009D0E4F"/>
    <w:rsid w:val="009E0BEE"/>
    <w:rsid w:val="009F3448"/>
    <w:rsid w:val="00A01CF9"/>
    <w:rsid w:val="00A03364"/>
    <w:rsid w:val="00A171BB"/>
    <w:rsid w:val="00A223CF"/>
    <w:rsid w:val="00A30EEF"/>
    <w:rsid w:val="00A51E8F"/>
    <w:rsid w:val="00A62EB0"/>
    <w:rsid w:val="00A710EA"/>
    <w:rsid w:val="00A71773"/>
    <w:rsid w:val="00A7655D"/>
    <w:rsid w:val="00A76890"/>
    <w:rsid w:val="00A83B83"/>
    <w:rsid w:val="00A86401"/>
    <w:rsid w:val="00AA07A4"/>
    <w:rsid w:val="00AA0F66"/>
    <w:rsid w:val="00AB0F7F"/>
    <w:rsid w:val="00AB3A53"/>
    <w:rsid w:val="00AD1A29"/>
    <w:rsid w:val="00AD4F53"/>
    <w:rsid w:val="00AD625F"/>
    <w:rsid w:val="00AE172E"/>
    <w:rsid w:val="00AE2C85"/>
    <w:rsid w:val="00AE7E78"/>
    <w:rsid w:val="00AF12F8"/>
    <w:rsid w:val="00AF55B1"/>
    <w:rsid w:val="00B0072F"/>
    <w:rsid w:val="00B12A37"/>
    <w:rsid w:val="00B17C61"/>
    <w:rsid w:val="00B2080C"/>
    <w:rsid w:val="00B23B1D"/>
    <w:rsid w:val="00B24634"/>
    <w:rsid w:val="00B33B79"/>
    <w:rsid w:val="00B357F2"/>
    <w:rsid w:val="00B414AC"/>
    <w:rsid w:val="00B41A46"/>
    <w:rsid w:val="00B44248"/>
    <w:rsid w:val="00B5094E"/>
    <w:rsid w:val="00B56462"/>
    <w:rsid w:val="00B609ED"/>
    <w:rsid w:val="00B63EF2"/>
    <w:rsid w:val="00B73958"/>
    <w:rsid w:val="00B8382B"/>
    <w:rsid w:val="00BA3BC3"/>
    <w:rsid w:val="00BA7D89"/>
    <w:rsid w:val="00BC0418"/>
    <w:rsid w:val="00BC0D39"/>
    <w:rsid w:val="00BC4A76"/>
    <w:rsid w:val="00BC7BC0"/>
    <w:rsid w:val="00BD3BE4"/>
    <w:rsid w:val="00BD57B7"/>
    <w:rsid w:val="00BE241E"/>
    <w:rsid w:val="00BE63E2"/>
    <w:rsid w:val="00C04583"/>
    <w:rsid w:val="00C04CB1"/>
    <w:rsid w:val="00C14331"/>
    <w:rsid w:val="00C27CA5"/>
    <w:rsid w:val="00C31038"/>
    <w:rsid w:val="00C3348B"/>
    <w:rsid w:val="00C33A42"/>
    <w:rsid w:val="00C37B83"/>
    <w:rsid w:val="00C43025"/>
    <w:rsid w:val="00C63FFD"/>
    <w:rsid w:val="00C84E06"/>
    <w:rsid w:val="00CA45A0"/>
    <w:rsid w:val="00CA52A3"/>
    <w:rsid w:val="00CB0785"/>
    <w:rsid w:val="00CD1AA5"/>
    <w:rsid w:val="00CD2009"/>
    <w:rsid w:val="00CF629C"/>
    <w:rsid w:val="00CF6847"/>
    <w:rsid w:val="00D01BDB"/>
    <w:rsid w:val="00D0703D"/>
    <w:rsid w:val="00D128F6"/>
    <w:rsid w:val="00D13F19"/>
    <w:rsid w:val="00D170A3"/>
    <w:rsid w:val="00D203D9"/>
    <w:rsid w:val="00D2285C"/>
    <w:rsid w:val="00D34BC9"/>
    <w:rsid w:val="00D46E24"/>
    <w:rsid w:val="00D55D43"/>
    <w:rsid w:val="00D55F10"/>
    <w:rsid w:val="00D60860"/>
    <w:rsid w:val="00D62A20"/>
    <w:rsid w:val="00D779D9"/>
    <w:rsid w:val="00D92EEA"/>
    <w:rsid w:val="00D9369E"/>
    <w:rsid w:val="00DA5D4E"/>
    <w:rsid w:val="00DB109A"/>
    <w:rsid w:val="00DB1278"/>
    <w:rsid w:val="00DB1C4B"/>
    <w:rsid w:val="00DB6427"/>
    <w:rsid w:val="00DD3507"/>
    <w:rsid w:val="00DD39C6"/>
    <w:rsid w:val="00DD55CD"/>
    <w:rsid w:val="00DE5614"/>
    <w:rsid w:val="00DF785D"/>
    <w:rsid w:val="00E16368"/>
    <w:rsid w:val="00E16AAB"/>
    <w:rsid w:val="00E17232"/>
    <w:rsid w:val="00E176BA"/>
    <w:rsid w:val="00E24AD4"/>
    <w:rsid w:val="00E344E1"/>
    <w:rsid w:val="00E423EC"/>
    <w:rsid w:val="00E454B4"/>
    <w:rsid w:val="00E51E02"/>
    <w:rsid w:val="00E55121"/>
    <w:rsid w:val="00E63AC9"/>
    <w:rsid w:val="00E64F99"/>
    <w:rsid w:val="00E65A04"/>
    <w:rsid w:val="00E73691"/>
    <w:rsid w:val="00E75F64"/>
    <w:rsid w:val="00E77D3E"/>
    <w:rsid w:val="00E93FB7"/>
    <w:rsid w:val="00EA2419"/>
    <w:rsid w:val="00EA62FD"/>
    <w:rsid w:val="00EB4FCB"/>
    <w:rsid w:val="00EC6BC5"/>
    <w:rsid w:val="00ED2E38"/>
    <w:rsid w:val="00EE33E5"/>
    <w:rsid w:val="00EE47AC"/>
    <w:rsid w:val="00EE595D"/>
    <w:rsid w:val="00EF469B"/>
    <w:rsid w:val="00EF7D60"/>
    <w:rsid w:val="00F03C24"/>
    <w:rsid w:val="00F05F02"/>
    <w:rsid w:val="00F30774"/>
    <w:rsid w:val="00F32607"/>
    <w:rsid w:val="00F35898"/>
    <w:rsid w:val="00F36229"/>
    <w:rsid w:val="00F409AD"/>
    <w:rsid w:val="00F5225B"/>
    <w:rsid w:val="00F573D1"/>
    <w:rsid w:val="00F65FFD"/>
    <w:rsid w:val="00F8392D"/>
    <w:rsid w:val="00FA1CBE"/>
    <w:rsid w:val="00FA64AE"/>
    <w:rsid w:val="00FC3E2F"/>
    <w:rsid w:val="00FC621E"/>
    <w:rsid w:val="00FD6C12"/>
    <w:rsid w:val="00FE5600"/>
    <w:rsid w:val="00FE5701"/>
    <w:rsid w:val="00FE67CB"/>
    <w:rsid w:val="00FF3717"/>
    <w:rsid w:val="00F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41F125FA"/>
  <w15:docId w15:val="{00413B07-2859-412B-BCC3-F2C5B6F0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uiPriority w:val="99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styleId="UnresolvedMention">
    <w:name w:val="Unresolved Mention"/>
    <w:basedOn w:val="DefaultParagraphFont"/>
    <w:uiPriority w:val="99"/>
    <w:semiHidden/>
    <w:unhideWhenUsed/>
    <w:rsid w:val="007E1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0-CL-C-0049/en" TargetMode="External"/><Relationship Id="rId18" Type="http://schemas.openxmlformats.org/officeDocument/2006/relationships/hyperlink" Target="https://www.itu.int/md/S20-CL-C-0029/en" TargetMode="External"/><Relationship Id="rId26" Type="http://schemas.openxmlformats.org/officeDocument/2006/relationships/hyperlink" Target="https://www.itu.int/md/S20-CL-C-0060/en" TargetMode="External"/><Relationship Id="rId39" Type="http://schemas.openxmlformats.org/officeDocument/2006/relationships/hyperlink" Target="https://www.itu.int/md/S20-CL-C-0057/en" TargetMode="External"/><Relationship Id="rId21" Type="http://schemas.openxmlformats.org/officeDocument/2006/relationships/hyperlink" Target="https://www.itu.int/md/S20-CL-C-0051/en" TargetMode="External"/><Relationship Id="rId34" Type="http://schemas.openxmlformats.org/officeDocument/2006/relationships/hyperlink" Target="https://www.itu.int/md/S20-CL-INF-0021/en" TargetMode="External"/><Relationship Id="rId42" Type="http://schemas.openxmlformats.org/officeDocument/2006/relationships/hyperlink" Target="https://www.itu.int/md/S20-CL-C-0051/en" TargetMode="External"/><Relationship Id="rId47" Type="http://schemas.openxmlformats.org/officeDocument/2006/relationships/footer" Target="footer2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0-CL-INF-0020/en" TargetMode="External"/><Relationship Id="rId29" Type="http://schemas.openxmlformats.org/officeDocument/2006/relationships/hyperlink" Target="https://www.itu.int/md/S20-CL-C-0049/en" TargetMode="External"/><Relationship Id="rId11" Type="http://schemas.openxmlformats.org/officeDocument/2006/relationships/hyperlink" Target="https://www.itu.int/md/S20-CL-C-0078/en" TargetMode="External"/><Relationship Id="rId24" Type="http://schemas.openxmlformats.org/officeDocument/2006/relationships/hyperlink" Target="https://www.itu.int/md/S20-CLVC2-201116-TD-0001/en" TargetMode="External"/><Relationship Id="rId32" Type="http://schemas.openxmlformats.org/officeDocument/2006/relationships/hyperlink" Target="https://www.itu.int/md/S20-CL-C-0077/en" TargetMode="External"/><Relationship Id="rId37" Type="http://schemas.openxmlformats.org/officeDocument/2006/relationships/hyperlink" Target="https://www.itu.int/md/S20-CL-C-0012/en" TargetMode="External"/><Relationship Id="rId40" Type="http://schemas.openxmlformats.org/officeDocument/2006/relationships/hyperlink" Target="https://www.itu.int/md/S20-CL-C-0067/en" TargetMode="External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0-CL-C-0077/en" TargetMode="External"/><Relationship Id="rId23" Type="http://schemas.openxmlformats.org/officeDocument/2006/relationships/hyperlink" Target="https://www.itu.int/md/S20-CL-C-0067/en" TargetMode="External"/><Relationship Id="rId28" Type="http://schemas.openxmlformats.org/officeDocument/2006/relationships/hyperlink" Target="https://www.itu.int/md/S20-CLVC-C-0008/en" TargetMode="External"/><Relationship Id="rId36" Type="http://schemas.openxmlformats.org/officeDocument/2006/relationships/hyperlink" Target="https://www.itu.int/md/S20-CL-C-0008/en" TargetMode="External"/><Relationship Id="rId49" Type="http://schemas.openxmlformats.org/officeDocument/2006/relationships/footer" Target="footer3.xml"/><Relationship Id="rId10" Type="http://schemas.openxmlformats.org/officeDocument/2006/relationships/hyperlink" Target="https://www.itu.int/md/S20-CL-C-0060/en" TargetMode="External"/><Relationship Id="rId19" Type="http://schemas.openxmlformats.org/officeDocument/2006/relationships/hyperlink" Target="https://www.itu.int/md/S20-CL-C-0008/en" TargetMode="External"/><Relationship Id="rId31" Type="http://schemas.openxmlformats.org/officeDocument/2006/relationships/hyperlink" Target="https://www.itu.int/md/S20-CL-C-0048/en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0-CLVC2-201116-TD-0001/en" TargetMode="External"/><Relationship Id="rId14" Type="http://schemas.openxmlformats.org/officeDocument/2006/relationships/hyperlink" Target="https://www.itu.int/md/S20-CL-C-0048/en" TargetMode="External"/><Relationship Id="rId22" Type="http://schemas.openxmlformats.org/officeDocument/2006/relationships/hyperlink" Target="https://www.itu.int/md/S20-CL-C-0057/en" TargetMode="External"/><Relationship Id="rId27" Type="http://schemas.openxmlformats.org/officeDocument/2006/relationships/hyperlink" Target="https://www.itu.int/md/S20-CL-C-0078/en" TargetMode="External"/><Relationship Id="rId30" Type="http://schemas.openxmlformats.org/officeDocument/2006/relationships/hyperlink" Target="https://www.itu.int/md/S20-CL-C-0007/en" TargetMode="External"/><Relationship Id="rId35" Type="http://schemas.openxmlformats.org/officeDocument/2006/relationships/hyperlink" Target="https://www.itu.int/md/S20-CL-C-0029/en" TargetMode="External"/><Relationship Id="rId43" Type="http://schemas.openxmlformats.org/officeDocument/2006/relationships/hyperlink" Target="https://www.itu.int/md/S20-CL-C-0057/en" TargetMode="External"/><Relationship Id="rId48" Type="http://schemas.openxmlformats.org/officeDocument/2006/relationships/header" Target="header3.xml"/><Relationship Id="rId8" Type="http://schemas.openxmlformats.org/officeDocument/2006/relationships/image" Target="media/image1.jpeg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www.itu.int/md/S20-CLVC-C-0008/en" TargetMode="External"/><Relationship Id="rId17" Type="http://schemas.openxmlformats.org/officeDocument/2006/relationships/hyperlink" Target="https://www.itu.int/md/S20-CL-INF-0021/en" TargetMode="External"/><Relationship Id="rId25" Type="http://schemas.openxmlformats.org/officeDocument/2006/relationships/hyperlink" Target="https://www.itu.int/md/S20-CL-C-0023/en" TargetMode="External"/><Relationship Id="rId33" Type="http://schemas.openxmlformats.org/officeDocument/2006/relationships/hyperlink" Target="https://www.itu.int/md/S20-CL-INF-0020/en" TargetMode="External"/><Relationship Id="rId38" Type="http://schemas.openxmlformats.org/officeDocument/2006/relationships/hyperlink" Target="https://www.itu.int/md/S20-CL-C-0051/en" TargetMode="External"/><Relationship Id="rId46" Type="http://schemas.openxmlformats.org/officeDocument/2006/relationships/footer" Target="footer1.xml"/><Relationship Id="rId20" Type="http://schemas.openxmlformats.org/officeDocument/2006/relationships/hyperlink" Target="https://www.itu.int/md/S20-CL-C-0012/en" TargetMode="External"/><Relationship Id="rId41" Type="http://schemas.openxmlformats.org/officeDocument/2006/relationships/hyperlink" Target="https://www.itu.int/md/S20-CL-C-0008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rphy\AppData\Roaming\Microsoft\Templates\POOL%20R%20-%20ITU\PR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E1025-8CF1-4644-88F7-DEA8B2EE7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PR_C20.dotx</Template>
  <TotalTime>1</TotalTime>
  <Pages>8</Pages>
  <Words>3368</Words>
  <Characters>24996</Characters>
  <Application>Microsoft Office Word</Application>
  <DocSecurity>4</DocSecurity>
  <Lines>208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28308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Sinitsyn, Nikita</dc:creator>
  <cp:keywords>C2018, C18</cp:keywords>
  <dc:description/>
  <cp:lastModifiedBy>Janin, Patricia</cp:lastModifiedBy>
  <cp:revision>2</cp:revision>
  <cp:lastPrinted>2006-03-28T16:12:00Z</cp:lastPrinted>
  <dcterms:created xsi:type="dcterms:W3CDTF">2021-01-14T10:31:00Z</dcterms:created>
  <dcterms:modified xsi:type="dcterms:W3CDTF">2021-01-14T10:31:00Z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