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276"/>
        <w:gridCol w:w="3793"/>
        <w:gridCol w:w="284"/>
        <w:gridCol w:w="4536"/>
      </w:tblGrid>
      <w:tr w:rsidR="00EA15B3" w:rsidRPr="007B3DB1" w14:paraId="53E01D2D" w14:textId="77777777" w:rsidTr="00D62BDC">
        <w:tc>
          <w:tcPr>
            <w:tcW w:w="9889" w:type="dxa"/>
            <w:gridSpan w:val="4"/>
            <w:shd w:val="clear" w:color="auto" w:fill="auto"/>
            <w:vAlign w:val="center"/>
          </w:tcPr>
          <w:p w14:paraId="2F4A63B7" w14:textId="77777777" w:rsidR="00EA15B3" w:rsidRPr="007B3DB1" w:rsidRDefault="00D62BDC" w:rsidP="009C4CAA">
            <w:pPr>
              <w:spacing w:before="120"/>
              <w:jc w:val="left"/>
              <w:rPr>
                <w:rFonts w:cs="Times New Roman Bold"/>
                <w:b/>
                <w:bCs/>
                <w:color w:val="808080"/>
                <w:sz w:val="28"/>
                <w:szCs w:val="28"/>
                <w:lang w:val="en-GB"/>
              </w:rPr>
            </w:pPr>
            <w:bookmarkStart w:id="0" w:name="CurrentLocation"/>
            <w:bookmarkStart w:id="1" w:name="Logo"/>
            <w:bookmarkStart w:id="2" w:name="Origine"/>
            <w:bookmarkEnd w:id="0"/>
            <w:bookmarkEnd w:id="1"/>
            <w:bookmarkEnd w:id="2"/>
            <w:r>
              <w:rPr>
                <w:rFonts w:cs="Times New Roman Bold"/>
                <w:b/>
                <w:bCs/>
                <w:color w:val="808080"/>
                <w:sz w:val="28"/>
                <w:szCs w:val="20"/>
              </w:rPr>
              <w:t>General Secretariat</w:t>
            </w:r>
            <w:r w:rsidRPr="00815837">
              <w:rPr>
                <w:rFonts w:cs="Times New Roman Bold"/>
                <w:b/>
                <w:bCs/>
                <w:color w:val="808080"/>
                <w:sz w:val="28"/>
                <w:szCs w:val="20"/>
                <w:lang w:val="en-GB"/>
              </w:rPr>
              <w:t xml:space="preserve"> (SG)</w:t>
            </w:r>
          </w:p>
        </w:tc>
      </w:tr>
      <w:tr w:rsidR="00EA15B3" w:rsidRPr="007B3DB1" w14:paraId="4C58C929" w14:textId="77777777" w:rsidTr="00EA15B3">
        <w:tc>
          <w:tcPr>
            <w:tcW w:w="9889" w:type="dxa"/>
            <w:gridSpan w:val="4"/>
            <w:shd w:val="clear" w:color="auto" w:fill="auto"/>
          </w:tcPr>
          <w:p w14:paraId="57CC1BF1" w14:textId="77777777" w:rsidR="00EA15B3" w:rsidRPr="007B3DB1" w:rsidRDefault="00EA15B3" w:rsidP="009C4CAA">
            <w:pPr>
              <w:spacing w:before="0"/>
              <w:jc w:val="left"/>
              <w:rPr>
                <w:lang w:val="en-GB"/>
              </w:rPr>
            </w:pPr>
          </w:p>
        </w:tc>
      </w:tr>
      <w:tr w:rsidR="00651777" w:rsidRPr="007B3DB1" w14:paraId="5D5AD30E" w14:textId="77777777" w:rsidTr="00651777">
        <w:tc>
          <w:tcPr>
            <w:tcW w:w="5353" w:type="dxa"/>
            <w:gridSpan w:val="3"/>
            <w:shd w:val="clear" w:color="auto" w:fill="auto"/>
          </w:tcPr>
          <w:p w14:paraId="052A1738" w14:textId="77777777" w:rsidR="00651777" w:rsidRPr="007B3DB1" w:rsidRDefault="00651777" w:rsidP="00651777">
            <w:pPr>
              <w:jc w:val="left"/>
              <w:rPr>
                <w:lang w:val="en-GB"/>
              </w:rPr>
            </w:pPr>
          </w:p>
        </w:tc>
        <w:tc>
          <w:tcPr>
            <w:tcW w:w="4536" w:type="dxa"/>
            <w:shd w:val="clear" w:color="auto" w:fill="auto"/>
          </w:tcPr>
          <w:p w14:paraId="3AC97358" w14:textId="72F7004F" w:rsidR="00651777" w:rsidRPr="007B3DB1" w:rsidRDefault="00651777" w:rsidP="004C4BC0">
            <w:pPr>
              <w:rPr>
                <w:lang w:val="en-GB"/>
              </w:rPr>
            </w:pPr>
            <w:r w:rsidRPr="007B3DB1">
              <w:rPr>
                <w:lang w:val="en-GB"/>
              </w:rPr>
              <w:t>Geneva,</w:t>
            </w:r>
            <w:r w:rsidR="00DE6A53">
              <w:rPr>
                <w:lang w:val="en-GB"/>
              </w:rPr>
              <w:t xml:space="preserve"> </w:t>
            </w:r>
            <w:sdt>
              <w:sdtPr>
                <w:rPr>
                  <w:rFonts w:cs="Arial"/>
                  <w:lang w:val="en-GB"/>
                </w:rPr>
                <w:alias w:val="Date"/>
                <w:tag w:val="Date"/>
                <w:id w:val="20922293"/>
                <w:lock w:val="sdtLocked"/>
                <w:placeholder>
                  <w:docPart w:val="831705CDD49044E0AE2C9D9CB691DEEA"/>
                </w:placeholder>
                <w:date w:fullDate="2020-06-26T00:00:00Z">
                  <w:dateFormat w:val="d MMMM yyyy"/>
                  <w:lid w:val="en-US"/>
                  <w:storeMappedDataAs w:val="date"/>
                  <w:calendar w:val="gregorian"/>
                </w:date>
              </w:sdtPr>
              <w:sdtEndPr/>
              <w:sdtContent>
                <w:r w:rsidR="009C4CAA">
                  <w:rPr>
                    <w:rFonts w:cs="Arial"/>
                  </w:rPr>
                  <w:t>26 June 2020</w:t>
                </w:r>
              </w:sdtContent>
            </w:sdt>
          </w:p>
        </w:tc>
      </w:tr>
      <w:tr w:rsidR="00155CA8" w:rsidRPr="006075DA" w14:paraId="40D51343" w14:textId="77777777" w:rsidTr="00D62BDC">
        <w:tc>
          <w:tcPr>
            <w:tcW w:w="1276" w:type="dxa"/>
            <w:shd w:val="clear" w:color="auto" w:fill="auto"/>
          </w:tcPr>
          <w:p w14:paraId="11B55C27" w14:textId="77777777" w:rsidR="00155CA8" w:rsidRPr="007B3DB1" w:rsidRDefault="00155CA8" w:rsidP="00651777">
            <w:pPr>
              <w:spacing w:before="0"/>
              <w:jc w:val="left"/>
              <w:rPr>
                <w:lang w:val="en-GB"/>
              </w:rPr>
            </w:pPr>
            <w:r>
              <w:rPr>
                <w:lang w:val="en-GB"/>
              </w:rPr>
              <w:t xml:space="preserve">Ref: </w:t>
            </w:r>
          </w:p>
        </w:tc>
        <w:tc>
          <w:tcPr>
            <w:tcW w:w="3793" w:type="dxa"/>
            <w:shd w:val="clear" w:color="auto" w:fill="auto"/>
          </w:tcPr>
          <w:p w14:paraId="759D0700" w14:textId="63520924" w:rsidR="00155CA8" w:rsidRPr="00AA7C6B" w:rsidRDefault="00B82CD7" w:rsidP="004C4BC0">
            <w:pPr>
              <w:spacing w:before="0"/>
              <w:jc w:val="left"/>
              <w:rPr>
                <w:b/>
                <w:bCs/>
                <w:lang w:val="en-GB"/>
              </w:rPr>
            </w:pPr>
            <w:bookmarkStart w:id="3" w:name="Contact"/>
            <w:bookmarkEnd w:id="3"/>
            <w:r>
              <w:rPr>
                <w:b/>
                <w:bCs/>
                <w:lang w:val="en-GB"/>
              </w:rPr>
              <w:t>DM</w:t>
            </w:r>
            <w:r w:rsidR="00EE74BC">
              <w:rPr>
                <w:b/>
                <w:bCs/>
                <w:lang w:val="en-GB"/>
              </w:rPr>
              <w:t>-</w:t>
            </w:r>
            <w:r w:rsidR="004C4BC0">
              <w:rPr>
                <w:b/>
                <w:bCs/>
                <w:lang w:val="en-GB"/>
              </w:rPr>
              <w:t>20</w:t>
            </w:r>
            <w:r w:rsidR="00B257A9">
              <w:rPr>
                <w:b/>
                <w:bCs/>
                <w:lang w:val="en-GB"/>
              </w:rPr>
              <w:t>/</w:t>
            </w:r>
            <w:r w:rsidR="0072624D">
              <w:rPr>
                <w:b/>
                <w:bCs/>
                <w:lang w:val="en-GB"/>
              </w:rPr>
              <w:t>1009</w:t>
            </w:r>
          </w:p>
        </w:tc>
        <w:tc>
          <w:tcPr>
            <w:tcW w:w="284" w:type="dxa"/>
            <w:shd w:val="clear" w:color="auto" w:fill="auto"/>
          </w:tcPr>
          <w:p w14:paraId="24228C1A" w14:textId="77777777" w:rsidR="00155CA8" w:rsidRPr="007B3DB1" w:rsidRDefault="00155CA8" w:rsidP="00651777">
            <w:pPr>
              <w:spacing w:before="0"/>
              <w:rPr>
                <w:lang w:val="en-GB"/>
              </w:rPr>
            </w:pPr>
          </w:p>
        </w:tc>
        <w:tc>
          <w:tcPr>
            <w:tcW w:w="4536" w:type="dxa"/>
            <w:vMerge w:val="restart"/>
            <w:shd w:val="clear" w:color="auto" w:fill="auto"/>
            <w:vAlign w:val="center"/>
          </w:tcPr>
          <w:p w14:paraId="5C659A16" w14:textId="77777777" w:rsidR="00155CA8" w:rsidRPr="006075DA" w:rsidRDefault="00155CA8" w:rsidP="00D62BDC">
            <w:pPr>
              <w:spacing w:before="0"/>
              <w:jc w:val="left"/>
            </w:pPr>
            <w:r w:rsidRPr="006075DA">
              <w:t>To Member States of ITU Council</w:t>
            </w:r>
          </w:p>
        </w:tc>
      </w:tr>
      <w:tr w:rsidR="00155CA8" w:rsidRPr="006075DA" w14:paraId="678B800D" w14:textId="77777777" w:rsidTr="00651777">
        <w:tc>
          <w:tcPr>
            <w:tcW w:w="1276" w:type="dxa"/>
            <w:shd w:val="clear" w:color="auto" w:fill="auto"/>
          </w:tcPr>
          <w:p w14:paraId="4950BFF0" w14:textId="77777777" w:rsidR="00155CA8" w:rsidRPr="007B3DB1" w:rsidRDefault="00155CA8" w:rsidP="00651777">
            <w:pPr>
              <w:spacing w:before="0"/>
              <w:jc w:val="left"/>
              <w:rPr>
                <w:lang w:val="en-GB"/>
              </w:rPr>
            </w:pPr>
            <w:r w:rsidRPr="007B3DB1">
              <w:rPr>
                <w:lang w:val="en-GB"/>
              </w:rPr>
              <w:t>Contact:</w:t>
            </w:r>
          </w:p>
        </w:tc>
        <w:tc>
          <w:tcPr>
            <w:tcW w:w="3793" w:type="dxa"/>
            <w:shd w:val="clear" w:color="auto" w:fill="auto"/>
          </w:tcPr>
          <w:p w14:paraId="39E048C8" w14:textId="77777777" w:rsidR="00155CA8" w:rsidRPr="007B3DB1" w:rsidRDefault="00755235" w:rsidP="009128DE">
            <w:pPr>
              <w:spacing w:before="0"/>
              <w:jc w:val="left"/>
              <w:rPr>
                <w:lang w:val="en-GB"/>
              </w:rPr>
            </w:pPr>
            <w:r>
              <w:rPr>
                <w:lang w:val="en-GB"/>
              </w:rPr>
              <w:t xml:space="preserve">Ms </w:t>
            </w:r>
            <w:r w:rsidR="009128DE">
              <w:rPr>
                <w:lang w:val="en-GB"/>
              </w:rPr>
              <w:t>Béatrice Pluchon</w:t>
            </w:r>
          </w:p>
        </w:tc>
        <w:tc>
          <w:tcPr>
            <w:tcW w:w="284" w:type="dxa"/>
            <w:shd w:val="clear" w:color="auto" w:fill="auto"/>
          </w:tcPr>
          <w:p w14:paraId="6C54FE64" w14:textId="77777777" w:rsidR="00155CA8" w:rsidRPr="007B3DB1" w:rsidRDefault="00155CA8" w:rsidP="00651777">
            <w:pPr>
              <w:spacing w:before="0"/>
              <w:rPr>
                <w:lang w:val="en-GB"/>
              </w:rPr>
            </w:pPr>
          </w:p>
        </w:tc>
        <w:tc>
          <w:tcPr>
            <w:tcW w:w="4536" w:type="dxa"/>
            <w:vMerge/>
            <w:shd w:val="clear" w:color="auto" w:fill="auto"/>
          </w:tcPr>
          <w:p w14:paraId="13B02516" w14:textId="77777777" w:rsidR="00155CA8" w:rsidRPr="006075DA" w:rsidRDefault="00155CA8" w:rsidP="006075DA">
            <w:pPr>
              <w:spacing w:before="0"/>
              <w:jc w:val="left"/>
            </w:pPr>
          </w:p>
        </w:tc>
      </w:tr>
      <w:tr w:rsidR="00155CA8" w:rsidRPr="00F56CAF" w14:paraId="4AFADA66" w14:textId="77777777" w:rsidTr="00651777">
        <w:tc>
          <w:tcPr>
            <w:tcW w:w="1276" w:type="dxa"/>
            <w:shd w:val="clear" w:color="auto" w:fill="auto"/>
          </w:tcPr>
          <w:p w14:paraId="6DBC625D" w14:textId="77777777" w:rsidR="00155CA8" w:rsidRPr="00155CA8" w:rsidRDefault="00155CA8" w:rsidP="00651777">
            <w:pPr>
              <w:spacing w:before="0"/>
              <w:jc w:val="left"/>
            </w:pPr>
            <w:r w:rsidRPr="00155CA8">
              <w:t>Telephone:</w:t>
            </w:r>
          </w:p>
        </w:tc>
        <w:tc>
          <w:tcPr>
            <w:tcW w:w="3793" w:type="dxa"/>
            <w:shd w:val="clear" w:color="auto" w:fill="auto"/>
          </w:tcPr>
          <w:p w14:paraId="6F167C59" w14:textId="77777777" w:rsidR="00155CA8" w:rsidRPr="00155CA8" w:rsidRDefault="00155CA8" w:rsidP="00D16C57">
            <w:pPr>
              <w:spacing w:before="0"/>
              <w:jc w:val="left"/>
            </w:pPr>
            <w:r w:rsidRPr="00155CA8">
              <w:t xml:space="preserve">+41 22 730 </w:t>
            </w:r>
            <w:r w:rsidR="00D16C57">
              <w:t>6266</w:t>
            </w:r>
          </w:p>
        </w:tc>
        <w:tc>
          <w:tcPr>
            <w:tcW w:w="284" w:type="dxa"/>
            <w:shd w:val="clear" w:color="auto" w:fill="auto"/>
          </w:tcPr>
          <w:p w14:paraId="4CAD5832" w14:textId="77777777" w:rsidR="00155CA8" w:rsidRPr="00155CA8" w:rsidRDefault="00155CA8" w:rsidP="00651777">
            <w:pPr>
              <w:spacing w:before="0"/>
            </w:pPr>
          </w:p>
        </w:tc>
        <w:tc>
          <w:tcPr>
            <w:tcW w:w="4536" w:type="dxa"/>
            <w:vMerge/>
            <w:shd w:val="clear" w:color="auto" w:fill="auto"/>
          </w:tcPr>
          <w:p w14:paraId="311D455D" w14:textId="77777777" w:rsidR="00155CA8" w:rsidRPr="00155CA8" w:rsidRDefault="00155CA8" w:rsidP="00651777">
            <w:pPr>
              <w:spacing w:before="0"/>
            </w:pPr>
          </w:p>
        </w:tc>
      </w:tr>
      <w:tr w:rsidR="004C4BC0" w:rsidRPr="00F56CAF" w14:paraId="5FB31269" w14:textId="77777777" w:rsidTr="00197324">
        <w:tc>
          <w:tcPr>
            <w:tcW w:w="1276" w:type="dxa"/>
            <w:shd w:val="clear" w:color="auto" w:fill="auto"/>
          </w:tcPr>
          <w:p w14:paraId="14995E30" w14:textId="77777777" w:rsidR="004C4BC0" w:rsidRPr="00F56CAF" w:rsidRDefault="004C4BC0" w:rsidP="004C4BC0">
            <w:pPr>
              <w:spacing w:before="0"/>
              <w:jc w:val="left"/>
              <w:rPr>
                <w:lang w:val="fr-CH"/>
              </w:rPr>
            </w:pPr>
            <w:r w:rsidRPr="00155CA8">
              <w:t>E-mail</w:t>
            </w:r>
            <w:r w:rsidRPr="00F56CAF">
              <w:rPr>
                <w:lang w:val="fr-CH"/>
              </w:rPr>
              <w:t>:</w:t>
            </w:r>
          </w:p>
        </w:tc>
        <w:tc>
          <w:tcPr>
            <w:tcW w:w="3793" w:type="dxa"/>
            <w:shd w:val="clear" w:color="auto" w:fill="auto"/>
          </w:tcPr>
          <w:p w14:paraId="5ABF16D3" w14:textId="77777777" w:rsidR="004C4BC0" w:rsidRPr="007B3DB1" w:rsidRDefault="00B969F0" w:rsidP="004C4BC0">
            <w:pPr>
              <w:spacing w:before="0"/>
              <w:jc w:val="left"/>
              <w:rPr>
                <w:lang w:val="en-GB"/>
              </w:rPr>
            </w:pPr>
            <w:hyperlink r:id="rId11" w:history="1">
              <w:r w:rsidR="004C4BC0" w:rsidRPr="0031275F">
                <w:rPr>
                  <w:rStyle w:val="Hyperlink"/>
                  <w:lang w:val="fr-CH"/>
                </w:rPr>
                <w:t>gbs@itu.int</w:t>
              </w:r>
            </w:hyperlink>
          </w:p>
        </w:tc>
        <w:tc>
          <w:tcPr>
            <w:tcW w:w="284" w:type="dxa"/>
            <w:shd w:val="clear" w:color="auto" w:fill="auto"/>
          </w:tcPr>
          <w:p w14:paraId="6FDB901D" w14:textId="77777777" w:rsidR="004C4BC0" w:rsidRPr="00155CA8" w:rsidRDefault="004C4BC0" w:rsidP="004C4BC0">
            <w:pPr>
              <w:spacing w:before="0"/>
            </w:pPr>
          </w:p>
        </w:tc>
        <w:tc>
          <w:tcPr>
            <w:tcW w:w="4536" w:type="dxa"/>
            <w:vMerge/>
            <w:shd w:val="clear" w:color="auto" w:fill="auto"/>
          </w:tcPr>
          <w:p w14:paraId="5534A537" w14:textId="77777777" w:rsidR="004C4BC0" w:rsidRPr="00155CA8" w:rsidRDefault="004C4BC0" w:rsidP="004C4BC0">
            <w:pPr>
              <w:spacing w:before="0"/>
            </w:pPr>
          </w:p>
        </w:tc>
      </w:tr>
      <w:tr w:rsidR="004C4BC0" w:rsidRPr="007B3DB1" w14:paraId="62BC1534" w14:textId="77777777" w:rsidTr="00651777">
        <w:tc>
          <w:tcPr>
            <w:tcW w:w="1276" w:type="dxa"/>
            <w:shd w:val="clear" w:color="auto" w:fill="auto"/>
          </w:tcPr>
          <w:p w14:paraId="73D62168" w14:textId="77777777" w:rsidR="004C4BC0" w:rsidRPr="00F56CAF" w:rsidRDefault="004C4BC0" w:rsidP="004C4BC0">
            <w:pPr>
              <w:spacing w:before="0"/>
              <w:jc w:val="left"/>
              <w:rPr>
                <w:lang w:val="fr-CH"/>
              </w:rPr>
            </w:pPr>
          </w:p>
        </w:tc>
        <w:tc>
          <w:tcPr>
            <w:tcW w:w="3793" w:type="dxa"/>
            <w:shd w:val="clear" w:color="auto" w:fill="auto"/>
          </w:tcPr>
          <w:p w14:paraId="78CC75C2" w14:textId="77777777" w:rsidR="004C4BC0" w:rsidRPr="007B3DB1" w:rsidRDefault="004C4BC0" w:rsidP="004C4BC0">
            <w:pPr>
              <w:spacing w:before="0"/>
              <w:jc w:val="left"/>
              <w:rPr>
                <w:lang w:val="en-GB"/>
              </w:rPr>
            </w:pPr>
          </w:p>
        </w:tc>
        <w:tc>
          <w:tcPr>
            <w:tcW w:w="284" w:type="dxa"/>
            <w:shd w:val="clear" w:color="auto" w:fill="auto"/>
          </w:tcPr>
          <w:p w14:paraId="56CE91BB" w14:textId="77777777" w:rsidR="004C4BC0" w:rsidRPr="007B3DB1" w:rsidRDefault="004C4BC0" w:rsidP="004C4BC0">
            <w:pPr>
              <w:spacing w:before="0"/>
              <w:rPr>
                <w:lang w:val="en-GB"/>
              </w:rPr>
            </w:pPr>
          </w:p>
        </w:tc>
        <w:tc>
          <w:tcPr>
            <w:tcW w:w="4536" w:type="dxa"/>
            <w:vMerge/>
            <w:shd w:val="clear" w:color="auto" w:fill="auto"/>
          </w:tcPr>
          <w:p w14:paraId="4DB98F52" w14:textId="77777777" w:rsidR="004C4BC0" w:rsidRPr="007B3DB1" w:rsidRDefault="004C4BC0" w:rsidP="004C4BC0">
            <w:pPr>
              <w:spacing w:before="0"/>
              <w:rPr>
                <w:lang w:val="en-GB"/>
              </w:rPr>
            </w:pPr>
          </w:p>
        </w:tc>
      </w:tr>
      <w:tr w:rsidR="004C4BC0" w:rsidRPr="007B3DB1" w14:paraId="299080E5" w14:textId="77777777" w:rsidTr="0042318E">
        <w:trPr>
          <w:trHeight w:val="271"/>
        </w:trPr>
        <w:tc>
          <w:tcPr>
            <w:tcW w:w="1276" w:type="dxa"/>
            <w:shd w:val="clear" w:color="auto" w:fill="auto"/>
          </w:tcPr>
          <w:p w14:paraId="6486529E" w14:textId="77777777" w:rsidR="004C4BC0" w:rsidRPr="007B3DB1" w:rsidRDefault="004C4BC0" w:rsidP="00B257A9">
            <w:pPr>
              <w:spacing w:before="240"/>
              <w:jc w:val="left"/>
              <w:rPr>
                <w:lang w:val="en-GB"/>
              </w:rPr>
            </w:pPr>
            <w:r w:rsidRPr="007B3DB1">
              <w:rPr>
                <w:lang w:val="en-GB"/>
              </w:rPr>
              <w:t>Subject:</w:t>
            </w:r>
          </w:p>
        </w:tc>
        <w:tc>
          <w:tcPr>
            <w:tcW w:w="8613" w:type="dxa"/>
            <w:gridSpan w:val="3"/>
            <w:shd w:val="clear" w:color="auto" w:fill="auto"/>
          </w:tcPr>
          <w:p w14:paraId="101C525D" w14:textId="4C605536" w:rsidR="004C4BC0" w:rsidRPr="00D256E0" w:rsidRDefault="00321CED" w:rsidP="00B257A9">
            <w:pPr>
              <w:spacing w:before="240"/>
              <w:rPr>
                <w:b/>
                <w:bCs/>
                <w:lang w:val="en-GB"/>
              </w:rPr>
            </w:pPr>
            <w:r>
              <w:rPr>
                <w:b/>
                <w:bCs/>
              </w:rPr>
              <w:t>Consultations on outcomes of discussions of the Virtual consultation of councillors</w:t>
            </w:r>
            <w:r w:rsidR="00A1361D">
              <w:rPr>
                <w:b/>
                <w:bCs/>
              </w:rPr>
              <w:t xml:space="preserve"> </w:t>
            </w:r>
          </w:p>
        </w:tc>
      </w:tr>
    </w:tbl>
    <w:p w14:paraId="02D98BF8" w14:textId="3E12626F" w:rsidR="00D256E0" w:rsidRDefault="00D256E0" w:rsidP="007D68A3">
      <w:pPr>
        <w:spacing w:before="360"/>
      </w:pPr>
      <w:r w:rsidRPr="00F439A9">
        <w:t xml:space="preserve">Dear </w:t>
      </w:r>
      <w:r>
        <w:t>Madam</w:t>
      </w:r>
      <w:r w:rsidR="00AB3DA0">
        <w:t>/</w:t>
      </w:r>
      <w:r>
        <w:t>Sir</w:t>
      </w:r>
      <w:r w:rsidRPr="00F439A9">
        <w:t xml:space="preserve">, </w:t>
      </w:r>
    </w:p>
    <w:p w14:paraId="1EEF7288" w14:textId="214828B9" w:rsidR="006B327F" w:rsidRDefault="002318E0" w:rsidP="00EE307A">
      <w:r>
        <w:t xml:space="preserve">I would like to thank you for your </w:t>
      </w:r>
      <w:r w:rsidR="00321CED">
        <w:t>participation in the Virtual consultation of councillors. Th</w:t>
      </w:r>
      <w:r w:rsidR="00A44165">
        <w:t>e outcomes of this</w:t>
      </w:r>
      <w:r w:rsidR="00321CED">
        <w:t xml:space="preserve"> </w:t>
      </w:r>
      <w:r w:rsidR="00A44165">
        <w:t xml:space="preserve">meeting are contained </w:t>
      </w:r>
      <w:hyperlink r:id="rId12" w:history="1">
        <w:r w:rsidR="00A44165" w:rsidRPr="00EE307A">
          <w:rPr>
            <w:rStyle w:val="Hyperlink"/>
          </w:rPr>
          <w:t>DT</w:t>
        </w:r>
        <w:r w:rsidR="006B327F" w:rsidRPr="00EE307A">
          <w:rPr>
            <w:rStyle w:val="Hyperlink"/>
          </w:rPr>
          <w:t>/1(Rev.3)</w:t>
        </w:r>
      </w:hyperlink>
      <w:r w:rsidR="006B327F">
        <w:t xml:space="preserve">. </w:t>
      </w:r>
    </w:p>
    <w:p w14:paraId="12753D25" w14:textId="77777777" w:rsidR="00643E81" w:rsidRDefault="004C045F" w:rsidP="00EE307A">
      <w:r>
        <w:t>As you know, it was concluded by the</w:t>
      </w:r>
      <w:r w:rsidR="00506E9E">
        <w:t xml:space="preserve"> councillors during this</w:t>
      </w:r>
      <w:r>
        <w:t xml:space="preserve"> virtual consultation </w:t>
      </w:r>
      <w:r w:rsidR="0043031B">
        <w:t xml:space="preserve">after constructive discussions </w:t>
      </w:r>
      <w:r>
        <w:t xml:space="preserve">that the following items, in light of their urgency, should be subject to a consultation by correspondence. </w:t>
      </w:r>
    </w:p>
    <w:p w14:paraId="2C8A46C6" w14:textId="69E5081D" w:rsidR="004C045F" w:rsidRDefault="004C045F" w:rsidP="00EE307A">
      <w:r>
        <w:t>After consultation with the Vice-Chair of the Council and the Secretary-General, I would like to submit the following items for the decision of the Council by correspondence.</w:t>
      </w:r>
    </w:p>
    <w:p w14:paraId="1EAB8403" w14:textId="42DDE524" w:rsidR="0081035D" w:rsidRPr="004C345B" w:rsidRDefault="00EE307A" w:rsidP="00BB59FE">
      <w:pPr>
        <w:spacing w:before="300"/>
        <w:rPr>
          <w:u w:val="single"/>
          <w:lang w:val="en-GB"/>
        </w:rPr>
      </w:pPr>
      <w:r>
        <w:rPr>
          <w:u w:val="single"/>
        </w:rPr>
        <w:t>C</w:t>
      </w:r>
      <w:r w:rsidR="000E2A48">
        <w:rPr>
          <w:u w:val="single"/>
        </w:rPr>
        <w:t xml:space="preserve">hanges of dates of </w:t>
      </w:r>
      <w:r w:rsidR="00D00B69" w:rsidRPr="004C345B">
        <w:rPr>
          <w:u w:val="single"/>
        </w:rPr>
        <w:t>WTSA</w:t>
      </w:r>
      <w:r w:rsidR="005A5E05">
        <w:rPr>
          <w:u w:val="single"/>
        </w:rPr>
        <w:t>-2</w:t>
      </w:r>
      <w:r w:rsidR="00F45AD0">
        <w:rPr>
          <w:u w:val="single"/>
        </w:rPr>
        <w:t>0</w:t>
      </w:r>
    </w:p>
    <w:p w14:paraId="4940986D" w14:textId="456A7F37" w:rsidR="00937AE0" w:rsidRDefault="00937AE0" w:rsidP="00BB59FE">
      <w:pPr>
        <w:tabs>
          <w:tab w:val="clear" w:pos="794"/>
          <w:tab w:val="clear" w:pos="1191"/>
          <w:tab w:val="clear" w:pos="1588"/>
          <w:tab w:val="clear" w:pos="1985"/>
        </w:tabs>
        <w:overflowPunct/>
        <w:autoSpaceDE/>
        <w:autoSpaceDN/>
        <w:adjustRightInd/>
        <w:spacing w:line="240" w:lineRule="auto"/>
        <w:textAlignment w:val="auto"/>
      </w:pPr>
      <w:r>
        <w:t xml:space="preserve">In view of the COVID -19 </w:t>
      </w:r>
      <w:r w:rsidR="00125E49">
        <w:t>p</w:t>
      </w:r>
      <w:r>
        <w:t>andemic resulting on restriction</w:t>
      </w:r>
      <w:r w:rsidR="00125E49">
        <w:t>s</w:t>
      </w:r>
      <w:r>
        <w:t xml:space="preserve"> on work and travel</w:t>
      </w:r>
      <w:r w:rsidR="00351414">
        <w:t>,</w:t>
      </w:r>
      <w:r>
        <w:t xml:space="preserve"> the administration of India proposed to reschedule the next WTSA </w:t>
      </w:r>
      <w:r w:rsidR="00EE307A">
        <w:t>from</w:t>
      </w:r>
      <w:r>
        <w:t xml:space="preserve"> 23 February to 5 March 2021 after the Global Standards Symposium on 22 February 2021 and subject to the restoration of normal work and travel conditions in India and in other Member States. </w:t>
      </w:r>
    </w:p>
    <w:p w14:paraId="21C39FCC" w14:textId="219F3C78" w:rsidR="00937AE0" w:rsidRPr="00937AE0" w:rsidRDefault="00937AE0" w:rsidP="00BB59FE">
      <w:pPr>
        <w:tabs>
          <w:tab w:val="clear" w:pos="794"/>
          <w:tab w:val="clear" w:pos="1191"/>
          <w:tab w:val="clear" w:pos="1588"/>
          <w:tab w:val="clear" w:pos="1985"/>
        </w:tabs>
        <w:overflowPunct/>
        <w:autoSpaceDE/>
        <w:autoSpaceDN/>
        <w:adjustRightInd/>
        <w:spacing w:line="240" w:lineRule="auto"/>
        <w:textAlignment w:val="auto"/>
        <w:rPr>
          <w:rFonts w:cs="Arial"/>
          <w:color w:val="000000" w:themeColor="text1"/>
        </w:rPr>
      </w:pPr>
      <w:r>
        <w:rPr>
          <w:rFonts w:cs="Arial"/>
          <w:color w:val="000000" w:themeColor="text1"/>
        </w:rPr>
        <w:t xml:space="preserve">In line with the relevant provisions </w:t>
      </w:r>
      <w:r w:rsidRPr="00937AE0">
        <w:rPr>
          <w:rFonts w:cs="Arial"/>
          <w:color w:val="000000" w:themeColor="text1"/>
        </w:rPr>
        <w:t>of Article 3 of the Convention</w:t>
      </w:r>
      <w:r>
        <w:rPr>
          <w:rFonts w:cs="Arial"/>
          <w:color w:val="000000" w:themeColor="text1"/>
        </w:rPr>
        <w:t xml:space="preserve">, and in particular </w:t>
      </w:r>
      <w:r w:rsidR="00C4213A">
        <w:rPr>
          <w:rFonts w:cs="Arial"/>
          <w:color w:val="000000" w:themeColor="text1"/>
        </w:rPr>
        <w:t xml:space="preserve">provision </w:t>
      </w:r>
      <w:r w:rsidRPr="00FE1648">
        <w:rPr>
          <w:rFonts w:cs="Arial"/>
          <w:color w:val="000000" w:themeColor="text1"/>
        </w:rPr>
        <w:t>No. 42</w:t>
      </w:r>
      <w:r w:rsidR="00ED14EC">
        <w:rPr>
          <w:rFonts w:cs="Arial"/>
          <w:color w:val="000000" w:themeColor="text1"/>
        </w:rPr>
        <w:t xml:space="preserve">, </w:t>
      </w:r>
      <w:r>
        <w:rPr>
          <w:rFonts w:cs="Arial"/>
          <w:color w:val="000000" w:themeColor="text1"/>
        </w:rPr>
        <w:t>as well as</w:t>
      </w:r>
      <w:r w:rsidRPr="00937AE0">
        <w:rPr>
          <w:rFonts w:cs="Arial"/>
          <w:color w:val="000000" w:themeColor="text1"/>
        </w:rPr>
        <w:t xml:space="preserve"> Section 7 of the General Rules of Conferences, Assemblies, and Meetings of the Union relating to Change in the place or dates of a conference or an assembly</w:t>
      </w:r>
      <w:r w:rsidR="00C4213A">
        <w:rPr>
          <w:rFonts w:cs="Arial"/>
          <w:color w:val="000000" w:themeColor="text1"/>
        </w:rPr>
        <w:t xml:space="preserve">, the </w:t>
      </w:r>
      <w:r w:rsidRPr="00937AE0">
        <w:rPr>
          <w:rFonts w:cs="Arial"/>
          <w:color w:val="000000" w:themeColor="text1"/>
        </w:rPr>
        <w:t xml:space="preserve">Council shall determine the exact dates of a WTSA with the concurrence of a majority of the Member States. </w:t>
      </w:r>
    </w:p>
    <w:p w14:paraId="375B98A7" w14:textId="636AA004" w:rsidR="004C345B" w:rsidRPr="00DA66AD" w:rsidRDefault="00937AE0" w:rsidP="00BB59FE">
      <w:pPr>
        <w:tabs>
          <w:tab w:val="clear" w:pos="794"/>
          <w:tab w:val="clear" w:pos="1191"/>
          <w:tab w:val="clear" w:pos="1588"/>
          <w:tab w:val="clear" w:pos="1985"/>
        </w:tabs>
        <w:spacing w:line="240" w:lineRule="auto"/>
        <w:rPr>
          <w:rFonts w:cs="Arial"/>
          <w:color w:val="000000" w:themeColor="text1"/>
        </w:rPr>
      </w:pPr>
      <w:r w:rsidRPr="00937AE0">
        <w:rPr>
          <w:rFonts w:cs="Arial"/>
          <w:color w:val="000000" w:themeColor="text1"/>
        </w:rPr>
        <w:t>Consequently</w:t>
      </w:r>
      <w:r w:rsidR="00ED14EC">
        <w:rPr>
          <w:rFonts w:cs="Arial"/>
          <w:color w:val="000000" w:themeColor="text1"/>
        </w:rPr>
        <w:t>,</w:t>
      </w:r>
      <w:r w:rsidRPr="00937AE0">
        <w:rPr>
          <w:rFonts w:cs="Arial"/>
          <w:color w:val="000000" w:themeColor="text1"/>
        </w:rPr>
        <w:t xml:space="preserve"> Member States of the Council </w:t>
      </w:r>
      <w:r w:rsidR="00B820AD">
        <w:rPr>
          <w:rFonts w:cs="Arial"/>
          <w:color w:val="000000" w:themeColor="text1"/>
        </w:rPr>
        <w:t xml:space="preserve">are invited </w:t>
      </w:r>
      <w:r w:rsidRPr="00937AE0">
        <w:rPr>
          <w:rFonts w:cs="Arial"/>
          <w:color w:val="000000" w:themeColor="text1"/>
        </w:rPr>
        <w:t>to confirm in writing their agreement for the</w:t>
      </w:r>
      <w:r w:rsidR="00B820AD">
        <w:rPr>
          <w:rFonts w:cs="Arial"/>
          <w:color w:val="000000" w:themeColor="text1"/>
        </w:rPr>
        <w:t xml:space="preserve"> new dates for </w:t>
      </w:r>
      <w:r w:rsidRPr="00937AE0">
        <w:rPr>
          <w:rFonts w:cs="Arial"/>
          <w:color w:val="000000" w:themeColor="text1"/>
        </w:rPr>
        <w:t>World Telecommunication Standardization Assembly (WTSA-</w:t>
      </w:r>
      <w:r w:rsidR="00ED14EC">
        <w:rPr>
          <w:rFonts w:cs="Arial"/>
          <w:color w:val="000000" w:themeColor="text1"/>
        </w:rPr>
        <w:t>2</w:t>
      </w:r>
      <w:r w:rsidR="00F45AD0">
        <w:rPr>
          <w:rFonts w:cs="Arial"/>
          <w:color w:val="000000" w:themeColor="text1"/>
        </w:rPr>
        <w:t>0</w:t>
      </w:r>
      <w:r w:rsidR="00ED14EC">
        <w:rPr>
          <w:rFonts w:cs="Arial"/>
          <w:color w:val="000000" w:themeColor="text1"/>
        </w:rPr>
        <w:t>)</w:t>
      </w:r>
      <w:r w:rsidR="00125E49">
        <w:rPr>
          <w:rFonts w:cs="Arial"/>
          <w:color w:val="000000" w:themeColor="text1"/>
        </w:rPr>
        <w:t xml:space="preserve">. </w:t>
      </w:r>
    </w:p>
    <w:p w14:paraId="7D0043CA" w14:textId="6CB409BE" w:rsidR="00D418CA" w:rsidRDefault="008F6BC3" w:rsidP="00DD593F">
      <w:pPr>
        <w:tabs>
          <w:tab w:val="clear" w:pos="794"/>
          <w:tab w:val="clear" w:pos="1191"/>
          <w:tab w:val="clear" w:pos="1588"/>
          <w:tab w:val="clear" w:pos="1985"/>
        </w:tabs>
        <w:spacing w:line="240" w:lineRule="auto"/>
      </w:pPr>
      <w:r w:rsidRPr="008F6BC3">
        <w:t xml:space="preserve">The decision of the </w:t>
      </w:r>
      <w:r w:rsidRPr="00DD593F">
        <w:rPr>
          <w:rFonts w:cs="Arial"/>
          <w:color w:val="000000" w:themeColor="text1"/>
        </w:rPr>
        <w:t>Council</w:t>
      </w:r>
      <w:r w:rsidRPr="008F6BC3">
        <w:t xml:space="preserve"> on this matter will then be subject to the concurrence of the majority of the Member States of ITU (as per </w:t>
      </w:r>
      <w:r w:rsidR="00EE307A">
        <w:t>No.</w:t>
      </w:r>
      <w:r w:rsidRPr="008F6BC3">
        <w:t xml:space="preserve"> 46 of the Convention)</w:t>
      </w:r>
      <w:r w:rsidR="00EE307A">
        <w:t>.</w:t>
      </w:r>
    </w:p>
    <w:p w14:paraId="2E9DDFD1" w14:textId="516D0670" w:rsidR="002318E0" w:rsidRPr="004C345B" w:rsidRDefault="00ED14EC" w:rsidP="00BB59FE">
      <w:pPr>
        <w:tabs>
          <w:tab w:val="clear" w:pos="794"/>
          <w:tab w:val="clear" w:pos="1191"/>
          <w:tab w:val="clear" w:pos="1588"/>
          <w:tab w:val="clear" w:pos="1985"/>
        </w:tabs>
        <w:overflowPunct/>
        <w:autoSpaceDE/>
        <w:autoSpaceDN/>
        <w:adjustRightInd/>
        <w:spacing w:before="300" w:line="240" w:lineRule="auto"/>
        <w:textAlignment w:val="auto"/>
        <w:rPr>
          <w:u w:val="single"/>
        </w:rPr>
      </w:pPr>
      <w:r>
        <w:rPr>
          <w:u w:val="single"/>
        </w:rPr>
        <w:t xml:space="preserve">Agenda for </w:t>
      </w:r>
      <w:r w:rsidR="00D00B69" w:rsidRPr="004C345B">
        <w:rPr>
          <w:u w:val="single"/>
        </w:rPr>
        <w:t>WRC-23</w:t>
      </w:r>
    </w:p>
    <w:p w14:paraId="392B646F" w14:textId="74DF991D" w:rsidR="005A5E05" w:rsidRPr="00AA3BBA" w:rsidRDefault="00D00B69" w:rsidP="00BB59FE">
      <w:pPr>
        <w:spacing w:line="240" w:lineRule="auto"/>
      </w:pPr>
      <w:r>
        <w:t xml:space="preserve">Pursuant to Nos 42 and 118 of the Convention, Member States of </w:t>
      </w:r>
      <w:r w:rsidR="005A5E05">
        <w:t xml:space="preserve">the Council are </w:t>
      </w:r>
      <w:r>
        <w:t>invited to inform the Secretary</w:t>
      </w:r>
      <w:r w:rsidR="00B820AD">
        <w:t>-</w:t>
      </w:r>
      <w:r>
        <w:t xml:space="preserve">General, </w:t>
      </w:r>
      <w:r w:rsidR="0002696A" w:rsidRPr="00937AE0">
        <w:rPr>
          <w:rFonts w:cs="Arial"/>
          <w:color w:val="000000" w:themeColor="text1"/>
        </w:rPr>
        <w:t>in writing</w:t>
      </w:r>
      <w:r w:rsidR="0002696A">
        <w:rPr>
          <w:rFonts w:cs="Arial"/>
          <w:color w:val="000000" w:themeColor="text1"/>
        </w:rPr>
        <w:t>,</w:t>
      </w:r>
      <w:r w:rsidR="0002696A" w:rsidRPr="00937AE0">
        <w:rPr>
          <w:rFonts w:cs="Arial"/>
          <w:color w:val="000000" w:themeColor="text1"/>
        </w:rPr>
        <w:t xml:space="preserve"> </w:t>
      </w:r>
      <w:r>
        <w:t>whether they are in agreement with the agenda of the World Radiocommunication Conference (WRC</w:t>
      </w:r>
      <w:r w:rsidR="00EE307A">
        <w:t>-2</w:t>
      </w:r>
      <w:r w:rsidR="0002696A">
        <w:t>3)</w:t>
      </w:r>
      <w:r>
        <w:t xml:space="preserve"> </w:t>
      </w:r>
      <w:r w:rsidR="005A5E05">
        <w:t xml:space="preserve">included in </w:t>
      </w:r>
      <w:r w:rsidR="00EE307A">
        <w:t xml:space="preserve">the </w:t>
      </w:r>
      <w:r w:rsidR="005A5E05">
        <w:t xml:space="preserve">draft resolution </w:t>
      </w:r>
      <w:r w:rsidR="008F6BC3">
        <w:t xml:space="preserve">in </w:t>
      </w:r>
      <w:hyperlink w:anchor="annex2" w:history="1">
        <w:r w:rsidR="008F6BC3" w:rsidRPr="00AA3BBA">
          <w:rPr>
            <w:rStyle w:val="Hyperlink"/>
          </w:rPr>
          <w:t>Annex 2</w:t>
        </w:r>
      </w:hyperlink>
      <w:r w:rsidR="00F45AD0" w:rsidRPr="00AA3BBA">
        <w:t xml:space="preserve"> and </w:t>
      </w:r>
      <w:r w:rsidR="00AF073B" w:rsidRPr="00AA3BBA">
        <w:t>they</w:t>
      </w:r>
      <w:r w:rsidR="00F45AD0" w:rsidRPr="00AA3BBA">
        <w:t xml:space="preserve"> adopt the resolution</w:t>
      </w:r>
      <w:r w:rsidR="005A5E05" w:rsidRPr="00AA3BBA">
        <w:t xml:space="preserve">. </w:t>
      </w:r>
    </w:p>
    <w:p w14:paraId="69E0A0C6" w14:textId="08D3C0BA" w:rsidR="007D68A3" w:rsidRDefault="008F6BC3" w:rsidP="009C4CAA">
      <w:pPr>
        <w:spacing w:line="240" w:lineRule="auto"/>
        <w:rPr>
          <w:u w:val="single"/>
        </w:rPr>
      </w:pPr>
      <w:r w:rsidRPr="00AA3BBA">
        <w:t>The decision of the Council on this matter will then be subject to the concurrence</w:t>
      </w:r>
      <w:r w:rsidRPr="008F6BC3">
        <w:t xml:space="preserve"> of the majority of the Member States of ITU (as per </w:t>
      </w:r>
      <w:r w:rsidR="00EE307A">
        <w:t>No.</w:t>
      </w:r>
      <w:r w:rsidRPr="008F6BC3">
        <w:t xml:space="preserve"> 46 of the Convention)</w:t>
      </w:r>
      <w:r w:rsidR="00EE307A">
        <w:t>.</w:t>
      </w:r>
      <w:r w:rsidR="007D68A3">
        <w:rPr>
          <w:u w:val="single"/>
        </w:rPr>
        <w:br w:type="page"/>
      </w:r>
    </w:p>
    <w:p w14:paraId="03A611E1" w14:textId="77ED68F6" w:rsidR="00D418CA" w:rsidRDefault="00D418CA" w:rsidP="00BB59FE">
      <w:pPr>
        <w:spacing w:before="300"/>
        <w:rPr>
          <w:u w:val="single"/>
        </w:rPr>
      </w:pPr>
      <w:r w:rsidRPr="00D418CA">
        <w:rPr>
          <w:u w:val="single"/>
        </w:rPr>
        <w:lastRenderedPageBreak/>
        <w:t>Cost Recovery for the processing of Satellite network Filings (D 482(MOD))</w:t>
      </w:r>
    </w:p>
    <w:p w14:paraId="032C4588" w14:textId="6546E744" w:rsidR="00D418CA" w:rsidRPr="00D418CA" w:rsidRDefault="001B67FC" w:rsidP="00BB59FE">
      <w:pPr>
        <w:spacing w:line="240" w:lineRule="auto"/>
      </w:pPr>
      <w:r>
        <w:t xml:space="preserve">Keeping in mind that this item is urgent, </w:t>
      </w:r>
      <w:r w:rsidR="00D418CA" w:rsidRPr="00D418CA">
        <w:t>Council Member States are invited to inform the Secretary</w:t>
      </w:r>
      <w:r w:rsidR="00B820AD">
        <w:t>-</w:t>
      </w:r>
      <w:r w:rsidR="00D418CA" w:rsidRPr="00D418CA">
        <w:t xml:space="preserve">General, in writing, whether they </w:t>
      </w:r>
      <w:r w:rsidR="00D418CA">
        <w:t>approve</w:t>
      </w:r>
      <w:r w:rsidR="00D418CA" w:rsidRPr="00D418CA">
        <w:t xml:space="preserve"> the draft modified Decision 482 contained in</w:t>
      </w:r>
      <w:r w:rsidR="00D418CA">
        <w:t xml:space="preserve"> </w:t>
      </w:r>
      <w:hyperlink w:anchor="annex3" w:history="1">
        <w:r w:rsidR="00D418CA" w:rsidRPr="00AA3BBA">
          <w:rPr>
            <w:rStyle w:val="Hyperlink"/>
          </w:rPr>
          <w:t xml:space="preserve">Annex </w:t>
        </w:r>
        <w:r w:rsidR="008F6BC3" w:rsidRPr="00AA3BBA">
          <w:rPr>
            <w:rStyle w:val="Hyperlink"/>
          </w:rPr>
          <w:t>3</w:t>
        </w:r>
      </w:hyperlink>
      <w:r w:rsidR="00EE307A" w:rsidRPr="00AA3BBA">
        <w:t>.</w:t>
      </w:r>
    </w:p>
    <w:p w14:paraId="7B21C627" w14:textId="3EE9C702" w:rsidR="00BC0785" w:rsidRDefault="00EE307A" w:rsidP="00BB59FE">
      <w:pPr>
        <w:spacing w:before="300"/>
        <w:rPr>
          <w:u w:val="single"/>
        </w:rPr>
      </w:pPr>
      <w:r>
        <w:rPr>
          <w:u w:val="single"/>
        </w:rPr>
        <w:t>O</w:t>
      </w:r>
      <w:r w:rsidR="00D418CA">
        <w:rPr>
          <w:u w:val="single"/>
        </w:rPr>
        <w:t>utcome on the Report of RA-19 and WRC-19</w:t>
      </w:r>
    </w:p>
    <w:p w14:paraId="444BCA0F" w14:textId="05C2BC0E" w:rsidR="00BC0785" w:rsidRPr="00EE307A" w:rsidRDefault="00D418CA" w:rsidP="00BB59FE">
      <w:pPr>
        <w:spacing w:line="240" w:lineRule="auto"/>
        <w:rPr>
          <w:u w:val="single"/>
        </w:rPr>
      </w:pPr>
      <w:r>
        <w:t xml:space="preserve">The </w:t>
      </w:r>
      <w:r w:rsidR="009B2AD5">
        <w:t>c</w:t>
      </w:r>
      <w:r>
        <w:t>ounci</w:t>
      </w:r>
      <w:r w:rsidR="00EE307A">
        <w:t>l</w:t>
      </w:r>
      <w:r>
        <w:t>lors have considered the proposal</w:t>
      </w:r>
      <w:r w:rsidR="00125E49">
        <w:t>s</w:t>
      </w:r>
      <w:r>
        <w:t xml:space="preserve"> in VC/9 and VC/11 regarding the implementation of Resolution 559 (WRC). </w:t>
      </w:r>
      <w:r w:rsidRPr="00EE307A">
        <w:t>Keeping in mind the urgency of the proposal</w:t>
      </w:r>
      <w:r w:rsidR="00125E49">
        <w:t>s</w:t>
      </w:r>
      <w:r w:rsidRPr="00EE307A">
        <w:t>, Council Member States are invited to inform the Secretary</w:t>
      </w:r>
      <w:r w:rsidR="00B820AD" w:rsidRPr="00EE307A">
        <w:t>-</w:t>
      </w:r>
      <w:r w:rsidRPr="00EE307A">
        <w:t>General, in writing, whether the</w:t>
      </w:r>
      <w:r w:rsidR="007B5EE6">
        <w:t>y</w:t>
      </w:r>
      <w:r w:rsidR="00BB59FE">
        <w:t xml:space="preserve"> </w:t>
      </w:r>
      <w:r w:rsidRPr="00EE307A">
        <w:t>support the proposal</w:t>
      </w:r>
      <w:r w:rsidR="00EE307A" w:rsidRPr="00EE307A">
        <w:t>s</w:t>
      </w:r>
      <w:r w:rsidRPr="00EE307A">
        <w:t xml:space="preserve"> made in </w:t>
      </w:r>
      <w:r w:rsidR="00BB59FE">
        <w:t xml:space="preserve">documents </w:t>
      </w:r>
      <w:hyperlink r:id="rId13" w:history="1">
        <w:r w:rsidRPr="00BB59FE">
          <w:rPr>
            <w:rStyle w:val="Hyperlink"/>
          </w:rPr>
          <w:t>V</w:t>
        </w:r>
        <w:r w:rsidR="00EE307A" w:rsidRPr="00BB59FE">
          <w:rPr>
            <w:rStyle w:val="Hyperlink"/>
          </w:rPr>
          <w:t>C</w:t>
        </w:r>
        <w:r w:rsidRPr="00BB59FE">
          <w:rPr>
            <w:rStyle w:val="Hyperlink"/>
          </w:rPr>
          <w:t>/9</w:t>
        </w:r>
      </w:hyperlink>
      <w:r w:rsidRPr="00EE307A">
        <w:t xml:space="preserve"> and </w:t>
      </w:r>
      <w:hyperlink r:id="rId14" w:history="1">
        <w:r w:rsidRPr="00BB59FE">
          <w:rPr>
            <w:rStyle w:val="Hyperlink"/>
          </w:rPr>
          <w:t>VC /11</w:t>
        </w:r>
      </w:hyperlink>
      <w:r w:rsidRPr="00EE307A">
        <w:t>.</w:t>
      </w:r>
      <w:r w:rsidR="007B5EE6">
        <w:t xml:space="preserve"> </w:t>
      </w:r>
    </w:p>
    <w:p w14:paraId="7BDB9D5F" w14:textId="5B482323" w:rsidR="0002696A" w:rsidRPr="00EE307A" w:rsidRDefault="00EE307A" w:rsidP="00DD593F">
      <w:pPr>
        <w:spacing w:before="240"/>
      </w:pPr>
      <w:r w:rsidRPr="00EE307A">
        <w:rPr>
          <w:u w:val="single"/>
        </w:rPr>
        <w:t>P</w:t>
      </w:r>
      <w:r w:rsidR="0002696A" w:rsidRPr="00EE307A">
        <w:rPr>
          <w:u w:val="single"/>
        </w:rPr>
        <w:t>roposed dates and duration of the 2021, 2022, 2023, 2024, 2025, and 2026 sessions of the Council and the CWG clusters for 2020, 2021, and 2022</w:t>
      </w:r>
    </w:p>
    <w:p w14:paraId="2CB739C6" w14:textId="7FE2563C" w:rsidR="0002696A" w:rsidRPr="00EE307A" w:rsidRDefault="0002696A" w:rsidP="00BB59FE">
      <w:pPr>
        <w:pStyle w:val="ListParagraph"/>
        <w:tabs>
          <w:tab w:val="clear" w:pos="567"/>
          <w:tab w:val="clear" w:pos="1134"/>
          <w:tab w:val="clear" w:pos="1701"/>
          <w:tab w:val="clear" w:pos="2268"/>
          <w:tab w:val="clear" w:pos="2835"/>
        </w:tabs>
        <w:overflowPunct/>
        <w:autoSpaceDE/>
        <w:autoSpaceDN/>
        <w:adjustRightInd/>
        <w:spacing w:before="160"/>
        <w:ind w:left="0"/>
        <w:jc w:val="both"/>
        <w:textAlignment w:val="auto"/>
        <w:rPr>
          <w:sz w:val="22"/>
          <w:szCs w:val="22"/>
        </w:rPr>
      </w:pPr>
      <w:r w:rsidRPr="00BB59FE">
        <w:rPr>
          <w:rFonts w:eastAsia="MS Mincho" w:cs="Calibri"/>
          <w:sz w:val="22"/>
          <w:szCs w:val="22"/>
          <w:lang w:val="en-US"/>
        </w:rPr>
        <w:t xml:space="preserve">Keeping in mind the fact that this item is urgent as room reservations must be made as soon as possible in order to secure venue during the construction period of the new Union’s </w:t>
      </w:r>
      <w:r w:rsidR="00EE307A" w:rsidRPr="00BB59FE">
        <w:rPr>
          <w:rFonts w:eastAsia="MS Mincho" w:cs="Calibri"/>
          <w:sz w:val="22"/>
          <w:szCs w:val="22"/>
          <w:lang w:val="en-US"/>
        </w:rPr>
        <w:t>H</w:t>
      </w:r>
      <w:r w:rsidRPr="00BB59FE">
        <w:rPr>
          <w:rFonts w:eastAsia="MS Mincho" w:cs="Calibri"/>
          <w:sz w:val="22"/>
          <w:szCs w:val="22"/>
          <w:lang w:val="en-US"/>
        </w:rPr>
        <w:t>eadquarter</w:t>
      </w:r>
      <w:r w:rsidR="00EE307A" w:rsidRPr="00BB59FE">
        <w:rPr>
          <w:rFonts w:eastAsia="MS Mincho" w:cs="Calibri"/>
          <w:sz w:val="22"/>
          <w:szCs w:val="22"/>
          <w:lang w:val="en-US"/>
        </w:rPr>
        <w:t>s</w:t>
      </w:r>
      <w:r w:rsidR="00BC0785" w:rsidRPr="00BB59FE">
        <w:rPr>
          <w:rFonts w:eastAsia="MS Mincho" w:cs="Calibri"/>
          <w:sz w:val="22"/>
          <w:szCs w:val="22"/>
          <w:lang w:val="en-US"/>
        </w:rPr>
        <w:t xml:space="preserve">, </w:t>
      </w:r>
      <w:bookmarkStart w:id="4" w:name="_Hlk43377434"/>
      <w:r w:rsidRPr="00BB59FE">
        <w:rPr>
          <w:rFonts w:eastAsia="MS Mincho" w:cs="Calibri"/>
          <w:sz w:val="22"/>
          <w:szCs w:val="22"/>
          <w:lang w:val="en-US"/>
        </w:rPr>
        <w:t>Council Member</w:t>
      </w:r>
      <w:r w:rsidR="00D418CA" w:rsidRPr="00BB59FE">
        <w:rPr>
          <w:rFonts w:eastAsia="MS Mincho" w:cs="Calibri"/>
          <w:sz w:val="22"/>
          <w:szCs w:val="22"/>
          <w:lang w:val="en-US"/>
        </w:rPr>
        <w:t xml:space="preserve"> States </w:t>
      </w:r>
      <w:r w:rsidRPr="00BB59FE">
        <w:rPr>
          <w:rFonts w:eastAsia="MS Mincho" w:cs="Calibri"/>
          <w:sz w:val="22"/>
          <w:szCs w:val="22"/>
          <w:lang w:val="en-US"/>
        </w:rPr>
        <w:t>are invited to inform the Secretary</w:t>
      </w:r>
      <w:r w:rsidR="00EE307A" w:rsidRPr="00BB59FE">
        <w:rPr>
          <w:rFonts w:eastAsia="MS Mincho" w:cs="Calibri"/>
          <w:sz w:val="22"/>
          <w:szCs w:val="22"/>
          <w:lang w:val="en-US"/>
        </w:rPr>
        <w:t>-</w:t>
      </w:r>
      <w:r w:rsidRPr="00BB59FE">
        <w:rPr>
          <w:rFonts w:eastAsia="MS Mincho" w:cs="Calibri"/>
          <w:sz w:val="22"/>
          <w:szCs w:val="22"/>
          <w:lang w:val="en-US"/>
        </w:rPr>
        <w:t xml:space="preserve">General, in writing, whether they confirm </w:t>
      </w:r>
      <w:bookmarkEnd w:id="4"/>
      <w:r w:rsidRPr="00BB59FE">
        <w:rPr>
          <w:rFonts w:eastAsia="MS Mincho" w:cs="Calibri"/>
          <w:sz w:val="22"/>
          <w:szCs w:val="22"/>
          <w:lang w:val="en-US"/>
        </w:rPr>
        <w:t>the dates for the 2021 and 2022 sessions of the Council and they approve the dates for the 2023, 2024, 2025, and 2026 sessions of</w:t>
      </w:r>
      <w:r w:rsidR="00EE307A" w:rsidRPr="00BB59FE">
        <w:rPr>
          <w:rFonts w:eastAsia="MS Mincho" w:cs="Calibri"/>
          <w:sz w:val="22"/>
          <w:szCs w:val="22"/>
          <w:lang w:val="en-US"/>
        </w:rPr>
        <w:t xml:space="preserve"> the</w:t>
      </w:r>
      <w:r w:rsidRPr="00BB59FE">
        <w:rPr>
          <w:rFonts w:eastAsia="MS Mincho" w:cs="Calibri"/>
          <w:sz w:val="22"/>
          <w:szCs w:val="22"/>
          <w:lang w:val="en-US"/>
        </w:rPr>
        <w:t xml:space="preserve"> Council, and the dates of the clusters of CWGs </w:t>
      </w:r>
      <w:r w:rsidR="00EE307A" w:rsidRPr="00BB59FE">
        <w:rPr>
          <w:rFonts w:eastAsia="MS Mincho" w:cs="Calibri"/>
          <w:sz w:val="22"/>
          <w:szCs w:val="22"/>
          <w:lang w:val="en-US"/>
        </w:rPr>
        <w:t>and</w:t>
      </w:r>
      <w:r w:rsidRPr="00BB59FE">
        <w:rPr>
          <w:rFonts w:eastAsia="MS Mincho" w:cs="Calibri"/>
          <w:sz w:val="22"/>
          <w:szCs w:val="22"/>
          <w:lang w:val="en-US"/>
        </w:rPr>
        <w:t xml:space="preserve"> EGs for 2020, 2021, and 2022 and adopt the draft</w:t>
      </w:r>
      <w:r w:rsidRPr="00EE307A">
        <w:rPr>
          <w:sz w:val="22"/>
          <w:szCs w:val="22"/>
        </w:rPr>
        <w:t xml:space="preserve"> Decision</w:t>
      </w:r>
      <w:r w:rsidR="00B820AD" w:rsidRPr="00EE307A">
        <w:rPr>
          <w:sz w:val="22"/>
          <w:szCs w:val="22"/>
        </w:rPr>
        <w:t xml:space="preserve"> </w:t>
      </w:r>
      <w:r w:rsidR="008F6BC3" w:rsidRPr="00AA3BBA">
        <w:rPr>
          <w:sz w:val="22"/>
          <w:szCs w:val="22"/>
        </w:rPr>
        <w:t xml:space="preserve">in </w:t>
      </w:r>
      <w:hyperlink w:anchor="annex4" w:history="1">
        <w:r w:rsidR="008F6BC3" w:rsidRPr="00AA3BBA">
          <w:rPr>
            <w:rStyle w:val="Hyperlink"/>
            <w:sz w:val="22"/>
            <w:szCs w:val="22"/>
          </w:rPr>
          <w:t>Annex 4</w:t>
        </w:r>
      </w:hyperlink>
      <w:r w:rsidRPr="00AA3BBA">
        <w:rPr>
          <w:sz w:val="22"/>
          <w:szCs w:val="22"/>
        </w:rPr>
        <w:t>.</w:t>
      </w:r>
      <w:r w:rsidRPr="00EE307A">
        <w:rPr>
          <w:sz w:val="22"/>
          <w:szCs w:val="22"/>
        </w:rPr>
        <w:t xml:space="preserve"> </w:t>
      </w:r>
    </w:p>
    <w:p w14:paraId="6719CDBC" w14:textId="29133422" w:rsidR="004C345B" w:rsidRPr="00EE307A" w:rsidRDefault="00BC0785" w:rsidP="00DD593F">
      <w:pPr>
        <w:spacing w:before="180"/>
        <w:rPr>
          <w:u w:val="single"/>
        </w:rPr>
      </w:pPr>
      <w:r w:rsidRPr="00EE307A">
        <w:rPr>
          <w:bCs/>
          <w:iCs/>
          <w:u w:val="single"/>
        </w:rPr>
        <w:t>List of candidature</w:t>
      </w:r>
      <w:r w:rsidR="00125E49">
        <w:rPr>
          <w:bCs/>
          <w:iCs/>
          <w:u w:val="single"/>
        </w:rPr>
        <w:t>s</w:t>
      </w:r>
      <w:r w:rsidRPr="00EE307A">
        <w:rPr>
          <w:bCs/>
          <w:iCs/>
          <w:u w:val="single"/>
        </w:rPr>
        <w:t xml:space="preserve"> for Chairs and Vice-Chairs of CWGs, EGs, IEGs</w:t>
      </w:r>
      <w:r w:rsidRPr="00EE307A">
        <w:rPr>
          <w:u w:val="single"/>
        </w:rPr>
        <w:t xml:space="preserve"> </w:t>
      </w:r>
    </w:p>
    <w:p w14:paraId="1E0E5BEF" w14:textId="60C3CB66" w:rsidR="00BC0785" w:rsidRDefault="007B5EE6" w:rsidP="00BB59FE">
      <w:pPr>
        <w:spacing w:line="240" w:lineRule="auto"/>
      </w:pPr>
      <w:r>
        <w:rPr>
          <w:lang w:val="en-GB"/>
        </w:rPr>
        <w:t xml:space="preserve">Keeping in mind that this item is urgent, </w:t>
      </w:r>
      <w:r w:rsidR="00BC0785" w:rsidRPr="00EE307A">
        <w:t>Council Member States are invited to inform the Secretary</w:t>
      </w:r>
      <w:r w:rsidR="00EE307A">
        <w:t>-</w:t>
      </w:r>
      <w:r w:rsidR="00BC0785" w:rsidRPr="00EE307A">
        <w:t>General, in writing, whether they approve the nomination</w:t>
      </w:r>
      <w:r w:rsidR="0083274A">
        <w:t>s</w:t>
      </w:r>
      <w:r w:rsidR="00BC0785" w:rsidRPr="00EE307A">
        <w:t xml:space="preserve"> of the following candidates</w:t>
      </w:r>
      <w:r w:rsidR="00EE307A">
        <w:t xml:space="preserve"> as </w:t>
      </w:r>
      <w:r w:rsidR="00BC0785" w:rsidRPr="00EE307A">
        <w:t>new chair and vice-chairs so that</w:t>
      </w:r>
      <w:r w:rsidR="00BC0785" w:rsidRPr="00BC0785">
        <w:t xml:space="preserve"> they may take up their functions as soon as possible.</w:t>
      </w:r>
    </w:p>
    <w:p w14:paraId="7B000CFD" w14:textId="581EA1B9" w:rsidR="00BC0785" w:rsidRPr="00BC0785" w:rsidRDefault="00BC0785" w:rsidP="00CA1BF5">
      <w:pPr>
        <w:pStyle w:val="ListParagraph"/>
        <w:numPr>
          <w:ilvl w:val="0"/>
          <w:numId w:val="42"/>
        </w:numPr>
        <w:ind w:left="426" w:hanging="426"/>
        <w:rPr>
          <w:sz w:val="22"/>
          <w:szCs w:val="22"/>
        </w:rPr>
      </w:pPr>
      <w:r w:rsidRPr="00BC0785">
        <w:rPr>
          <w:sz w:val="22"/>
          <w:szCs w:val="22"/>
        </w:rPr>
        <w:t xml:space="preserve">Ms Vernita Harris from the United States, as Chair of the CWG-FHR </w:t>
      </w:r>
    </w:p>
    <w:p w14:paraId="0E743661" w14:textId="61309C07" w:rsidR="00BC0785" w:rsidRPr="00BC0785" w:rsidRDefault="00BC0785" w:rsidP="00CA1BF5">
      <w:pPr>
        <w:pStyle w:val="ListParagraph"/>
        <w:numPr>
          <w:ilvl w:val="0"/>
          <w:numId w:val="42"/>
        </w:numPr>
        <w:ind w:left="426" w:hanging="426"/>
        <w:rPr>
          <w:sz w:val="22"/>
          <w:szCs w:val="22"/>
        </w:rPr>
      </w:pPr>
      <w:r w:rsidRPr="00BC0785">
        <w:rPr>
          <w:sz w:val="22"/>
          <w:szCs w:val="22"/>
        </w:rPr>
        <w:t xml:space="preserve">Ms Xian Persaud from the Bahamas, as Vice-Chair of the CWG-FHR from the Americas </w:t>
      </w:r>
      <w:r w:rsidR="0072624D">
        <w:rPr>
          <w:sz w:val="22"/>
          <w:szCs w:val="22"/>
        </w:rPr>
        <w:t>R</w:t>
      </w:r>
      <w:r w:rsidRPr="00BC0785">
        <w:rPr>
          <w:sz w:val="22"/>
          <w:szCs w:val="22"/>
        </w:rPr>
        <w:t xml:space="preserve">egion </w:t>
      </w:r>
    </w:p>
    <w:p w14:paraId="704A968B" w14:textId="476DAC0B" w:rsidR="00BC0785" w:rsidRPr="00BC0785" w:rsidRDefault="00BC0785" w:rsidP="00CA1BF5">
      <w:pPr>
        <w:pStyle w:val="ListParagraph"/>
        <w:numPr>
          <w:ilvl w:val="0"/>
          <w:numId w:val="42"/>
        </w:numPr>
        <w:ind w:left="426" w:hanging="426"/>
        <w:rPr>
          <w:sz w:val="22"/>
          <w:szCs w:val="22"/>
        </w:rPr>
      </w:pPr>
      <w:r w:rsidRPr="00BC0785">
        <w:rPr>
          <w:sz w:val="22"/>
          <w:szCs w:val="22"/>
        </w:rPr>
        <w:t xml:space="preserve">Ms Stella </w:t>
      </w:r>
      <w:proofErr w:type="spellStart"/>
      <w:r w:rsidRPr="00BC0785">
        <w:rPr>
          <w:sz w:val="22"/>
          <w:szCs w:val="22"/>
        </w:rPr>
        <w:t>Chubiyo</w:t>
      </w:r>
      <w:proofErr w:type="spellEnd"/>
      <w:r w:rsidRPr="00BC0785">
        <w:rPr>
          <w:sz w:val="22"/>
          <w:szCs w:val="22"/>
        </w:rPr>
        <w:t xml:space="preserve"> Erebor from Nigeria, as Vice-Chair of CWG-COP from the </w:t>
      </w:r>
      <w:r w:rsidRPr="0072624D">
        <w:rPr>
          <w:sz w:val="22"/>
          <w:szCs w:val="22"/>
        </w:rPr>
        <w:t>African Region</w:t>
      </w:r>
      <w:r w:rsidRPr="00BC0785">
        <w:rPr>
          <w:sz w:val="22"/>
          <w:szCs w:val="22"/>
        </w:rPr>
        <w:t xml:space="preserve"> </w:t>
      </w:r>
    </w:p>
    <w:p w14:paraId="787E47E8" w14:textId="772F6D0D" w:rsidR="00BC0785" w:rsidRPr="006812DA" w:rsidRDefault="00BC0785" w:rsidP="00CA1BF5">
      <w:pPr>
        <w:pStyle w:val="ListParagraph"/>
        <w:numPr>
          <w:ilvl w:val="0"/>
          <w:numId w:val="42"/>
        </w:numPr>
        <w:ind w:left="426" w:hanging="426"/>
        <w:rPr>
          <w:sz w:val="22"/>
          <w:szCs w:val="22"/>
        </w:rPr>
      </w:pPr>
      <w:r w:rsidRPr="00BC0785">
        <w:rPr>
          <w:sz w:val="22"/>
          <w:szCs w:val="22"/>
        </w:rPr>
        <w:t>Ms Renata Santoyo from Brazil</w:t>
      </w:r>
      <w:r w:rsidR="00EE307A">
        <w:rPr>
          <w:sz w:val="22"/>
          <w:szCs w:val="22"/>
        </w:rPr>
        <w:t>,</w:t>
      </w:r>
      <w:r w:rsidRPr="00BC0785">
        <w:rPr>
          <w:sz w:val="22"/>
          <w:szCs w:val="22"/>
        </w:rPr>
        <w:t xml:space="preserve"> </w:t>
      </w:r>
      <w:r w:rsidR="00EE307A">
        <w:rPr>
          <w:sz w:val="22"/>
          <w:szCs w:val="22"/>
        </w:rPr>
        <w:t xml:space="preserve">as </w:t>
      </w:r>
      <w:r w:rsidRPr="00BC0785">
        <w:rPr>
          <w:sz w:val="22"/>
          <w:szCs w:val="22"/>
        </w:rPr>
        <w:t>Vice-</w:t>
      </w:r>
      <w:r w:rsidR="00C37978">
        <w:rPr>
          <w:sz w:val="22"/>
          <w:szCs w:val="22"/>
        </w:rPr>
        <w:t>C</w:t>
      </w:r>
      <w:r w:rsidRPr="00BC0785">
        <w:rPr>
          <w:sz w:val="22"/>
          <w:szCs w:val="22"/>
        </w:rPr>
        <w:t>hair of CWG-</w:t>
      </w:r>
      <w:r w:rsidRPr="006812DA">
        <w:rPr>
          <w:sz w:val="22"/>
          <w:szCs w:val="22"/>
        </w:rPr>
        <w:t>WSIS</w:t>
      </w:r>
      <w:r w:rsidR="00CA1BF5" w:rsidRPr="006812DA">
        <w:rPr>
          <w:sz w:val="22"/>
          <w:szCs w:val="22"/>
        </w:rPr>
        <w:t>&amp;SDGs</w:t>
      </w:r>
      <w:r w:rsidRPr="006812DA">
        <w:rPr>
          <w:sz w:val="22"/>
          <w:szCs w:val="22"/>
        </w:rPr>
        <w:t xml:space="preserve"> from the Americas Region </w:t>
      </w:r>
    </w:p>
    <w:p w14:paraId="1F998166" w14:textId="27CA8B59" w:rsidR="00BC0785" w:rsidRPr="006812DA" w:rsidRDefault="00BC0785" w:rsidP="00CA1BF5">
      <w:pPr>
        <w:pStyle w:val="ListParagraph"/>
        <w:numPr>
          <w:ilvl w:val="0"/>
          <w:numId w:val="42"/>
        </w:numPr>
        <w:ind w:left="426" w:hanging="426"/>
        <w:rPr>
          <w:sz w:val="22"/>
          <w:szCs w:val="22"/>
        </w:rPr>
      </w:pPr>
      <w:r w:rsidRPr="006812DA">
        <w:rPr>
          <w:sz w:val="22"/>
          <w:szCs w:val="22"/>
        </w:rPr>
        <w:t>Mr Cristian Ungureanu from Romania, as Vice-</w:t>
      </w:r>
      <w:r w:rsidR="00C37978" w:rsidRPr="006812DA">
        <w:rPr>
          <w:sz w:val="22"/>
          <w:szCs w:val="22"/>
        </w:rPr>
        <w:t>C</w:t>
      </w:r>
      <w:r w:rsidRPr="006812DA">
        <w:rPr>
          <w:sz w:val="22"/>
          <w:szCs w:val="22"/>
        </w:rPr>
        <w:t xml:space="preserve">hair of Expert Group on Decision 482 from </w:t>
      </w:r>
      <w:r w:rsidR="00CA1BF5" w:rsidRPr="006812DA">
        <w:rPr>
          <w:sz w:val="22"/>
          <w:szCs w:val="22"/>
        </w:rPr>
        <w:t>the European Region</w:t>
      </w:r>
      <w:r w:rsidR="00C37978" w:rsidRPr="006812DA">
        <w:rPr>
          <w:sz w:val="22"/>
          <w:szCs w:val="22"/>
        </w:rPr>
        <w:t>.</w:t>
      </w:r>
    </w:p>
    <w:p w14:paraId="1B66F59E" w14:textId="1068D347" w:rsidR="008F6BC3" w:rsidRDefault="00B820AD" w:rsidP="00B820AD">
      <w:pPr>
        <w:rPr>
          <w:rFonts w:cs="Arial"/>
          <w:color w:val="000000" w:themeColor="text1"/>
        </w:rPr>
      </w:pPr>
      <w:r w:rsidRPr="00CA1BF5">
        <w:rPr>
          <w:spacing w:val="2"/>
          <w:lang w:val="en-GB"/>
        </w:rPr>
        <w:t xml:space="preserve">I hereby invite </w:t>
      </w:r>
      <w:r w:rsidR="008F6BC3" w:rsidRPr="00CA1BF5">
        <w:rPr>
          <w:rFonts w:cs="Arial"/>
          <w:color w:val="000000" w:themeColor="text1"/>
          <w:spacing w:val="2"/>
        </w:rPr>
        <w:t xml:space="preserve">Member States of the Council to reply to the consultation using the template in </w:t>
      </w:r>
      <w:hyperlink w:anchor="annex1" w:history="1">
        <w:r w:rsidR="00C37978" w:rsidRPr="00CA1BF5">
          <w:rPr>
            <w:rStyle w:val="Hyperlink"/>
            <w:rFonts w:cs="Arial"/>
            <w:spacing w:val="2"/>
          </w:rPr>
          <w:t>A</w:t>
        </w:r>
        <w:r w:rsidR="008F6BC3" w:rsidRPr="00CA1BF5">
          <w:rPr>
            <w:rStyle w:val="Hyperlink"/>
            <w:rFonts w:cs="Arial"/>
            <w:spacing w:val="2"/>
          </w:rPr>
          <w:t>nnex 1</w:t>
        </w:r>
      </w:hyperlink>
      <w:r w:rsidR="008F6BC3" w:rsidRPr="00CA1BF5">
        <w:rPr>
          <w:rFonts w:cs="Arial"/>
          <w:color w:val="000000" w:themeColor="text1"/>
          <w:spacing w:val="2"/>
        </w:rPr>
        <w:t xml:space="preserve"> by e</w:t>
      </w:r>
      <w:r w:rsidR="00C37978" w:rsidRPr="00CA1BF5">
        <w:rPr>
          <w:rFonts w:cs="Arial"/>
          <w:color w:val="000000" w:themeColor="text1"/>
          <w:spacing w:val="2"/>
        </w:rPr>
        <w:t>-</w:t>
      </w:r>
      <w:r w:rsidR="008F6BC3" w:rsidRPr="00CA1BF5">
        <w:rPr>
          <w:rFonts w:cs="Arial"/>
          <w:color w:val="000000" w:themeColor="text1"/>
          <w:spacing w:val="2"/>
        </w:rPr>
        <w:t>mail</w:t>
      </w:r>
      <w:r w:rsidR="008F6BC3" w:rsidRPr="00FE1648">
        <w:rPr>
          <w:rFonts w:cs="Arial"/>
          <w:color w:val="000000" w:themeColor="text1"/>
        </w:rPr>
        <w:t xml:space="preserve"> </w:t>
      </w:r>
      <w:r w:rsidR="008F6BC3">
        <w:rPr>
          <w:rFonts w:cs="Arial"/>
          <w:color w:val="000000" w:themeColor="text1"/>
        </w:rPr>
        <w:t>to</w:t>
      </w:r>
      <w:r w:rsidR="008F6BC3" w:rsidRPr="00FE1648">
        <w:rPr>
          <w:rFonts w:cs="Arial"/>
          <w:color w:val="000000" w:themeColor="text1"/>
        </w:rPr>
        <w:t xml:space="preserve"> </w:t>
      </w:r>
      <w:hyperlink r:id="rId15" w:history="1">
        <w:r w:rsidR="008F6BC3" w:rsidRPr="001204D2">
          <w:rPr>
            <w:rStyle w:val="Hyperlink"/>
            <w:rFonts w:cs="Arial"/>
          </w:rPr>
          <w:t>memberstates@itu.int</w:t>
        </w:r>
      </w:hyperlink>
      <w:r w:rsidR="008F6BC3" w:rsidRPr="00FE1648">
        <w:rPr>
          <w:rFonts w:cs="Arial"/>
          <w:color w:val="000000" w:themeColor="text1"/>
        </w:rPr>
        <w:t xml:space="preserve"> </w:t>
      </w:r>
      <w:r w:rsidR="008F6BC3" w:rsidRPr="00FE1648">
        <w:rPr>
          <w:rFonts w:cs="Arial"/>
          <w:b/>
          <w:color w:val="000000" w:themeColor="text1"/>
        </w:rPr>
        <w:t xml:space="preserve">not later than </w:t>
      </w:r>
      <w:r w:rsidR="0043031B">
        <w:rPr>
          <w:rFonts w:cs="Arial"/>
          <w:b/>
          <w:color w:val="000000" w:themeColor="text1"/>
        </w:rPr>
        <w:t>31 July</w:t>
      </w:r>
      <w:r w:rsidR="008F6BC3">
        <w:rPr>
          <w:rFonts w:cs="Arial"/>
          <w:b/>
          <w:color w:val="000000" w:themeColor="text1"/>
        </w:rPr>
        <w:t xml:space="preserve"> </w:t>
      </w:r>
      <w:r w:rsidR="008F6BC3" w:rsidRPr="00C05318">
        <w:rPr>
          <w:rFonts w:cs="Arial"/>
          <w:b/>
          <w:color w:val="000000" w:themeColor="text1"/>
        </w:rPr>
        <w:t>20</w:t>
      </w:r>
      <w:r w:rsidR="008F6BC3">
        <w:rPr>
          <w:rFonts w:cs="Arial"/>
          <w:b/>
          <w:color w:val="000000" w:themeColor="text1"/>
        </w:rPr>
        <w:t>20</w:t>
      </w:r>
      <w:r w:rsidR="008F6BC3" w:rsidRPr="00C05318">
        <w:rPr>
          <w:rFonts w:cs="Arial"/>
          <w:color w:val="000000" w:themeColor="text1"/>
        </w:rPr>
        <w:t xml:space="preserve">. </w:t>
      </w:r>
    </w:p>
    <w:p w14:paraId="57E9603A" w14:textId="72DE2510" w:rsidR="008F6BC3" w:rsidRPr="00C37978" w:rsidRDefault="00C37978" w:rsidP="00C37978">
      <w:pPr>
        <w:rPr>
          <w:lang w:val="en-GB"/>
        </w:rPr>
      </w:pPr>
      <w:r>
        <w:rPr>
          <w:lang w:val="en-GB"/>
        </w:rPr>
        <w:t>I l</w:t>
      </w:r>
      <w:r w:rsidR="008F6BC3" w:rsidRPr="00C37978">
        <w:rPr>
          <w:lang w:val="en-GB"/>
        </w:rPr>
        <w:t>ook forward to receiving your reply.</w:t>
      </w:r>
    </w:p>
    <w:p w14:paraId="2F1D62E5" w14:textId="77777777" w:rsidR="008F6BC3" w:rsidRPr="00DA66AD" w:rsidRDefault="008F6BC3" w:rsidP="00C37978">
      <w:pPr>
        <w:rPr>
          <w:rFonts w:cs="Arial"/>
          <w:color w:val="000000" w:themeColor="text1"/>
        </w:rPr>
      </w:pPr>
      <w:r w:rsidRPr="00C37978">
        <w:rPr>
          <w:lang w:val="en-GB"/>
        </w:rPr>
        <w:t>You</w:t>
      </w:r>
      <w:proofErr w:type="spellStart"/>
      <w:r w:rsidRPr="00DA66AD">
        <w:rPr>
          <w:rFonts w:cs="Arial"/>
          <w:color w:val="000000" w:themeColor="text1"/>
        </w:rPr>
        <w:t>rs</w:t>
      </w:r>
      <w:proofErr w:type="spellEnd"/>
      <w:r w:rsidRPr="00DA66AD">
        <w:rPr>
          <w:rFonts w:cs="Arial"/>
          <w:color w:val="000000" w:themeColor="text1"/>
        </w:rPr>
        <w:t xml:space="preserve"> faithfully,</w:t>
      </w:r>
    </w:p>
    <w:p w14:paraId="1F089F41" w14:textId="412763A7" w:rsidR="002478D2" w:rsidRPr="00B257A9" w:rsidRDefault="00B257A9" w:rsidP="00B257A9">
      <w:pPr>
        <w:spacing w:before="480"/>
        <w:jc w:val="left"/>
        <w:rPr>
          <w:i/>
          <w:iCs/>
        </w:rPr>
      </w:pPr>
      <w:r w:rsidRPr="00B257A9">
        <w:rPr>
          <w:i/>
          <w:iCs/>
        </w:rPr>
        <w:t>(signed)</w:t>
      </w:r>
    </w:p>
    <w:p w14:paraId="778F1350" w14:textId="417C3D2A" w:rsidR="00D256E0" w:rsidRPr="009D60E4" w:rsidRDefault="002318E0" w:rsidP="00B257A9">
      <w:pPr>
        <w:spacing w:before="480"/>
        <w:jc w:val="left"/>
      </w:pPr>
      <w:r>
        <w:t>Dr Elsayed Azzouz</w:t>
      </w:r>
      <w:r w:rsidR="00D256E0" w:rsidRPr="009D60E4">
        <w:br/>
      </w:r>
      <w:r>
        <w:t>Chair of the Council</w:t>
      </w:r>
    </w:p>
    <w:p w14:paraId="5671D24F" w14:textId="4E3327CE" w:rsidR="00D256E0" w:rsidRPr="009C4CAA" w:rsidRDefault="00D256E0" w:rsidP="009C4CAA">
      <w:pPr>
        <w:spacing w:before="360"/>
        <w:rPr>
          <w:b/>
          <w:bCs/>
          <w:i/>
          <w:iCs/>
          <w:lang w:val="en-GB"/>
        </w:rPr>
      </w:pPr>
      <w:r w:rsidRPr="009C4CAA">
        <w:rPr>
          <w:b/>
          <w:bCs/>
          <w:i/>
          <w:iCs/>
          <w:lang w:val="en-GB"/>
        </w:rPr>
        <w:t>Annex</w:t>
      </w:r>
      <w:r w:rsidR="0049244B" w:rsidRPr="009C4CAA">
        <w:rPr>
          <w:b/>
          <w:bCs/>
          <w:i/>
          <w:iCs/>
          <w:lang w:val="en-GB"/>
        </w:rPr>
        <w:t>es</w:t>
      </w:r>
      <w:r w:rsidRPr="009C4CAA">
        <w:rPr>
          <w:b/>
          <w:bCs/>
          <w:i/>
          <w:iCs/>
          <w:lang w:val="en-GB"/>
        </w:rPr>
        <w:t xml:space="preserve">: </w:t>
      </w:r>
      <w:r w:rsidR="00204C2B" w:rsidRPr="009C4CAA">
        <w:rPr>
          <w:b/>
          <w:bCs/>
          <w:i/>
          <w:iCs/>
          <w:lang w:val="en-GB"/>
        </w:rPr>
        <w:t>4</w:t>
      </w:r>
    </w:p>
    <w:p w14:paraId="68725F5B" w14:textId="3587EB00" w:rsidR="00F34DAB" w:rsidRPr="00DD593F" w:rsidRDefault="00F34DAB">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14:paraId="3A4F1CE4" w14:textId="176BE898" w:rsidR="0049244B" w:rsidRPr="00DD593F" w:rsidRDefault="00B969F0" w:rsidP="007D68A3">
      <w:pPr>
        <w:tabs>
          <w:tab w:val="clear" w:pos="794"/>
          <w:tab w:val="clear" w:pos="1191"/>
          <w:tab w:val="clear" w:pos="1588"/>
          <w:tab w:val="clear" w:pos="1985"/>
        </w:tabs>
        <w:overflowPunct/>
        <w:autoSpaceDE/>
        <w:autoSpaceDN/>
        <w:adjustRightInd/>
        <w:spacing w:before="0" w:line="240" w:lineRule="auto"/>
        <w:ind w:right="-567"/>
        <w:jc w:val="left"/>
        <w:textAlignment w:val="auto"/>
        <w:rPr>
          <w:lang w:val="en-GB"/>
        </w:rPr>
      </w:pPr>
      <w:hyperlink w:anchor="annex1" w:history="1">
        <w:r w:rsidR="0049244B" w:rsidRPr="00DD593F">
          <w:rPr>
            <w:rStyle w:val="Hyperlink"/>
            <w:lang w:val="en-GB"/>
          </w:rPr>
          <w:t>Annex 1</w:t>
        </w:r>
      </w:hyperlink>
      <w:r w:rsidR="0049244B" w:rsidRPr="00DD593F">
        <w:rPr>
          <w:lang w:val="en-GB"/>
        </w:rPr>
        <w:t xml:space="preserve"> – </w:t>
      </w:r>
      <w:r w:rsidR="007D68A3" w:rsidRPr="00DD593F">
        <w:rPr>
          <w:lang w:val="en-GB"/>
        </w:rPr>
        <w:t>Consultation on outcomes of discussions of the Virtual consultation of councillors, 9-12 June</w:t>
      </w:r>
    </w:p>
    <w:p w14:paraId="178F37DC" w14:textId="00C978B8" w:rsidR="0018621C" w:rsidRPr="00DD593F" w:rsidRDefault="00B969F0" w:rsidP="007D68A3">
      <w:pPr>
        <w:tabs>
          <w:tab w:val="clear" w:pos="794"/>
          <w:tab w:val="clear" w:pos="1191"/>
          <w:tab w:val="clear" w:pos="1588"/>
          <w:tab w:val="clear" w:pos="1985"/>
        </w:tabs>
        <w:overflowPunct/>
        <w:autoSpaceDE/>
        <w:autoSpaceDN/>
        <w:adjustRightInd/>
        <w:spacing w:before="0" w:line="240" w:lineRule="auto"/>
        <w:ind w:right="-567"/>
        <w:jc w:val="left"/>
        <w:textAlignment w:val="auto"/>
        <w:rPr>
          <w:lang w:val="en-GB"/>
        </w:rPr>
      </w:pPr>
      <w:hyperlink w:anchor="annex2" w:history="1">
        <w:r w:rsidR="0018621C" w:rsidRPr="00DD593F">
          <w:rPr>
            <w:rStyle w:val="Hyperlink"/>
            <w:lang w:val="en-GB"/>
          </w:rPr>
          <w:t>Annex</w:t>
        </w:r>
        <w:r w:rsidR="002D5267" w:rsidRPr="00DD593F">
          <w:rPr>
            <w:rStyle w:val="Hyperlink"/>
            <w:lang w:val="en-GB"/>
          </w:rPr>
          <w:t xml:space="preserve"> 2</w:t>
        </w:r>
      </w:hyperlink>
      <w:r w:rsidR="0018621C" w:rsidRPr="00DD593F">
        <w:rPr>
          <w:lang w:val="en-GB"/>
        </w:rPr>
        <w:t xml:space="preserve"> – </w:t>
      </w:r>
      <w:r w:rsidR="007D68A3" w:rsidRPr="00DD593F">
        <w:rPr>
          <w:lang w:val="en-GB"/>
        </w:rPr>
        <w:t>Draft Resolution: Agenda of the World Radiocommunication Conference (WRC-23)</w:t>
      </w:r>
    </w:p>
    <w:p w14:paraId="112FEF24" w14:textId="53F3E5DC" w:rsidR="008F6BC3" w:rsidRPr="00DD593F" w:rsidRDefault="00B969F0" w:rsidP="007D68A3">
      <w:pPr>
        <w:tabs>
          <w:tab w:val="clear" w:pos="794"/>
          <w:tab w:val="clear" w:pos="1191"/>
          <w:tab w:val="clear" w:pos="1588"/>
          <w:tab w:val="clear" w:pos="1985"/>
        </w:tabs>
        <w:overflowPunct/>
        <w:autoSpaceDE/>
        <w:autoSpaceDN/>
        <w:adjustRightInd/>
        <w:spacing w:before="0" w:line="240" w:lineRule="auto"/>
        <w:ind w:right="-567"/>
        <w:jc w:val="left"/>
        <w:textAlignment w:val="auto"/>
        <w:rPr>
          <w:lang w:val="en-GB"/>
        </w:rPr>
      </w:pPr>
      <w:hyperlink w:anchor="annex3" w:history="1">
        <w:r w:rsidR="008F6BC3" w:rsidRPr="00DD593F">
          <w:rPr>
            <w:rStyle w:val="Hyperlink"/>
            <w:lang w:val="en-GB"/>
          </w:rPr>
          <w:t>Annex 3</w:t>
        </w:r>
      </w:hyperlink>
      <w:r w:rsidR="007D68A3" w:rsidRPr="00DD593F">
        <w:rPr>
          <w:lang w:val="en-GB"/>
        </w:rPr>
        <w:t xml:space="preserve"> –</w:t>
      </w:r>
      <w:r w:rsidR="008F6BC3" w:rsidRPr="00DD593F">
        <w:rPr>
          <w:lang w:val="en-GB"/>
        </w:rPr>
        <w:t xml:space="preserve"> </w:t>
      </w:r>
      <w:r w:rsidR="007D68A3" w:rsidRPr="00DD593F">
        <w:rPr>
          <w:lang w:val="en-GB"/>
        </w:rPr>
        <w:t>Decision 482 (Modif</w:t>
      </w:r>
      <w:r w:rsidR="00DD593F">
        <w:rPr>
          <w:lang w:val="en-GB"/>
        </w:rPr>
        <w:t>i</w:t>
      </w:r>
      <w:r w:rsidR="007D68A3" w:rsidRPr="00DD593F">
        <w:rPr>
          <w:lang w:val="en-GB"/>
        </w:rPr>
        <w:t>ed 2020): Implementation of cost recovery for satellite network filings</w:t>
      </w:r>
    </w:p>
    <w:p w14:paraId="06C10213" w14:textId="14A393FD" w:rsidR="00F34DAB" w:rsidRPr="00DD593F" w:rsidRDefault="00B969F0" w:rsidP="009C4CAA">
      <w:pPr>
        <w:tabs>
          <w:tab w:val="clear" w:pos="794"/>
          <w:tab w:val="clear" w:pos="1191"/>
          <w:tab w:val="clear" w:pos="1588"/>
          <w:tab w:val="clear" w:pos="1985"/>
        </w:tabs>
        <w:overflowPunct/>
        <w:autoSpaceDE/>
        <w:autoSpaceDN/>
        <w:adjustRightInd/>
        <w:spacing w:before="0" w:line="240" w:lineRule="auto"/>
        <w:ind w:right="-567"/>
        <w:jc w:val="left"/>
        <w:textAlignment w:val="auto"/>
        <w:rPr>
          <w:rFonts w:eastAsia="Times New Roman" w:cs="Times New Roman"/>
          <w:b/>
          <w:bCs/>
          <w:caps/>
          <w:sz w:val="24"/>
          <w:szCs w:val="24"/>
          <w:lang w:val="en-GB"/>
        </w:rPr>
      </w:pPr>
      <w:hyperlink w:anchor="annex4" w:history="1">
        <w:r w:rsidR="008F6BC3" w:rsidRPr="00DD593F">
          <w:rPr>
            <w:rStyle w:val="Hyperlink"/>
            <w:lang w:val="en-GB"/>
          </w:rPr>
          <w:t>Annex 4</w:t>
        </w:r>
      </w:hyperlink>
      <w:r w:rsidR="007D68A3" w:rsidRPr="00DD593F">
        <w:rPr>
          <w:lang w:val="en-GB"/>
        </w:rPr>
        <w:t xml:space="preserve"> – Draft Decision: Dates and duration of the 2021, 2022, 2023, 2024, 2025, and 2026 sessions of the Council, along with the clusters of Council Working Groups and Expert Groups for 2020, 2021, and 2022</w:t>
      </w:r>
    </w:p>
    <w:p w14:paraId="00C6A205" w14:textId="77777777" w:rsidR="001C1439" w:rsidRPr="00DD593F" w:rsidRDefault="001C1439" w:rsidP="006177D3">
      <w:pPr>
        <w:pStyle w:val="AnnexNo"/>
        <w:rPr>
          <w:b/>
          <w:bCs/>
          <w:sz w:val="24"/>
          <w:szCs w:val="24"/>
        </w:rPr>
        <w:sectPr w:rsidR="001C1439" w:rsidRPr="00DD593F" w:rsidSect="00235A29">
          <w:headerReference w:type="even" r:id="rId16"/>
          <w:headerReference w:type="default" r:id="rId17"/>
          <w:headerReference w:type="first" r:id="rId18"/>
          <w:footerReference w:type="first" r:id="rId19"/>
          <w:pgSz w:w="11907" w:h="16834" w:code="9"/>
          <w:pgMar w:top="1134" w:right="1134" w:bottom="1134" w:left="1134" w:header="567" w:footer="567" w:gutter="0"/>
          <w:paperSrc w:first="4" w:other="4"/>
          <w:cols w:space="720"/>
          <w:titlePg/>
        </w:sectPr>
      </w:pPr>
    </w:p>
    <w:p w14:paraId="3E6431EF" w14:textId="029D5BFD" w:rsidR="00A44165" w:rsidRPr="002B71DE" w:rsidRDefault="00196BDD" w:rsidP="00204C2B">
      <w:pPr>
        <w:spacing w:before="0" w:line="240" w:lineRule="auto"/>
        <w:ind w:left="142"/>
        <w:jc w:val="center"/>
        <w:rPr>
          <w:b/>
          <w:bCs/>
          <w:color w:val="000000" w:themeColor="text1"/>
          <w:sz w:val="28"/>
          <w:szCs w:val="28"/>
        </w:rPr>
      </w:pPr>
      <w:bookmarkStart w:id="5" w:name="annex1"/>
      <w:bookmarkEnd w:id="5"/>
      <w:r w:rsidRPr="002B71DE">
        <w:rPr>
          <w:b/>
          <w:bCs/>
          <w:color w:val="000000" w:themeColor="text1"/>
          <w:sz w:val="28"/>
          <w:szCs w:val="28"/>
        </w:rPr>
        <w:lastRenderedPageBreak/>
        <w:t>A</w:t>
      </w:r>
      <w:r w:rsidR="00204C2B">
        <w:rPr>
          <w:b/>
          <w:bCs/>
          <w:color w:val="000000" w:themeColor="text1"/>
          <w:sz w:val="28"/>
          <w:szCs w:val="28"/>
        </w:rPr>
        <w:t>NNEX</w:t>
      </w:r>
      <w:r w:rsidR="00A44165" w:rsidRPr="002B71DE">
        <w:rPr>
          <w:b/>
          <w:bCs/>
          <w:color w:val="000000" w:themeColor="text1"/>
          <w:sz w:val="28"/>
          <w:szCs w:val="28"/>
        </w:rPr>
        <w:t xml:space="preserve"> 1</w:t>
      </w:r>
    </w:p>
    <w:p w14:paraId="24DC7F16" w14:textId="6F61CD37" w:rsidR="00A44165" w:rsidRPr="007D68A3" w:rsidRDefault="00A44165" w:rsidP="00A44165">
      <w:pPr>
        <w:spacing w:before="240" w:line="240" w:lineRule="auto"/>
        <w:ind w:left="142"/>
        <w:jc w:val="center"/>
        <w:rPr>
          <w:b/>
          <w:bCs/>
          <w:color w:val="000000" w:themeColor="text1"/>
          <w:sz w:val="28"/>
          <w:szCs w:val="28"/>
        </w:rPr>
      </w:pPr>
      <w:r w:rsidRPr="007D68A3">
        <w:rPr>
          <w:rFonts w:cs="Arial"/>
          <w:b/>
          <w:bCs/>
          <w:color w:val="000000" w:themeColor="text1"/>
          <w:sz w:val="28"/>
          <w:szCs w:val="28"/>
        </w:rPr>
        <w:t xml:space="preserve">Consultation on </w:t>
      </w:r>
      <w:r w:rsidRPr="007D68A3">
        <w:rPr>
          <w:rFonts w:cs="Arial"/>
          <w:b/>
          <w:bCs/>
          <w:color w:val="000000" w:themeColor="text1"/>
          <w:sz w:val="28"/>
          <w:szCs w:val="28"/>
        </w:rPr>
        <w:br/>
        <w:t>outcomes of di</w:t>
      </w:r>
      <w:r w:rsidR="0083274A" w:rsidRPr="007D68A3">
        <w:rPr>
          <w:rFonts w:cs="Arial"/>
          <w:b/>
          <w:bCs/>
          <w:color w:val="000000" w:themeColor="text1"/>
          <w:sz w:val="28"/>
          <w:szCs w:val="28"/>
        </w:rPr>
        <w:t>s</w:t>
      </w:r>
      <w:r w:rsidRPr="007D68A3">
        <w:rPr>
          <w:rFonts w:cs="Arial"/>
          <w:b/>
          <w:bCs/>
          <w:color w:val="000000" w:themeColor="text1"/>
          <w:sz w:val="28"/>
          <w:szCs w:val="28"/>
        </w:rPr>
        <w:t>cussions of the Virtual consultation of councillors, 9-12 June</w:t>
      </w:r>
    </w:p>
    <w:p w14:paraId="3A042517" w14:textId="38C00CF2" w:rsidR="00A44165" w:rsidRPr="0086733F" w:rsidRDefault="00A44165" w:rsidP="00802150">
      <w:pPr>
        <w:tabs>
          <w:tab w:val="clear" w:pos="794"/>
          <w:tab w:val="clear" w:pos="1191"/>
          <w:tab w:val="clear" w:pos="1588"/>
          <w:tab w:val="clear" w:pos="1985"/>
          <w:tab w:val="right" w:leader="dot" w:pos="9072"/>
        </w:tabs>
        <w:spacing w:before="360" w:after="120" w:line="240" w:lineRule="auto"/>
        <w:ind w:left="-454"/>
        <w:jc w:val="left"/>
        <w:rPr>
          <w:b/>
          <w:bCs/>
          <w:color w:val="000000" w:themeColor="text1"/>
          <w:sz w:val="26"/>
          <w:szCs w:val="26"/>
        </w:rPr>
      </w:pPr>
      <w:r w:rsidRPr="0086733F">
        <w:rPr>
          <w:b/>
          <w:bCs/>
          <w:color w:val="000000" w:themeColor="text1"/>
          <w:sz w:val="26"/>
          <w:szCs w:val="26"/>
        </w:rPr>
        <w:t xml:space="preserve">Name of </w:t>
      </w:r>
      <w:r w:rsidR="00E951F7">
        <w:rPr>
          <w:b/>
          <w:bCs/>
          <w:color w:val="000000" w:themeColor="text1"/>
          <w:sz w:val="26"/>
          <w:szCs w:val="26"/>
        </w:rPr>
        <w:t xml:space="preserve">the </w:t>
      </w:r>
      <w:r w:rsidRPr="0086733F">
        <w:rPr>
          <w:b/>
          <w:bCs/>
          <w:color w:val="000000" w:themeColor="text1"/>
          <w:sz w:val="26"/>
          <w:szCs w:val="26"/>
        </w:rPr>
        <w:t>Member State</w:t>
      </w:r>
      <w:r w:rsidR="000E0B83">
        <w:rPr>
          <w:b/>
          <w:bCs/>
          <w:color w:val="000000" w:themeColor="text1"/>
          <w:sz w:val="26"/>
          <w:szCs w:val="26"/>
        </w:rPr>
        <w:t xml:space="preserve"> of </w:t>
      </w:r>
      <w:r w:rsidR="00E951F7">
        <w:rPr>
          <w:b/>
          <w:bCs/>
          <w:color w:val="000000" w:themeColor="text1"/>
          <w:sz w:val="26"/>
          <w:szCs w:val="26"/>
        </w:rPr>
        <w:t xml:space="preserve">the </w:t>
      </w:r>
      <w:r w:rsidR="000E0B83">
        <w:rPr>
          <w:b/>
          <w:bCs/>
          <w:color w:val="000000" w:themeColor="text1"/>
          <w:sz w:val="26"/>
          <w:szCs w:val="26"/>
        </w:rPr>
        <w:t>Council</w:t>
      </w:r>
      <w:r w:rsidRPr="0086733F">
        <w:rPr>
          <w:b/>
          <w:bCs/>
          <w:color w:val="000000" w:themeColor="text1"/>
          <w:sz w:val="26"/>
          <w:szCs w:val="26"/>
        </w:rPr>
        <w:t xml:space="preserve">: </w:t>
      </w:r>
    </w:p>
    <w:tbl>
      <w:tblPr>
        <w:tblStyle w:val="TableGrid"/>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6"/>
      </w:tblGrid>
      <w:tr w:rsidR="00A44165" w14:paraId="13AEAF45" w14:textId="77777777" w:rsidTr="007276E7">
        <w:trPr>
          <w:trHeight w:val="510"/>
        </w:trPr>
        <w:tc>
          <w:tcPr>
            <w:tcW w:w="10916" w:type="dxa"/>
            <w:vAlign w:val="center"/>
          </w:tcPr>
          <w:p w14:paraId="4C0FC2BD" w14:textId="77777777" w:rsidR="00A44165" w:rsidRDefault="00A44165" w:rsidP="007276E7">
            <w:pPr>
              <w:spacing w:before="0" w:line="240" w:lineRule="auto"/>
              <w:jc w:val="left"/>
              <w:rPr>
                <w:b/>
                <w:bCs/>
                <w:color w:val="000000" w:themeColor="text1"/>
                <w:sz w:val="20"/>
                <w:szCs w:val="20"/>
              </w:rPr>
            </w:pPr>
          </w:p>
        </w:tc>
      </w:tr>
    </w:tbl>
    <w:p w14:paraId="0B4E8E14" w14:textId="77777777" w:rsidR="00D00B69" w:rsidRPr="00DE2DB7" w:rsidRDefault="00D00B69" w:rsidP="00204C2B">
      <w:pPr>
        <w:spacing w:before="0" w:line="240" w:lineRule="auto"/>
        <w:ind w:left="142" w:right="567"/>
        <w:rPr>
          <w:rFonts w:ascii="Calibri Light" w:hAnsi="Calibri Light" w:cs="Calibri Light"/>
          <w:color w:val="000000" w:themeColor="text1"/>
          <w:sz w:val="24"/>
          <w:szCs w:val="24"/>
        </w:rPr>
      </w:pPr>
    </w:p>
    <w:tbl>
      <w:tblPr>
        <w:tblStyle w:val="TableGrid"/>
        <w:tblW w:w="10916" w:type="dxa"/>
        <w:tblInd w:w="-431" w:type="dxa"/>
        <w:tblLook w:val="04A0" w:firstRow="1" w:lastRow="0" w:firstColumn="1" w:lastColumn="0" w:noHBand="0" w:noVBand="1"/>
      </w:tblPr>
      <w:tblGrid>
        <w:gridCol w:w="4201"/>
        <w:gridCol w:w="1494"/>
        <w:gridCol w:w="3810"/>
        <w:gridCol w:w="702"/>
        <w:gridCol w:w="709"/>
      </w:tblGrid>
      <w:tr w:rsidR="008C2F69" w14:paraId="50438054" w14:textId="77777777" w:rsidTr="00802150">
        <w:tc>
          <w:tcPr>
            <w:tcW w:w="4201" w:type="dxa"/>
            <w:vAlign w:val="center"/>
          </w:tcPr>
          <w:p w14:paraId="5FAD478A" w14:textId="77777777" w:rsidR="008C2F69" w:rsidRPr="0095403A" w:rsidRDefault="008C2F69" w:rsidP="00802150">
            <w:pPr>
              <w:spacing w:before="0"/>
              <w:jc w:val="center"/>
              <w:rPr>
                <w:b/>
                <w:bCs/>
              </w:rPr>
            </w:pPr>
            <w:r w:rsidRPr="0095403A">
              <w:rPr>
                <w:b/>
                <w:bCs/>
              </w:rPr>
              <w:t>Subject</w:t>
            </w:r>
          </w:p>
        </w:tc>
        <w:tc>
          <w:tcPr>
            <w:tcW w:w="1494" w:type="dxa"/>
            <w:vAlign w:val="center"/>
          </w:tcPr>
          <w:p w14:paraId="159E74C4" w14:textId="04176920" w:rsidR="008C2F69" w:rsidRPr="00802150" w:rsidRDefault="008C2F69" w:rsidP="00802150">
            <w:pPr>
              <w:spacing w:before="0"/>
              <w:jc w:val="center"/>
              <w:rPr>
                <w:b/>
                <w:bCs/>
                <w:sz w:val="20"/>
                <w:szCs w:val="20"/>
              </w:rPr>
            </w:pPr>
            <w:r w:rsidRPr="00802150">
              <w:rPr>
                <w:b/>
                <w:bCs/>
                <w:sz w:val="20"/>
                <w:szCs w:val="20"/>
              </w:rPr>
              <w:t xml:space="preserve">Reference document </w:t>
            </w:r>
            <w:r w:rsidR="00802150" w:rsidRPr="00802150">
              <w:rPr>
                <w:b/>
                <w:bCs/>
                <w:sz w:val="20"/>
                <w:szCs w:val="20"/>
              </w:rPr>
              <w:t>N</w:t>
            </w:r>
            <w:r w:rsidRPr="00802150">
              <w:rPr>
                <w:b/>
                <w:bCs/>
                <w:sz w:val="20"/>
                <w:szCs w:val="20"/>
              </w:rPr>
              <w:t>o.</w:t>
            </w:r>
          </w:p>
        </w:tc>
        <w:tc>
          <w:tcPr>
            <w:tcW w:w="3810" w:type="dxa"/>
            <w:vAlign w:val="center"/>
          </w:tcPr>
          <w:p w14:paraId="7AF251CD" w14:textId="77777777" w:rsidR="008C2F69" w:rsidRPr="0095403A" w:rsidRDefault="008C2F69" w:rsidP="00802150">
            <w:pPr>
              <w:spacing w:before="0"/>
              <w:jc w:val="center"/>
              <w:rPr>
                <w:b/>
                <w:bCs/>
              </w:rPr>
            </w:pPr>
            <w:r w:rsidRPr="0095403A">
              <w:rPr>
                <w:b/>
                <w:bCs/>
              </w:rPr>
              <w:t>Proposal</w:t>
            </w:r>
          </w:p>
        </w:tc>
        <w:tc>
          <w:tcPr>
            <w:tcW w:w="702" w:type="dxa"/>
            <w:vAlign w:val="center"/>
          </w:tcPr>
          <w:p w14:paraId="3D391411" w14:textId="77777777" w:rsidR="008C2F69" w:rsidRPr="0095403A" w:rsidRDefault="008C2F69" w:rsidP="00802150">
            <w:pPr>
              <w:spacing w:before="0"/>
              <w:jc w:val="center"/>
              <w:rPr>
                <w:b/>
                <w:bCs/>
              </w:rPr>
            </w:pPr>
            <w:r w:rsidRPr="0095403A">
              <w:rPr>
                <w:b/>
                <w:bCs/>
              </w:rPr>
              <w:t>Yes</w:t>
            </w:r>
          </w:p>
        </w:tc>
        <w:tc>
          <w:tcPr>
            <w:tcW w:w="709" w:type="dxa"/>
            <w:vAlign w:val="center"/>
          </w:tcPr>
          <w:p w14:paraId="51C3ADE9" w14:textId="77777777" w:rsidR="008C2F69" w:rsidRPr="0095403A" w:rsidRDefault="008C2F69" w:rsidP="00802150">
            <w:pPr>
              <w:spacing w:before="0"/>
              <w:jc w:val="center"/>
              <w:rPr>
                <w:b/>
                <w:bCs/>
              </w:rPr>
            </w:pPr>
            <w:r w:rsidRPr="0095403A">
              <w:rPr>
                <w:b/>
                <w:bCs/>
              </w:rPr>
              <w:t>No</w:t>
            </w:r>
          </w:p>
        </w:tc>
      </w:tr>
      <w:tr w:rsidR="008C2F69" w:rsidRPr="00204C2B" w14:paraId="6513E6F2" w14:textId="77777777" w:rsidTr="00802150">
        <w:tc>
          <w:tcPr>
            <w:tcW w:w="4201" w:type="dxa"/>
            <w:vAlign w:val="center"/>
          </w:tcPr>
          <w:p w14:paraId="489EF839" w14:textId="77777777" w:rsidR="008C2F69" w:rsidRPr="00204C2B" w:rsidRDefault="008C2F69" w:rsidP="00802150">
            <w:pPr>
              <w:spacing w:before="0"/>
              <w:contextualSpacing/>
              <w:jc w:val="left"/>
              <w:rPr>
                <w:bCs/>
              </w:rPr>
            </w:pPr>
            <w:r w:rsidRPr="00204C2B">
              <w:rPr>
                <w:bCs/>
              </w:rPr>
              <w:t>Preparations for WTSA-20</w:t>
            </w:r>
          </w:p>
        </w:tc>
        <w:tc>
          <w:tcPr>
            <w:tcW w:w="1494" w:type="dxa"/>
            <w:vAlign w:val="center"/>
          </w:tcPr>
          <w:p w14:paraId="15A57727" w14:textId="77777777" w:rsidR="008C2F69" w:rsidRPr="00204C2B" w:rsidRDefault="00B969F0" w:rsidP="00802150">
            <w:pPr>
              <w:spacing w:before="0"/>
              <w:contextualSpacing/>
              <w:jc w:val="center"/>
            </w:pPr>
            <w:hyperlink r:id="rId20" w:history="1">
              <w:r w:rsidR="008C2F69" w:rsidRPr="00204C2B">
                <w:rPr>
                  <w:rStyle w:val="Hyperlink"/>
                </w:rPr>
                <w:t>C20/24</w:t>
              </w:r>
            </w:hyperlink>
          </w:p>
          <w:p w14:paraId="07D8E1D9" w14:textId="77777777" w:rsidR="008C2F69" w:rsidRPr="00204C2B" w:rsidRDefault="00B969F0" w:rsidP="00802150">
            <w:pPr>
              <w:spacing w:before="0"/>
              <w:contextualSpacing/>
              <w:jc w:val="center"/>
            </w:pPr>
            <w:hyperlink r:id="rId21" w:history="1">
              <w:r w:rsidR="008C2F69" w:rsidRPr="00204C2B">
                <w:rPr>
                  <w:rStyle w:val="Hyperlink"/>
                </w:rPr>
                <w:t>VC/5</w:t>
              </w:r>
            </w:hyperlink>
          </w:p>
        </w:tc>
        <w:tc>
          <w:tcPr>
            <w:tcW w:w="3810" w:type="dxa"/>
          </w:tcPr>
          <w:p w14:paraId="265CEAAB" w14:textId="77777777" w:rsidR="008C2F69" w:rsidRPr="00204C2B" w:rsidRDefault="008C2F69" w:rsidP="00802150">
            <w:pPr>
              <w:spacing w:before="40" w:after="40"/>
            </w:pPr>
            <w:r w:rsidRPr="00204C2B">
              <w:t>Approve the change of date of WTSA-20 to 23 February-5 March 2021</w:t>
            </w:r>
          </w:p>
        </w:tc>
        <w:tc>
          <w:tcPr>
            <w:tcW w:w="702" w:type="dxa"/>
            <w:vAlign w:val="center"/>
          </w:tcPr>
          <w:p w14:paraId="55A37BBC" w14:textId="77777777" w:rsidR="008C2F69" w:rsidRPr="00204C2B" w:rsidRDefault="008C2F69" w:rsidP="002B71DE">
            <w:pPr>
              <w:spacing w:before="0"/>
              <w:contextualSpacing/>
              <w:jc w:val="center"/>
            </w:pPr>
          </w:p>
        </w:tc>
        <w:tc>
          <w:tcPr>
            <w:tcW w:w="709" w:type="dxa"/>
            <w:vAlign w:val="center"/>
          </w:tcPr>
          <w:p w14:paraId="7BCEBE6C" w14:textId="77777777" w:rsidR="008C2F69" w:rsidRPr="00204C2B" w:rsidRDefault="008C2F69" w:rsidP="002B71DE">
            <w:pPr>
              <w:spacing w:before="0"/>
              <w:contextualSpacing/>
              <w:jc w:val="center"/>
            </w:pPr>
          </w:p>
        </w:tc>
      </w:tr>
      <w:tr w:rsidR="008C2F69" w:rsidRPr="00204C2B" w14:paraId="6AA21183" w14:textId="77777777" w:rsidTr="00802150">
        <w:tc>
          <w:tcPr>
            <w:tcW w:w="4201" w:type="dxa"/>
            <w:vAlign w:val="center"/>
          </w:tcPr>
          <w:p w14:paraId="3A80CD5A" w14:textId="77777777" w:rsidR="008C2F69" w:rsidRPr="00204C2B" w:rsidRDefault="008C2F69" w:rsidP="00802150">
            <w:pPr>
              <w:spacing w:before="0"/>
              <w:contextualSpacing/>
              <w:jc w:val="left"/>
            </w:pPr>
            <w:r w:rsidRPr="00204C2B">
              <w:rPr>
                <w:bCs/>
              </w:rPr>
              <w:t>World Radiocommunication Conference 2023</w:t>
            </w:r>
          </w:p>
        </w:tc>
        <w:tc>
          <w:tcPr>
            <w:tcW w:w="1494" w:type="dxa"/>
          </w:tcPr>
          <w:p w14:paraId="7A52D18E" w14:textId="77777777" w:rsidR="008C2F69" w:rsidRPr="00204C2B" w:rsidRDefault="00B969F0" w:rsidP="00802150">
            <w:pPr>
              <w:jc w:val="center"/>
            </w:pPr>
            <w:hyperlink r:id="rId22" w:history="1">
              <w:r w:rsidR="008C2F69" w:rsidRPr="00204C2B">
                <w:rPr>
                  <w:rStyle w:val="Hyperlink"/>
                  <w:bCs/>
                </w:rPr>
                <w:t>C20/55</w:t>
              </w:r>
            </w:hyperlink>
          </w:p>
        </w:tc>
        <w:tc>
          <w:tcPr>
            <w:tcW w:w="3810" w:type="dxa"/>
          </w:tcPr>
          <w:p w14:paraId="563E28F3" w14:textId="1523BEEC" w:rsidR="008C2F69" w:rsidRPr="00204C2B" w:rsidRDefault="008C2F69" w:rsidP="00802150">
            <w:pPr>
              <w:spacing w:before="40" w:after="40"/>
            </w:pPr>
            <w:r w:rsidRPr="00204C2B">
              <w:t xml:space="preserve">Approve the agenda for WRC-23 by adopting the Resolution in Annex </w:t>
            </w:r>
            <w:r w:rsidR="002B71DE" w:rsidRPr="00204C2B">
              <w:t>2</w:t>
            </w:r>
            <w:r w:rsidRPr="00204C2B">
              <w:t>.</w:t>
            </w:r>
          </w:p>
        </w:tc>
        <w:tc>
          <w:tcPr>
            <w:tcW w:w="702" w:type="dxa"/>
            <w:vAlign w:val="center"/>
          </w:tcPr>
          <w:p w14:paraId="29B5CF91" w14:textId="77777777" w:rsidR="008C2F69" w:rsidRPr="00204C2B" w:rsidRDefault="008C2F69" w:rsidP="002B71DE">
            <w:pPr>
              <w:spacing w:before="0"/>
              <w:contextualSpacing/>
              <w:jc w:val="center"/>
            </w:pPr>
          </w:p>
        </w:tc>
        <w:tc>
          <w:tcPr>
            <w:tcW w:w="709" w:type="dxa"/>
            <w:vAlign w:val="center"/>
          </w:tcPr>
          <w:p w14:paraId="3EE8A69F" w14:textId="77777777" w:rsidR="008C2F69" w:rsidRPr="00204C2B" w:rsidRDefault="008C2F69" w:rsidP="002B71DE">
            <w:pPr>
              <w:spacing w:before="0"/>
              <w:contextualSpacing/>
              <w:jc w:val="center"/>
            </w:pPr>
          </w:p>
        </w:tc>
      </w:tr>
      <w:tr w:rsidR="008C2F69" w:rsidRPr="00204C2B" w14:paraId="624933A7" w14:textId="2B3B8F8F" w:rsidTr="00802150">
        <w:tc>
          <w:tcPr>
            <w:tcW w:w="4201" w:type="dxa"/>
            <w:vAlign w:val="center"/>
          </w:tcPr>
          <w:p w14:paraId="6A8D8EE5" w14:textId="2EEBB483" w:rsidR="008C2F69" w:rsidRPr="00204C2B" w:rsidRDefault="008C2F69" w:rsidP="00802150">
            <w:pPr>
              <w:spacing w:before="0"/>
              <w:contextualSpacing/>
              <w:jc w:val="left"/>
            </w:pPr>
            <w:r w:rsidRPr="00204C2B">
              <w:rPr>
                <w:bCs/>
              </w:rPr>
              <w:t>Cost Recovery for the processing of Satellite network Filings (D 482(MOD))</w:t>
            </w:r>
          </w:p>
        </w:tc>
        <w:tc>
          <w:tcPr>
            <w:tcW w:w="1494" w:type="dxa"/>
            <w:vAlign w:val="center"/>
          </w:tcPr>
          <w:p w14:paraId="54C2ED12" w14:textId="77777777" w:rsidR="008C2F69" w:rsidRPr="00204C2B" w:rsidRDefault="00B969F0" w:rsidP="00802150">
            <w:pPr>
              <w:spacing w:before="0"/>
              <w:contextualSpacing/>
              <w:jc w:val="center"/>
              <w:rPr>
                <w:rStyle w:val="Hyperlink"/>
                <w:bCs/>
              </w:rPr>
            </w:pPr>
            <w:hyperlink r:id="rId23" w:history="1">
              <w:r w:rsidR="008C2F69" w:rsidRPr="00204C2B">
                <w:rPr>
                  <w:rStyle w:val="Hyperlink"/>
                  <w:bCs/>
                </w:rPr>
                <w:t>C20/16</w:t>
              </w:r>
            </w:hyperlink>
          </w:p>
          <w:p w14:paraId="53AFD63C" w14:textId="0B8BB935" w:rsidR="008C2F69" w:rsidRPr="00204C2B" w:rsidRDefault="00B969F0" w:rsidP="00802150">
            <w:pPr>
              <w:spacing w:before="0"/>
              <w:contextualSpacing/>
              <w:jc w:val="center"/>
            </w:pPr>
            <w:hyperlink r:id="rId24" w:history="1">
              <w:r w:rsidR="008C2F69" w:rsidRPr="00204C2B">
                <w:rPr>
                  <w:rStyle w:val="Hyperlink"/>
                  <w:bCs/>
                </w:rPr>
                <w:t>DT/2</w:t>
              </w:r>
            </w:hyperlink>
          </w:p>
        </w:tc>
        <w:tc>
          <w:tcPr>
            <w:tcW w:w="3810" w:type="dxa"/>
            <w:vAlign w:val="center"/>
          </w:tcPr>
          <w:p w14:paraId="1BBA9CFB" w14:textId="1DA4A6C8" w:rsidR="008C2F69" w:rsidRPr="00204C2B" w:rsidRDefault="008C2F69" w:rsidP="00802150">
            <w:pPr>
              <w:spacing w:before="40" w:after="40"/>
              <w:jc w:val="left"/>
            </w:pPr>
            <w:r w:rsidRPr="00204C2B">
              <w:t>Approve the draft modified Decision 482 contained in Annex</w:t>
            </w:r>
            <w:r w:rsidR="002B71DE" w:rsidRPr="00204C2B">
              <w:t> 3</w:t>
            </w:r>
            <w:r w:rsidRPr="00204C2B">
              <w:t>.</w:t>
            </w:r>
          </w:p>
        </w:tc>
        <w:tc>
          <w:tcPr>
            <w:tcW w:w="702" w:type="dxa"/>
            <w:vAlign w:val="center"/>
          </w:tcPr>
          <w:p w14:paraId="61251336" w14:textId="77777777" w:rsidR="008C2F69" w:rsidRPr="00204C2B" w:rsidRDefault="008C2F69" w:rsidP="002B71DE">
            <w:pPr>
              <w:spacing w:before="0"/>
              <w:contextualSpacing/>
              <w:jc w:val="center"/>
            </w:pPr>
          </w:p>
        </w:tc>
        <w:tc>
          <w:tcPr>
            <w:tcW w:w="709" w:type="dxa"/>
            <w:vAlign w:val="center"/>
          </w:tcPr>
          <w:p w14:paraId="665EEA23" w14:textId="77777777" w:rsidR="008C2F69" w:rsidRPr="00204C2B" w:rsidRDefault="008C2F69" w:rsidP="002B71DE">
            <w:pPr>
              <w:spacing w:before="0"/>
              <w:contextualSpacing/>
              <w:jc w:val="center"/>
            </w:pPr>
          </w:p>
        </w:tc>
      </w:tr>
      <w:tr w:rsidR="008C2F69" w:rsidRPr="00204C2B" w14:paraId="2E7773DB" w14:textId="26A1FE86" w:rsidTr="00802150">
        <w:tc>
          <w:tcPr>
            <w:tcW w:w="4201" w:type="dxa"/>
            <w:vMerge w:val="restart"/>
            <w:vAlign w:val="center"/>
          </w:tcPr>
          <w:p w14:paraId="2D4F7FEF" w14:textId="10C20540" w:rsidR="008C2F69" w:rsidRPr="00204C2B" w:rsidRDefault="008C2F69" w:rsidP="00802150">
            <w:pPr>
              <w:spacing w:before="0"/>
              <w:contextualSpacing/>
              <w:jc w:val="left"/>
            </w:pPr>
            <w:r w:rsidRPr="00204C2B">
              <w:rPr>
                <w:bCs/>
              </w:rPr>
              <w:t>Report on RA-19 and WRC-19 (implementation of Res. 559)</w:t>
            </w:r>
          </w:p>
        </w:tc>
        <w:tc>
          <w:tcPr>
            <w:tcW w:w="1494" w:type="dxa"/>
            <w:vMerge w:val="restart"/>
            <w:vAlign w:val="center"/>
          </w:tcPr>
          <w:p w14:paraId="7B71C6F9" w14:textId="77777777" w:rsidR="008C2F69" w:rsidRPr="00204C2B" w:rsidRDefault="00B969F0" w:rsidP="00802150">
            <w:pPr>
              <w:spacing w:before="0"/>
              <w:contextualSpacing/>
              <w:jc w:val="center"/>
            </w:pPr>
            <w:hyperlink r:id="rId25" w:history="1">
              <w:r w:rsidR="008C2F69" w:rsidRPr="00204C2B">
                <w:rPr>
                  <w:rStyle w:val="Hyperlink"/>
                </w:rPr>
                <w:t>C20/27</w:t>
              </w:r>
            </w:hyperlink>
          </w:p>
          <w:p w14:paraId="56EB3DFC" w14:textId="77777777" w:rsidR="008C2F69" w:rsidRPr="00204C2B" w:rsidRDefault="00B969F0" w:rsidP="00802150">
            <w:pPr>
              <w:spacing w:before="0"/>
              <w:contextualSpacing/>
              <w:jc w:val="center"/>
            </w:pPr>
            <w:hyperlink r:id="rId26" w:history="1">
              <w:r w:rsidR="008C2F69" w:rsidRPr="00204C2B">
                <w:rPr>
                  <w:rStyle w:val="Hyperlink"/>
                </w:rPr>
                <w:t>VC/11</w:t>
              </w:r>
            </w:hyperlink>
          </w:p>
          <w:p w14:paraId="5DEBCDBD" w14:textId="19B5CC62" w:rsidR="008C2F69" w:rsidRPr="00204C2B" w:rsidRDefault="00B969F0" w:rsidP="00802150">
            <w:pPr>
              <w:spacing w:before="0"/>
              <w:contextualSpacing/>
              <w:jc w:val="center"/>
            </w:pPr>
            <w:hyperlink r:id="rId27" w:history="1">
              <w:r w:rsidR="008C2F69" w:rsidRPr="00204C2B">
                <w:rPr>
                  <w:rStyle w:val="Hyperlink"/>
                </w:rPr>
                <w:t>VC/9</w:t>
              </w:r>
            </w:hyperlink>
          </w:p>
        </w:tc>
        <w:tc>
          <w:tcPr>
            <w:tcW w:w="3810" w:type="dxa"/>
          </w:tcPr>
          <w:p w14:paraId="3A40A44D" w14:textId="78F3A684" w:rsidR="008C2F69" w:rsidRPr="00204C2B" w:rsidRDefault="008C2F69" w:rsidP="00802150">
            <w:pPr>
              <w:spacing w:before="60" w:after="60"/>
            </w:pPr>
            <w:r w:rsidRPr="00204C2B">
              <w:t>Support the request made in VC/11.</w:t>
            </w:r>
          </w:p>
        </w:tc>
        <w:tc>
          <w:tcPr>
            <w:tcW w:w="702" w:type="dxa"/>
            <w:vAlign w:val="center"/>
          </w:tcPr>
          <w:p w14:paraId="5CEBF33D" w14:textId="77777777" w:rsidR="008C2F69" w:rsidRPr="00204C2B" w:rsidRDefault="008C2F69" w:rsidP="002B71DE">
            <w:pPr>
              <w:spacing w:before="0"/>
              <w:contextualSpacing/>
              <w:jc w:val="center"/>
            </w:pPr>
          </w:p>
        </w:tc>
        <w:tc>
          <w:tcPr>
            <w:tcW w:w="709" w:type="dxa"/>
            <w:vAlign w:val="center"/>
          </w:tcPr>
          <w:p w14:paraId="62DF601F" w14:textId="77777777" w:rsidR="008C2F69" w:rsidRPr="00204C2B" w:rsidRDefault="008C2F69" w:rsidP="002B71DE">
            <w:pPr>
              <w:spacing w:before="0"/>
              <w:contextualSpacing/>
              <w:jc w:val="center"/>
            </w:pPr>
          </w:p>
        </w:tc>
      </w:tr>
      <w:tr w:rsidR="008C2F69" w:rsidRPr="00204C2B" w14:paraId="00B65C93" w14:textId="48192FE3" w:rsidTr="00802150">
        <w:tc>
          <w:tcPr>
            <w:tcW w:w="4201" w:type="dxa"/>
            <w:vMerge/>
            <w:vAlign w:val="center"/>
          </w:tcPr>
          <w:p w14:paraId="37A4764B" w14:textId="77777777" w:rsidR="008C2F69" w:rsidRPr="00204C2B" w:rsidRDefault="008C2F69" w:rsidP="00802150">
            <w:pPr>
              <w:spacing w:before="0"/>
              <w:contextualSpacing/>
              <w:jc w:val="left"/>
            </w:pPr>
          </w:p>
        </w:tc>
        <w:tc>
          <w:tcPr>
            <w:tcW w:w="1494" w:type="dxa"/>
            <w:vMerge/>
            <w:vAlign w:val="center"/>
          </w:tcPr>
          <w:p w14:paraId="3B5AFE01" w14:textId="77777777" w:rsidR="008C2F69" w:rsidRPr="00204C2B" w:rsidRDefault="008C2F69" w:rsidP="00802150">
            <w:pPr>
              <w:jc w:val="center"/>
            </w:pPr>
          </w:p>
        </w:tc>
        <w:tc>
          <w:tcPr>
            <w:tcW w:w="3810" w:type="dxa"/>
            <w:vAlign w:val="center"/>
          </w:tcPr>
          <w:p w14:paraId="2CCF2F47" w14:textId="36481662" w:rsidR="008C2F69" w:rsidRPr="00204C2B" w:rsidRDefault="008C2F69" w:rsidP="009B0AEB">
            <w:pPr>
              <w:spacing w:before="0"/>
              <w:contextualSpacing/>
              <w:jc w:val="left"/>
            </w:pPr>
            <w:r w:rsidRPr="00204C2B">
              <w:t>Support the request made in VC/9.</w:t>
            </w:r>
          </w:p>
        </w:tc>
        <w:tc>
          <w:tcPr>
            <w:tcW w:w="702" w:type="dxa"/>
            <w:vAlign w:val="center"/>
          </w:tcPr>
          <w:p w14:paraId="23557223" w14:textId="77777777" w:rsidR="008C2F69" w:rsidRPr="00204C2B" w:rsidRDefault="008C2F69" w:rsidP="002B71DE">
            <w:pPr>
              <w:spacing w:before="0"/>
              <w:contextualSpacing/>
              <w:jc w:val="center"/>
            </w:pPr>
          </w:p>
        </w:tc>
        <w:tc>
          <w:tcPr>
            <w:tcW w:w="709" w:type="dxa"/>
            <w:vAlign w:val="center"/>
          </w:tcPr>
          <w:p w14:paraId="20087D29" w14:textId="77777777" w:rsidR="008C2F69" w:rsidRPr="00204C2B" w:rsidRDefault="008C2F69" w:rsidP="002B71DE">
            <w:pPr>
              <w:spacing w:before="0"/>
              <w:contextualSpacing/>
              <w:jc w:val="center"/>
            </w:pPr>
          </w:p>
        </w:tc>
      </w:tr>
      <w:tr w:rsidR="008C2F69" w:rsidRPr="00204C2B" w14:paraId="0C6CB827" w14:textId="62DA34BD" w:rsidTr="00802150">
        <w:tc>
          <w:tcPr>
            <w:tcW w:w="4201" w:type="dxa"/>
            <w:vAlign w:val="center"/>
          </w:tcPr>
          <w:p w14:paraId="2DD7BF98" w14:textId="2C321DCE" w:rsidR="008C2F69" w:rsidRPr="00204C2B" w:rsidRDefault="008C2F69" w:rsidP="00802150">
            <w:pPr>
              <w:spacing w:before="60"/>
              <w:jc w:val="left"/>
              <w:rPr>
                <w:bCs/>
              </w:rPr>
            </w:pPr>
            <w:r w:rsidRPr="00204C2B">
              <w:rPr>
                <w:rFonts w:cs="Arial"/>
                <w:spacing w:val="-2"/>
              </w:rPr>
              <w:t xml:space="preserve">Proposed dates and duration of the 2021, 2022, 2023, 2024, 2025, and 2026 sessions of the Council and the CWG clusters for 2020, 2021, and 2022 (Res. 77, 111, D 612) </w:t>
            </w:r>
          </w:p>
        </w:tc>
        <w:tc>
          <w:tcPr>
            <w:tcW w:w="1494" w:type="dxa"/>
          </w:tcPr>
          <w:p w14:paraId="48DE0315" w14:textId="0588407B" w:rsidR="008C2F69" w:rsidRPr="00204C2B" w:rsidRDefault="00B969F0" w:rsidP="00802150">
            <w:pPr>
              <w:spacing w:before="60"/>
              <w:jc w:val="center"/>
            </w:pPr>
            <w:hyperlink r:id="rId28" w:history="1">
              <w:r w:rsidR="008C2F69" w:rsidRPr="00204C2B">
                <w:rPr>
                  <w:rStyle w:val="Hyperlink"/>
                </w:rPr>
                <w:t>C20/2</w:t>
              </w:r>
            </w:hyperlink>
          </w:p>
        </w:tc>
        <w:tc>
          <w:tcPr>
            <w:tcW w:w="3810" w:type="dxa"/>
          </w:tcPr>
          <w:p w14:paraId="082926CE" w14:textId="69B612B6" w:rsidR="008C2F69" w:rsidRPr="00204C2B" w:rsidRDefault="008C2F69" w:rsidP="008C2F69">
            <w:pPr>
              <w:spacing w:before="0"/>
              <w:contextualSpacing/>
            </w:pPr>
            <w:r w:rsidRPr="00204C2B">
              <w:t>Adopt the draft Decision contained in Annex</w:t>
            </w:r>
            <w:r w:rsidR="002B71DE" w:rsidRPr="00204C2B">
              <w:t> 4</w:t>
            </w:r>
            <w:r w:rsidRPr="00204C2B">
              <w:t>.</w:t>
            </w:r>
          </w:p>
        </w:tc>
        <w:tc>
          <w:tcPr>
            <w:tcW w:w="702" w:type="dxa"/>
            <w:vAlign w:val="center"/>
          </w:tcPr>
          <w:p w14:paraId="2DC26F13" w14:textId="77777777" w:rsidR="008C2F69" w:rsidRPr="00204C2B" w:rsidRDefault="008C2F69" w:rsidP="002B71DE">
            <w:pPr>
              <w:spacing w:before="0"/>
              <w:contextualSpacing/>
              <w:jc w:val="center"/>
            </w:pPr>
          </w:p>
        </w:tc>
        <w:tc>
          <w:tcPr>
            <w:tcW w:w="709" w:type="dxa"/>
            <w:vAlign w:val="center"/>
          </w:tcPr>
          <w:p w14:paraId="172BF543" w14:textId="77777777" w:rsidR="008C2F69" w:rsidRPr="00204C2B" w:rsidRDefault="008C2F69" w:rsidP="002B71DE">
            <w:pPr>
              <w:spacing w:before="0"/>
              <w:contextualSpacing/>
              <w:jc w:val="center"/>
            </w:pPr>
          </w:p>
        </w:tc>
      </w:tr>
      <w:tr w:rsidR="00802150" w:rsidRPr="00204C2B" w14:paraId="1D186D22" w14:textId="1B4D6265" w:rsidTr="00802150">
        <w:tc>
          <w:tcPr>
            <w:tcW w:w="4201" w:type="dxa"/>
            <w:tcBorders>
              <w:bottom w:val="nil"/>
            </w:tcBorders>
          </w:tcPr>
          <w:p w14:paraId="12C28A59" w14:textId="4EB5CDE9" w:rsidR="00802150" w:rsidRPr="00204C2B" w:rsidRDefault="00802150" w:rsidP="00802150">
            <w:pPr>
              <w:spacing w:before="60"/>
              <w:jc w:val="left"/>
              <w:rPr>
                <w:bCs/>
              </w:rPr>
            </w:pPr>
            <w:r w:rsidRPr="00204C2B">
              <w:rPr>
                <w:bCs/>
                <w:iCs/>
              </w:rPr>
              <w:t>List of candidature</w:t>
            </w:r>
            <w:r w:rsidR="00125E49">
              <w:rPr>
                <w:bCs/>
                <w:iCs/>
              </w:rPr>
              <w:t>s</w:t>
            </w:r>
            <w:r w:rsidRPr="00204C2B">
              <w:rPr>
                <w:bCs/>
                <w:iCs/>
              </w:rPr>
              <w:t xml:space="preserve"> for Chairs and Vice-</w:t>
            </w:r>
          </w:p>
        </w:tc>
        <w:tc>
          <w:tcPr>
            <w:tcW w:w="1494" w:type="dxa"/>
            <w:tcBorders>
              <w:bottom w:val="nil"/>
            </w:tcBorders>
          </w:tcPr>
          <w:p w14:paraId="4C424270" w14:textId="47664D7D" w:rsidR="00802150" w:rsidRPr="00204C2B" w:rsidRDefault="00B969F0" w:rsidP="00802150">
            <w:pPr>
              <w:spacing w:before="60"/>
              <w:jc w:val="center"/>
            </w:pPr>
            <w:hyperlink r:id="rId29" w:history="1">
              <w:r w:rsidR="00802150" w:rsidRPr="00204C2B">
                <w:rPr>
                  <w:rStyle w:val="Hyperlink"/>
                </w:rPr>
                <w:t>C20/21(Rev.2)</w:t>
              </w:r>
            </w:hyperlink>
          </w:p>
        </w:tc>
        <w:tc>
          <w:tcPr>
            <w:tcW w:w="5221" w:type="dxa"/>
            <w:gridSpan w:val="3"/>
          </w:tcPr>
          <w:p w14:paraId="39556BE1" w14:textId="06A59EF1" w:rsidR="00802150" w:rsidRPr="00204C2B" w:rsidRDefault="00802150" w:rsidP="00802150">
            <w:pPr>
              <w:spacing w:before="60"/>
              <w:jc w:val="left"/>
            </w:pPr>
            <w:r w:rsidRPr="00204C2B">
              <w:t xml:space="preserve">Approve the nominations of: </w:t>
            </w:r>
          </w:p>
        </w:tc>
      </w:tr>
      <w:tr w:rsidR="00802150" w:rsidRPr="00204C2B" w14:paraId="50502CC0" w14:textId="77777777" w:rsidTr="00802150">
        <w:tc>
          <w:tcPr>
            <w:tcW w:w="4201" w:type="dxa"/>
            <w:tcBorders>
              <w:top w:val="nil"/>
              <w:bottom w:val="nil"/>
              <w:right w:val="single" w:sz="4" w:space="0" w:color="auto"/>
            </w:tcBorders>
          </w:tcPr>
          <w:p w14:paraId="01B094F3" w14:textId="45D2E9EC" w:rsidR="00802150" w:rsidRPr="00204C2B" w:rsidRDefault="00802150" w:rsidP="0083274A">
            <w:pPr>
              <w:spacing w:before="0"/>
              <w:contextualSpacing/>
              <w:rPr>
                <w:bCs/>
                <w:iCs/>
              </w:rPr>
            </w:pPr>
            <w:r w:rsidRPr="00204C2B">
              <w:rPr>
                <w:bCs/>
                <w:iCs/>
              </w:rPr>
              <w:t>Chairs of CWGs, EGs, IEGs</w:t>
            </w:r>
          </w:p>
        </w:tc>
        <w:tc>
          <w:tcPr>
            <w:tcW w:w="1494" w:type="dxa"/>
            <w:tcBorders>
              <w:top w:val="nil"/>
              <w:left w:val="single" w:sz="4" w:space="0" w:color="auto"/>
              <w:bottom w:val="nil"/>
            </w:tcBorders>
          </w:tcPr>
          <w:p w14:paraId="6E4EE8DE" w14:textId="77777777" w:rsidR="00802150" w:rsidRPr="00204C2B" w:rsidRDefault="00802150" w:rsidP="00E46AB3">
            <w:pPr>
              <w:spacing w:before="0"/>
            </w:pPr>
          </w:p>
        </w:tc>
        <w:tc>
          <w:tcPr>
            <w:tcW w:w="3810" w:type="dxa"/>
          </w:tcPr>
          <w:p w14:paraId="64488E80" w14:textId="67A49CA2" w:rsidR="00802150" w:rsidRPr="00802150" w:rsidRDefault="00802150" w:rsidP="00CA1BF5">
            <w:pPr>
              <w:tabs>
                <w:tab w:val="clear" w:pos="794"/>
                <w:tab w:val="clear" w:pos="1191"/>
                <w:tab w:val="clear" w:pos="1588"/>
                <w:tab w:val="clear" w:pos="1985"/>
              </w:tabs>
              <w:spacing w:before="80" w:after="80"/>
              <w:ind w:left="284" w:hanging="284"/>
            </w:pPr>
            <w:r w:rsidRPr="00802150">
              <w:t>-</w:t>
            </w:r>
            <w:r w:rsidRPr="00802150">
              <w:tab/>
            </w:r>
            <w:proofErr w:type="spellStart"/>
            <w:r w:rsidRPr="00802150">
              <w:t>Ms</w:t>
            </w:r>
            <w:proofErr w:type="spellEnd"/>
            <w:r w:rsidRPr="00802150">
              <w:t xml:space="preserve"> Vernita Harris from the United States, as Chair of the CWG-FHR</w:t>
            </w:r>
          </w:p>
        </w:tc>
        <w:tc>
          <w:tcPr>
            <w:tcW w:w="702" w:type="dxa"/>
            <w:vAlign w:val="center"/>
          </w:tcPr>
          <w:p w14:paraId="4E8FAD06" w14:textId="77777777" w:rsidR="00802150" w:rsidRPr="00204C2B" w:rsidRDefault="00802150" w:rsidP="002B71DE">
            <w:pPr>
              <w:spacing w:before="0"/>
              <w:jc w:val="center"/>
            </w:pPr>
          </w:p>
        </w:tc>
        <w:tc>
          <w:tcPr>
            <w:tcW w:w="709" w:type="dxa"/>
            <w:vAlign w:val="center"/>
          </w:tcPr>
          <w:p w14:paraId="78EDA7ED" w14:textId="77777777" w:rsidR="00802150" w:rsidRPr="00204C2B" w:rsidRDefault="00802150" w:rsidP="002B71DE">
            <w:pPr>
              <w:spacing w:before="0"/>
              <w:jc w:val="center"/>
            </w:pPr>
          </w:p>
        </w:tc>
      </w:tr>
      <w:tr w:rsidR="00BB59FE" w:rsidRPr="00204C2B" w14:paraId="456920C6" w14:textId="77777777" w:rsidTr="00802150">
        <w:tc>
          <w:tcPr>
            <w:tcW w:w="4201" w:type="dxa"/>
            <w:tcBorders>
              <w:top w:val="nil"/>
              <w:bottom w:val="nil"/>
              <w:right w:val="single" w:sz="4" w:space="0" w:color="auto"/>
            </w:tcBorders>
          </w:tcPr>
          <w:p w14:paraId="7044354C" w14:textId="77777777" w:rsidR="00BB59FE" w:rsidRPr="00204C2B" w:rsidRDefault="00BB59FE" w:rsidP="0083274A">
            <w:pPr>
              <w:spacing w:before="0"/>
              <w:contextualSpacing/>
              <w:rPr>
                <w:bCs/>
                <w:iCs/>
              </w:rPr>
            </w:pPr>
          </w:p>
        </w:tc>
        <w:tc>
          <w:tcPr>
            <w:tcW w:w="1494" w:type="dxa"/>
            <w:tcBorders>
              <w:top w:val="nil"/>
              <w:left w:val="single" w:sz="4" w:space="0" w:color="auto"/>
              <w:bottom w:val="nil"/>
            </w:tcBorders>
          </w:tcPr>
          <w:p w14:paraId="03BD9156" w14:textId="77777777" w:rsidR="00BB59FE" w:rsidRPr="00204C2B" w:rsidRDefault="00BB59FE" w:rsidP="00E46AB3">
            <w:pPr>
              <w:spacing w:before="0"/>
            </w:pPr>
          </w:p>
        </w:tc>
        <w:tc>
          <w:tcPr>
            <w:tcW w:w="3810" w:type="dxa"/>
          </w:tcPr>
          <w:p w14:paraId="1A7D32F0" w14:textId="6FCD7363" w:rsidR="00BB59FE" w:rsidRPr="00204C2B" w:rsidRDefault="00BB59FE" w:rsidP="00CA1BF5">
            <w:pPr>
              <w:tabs>
                <w:tab w:val="clear" w:pos="794"/>
                <w:tab w:val="clear" w:pos="1191"/>
                <w:tab w:val="clear" w:pos="1588"/>
                <w:tab w:val="clear" w:pos="1985"/>
              </w:tabs>
              <w:spacing w:before="120" w:after="80" w:line="240" w:lineRule="auto"/>
              <w:ind w:left="284" w:hanging="284"/>
            </w:pPr>
            <w:r w:rsidRPr="00204C2B">
              <w:t>-</w:t>
            </w:r>
            <w:r w:rsidR="002B71DE" w:rsidRPr="00204C2B">
              <w:tab/>
            </w:r>
            <w:proofErr w:type="spellStart"/>
            <w:r w:rsidRPr="00204C2B">
              <w:t>Ms</w:t>
            </w:r>
            <w:proofErr w:type="spellEnd"/>
            <w:r w:rsidRPr="00204C2B">
              <w:t xml:space="preserve"> Xian Persaud from the Bahamas, as Vice-Chair of the CWG-FHR from the Americas </w:t>
            </w:r>
            <w:r w:rsidR="00CA1BF5">
              <w:t>R</w:t>
            </w:r>
            <w:r w:rsidRPr="00204C2B">
              <w:t xml:space="preserve">egion </w:t>
            </w:r>
          </w:p>
        </w:tc>
        <w:tc>
          <w:tcPr>
            <w:tcW w:w="702" w:type="dxa"/>
            <w:vAlign w:val="center"/>
          </w:tcPr>
          <w:p w14:paraId="5017D87C" w14:textId="77777777" w:rsidR="00BB59FE" w:rsidRPr="00204C2B" w:rsidRDefault="00BB59FE" w:rsidP="002B71DE">
            <w:pPr>
              <w:spacing w:before="0"/>
              <w:jc w:val="center"/>
            </w:pPr>
          </w:p>
        </w:tc>
        <w:tc>
          <w:tcPr>
            <w:tcW w:w="709" w:type="dxa"/>
            <w:vAlign w:val="center"/>
          </w:tcPr>
          <w:p w14:paraId="3DD8E8D6" w14:textId="77777777" w:rsidR="00BB59FE" w:rsidRPr="00204C2B" w:rsidRDefault="00BB59FE" w:rsidP="002B71DE">
            <w:pPr>
              <w:spacing w:before="0"/>
              <w:jc w:val="center"/>
            </w:pPr>
          </w:p>
        </w:tc>
      </w:tr>
      <w:tr w:rsidR="00BB59FE" w:rsidRPr="00204C2B" w14:paraId="2260663C" w14:textId="77777777" w:rsidTr="00802150">
        <w:tc>
          <w:tcPr>
            <w:tcW w:w="4201" w:type="dxa"/>
            <w:tcBorders>
              <w:top w:val="nil"/>
              <w:bottom w:val="nil"/>
              <w:right w:val="single" w:sz="4" w:space="0" w:color="auto"/>
            </w:tcBorders>
          </w:tcPr>
          <w:p w14:paraId="4EAB5B6F" w14:textId="77777777" w:rsidR="00BB59FE" w:rsidRPr="00204C2B" w:rsidRDefault="00BB59FE" w:rsidP="0083274A">
            <w:pPr>
              <w:spacing w:before="0"/>
              <w:contextualSpacing/>
              <w:rPr>
                <w:bCs/>
                <w:iCs/>
              </w:rPr>
            </w:pPr>
          </w:p>
        </w:tc>
        <w:tc>
          <w:tcPr>
            <w:tcW w:w="1494" w:type="dxa"/>
            <w:tcBorders>
              <w:top w:val="nil"/>
              <w:left w:val="single" w:sz="4" w:space="0" w:color="auto"/>
              <w:bottom w:val="nil"/>
            </w:tcBorders>
          </w:tcPr>
          <w:p w14:paraId="1EDF86AB" w14:textId="77777777" w:rsidR="00BB59FE" w:rsidRPr="00204C2B" w:rsidRDefault="00BB59FE" w:rsidP="00E46AB3">
            <w:pPr>
              <w:spacing w:before="0"/>
            </w:pPr>
          </w:p>
        </w:tc>
        <w:tc>
          <w:tcPr>
            <w:tcW w:w="3810" w:type="dxa"/>
          </w:tcPr>
          <w:p w14:paraId="003E23B2" w14:textId="5460869C" w:rsidR="00BB59FE" w:rsidRPr="00204C2B" w:rsidRDefault="00BB59FE" w:rsidP="00CA1BF5">
            <w:pPr>
              <w:tabs>
                <w:tab w:val="clear" w:pos="794"/>
                <w:tab w:val="clear" w:pos="1191"/>
                <w:tab w:val="clear" w:pos="1588"/>
                <w:tab w:val="clear" w:pos="1985"/>
              </w:tabs>
              <w:spacing w:before="80" w:after="80"/>
              <w:ind w:left="284" w:hanging="284"/>
            </w:pPr>
            <w:r w:rsidRPr="00204C2B">
              <w:t>-</w:t>
            </w:r>
            <w:r w:rsidR="002B71DE" w:rsidRPr="00204C2B">
              <w:tab/>
            </w:r>
            <w:proofErr w:type="spellStart"/>
            <w:r w:rsidRPr="00204C2B">
              <w:t>Ms</w:t>
            </w:r>
            <w:proofErr w:type="spellEnd"/>
            <w:r w:rsidRPr="00204C2B">
              <w:t xml:space="preserve"> Stella </w:t>
            </w:r>
            <w:proofErr w:type="spellStart"/>
            <w:r w:rsidRPr="00204C2B">
              <w:t>Chubiyo</w:t>
            </w:r>
            <w:proofErr w:type="spellEnd"/>
            <w:r w:rsidRPr="00204C2B">
              <w:t xml:space="preserve"> Erebor from Nigeria, as Vice-Chair of CWG-COP from the African Region </w:t>
            </w:r>
          </w:p>
        </w:tc>
        <w:tc>
          <w:tcPr>
            <w:tcW w:w="702" w:type="dxa"/>
            <w:vAlign w:val="center"/>
          </w:tcPr>
          <w:p w14:paraId="6AEC0169" w14:textId="77777777" w:rsidR="00BB59FE" w:rsidRPr="00204C2B" w:rsidRDefault="00BB59FE" w:rsidP="002B71DE">
            <w:pPr>
              <w:spacing w:before="0"/>
              <w:jc w:val="center"/>
            </w:pPr>
          </w:p>
        </w:tc>
        <w:tc>
          <w:tcPr>
            <w:tcW w:w="709" w:type="dxa"/>
            <w:vAlign w:val="center"/>
          </w:tcPr>
          <w:p w14:paraId="7AFEF741" w14:textId="77777777" w:rsidR="00BB59FE" w:rsidRPr="00204C2B" w:rsidRDefault="00BB59FE" w:rsidP="002B71DE">
            <w:pPr>
              <w:spacing w:before="0"/>
              <w:jc w:val="center"/>
            </w:pPr>
          </w:p>
        </w:tc>
      </w:tr>
      <w:tr w:rsidR="00BB59FE" w:rsidRPr="006812DA" w14:paraId="56DE9BD4" w14:textId="77777777" w:rsidTr="007276E7">
        <w:tc>
          <w:tcPr>
            <w:tcW w:w="4201" w:type="dxa"/>
            <w:tcBorders>
              <w:top w:val="nil"/>
              <w:bottom w:val="nil"/>
              <w:right w:val="single" w:sz="4" w:space="0" w:color="auto"/>
            </w:tcBorders>
          </w:tcPr>
          <w:p w14:paraId="34930B05" w14:textId="77777777" w:rsidR="00BB59FE" w:rsidRPr="006812DA" w:rsidRDefault="00BB59FE" w:rsidP="0083274A">
            <w:pPr>
              <w:spacing w:before="0"/>
              <w:contextualSpacing/>
              <w:rPr>
                <w:bCs/>
                <w:iCs/>
              </w:rPr>
            </w:pPr>
          </w:p>
        </w:tc>
        <w:tc>
          <w:tcPr>
            <w:tcW w:w="1494" w:type="dxa"/>
            <w:tcBorders>
              <w:top w:val="nil"/>
              <w:left w:val="single" w:sz="4" w:space="0" w:color="auto"/>
              <w:bottom w:val="nil"/>
            </w:tcBorders>
          </w:tcPr>
          <w:p w14:paraId="081A8ADF" w14:textId="77777777" w:rsidR="00BB59FE" w:rsidRPr="006812DA" w:rsidRDefault="00BB59FE" w:rsidP="00E46AB3">
            <w:pPr>
              <w:spacing w:before="0"/>
            </w:pPr>
          </w:p>
        </w:tc>
        <w:tc>
          <w:tcPr>
            <w:tcW w:w="3810" w:type="dxa"/>
          </w:tcPr>
          <w:p w14:paraId="7D4E4E7F" w14:textId="5EBC92F5" w:rsidR="00BB59FE" w:rsidRPr="006812DA" w:rsidRDefault="00BB59FE" w:rsidP="00CA1BF5">
            <w:pPr>
              <w:tabs>
                <w:tab w:val="clear" w:pos="794"/>
                <w:tab w:val="clear" w:pos="1191"/>
                <w:tab w:val="clear" w:pos="1588"/>
                <w:tab w:val="clear" w:pos="1985"/>
              </w:tabs>
              <w:spacing w:before="80" w:after="80"/>
              <w:ind w:left="284" w:hanging="284"/>
            </w:pPr>
            <w:r w:rsidRPr="006812DA">
              <w:t>-</w:t>
            </w:r>
            <w:r w:rsidR="002B71DE" w:rsidRPr="006812DA">
              <w:tab/>
            </w:r>
            <w:proofErr w:type="spellStart"/>
            <w:r w:rsidRPr="006812DA">
              <w:t>Ms</w:t>
            </w:r>
            <w:proofErr w:type="spellEnd"/>
            <w:r w:rsidRPr="006812DA">
              <w:t xml:space="preserve"> Renata Santoyo from Brazil, as Vice-Chair of CWG-WSIS</w:t>
            </w:r>
            <w:r w:rsidR="00CA1BF5" w:rsidRPr="006812DA">
              <w:t>&amp;SDGs</w:t>
            </w:r>
            <w:r w:rsidRPr="006812DA">
              <w:t xml:space="preserve"> from the Americas Region </w:t>
            </w:r>
          </w:p>
        </w:tc>
        <w:tc>
          <w:tcPr>
            <w:tcW w:w="702" w:type="dxa"/>
            <w:vAlign w:val="center"/>
          </w:tcPr>
          <w:p w14:paraId="402654E6" w14:textId="77777777" w:rsidR="00BB59FE" w:rsidRPr="006812DA" w:rsidRDefault="00BB59FE" w:rsidP="002B71DE">
            <w:pPr>
              <w:spacing w:before="0"/>
              <w:jc w:val="center"/>
            </w:pPr>
          </w:p>
        </w:tc>
        <w:tc>
          <w:tcPr>
            <w:tcW w:w="709" w:type="dxa"/>
            <w:vAlign w:val="center"/>
          </w:tcPr>
          <w:p w14:paraId="1993D1A6" w14:textId="77777777" w:rsidR="00BB59FE" w:rsidRPr="006812DA" w:rsidRDefault="00BB59FE" w:rsidP="002B71DE">
            <w:pPr>
              <w:spacing w:before="0"/>
              <w:jc w:val="center"/>
            </w:pPr>
          </w:p>
        </w:tc>
      </w:tr>
      <w:tr w:rsidR="00BB59FE" w:rsidRPr="006812DA" w14:paraId="58A7B3F1" w14:textId="77777777" w:rsidTr="00802150">
        <w:tc>
          <w:tcPr>
            <w:tcW w:w="4201" w:type="dxa"/>
            <w:tcBorders>
              <w:top w:val="nil"/>
              <w:bottom w:val="single" w:sz="4" w:space="0" w:color="auto"/>
              <w:right w:val="single" w:sz="4" w:space="0" w:color="auto"/>
            </w:tcBorders>
          </w:tcPr>
          <w:p w14:paraId="485B1389" w14:textId="77777777" w:rsidR="00BB59FE" w:rsidRPr="006812DA" w:rsidRDefault="00BB59FE" w:rsidP="0083274A">
            <w:pPr>
              <w:spacing w:before="0"/>
              <w:contextualSpacing/>
              <w:rPr>
                <w:bCs/>
                <w:iCs/>
              </w:rPr>
            </w:pPr>
          </w:p>
        </w:tc>
        <w:tc>
          <w:tcPr>
            <w:tcW w:w="1494" w:type="dxa"/>
            <w:tcBorders>
              <w:top w:val="nil"/>
              <w:left w:val="single" w:sz="4" w:space="0" w:color="auto"/>
              <w:bottom w:val="single" w:sz="4" w:space="0" w:color="auto"/>
            </w:tcBorders>
          </w:tcPr>
          <w:p w14:paraId="69094F0D" w14:textId="77777777" w:rsidR="00BB59FE" w:rsidRPr="006812DA" w:rsidRDefault="00BB59FE" w:rsidP="00E46AB3">
            <w:pPr>
              <w:spacing w:before="0"/>
            </w:pPr>
          </w:p>
        </w:tc>
        <w:tc>
          <w:tcPr>
            <w:tcW w:w="3810" w:type="dxa"/>
          </w:tcPr>
          <w:p w14:paraId="252A8F39" w14:textId="1E1BB7C8" w:rsidR="00BB59FE" w:rsidRPr="006812DA" w:rsidRDefault="00BB59FE" w:rsidP="00CA1BF5">
            <w:pPr>
              <w:tabs>
                <w:tab w:val="clear" w:pos="794"/>
                <w:tab w:val="clear" w:pos="1191"/>
                <w:tab w:val="clear" w:pos="1588"/>
                <w:tab w:val="clear" w:pos="1985"/>
              </w:tabs>
              <w:spacing w:before="80" w:after="80"/>
              <w:ind w:left="284" w:hanging="284"/>
            </w:pPr>
            <w:r w:rsidRPr="006812DA">
              <w:t>-</w:t>
            </w:r>
            <w:r w:rsidR="002B71DE" w:rsidRPr="006812DA">
              <w:tab/>
            </w:r>
            <w:r w:rsidRPr="006812DA">
              <w:rPr>
                <w:spacing w:val="-4"/>
              </w:rPr>
              <w:t xml:space="preserve">Mr Cristian Ungureanu from Romania, </w:t>
            </w:r>
            <w:r w:rsidRPr="006812DA">
              <w:rPr>
                <w:spacing w:val="-6"/>
              </w:rPr>
              <w:t xml:space="preserve">as Vice-Chair of Expert Group on Decision 482 from </w:t>
            </w:r>
            <w:r w:rsidR="00CA1BF5" w:rsidRPr="006812DA">
              <w:rPr>
                <w:spacing w:val="-6"/>
              </w:rPr>
              <w:t>the European Region</w:t>
            </w:r>
          </w:p>
        </w:tc>
        <w:tc>
          <w:tcPr>
            <w:tcW w:w="702" w:type="dxa"/>
            <w:vAlign w:val="center"/>
          </w:tcPr>
          <w:p w14:paraId="6CC54DF4" w14:textId="77777777" w:rsidR="00BB59FE" w:rsidRPr="006812DA" w:rsidRDefault="00BB59FE" w:rsidP="002B71DE">
            <w:pPr>
              <w:spacing w:before="0"/>
              <w:jc w:val="center"/>
            </w:pPr>
          </w:p>
        </w:tc>
        <w:tc>
          <w:tcPr>
            <w:tcW w:w="709" w:type="dxa"/>
            <w:vAlign w:val="center"/>
          </w:tcPr>
          <w:p w14:paraId="684C7815" w14:textId="77777777" w:rsidR="00BB59FE" w:rsidRPr="006812DA" w:rsidRDefault="00BB59FE" w:rsidP="002B71DE">
            <w:pPr>
              <w:spacing w:before="0"/>
              <w:jc w:val="center"/>
            </w:pPr>
          </w:p>
        </w:tc>
      </w:tr>
    </w:tbl>
    <w:p w14:paraId="05BC20D9" w14:textId="1B7F5B07" w:rsidR="00D63CF3" w:rsidRPr="00204C2B" w:rsidRDefault="0083274A" w:rsidP="00E131F4">
      <w:pPr>
        <w:rPr>
          <w:rFonts w:asciiTheme="minorHAnsi" w:hAnsiTheme="minorHAnsi" w:cstheme="minorHAnsi"/>
          <w:b/>
          <w:bCs/>
        </w:rPr>
      </w:pPr>
      <w:r w:rsidRPr="00DD593F">
        <w:rPr>
          <w:rFonts w:asciiTheme="minorHAnsi" w:hAnsiTheme="minorHAnsi" w:cstheme="minorHAnsi"/>
          <w:color w:val="000000" w:themeColor="text1"/>
        </w:rPr>
        <w:t xml:space="preserve">Councillors </w:t>
      </w:r>
      <w:r w:rsidR="0095403A" w:rsidRPr="00DD593F">
        <w:rPr>
          <w:rFonts w:asciiTheme="minorHAnsi" w:hAnsiTheme="minorHAnsi" w:cstheme="minorHAnsi"/>
          <w:color w:val="000000" w:themeColor="text1"/>
        </w:rPr>
        <w:t>are kindly</w:t>
      </w:r>
      <w:r w:rsidR="0095403A" w:rsidRPr="00204C2B">
        <w:rPr>
          <w:rFonts w:asciiTheme="minorHAnsi" w:hAnsiTheme="minorHAnsi" w:cstheme="minorHAnsi"/>
          <w:color w:val="000000" w:themeColor="text1"/>
        </w:rPr>
        <w:t xml:space="preserve"> invited to </w:t>
      </w:r>
      <w:r w:rsidR="00E131F4" w:rsidRPr="00204C2B">
        <w:rPr>
          <w:rFonts w:asciiTheme="minorHAnsi" w:hAnsiTheme="minorHAnsi" w:cstheme="minorHAnsi"/>
          <w:color w:val="000000" w:themeColor="text1"/>
        </w:rPr>
        <w:t xml:space="preserve">send </w:t>
      </w:r>
      <w:r w:rsidRPr="00204C2B">
        <w:rPr>
          <w:rFonts w:asciiTheme="minorHAnsi" w:hAnsiTheme="minorHAnsi" w:cstheme="minorHAnsi"/>
          <w:color w:val="000000" w:themeColor="text1"/>
        </w:rPr>
        <w:t>the</w:t>
      </w:r>
      <w:r w:rsidR="00E131F4" w:rsidRPr="00204C2B">
        <w:rPr>
          <w:rFonts w:asciiTheme="minorHAnsi" w:hAnsiTheme="minorHAnsi" w:cstheme="minorHAnsi"/>
          <w:color w:val="000000" w:themeColor="text1"/>
        </w:rPr>
        <w:t xml:space="preserve"> reply </w:t>
      </w:r>
      <w:r w:rsidR="0095403A" w:rsidRPr="00204C2B">
        <w:rPr>
          <w:rFonts w:asciiTheme="minorHAnsi" w:hAnsiTheme="minorHAnsi" w:cstheme="minorHAnsi"/>
          <w:color w:val="000000" w:themeColor="text1"/>
          <w:spacing w:val="4"/>
        </w:rPr>
        <w:t>by</w:t>
      </w:r>
      <w:r w:rsidR="0095403A" w:rsidRPr="00204C2B">
        <w:rPr>
          <w:rFonts w:asciiTheme="minorHAnsi" w:hAnsiTheme="minorHAnsi" w:cstheme="minorHAnsi"/>
          <w:color w:val="000000" w:themeColor="text1"/>
        </w:rPr>
        <w:t xml:space="preserve"> e-mail to </w:t>
      </w:r>
      <w:hyperlink r:id="rId30" w:history="1">
        <w:r w:rsidR="0095403A" w:rsidRPr="00204C2B">
          <w:rPr>
            <w:rStyle w:val="Hyperlink"/>
            <w:rFonts w:asciiTheme="minorHAnsi" w:hAnsiTheme="minorHAnsi" w:cstheme="minorHAnsi"/>
          </w:rPr>
          <w:t>memberstates@itu.int</w:t>
        </w:r>
      </w:hyperlink>
      <w:r w:rsidR="0095403A" w:rsidRPr="00204C2B">
        <w:rPr>
          <w:rFonts w:asciiTheme="minorHAnsi" w:hAnsiTheme="minorHAnsi" w:cstheme="minorHAnsi"/>
          <w:color w:val="000000" w:themeColor="text1"/>
        </w:rPr>
        <w:t xml:space="preserve"> </w:t>
      </w:r>
      <w:r w:rsidR="0095403A" w:rsidRPr="00204C2B">
        <w:rPr>
          <w:rFonts w:asciiTheme="minorHAnsi" w:hAnsiTheme="minorHAnsi" w:cstheme="minorHAnsi"/>
          <w:b/>
          <w:bCs/>
          <w:color w:val="000000" w:themeColor="text1"/>
        </w:rPr>
        <w:t xml:space="preserve">not later </w:t>
      </w:r>
      <w:r w:rsidR="0095403A" w:rsidRPr="00AA3BBA">
        <w:rPr>
          <w:rFonts w:asciiTheme="minorHAnsi" w:hAnsiTheme="minorHAnsi" w:cstheme="minorHAnsi"/>
          <w:b/>
          <w:bCs/>
          <w:color w:val="000000" w:themeColor="text1"/>
        </w:rPr>
        <w:t xml:space="preserve">than </w:t>
      </w:r>
      <w:r w:rsidR="0043031B">
        <w:rPr>
          <w:rFonts w:asciiTheme="minorHAnsi" w:hAnsiTheme="minorHAnsi" w:cstheme="minorHAnsi"/>
          <w:b/>
          <w:bCs/>
          <w:color w:val="000000" w:themeColor="text1"/>
        </w:rPr>
        <w:t>31 July</w:t>
      </w:r>
      <w:r w:rsidR="00E131F4" w:rsidRPr="00AA3BBA">
        <w:rPr>
          <w:rFonts w:asciiTheme="minorHAnsi" w:hAnsiTheme="minorHAnsi" w:cstheme="minorHAnsi"/>
          <w:b/>
          <w:bCs/>
          <w:color w:val="000000" w:themeColor="text1"/>
        </w:rPr>
        <w:t xml:space="preserve"> </w:t>
      </w:r>
      <w:r w:rsidR="0095403A" w:rsidRPr="00AA3BBA">
        <w:rPr>
          <w:rFonts w:asciiTheme="minorHAnsi" w:hAnsiTheme="minorHAnsi" w:cstheme="minorHAnsi"/>
          <w:b/>
          <w:bCs/>
          <w:color w:val="000000" w:themeColor="text1"/>
        </w:rPr>
        <w:t>20</w:t>
      </w:r>
      <w:r w:rsidR="00E131F4" w:rsidRPr="00AA3BBA">
        <w:rPr>
          <w:rFonts w:asciiTheme="minorHAnsi" w:hAnsiTheme="minorHAnsi" w:cstheme="minorHAnsi"/>
          <w:b/>
          <w:bCs/>
          <w:color w:val="000000" w:themeColor="text1"/>
        </w:rPr>
        <w:t>20</w:t>
      </w:r>
      <w:r w:rsidR="0095403A" w:rsidRPr="00AA3BBA">
        <w:rPr>
          <w:rFonts w:asciiTheme="minorHAnsi" w:hAnsiTheme="minorHAnsi" w:cstheme="minorHAnsi"/>
          <w:color w:val="000000" w:themeColor="text1"/>
        </w:rPr>
        <w:t>.</w:t>
      </w:r>
      <w:r w:rsidR="00E131F4" w:rsidRPr="00204C2B">
        <w:rPr>
          <w:rFonts w:asciiTheme="minorHAnsi" w:hAnsiTheme="minorHAnsi" w:cstheme="minorHAnsi"/>
          <w:b/>
          <w:bCs/>
        </w:rPr>
        <w:t xml:space="preserve"> </w:t>
      </w:r>
    </w:p>
    <w:p w14:paraId="1128358B" w14:textId="77777777" w:rsidR="00A03504" w:rsidRDefault="00A03504" w:rsidP="00E131F4">
      <w:pPr>
        <w:rPr>
          <w:rFonts w:asciiTheme="minorHAnsi" w:hAnsiTheme="minorHAnsi" w:cstheme="minorHAnsi"/>
          <w:b/>
          <w:bCs/>
        </w:rPr>
        <w:sectPr w:rsidR="00A03504" w:rsidSect="00204C2B">
          <w:headerReference w:type="even" r:id="rId31"/>
          <w:pgSz w:w="11906" w:h="16838"/>
          <w:pgMar w:top="1440" w:right="851" w:bottom="1440" w:left="851" w:header="709" w:footer="709" w:gutter="0"/>
          <w:cols w:space="708"/>
          <w:docGrid w:linePitch="360"/>
        </w:sectPr>
      </w:pPr>
    </w:p>
    <w:p w14:paraId="111F7453" w14:textId="632744A0" w:rsidR="00A03504" w:rsidRPr="00A03504" w:rsidRDefault="00A03504" w:rsidP="00A03504">
      <w:pPr>
        <w:jc w:val="center"/>
        <w:rPr>
          <w:rFonts w:asciiTheme="minorHAnsi" w:hAnsiTheme="minorHAnsi" w:cstheme="minorHAnsi"/>
          <w:b/>
          <w:bCs/>
          <w:sz w:val="28"/>
          <w:szCs w:val="28"/>
        </w:rPr>
      </w:pPr>
      <w:bookmarkStart w:id="6" w:name="annex2"/>
      <w:bookmarkEnd w:id="6"/>
      <w:r w:rsidRPr="00A03504">
        <w:rPr>
          <w:rFonts w:asciiTheme="minorHAnsi" w:hAnsiTheme="minorHAnsi" w:cstheme="minorHAnsi"/>
          <w:b/>
          <w:bCs/>
          <w:sz w:val="28"/>
          <w:szCs w:val="28"/>
        </w:rPr>
        <w:lastRenderedPageBreak/>
        <w:t xml:space="preserve">ANNEX </w:t>
      </w:r>
      <w:r w:rsidR="00E126B4">
        <w:rPr>
          <w:rFonts w:asciiTheme="minorHAnsi" w:hAnsiTheme="minorHAnsi" w:cstheme="minorHAnsi"/>
          <w:b/>
          <w:bCs/>
          <w:sz w:val="28"/>
          <w:szCs w:val="28"/>
        </w:rPr>
        <w:t>2</w:t>
      </w:r>
    </w:p>
    <w:p w14:paraId="635355C1" w14:textId="7627514A" w:rsidR="00A03504" w:rsidRPr="00A03504" w:rsidRDefault="00A03504" w:rsidP="00A03504">
      <w:pPr>
        <w:pStyle w:val="AnnexNo"/>
        <w:spacing w:before="240"/>
        <w:jc w:val="left"/>
        <w:rPr>
          <w:i/>
          <w:iCs/>
          <w:sz w:val="22"/>
          <w:szCs w:val="16"/>
        </w:rPr>
      </w:pPr>
      <w:r w:rsidRPr="00A03504">
        <w:rPr>
          <w:i/>
          <w:iCs/>
          <w:caps w:val="0"/>
          <w:sz w:val="22"/>
          <w:szCs w:val="16"/>
        </w:rPr>
        <w:t xml:space="preserve">Reference: </w:t>
      </w:r>
      <w:hyperlink r:id="rId32" w:history="1">
        <w:r w:rsidRPr="00A03504">
          <w:rPr>
            <w:rStyle w:val="Hyperlink"/>
            <w:i/>
            <w:iCs/>
            <w:caps w:val="0"/>
            <w:sz w:val="22"/>
            <w:szCs w:val="16"/>
          </w:rPr>
          <w:t>Document C20/55</w:t>
        </w:r>
      </w:hyperlink>
    </w:p>
    <w:p w14:paraId="4A19CEC4" w14:textId="753E77A0" w:rsidR="00A03504" w:rsidRPr="00F30F7A" w:rsidRDefault="00A03504" w:rsidP="00A03504">
      <w:pPr>
        <w:jc w:val="center"/>
        <w:rPr>
          <w:sz w:val="28"/>
          <w:szCs w:val="28"/>
        </w:rPr>
      </w:pPr>
      <w:r w:rsidRPr="00F30F7A">
        <w:rPr>
          <w:sz w:val="28"/>
          <w:szCs w:val="28"/>
        </w:rPr>
        <w:t>DRAFT RESOLUTION</w:t>
      </w:r>
      <w:r w:rsidR="00AA3BBA">
        <w:rPr>
          <w:sz w:val="28"/>
          <w:szCs w:val="28"/>
        </w:rPr>
        <w:t xml:space="preserve"> […]</w:t>
      </w:r>
    </w:p>
    <w:p w14:paraId="5B1E0D78" w14:textId="40099BB0" w:rsidR="00A03504" w:rsidRDefault="00A03504" w:rsidP="00A03504">
      <w:pPr>
        <w:spacing w:before="240" w:after="360"/>
        <w:jc w:val="center"/>
        <w:rPr>
          <w:b/>
          <w:sz w:val="28"/>
          <w:szCs w:val="28"/>
        </w:rPr>
      </w:pPr>
      <w:r>
        <w:rPr>
          <w:b/>
          <w:sz w:val="28"/>
          <w:szCs w:val="28"/>
        </w:rPr>
        <w:t>Agenda</w:t>
      </w:r>
      <w:r w:rsidRPr="00F30F7A">
        <w:rPr>
          <w:b/>
          <w:sz w:val="28"/>
          <w:szCs w:val="28"/>
        </w:rPr>
        <w:t xml:space="preserve"> of the World Radiocommunication Conference</w:t>
      </w:r>
      <w:r w:rsidRPr="00F30F7A">
        <w:rPr>
          <w:b/>
          <w:sz w:val="28"/>
          <w:szCs w:val="28"/>
        </w:rPr>
        <w:br/>
        <w:t>(WRC-</w:t>
      </w:r>
      <w:r>
        <w:rPr>
          <w:b/>
          <w:sz w:val="28"/>
          <w:szCs w:val="28"/>
        </w:rPr>
        <w:t>23</w:t>
      </w:r>
      <w:r w:rsidRPr="00F30F7A">
        <w:rPr>
          <w:b/>
          <w:sz w:val="28"/>
          <w:szCs w:val="28"/>
        </w:rPr>
        <w:t>)</w:t>
      </w:r>
    </w:p>
    <w:p w14:paraId="2AF78D63" w14:textId="77777777" w:rsidR="00A03504" w:rsidRPr="009A2B70" w:rsidRDefault="00A03504" w:rsidP="00A03504">
      <w:r w:rsidRPr="009A2B70">
        <w:t xml:space="preserve">The </w:t>
      </w:r>
      <w:r>
        <w:t xml:space="preserve">ITU </w:t>
      </w:r>
      <w:r w:rsidRPr="009A2B70">
        <w:t>Council,</w:t>
      </w:r>
    </w:p>
    <w:p w14:paraId="75F7CBCE" w14:textId="77777777" w:rsidR="00A03504" w:rsidRPr="009A2B70" w:rsidRDefault="00A03504" w:rsidP="00A03504">
      <w:pPr>
        <w:ind w:left="709"/>
        <w:rPr>
          <w:i/>
        </w:rPr>
      </w:pPr>
      <w:r w:rsidRPr="009A2B70">
        <w:rPr>
          <w:i/>
        </w:rPr>
        <w:t>noting</w:t>
      </w:r>
    </w:p>
    <w:p w14:paraId="3E528A8F" w14:textId="77777777" w:rsidR="00A03504" w:rsidRPr="009A2B70" w:rsidRDefault="00A03504" w:rsidP="00A03504">
      <w:r w:rsidRPr="009A2B70">
        <w:t>that Resolution</w:t>
      </w:r>
      <w:r>
        <w:t xml:space="preserve"> 811</w:t>
      </w:r>
      <w:r w:rsidRPr="009A2B70">
        <w:t xml:space="preserve"> of the World Radiocommunication Conference (</w:t>
      </w:r>
      <w:r>
        <w:t>Sharm el Sheikh</w:t>
      </w:r>
      <w:r w:rsidRPr="009A2B70">
        <w:t>, 20</w:t>
      </w:r>
      <w:r>
        <w:t>19</w:t>
      </w:r>
      <w:r w:rsidRPr="009A2B70">
        <w:t>):</w:t>
      </w:r>
    </w:p>
    <w:p w14:paraId="7F9A5900" w14:textId="77777777" w:rsidR="00A03504" w:rsidRPr="009A2B70" w:rsidRDefault="00A03504" w:rsidP="00A03504">
      <w:r w:rsidRPr="001B52ED">
        <w:rPr>
          <w:i/>
          <w:iCs/>
        </w:rPr>
        <w:t>a)</w:t>
      </w:r>
      <w:r w:rsidRPr="009A2B70">
        <w:tab/>
        <w:t>resolved to recommend to the Council that a world radiocommunication conference be held in 20</w:t>
      </w:r>
      <w:r>
        <w:t>23</w:t>
      </w:r>
      <w:r w:rsidRPr="009A2B70">
        <w:t xml:space="preserve"> for a </w:t>
      </w:r>
      <w:r>
        <w:t xml:space="preserve">maximum </w:t>
      </w:r>
      <w:r w:rsidRPr="009A2B70">
        <w:t>period of four weeks;</w:t>
      </w:r>
    </w:p>
    <w:p w14:paraId="5F555906" w14:textId="77777777" w:rsidR="00A03504" w:rsidRPr="009A2B70" w:rsidRDefault="00A03504" w:rsidP="00A03504">
      <w:r w:rsidRPr="001B52ED">
        <w:rPr>
          <w:i/>
          <w:iCs/>
        </w:rPr>
        <w:t>b)</w:t>
      </w:r>
      <w:r w:rsidRPr="009A2B70">
        <w:tab/>
        <w:t>recommended its agenda, and invited the Council to finalize the agenda and arr</w:t>
      </w:r>
      <w:r>
        <w:t>ange for the convening of WRC</w:t>
      </w:r>
      <w:r>
        <w:noBreakHyphen/>
        <w:t>23</w:t>
      </w:r>
      <w:r w:rsidRPr="009A2B70">
        <w:t xml:space="preserve"> and to initiate as soon as possible the necessary consultation with Member States,</w:t>
      </w:r>
    </w:p>
    <w:p w14:paraId="6845171D" w14:textId="77777777" w:rsidR="00A03504" w:rsidRPr="009A2B70" w:rsidRDefault="00A03504" w:rsidP="00A03504">
      <w:pPr>
        <w:ind w:left="709"/>
        <w:rPr>
          <w:i/>
        </w:rPr>
      </w:pPr>
      <w:r w:rsidRPr="009A2B70">
        <w:rPr>
          <w:i/>
        </w:rPr>
        <w:t>resolves</w:t>
      </w:r>
    </w:p>
    <w:p w14:paraId="3D94AEDE" w14:textId="77777777" w:rsidR="00A03504" w:rsidRDefault="00A03504" w:rsidP="00A03504">
      <w:r w:rsidRPr="00BB7BDD">
        <w:t>to convene a World Radiocommunication Conference (WRC</w:t>
      </w:r>
      <w:r w:rsidRPr="00BB7BDD">
        <w:noBreakHyphen/>
        <w:t>23)</w:t>
      </w:r>
      <w:r w:rsidRPr="00D25BC7">
        <w:t xml:space="preserve"> in </w:t>
      </w:r>
      <w:r w:rsidRPr="00BB7BDD">
        <w:t>2023, preceded by the Radiocommunication Assembly, with the following agenda:</w:t>
      </w:r>
    </w:p>
    <w:p w14:paraId="0C0553BE" w14:textId="77777777" w:rsidR="00A03504" w:rsidRPr="00426B80" w:rsidRDefault="00A03504" w:rsidP="00A03504">
      <w:pPr>
        <w:rPr>
          <w:rFonts w:cstheme="minorHAnsi"/>
          <w:szCs w:val="24"/>
        </w:rPr>
      </w:pPr>
      <w:r w:rsidRPr="00426B80">
        <w:rPr>
          <w:rFonts w:cstheme="minorHAnsi"/>
          <w:szCs w:val="24"/>
        </w:rPr>
        <w:t>1</w:t>
      </w:r>
      <w:r w:rsidRPr="00426B80">
        <w:rPr>
          <w:rFonts w:cstheme="minorHAnsi"/>
          <w:szCs w:val="24"/>
        </w:rPr>
        <w:tab/>
        <w:t>on the basis of proposals from administrations, taking account of the results of WRC</w:t>
      </w:r>
      <w:r w:rsidRPr="00426B80">
        <w:rPr>
          <w:rFonts w:cstheme="minorHAnsi"/>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436A5260" w14:textId="77777777" w:rsidR="00A03504" w:rsidRPr="00426B80" w:rsidRDefault="00A03504" w:rsidP="00A03504">
      <w:pPr>
        <w:rPr>
          <w:rFonts w:cstheme="minorHAnsi"/>
          <w:szCs w:val="24"/>
        </w:rPr>
      </w:pPr>
      <w:r w:rsidRPr="00426B80">
        <w:rPr>
          <w:rFonts w:cstheme="minorHAnsi"/>
          <w:szCs w:val="24"/>
        </w:rPr>
        <w:t>1.1</w:t>
      </w:r>
      <w:r w:rsidRPr="00426B80">
        <w:rPr>
          <w:rFonts w:cstheme="minorHAnsi"/>
          <w:szCs w:val="24"/>
        </w:rPr>
        <w:tab/>
        <w:t>to consider, based on the results of the ITU</w:t>
      </w:r>
      <w:r w:rsidRPr="00426B80">
        <w:rPr>
          <w:rFonts w:cstheme="minorHAnsi"/>
          <w:szCs w:val="24"/>
        </w:rPr>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426B80">
        <w:rPr>
          <w:rFonts w:cstheme="minorHAnsi"/>
          <w:szCs w:val="24"/>
        </w:rPr>
        <w:t>pfd</w:t>
      </w:r>
      <w:proofErr w:type="spellEnd"/>
      <w:r w:rsidRPr="00426B80">
        <w:rPr>
          <w:rFonts w:cstheme="minorHAnsi"/>
          <w:szCs w:val="24"/>
        </w:rPr>
        <w:t xml:space="preserve"> criteria in No. </w:t>
      </w:r>
      <w:r w:rsidRPr="00426B80">
        <w:rPr>
          <w:rFonts w:cstheme="minorHAnsi"/>
          <w:b/>
          <w:szCs w:val="24"/>
        </w:rPr>
        <w:t>5.441B</w:t>
      </w:r>
      <w:r w:rsidRPr="00426B80">
        <w:rPr>
          <w:rFonts w:cstheme="minorHAnsi"/>
          <w:szCs w:val="24"/>
        </w:rPr>
        <w:t xml:space="preserve"> in accordance with Resolution </w:t>
      </w:r>
      <w:r w:rsidRPr="00426B80">
        <w:rPr>
          <w:rFonts w:cstheme="minorHAnsi"/>
          <w:b/>
          <w:szCs w:val="24"/>
        </w:rPr>
        <w:t>223 (Rev.WRC</w:t>
      </w:r>
      <w:r w:rsidRPr="00426B80">
        <w:rPr>
          <w:rFonts w:cstheme="minorHAnsi"/>
          <w:b/>
          <w:szCs w:val="24"/>
        </w:rPr>
        <w:noBreakHyphen/>
        <w:t>19)</w:t>
      </w:r>
      <w:r w:rsidRPr="00426B80">
        <w:rPr>
          <w:rFonts w:cstheme="minorHAnsi"/>
          <w:szCs w:val="24"/>
        </w:rPr>
        <w:t>;</w:t>
      </w:r>
    </w:p>
    <w:p w14:paraId="60E7091C" w14:textId="77777777" w:rsidR="00A03504" w:rsidRPr="00426B80" w:rsidRDefault="00A03504" w:rsidP="00A03504">
      <w:pPr>
        <w:rPr>
          <w:rFonts w:cstheme="minorHAnsi"/>
          <w:b/>
          <w:szCs w:val="24"/>
        </w:rPr>
      </w:pPr>
      <w:r w:rsidRPr="00426B80">
        <w:rPr>
          <w:rFonts w:cstheme="minorHAnsi"/>
          <w:szCs w:val="24"/>
        </w:rPr>
        <w:t>1.2</w:t>
      </w:r>
      <w:r w:rsidRPr="00426B80">
        <w:rPr>
          <w:rFonts w:cstheme="minorHAnsi"/>
          <w:szCs w:val="24"/>
        </w:rPr>
        <w:tab/>
        <w:t>to consider identification of the frequency bands 3 300-3 400 MHz, 3 600</w:t>
      </w:r>
      <w:r w:rsidRPr="00426B80">
        <w:rPr>
          <w:rFonts w:cstheme="minorHAnsi"/>
          <w:szCs w:val="24"/>
        </w:rPr>
        <w:noBreakHyphen/>
        <w:t xml:space="preserve">3 800 MHz, 6 425-7 025 MHz, 7 025-7 125 MHz and 10.0-10.5 GHz for International Mobile Telecommunications (IMT), including possible additional allocations to the mobile service on a primary basis, in accordance with Resolution </w:t>
      </w:r>
      <w:r w:rsidRPr="00426B80">
        <w:rPr>
          <w:rFonts w:cstheme="minorHAnsi"/>
          <w:b/>
          <w:bCs/>
          <w:szCs w:val="24"/>
        </w:rPr>
        <w:t>245</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bCs/>
          <w:szCs w:val="24"/>
        </w:rPr>
        <w:t>;</w:t>
      </w:r>
    </w:p>
    <w:p w14:paraId="1A556804" w14:textId="77777777" w:rsidR="00A03504" w:rsidRPr="00426B80" w:rsidRDefault="00A03504" w:rsidP="00A03504">
      <w:pPr>
        <w:rPr>
          <w:rFonts w:cstheme="minorHAnsi"/>
          <w:szCs w:val="24"/>
        </w:rPr>
      </w:pPr>
      <w:r w:rsidRPr="00426B80">
        <w:rPr>
          <w:rFonts w:cstheme="minorHAnsi"/>
          <w:szCs w:val="24"/>
        </w:rPr>
        <w:t>1.3</w:t>
      </w:r>
      <w:r w:rsidRPr="00426B80">
        <w:rPr>
          <w:rFonts w:cstheme="minorHAnsi"/>
          <w:b/>
          <w:szCs w:val="24"/>
        </w:rPr>
        <w:tab/>
      </w:r>
      <w:r w:rsidRPr="00426B80">
        <w:rPr>
          <w:rFonts w:cstheme="minorHAnsi"/>
          <w:szCs w:val="24"/>
        </w:rPr>
        <w:t>to consider primary allocation of the band 3 600</w:t>
      </w:r>
      <w:r w:rsidRPr="00426B80">
        <w:rPr>
          <w:rFonts w:cstheme="minorHAnsi"/>
          <w:szCs w:val="24"/>
        </w:rPr>
        <w:noBreakHyphen/>
        <w:t>3 800 MHz to mobile service within Region 1 and take appropriate regulatory actions, in accordance with Resolution</w:t>
      </w:r>
      <w:r w:rsidRPr="00426B80">
        <w:rPr>
          <w:rFonts w:cstheme="minorHAnsi"/>
          <w:b/>
          <w:szCs w:val="24"/>
        </w:rPr>
        <w:t xml:space="preserve"> 246 (WRC</w:t>
      </w:r>
      <w:r w:rsidRPr="00426B80">
        <w:rPr>
          <w:rFonts w:cstheme="minorHAnsi"/>
          <w:b/>
          <w:szCs w:val="24"/>
        </w:rPr>
        <w:noBreakHyphen/>
        <w:t>19)</w:t>
      </w:r>
      <w:r w:rsidRPr="00426B80">
        <w:rPr>
          <w:rFonts w:cstheme="minorHAnsi"/>
          <w:szCs w:val="24"/>
        </w:rPr>
        <w:t>;</w:t>
      </w:r>
    </w:p>
    <w:p w14:paraId="59842A0F" w14:textId="77777777" w:rsidR="00A03504" w:rsidRPr="00426B80" w:rsidRDefault="00A03504" w:rsidP="00A03504">
      <w:pPr>
        <w:rPr>
          <w:rFonts w:cstheme="minorHAnsi"/>
          <w:szCs w:val="24"/>
        </w:rPr>
      </w:pPr>
      <w:r w:rsidRPr="00426B80">
        <w:rPr>
          <w:rFonts w:cstheme="minorHAnsi"/>
          <w:bCs/>
          <w:szCs w:val="24"/>
        </w:rPr>
        <w:t>1.4</w:t>
      </w:r>
      <w:r w:rsidRPr="00426B80">
        <w:rPr>
          <w:rFonts w:cstheme="minorHAnsi"/>
          <w:b/>
          <w:szCs w:val="24"/>
        </w:rPr>
        <w:tab/>
      </w:r>
      <w:r w:rsidRPr="00426B80">
        <w:rPr>
          <w:rFonts w:cstheme="minorHAnsi"/>
          <w:szCs w:val="24"/>
        </w:rPr>
        <w:t xml:space="preserve">to consider, in accordance with Resolution </w:t>
      </w:r>
      <w:r w:rsidRPr="00426B80">
        <w:rPr>
          <w:rFonts w:cstheme="minorHAnsi"/>
          <w:b/>
          <w:bCs/>
          <w:szCs w:val="24"/>
        </w:rPr>
        <w:t>247</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the use of high-altitude platform stations as IMT base stations (HIBS) in the mobile service in certain frequency bands below 2.7 GHz already identified for IMT, on a global or regional level;</w:t>
      </w:r>
    </w:p>
    <w:p w14:paraId="3E4E5BAA" w14:textId="77777777" w:rsidR="00A03504" w:rsidRPr="00426B80" w:rsidRDefault="00A03504" w:rsidP="00A03504">
      <w:pPr>
        <w:rPr>
          <w:rFonts w:cstheme="minorHAnsi"/>
          <w:szCs w:val="24"/>
        </w:rPr>
      </w:pPr>
      <w:r w:rsidRPr="00426B80">
        <w:rPr>
          <w:rFonts w:cstheme="minorHAnsi"/>
          <w:szCs w:val="24"/>
        </w:rPr>
        <w:t>1.5</w:t>
      </w:r>
      <w:r w:rsidRPr="00426B80">
        <w:rPr>
          <w:rFonts w:cstheme="minorHAnsi"/>
          <w:szCs w:val="24"/>
        </w:rPr>
        <w:tab/>
        <w:t>to review the spectrum use and spectrum needs of existing services in the frequency band 470-960 MHz in Region 1 and consider possible regulatory actions in the frequency band 470</w:t>
      </w:r>
      <w:r w:rsidRPr="00426B80">
        <w:rPr>
          <w:rFonts w:cstheme="minorHAnsi"/>
          <w:szCs w:val="24"/>
        </w:rPr>
        <w:noBreakHyphen/>
        <w:t xml:space="preserve">694 MHz in Region 1 on the basis of the review in accordance with Resolution </w:t>
      </w:r>
      <w:r w:rsidRPr="00426B80">
        <w:rPr>
          <w:rFonts w:cstheme="minorHAnsi"/>
          <w:b/>
          <w:bCs/>
          <w:szCs w:val="24"/>
        </w:rPr>
        <w:t>235 (WRC</w:t>
      </w:r>
      <w:r w:rsidRPr="00426B80">
        <w:rPr>
          <w:rFonts w:cstheme="minorHAnsi"/>
          <w:b/>
          <w:bCs/>
          <w:szCs w:val="24"/>
        </w:rPr>
        <w:noBreakHyphen/>
        <w:t>15)</w:t>
      </w:r>
      <w:r w:rsidRPr="00426B80">
        <w:rPr>
          <w:rFonts w:cstheme="minorHAnsi"/>
          <w:szCs w:val="24"/>
        </w:rPr>
        <w:t>;</w:t>
      </w:r>
    </w:p>
    <w:p w14:paraId="5F1F56E8" w14:textId="77777777" w:rsidR="00A03504" w:rsidRPr="00426B80" w:rsidRDefault="00A03504" w:rsidP="00A03504">
      <w:pPr>
        <w:rPr>
          <w:rFonts w:cstheme="minorHAnsi"/>
          <w:szCs w:val="24"/>
        </w:rPr>
      </w:pPr>
      <w:r w:rsidRPr="00426B80">
        <w:rPr>
          <w:rFonts w:cstheme="minorHAnsi"/>
          <w:szCs w:val="24"/>
        </w:rPr>
        <w:t>1.6</w:t>
      </w:r>
      <w:r w:rsidRPr="00426B80">
        <w:rPr>
          <w:rFonts w:cstheme="minorHAnsi"/>
          <w:szCs w:val="24"/>
        </w:rPr>
        <w:tab/>
        <w:t>to consider, in accordance with Resolution</w:t>
      </w:r>
      <w:r w:rsidRPr="00426B80">
        <w:rPr>
          <w:rFonts w:cstheme="minorHAnsi"/>
          <w:b/>
          <w:bCs/>
          <w:szCs w:val="24"/>
        </w:rPr>
        <w:t xml:space="preserve"> 772 (WRC</w:t>
      </w:r>
      <w:r w:rsidRPr="00426B80">
        <w:rPr>
          <w:rFonts w:cstheme="minorHAnsi"/>
          <w:b/>
          <w:bCs/>
          <w:szCs w:val="24"/>
        </w:rPr>
        <w:noBreakHyphen/>
        <w:t>19)</w:t>
      </w:r>
      <w:r w:rsidRPr="00426B80">
        <w:rPr>
          <w:rFonts w:cstheme="minorHAnsi"/>
          <w:szCs w:val="24"/>
        </w:rPr>
        <w:t>, regulatory provisions to facilitate radiocommunications for sub-orbital vehicles;</w:t>
      </w:r>
    </w:p>
    <w:p w14:paraId="5055ED6E" w14:textId="77777777" w:rsidR="00A03504" w:rsidRPr="00426B80" w:rsidRDefault="00A03504" w:rsidP="00A03504">
      <w:pPr>
        <w:rPr>
          <w:rFonts w:cstheme="minorHAnsi"/>
          <w:szCs w:val="24"/>
        </w:rPr>
      </w:pPr>
      <w:r w:rsidRPr="00426B80">
        <w:rPr>
          <w:rFonts w:cstheme="minorHAnsi"/>
          <w:szCs w:val="24"/>
        </w:rPr>
        <w:t>1.7</w:t>
      </w:r>
      <w:r w:rsidRPr="00426B80">
        <w:rPr>
          <w:rFonts w:cstheme="minorHAnsi"/>
          <w:szCs w:val="24"/>
        </w:rPr>
        <w:tab/>
        <w:t>to consider a new</w:t>
      </w:r>
      <w:r w:rsidRPr="00426B80">
        <w:rPr>
          <w:rFonts w:cstheme="minorHAnsi"/>
        </w:rPr>
        <w:t xml:space="preserve"> </w:t>
      </w:r>
      <w:r w:rsidRPr="00426B80">
        <w:rPr>
          <w:rFonts w:cstheme="minorHAnsi"/>
          <w:szCs w:val="24"/>
        </w:rPr>
        <w:t xml:space="preserve">aeronautical mobile-satellite (R) service (AMS(R)S) allocation in accordance with Resolution </w:t>
      </w:r>
      <w:r w:rsidRPr="00426B80">
        <w:rPr>
          <w:rFonts w:cstheme="minorHAnsi"/>
          <w:b/>
          <w:bCs/>
          <w:szCs w:val="24"/>
        </w:rPr>
        <w:t>428</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 xml:space="preserve">19) </w:t>
      </w:r>
      <w:r w:rsidRPr="00426B80">
        <w:rPr>
          <w:rFonts w:cstheme="minorHAnsi"/>
          <w:szCs w:val="24"/>
        </w:rPr>
        <w:t>for both the Earth-to-space</w:t>
      </w:r>
      <w:r w:rsidRPr="00426B80">
        <w:rPr>
          <w:rFonts w:cstheme="minorHAnsi"/>
        </w:rPr>
        <w:t xml:space="preserve"> </w:t>
      </w:r>
      <w:r w:rsidRPr="00426B80">
        <w:rPr>
          <w:rFonts w:cstheme="minorHAnsi"/>
          <w:szCs w:val="24"/>
        </w:rPr>
        <w:t xml:space="preserve">and space-to-Earth directions of aeronautical VHF </w:t>
      </w:r>
      <w:r w:rsidRPr="00426B80">
        <w:rPr>
          <w:rFonts w:cstheme="minorHAnsi"/>
          <w:szCs w:val="24"/>
        </w:rPr>
        <w:lastRenderedPageBreak/>
        <w:t>communications</w:t>
      </w:r>
      <w:r w:rsidRPr="00426B80">
        <w:rPr>
          <w:rFonts w:cstheme="minorHAnsi"/>
        </w:rPr>
        <w:t xml:space="preserve"> </w:t>
      </w:r>
      <w:r w:rsidRPr="00426B80">
        <w:rPr>
          <w:rFonts w:cstheme="minorHAnsi"/>
          <w:szCs w:val="24"/>
        </w:rPr>
        <w:t>in all or part of the frequency band 117.975-137 MHz, while preventing any undue constraints on existing VHF systems operating in the AM(R)S, the ARNS, and in adjacent frequency bands;</w:t>
      </w:r>
    </w:p>
    <w:p w14:paraId="0B826510" w14:textId="77777777" w:rsidR="00A03504" w:rsidRPr="00426B80" w:rsidRDefault="00A03504" w:rsidP="00A03504">
      <w:pPr>
        <w:rPr>
          <w:rFonts w:cstheme="minorHAnsi"/>
          <w:szCs w:val="24"/>
        </w:rPr>
      </w:pPr>
      <w:r w:rsidRPr="00426B80">
        <w:rPr>
          <w:rFonts w:cstheme="minorHAnsi"/>
          <w:bCs/>
          <w:szCs w:val="24"/>
        </w:rPr>
        <w:t>1.8</w:t>
      </w:r>
      <w:r w:rsidRPr="00426B80">
        <w:rPr>
          <w:rFonts w:cstheme="minorHAnsi"/>
          <w:bCs/>
          <w:szCs w:val="24"/>
        </w:rPr>
        <w:tab/>
      </w:r>
      <w:r w:rsidRPr="00426B80">
        <w:rPr>
          <w:rFonts w:cstheme="minorHAnsi"/>
          <w:szCs w:val="24"/>
        </w:rPr>
        <w:t>to consider, on the basis of ITU</w:t>
      </w:r>
      <w:r w:rsidRPr="00426B80">
        <w:rPr>
          <w:rFonts w:cstheme="minorHAnsi"/>
          <w:szCs w:val="24"/>
        </w:rPr>
        <w:noBreakHyphen/>
        <w:t xml:space="preserve">R studies in accordance with Resolution </w:t>
      </w:r>
      <w:r w:rsidRPr="00426B80">
        <w:rPr>
          <w:rFonts w:cstheme="minorHAnsi"/>
          <w:b/>
          <w:bCs/>
          <w:szCs w:val="24"/>
        </w:rPr>
        <w:t>171</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xml:space="preserve">, appropriate regulatory actions, with a view to reviewing and, if necessary, revising Resolution </w:t>
      </w:r>
      <w:r w:rsidRPr="00426B80">
        <w:rPr>
          <w:rFonts w:cstheme="minorHAnsi"/>
          <w:b/>
          <w:szCs w:val="24"/>
        </w:rPr>
        <w:t>155 (Rev.WRC</w:t>
      </w:r>
      <w:r w:rsidRPr="00426B80">
        <w:rPr>
          <w:rFonts w:cstheme="minorHAnsi"/>
          <w:b/>
          <w:szCs w:val="24"/>
        </w:rPr>
        <w:noBreakHyphen/>
        <w:t>19)</w:t>
      </w:r>
      <w:r w:rsidRPr="00426B80">
        <w:rPr>
          <w:rFonts w:cstheme="minorHAnsi"/>
          <w:szCs w:val="24"/>
        </w:rPr>
        <w:t xml:space="preserve"> and No. </w:t>
      </w:r>
      <w:r w:rsidRPr="00426B80">
        <w:rPr>
          <w:rFonts w:cstheme="minorHAnsi"/>
          <w:b/>
          <w:szCs w:val="24"/>
        </w:rPr>
        <w:t>5.484B</w:t>
      </w:r>
      <w:r w:rsidRPr="00426B80">
        <w:rPr>
          <w:rFonts w:cstheme="minorHAnsi"/>
          <w:szCs w:val="24"/>
        </w:rPr>
        <w:t xml:space="preserve"> to accommodate the use of fixed-satellite service (FSS) networks by control and non-payload communications of unmanned aircraft systems;</w:t>
      </w:r>
    </w:p>
    <w:p w14:paraId="246BD0F5" w14:textId="77777777" w:rsidR="00A03504" w:rsidRPr="00426B80" w:rsidRDefault="00A03504" w:rsidP="00A03504">
      <w:pPr>
        <w:rPr>
          <w:rFonts w:cstheme="minorHAnsi"/>
          <w:szCs w:val="24"/>
        </w:rPr>
      </w:pPr>
      <w:r w:rsidRPr="00426B80">
        <w:rPr>
          <w:rFonts w:cstheme="minorHAnsi"/>
          <w:szCs w:val="24"/>
        </w:rPr>
        <w:t>1.9</w:t>
      </w:r>
      <w:r w:rsidRPr="00426B80">
        <w:rPr>
          <w:rFonts w:cstheme="minorHAnsi"/>
          <w:szCs w:val="24"/>
        </w:rPr>
        <w:tab/>
        <w:t>to review Appendix </w:t>
      </w:r>
      <w:r w:rsidRPr="00426B80">
        <w:rPr>
          <w:rFonts w:cstheme="minorHAnsi"/>
          <w:b/>
          <w:szCs w:val="24"/>
        </w:rPr>
        <w:t>27</w:t>
      </w:r>
      <w:r w:rsidRPr="00426B80">
        <w:rPr>
          <w:rFonts w:cstheme="minorHAnsi"/>
          <w:szCs w:val="24"/>
        </w:rPr>
        <w:t xml:space="preserve"> of the Radio Regulations and consider appropriate regulatory actions and updates based on ITU</w:t>
      </w:r>
      <w:r w:rsidRPr="00426B80">
        <w:rPr>
          <w:rFonts w:cstheme="minorHAnsi"/>
          <w:szCs w:val="24"/>
        </w:rPr>
        <w:noBreakHyphen/>
        <w:t xml:space="preserve">R studies, in order to </w:t>
      </w:r>
      <w:r w:rsidRPr="00426B80">
        <w:rPr>
          <w:rFonts w:cstheme="minorHAnsi"/>
          <w:bCs/>
          <w:szCs w:val="24"/>
        </w:rPr>
        <w:t>accommodate</w:t>
      </w:r>
      <w:r w:rsidRPr="00426B80">
        <w:rPr>
          <w:rFonts w:cstheme="minorHAnsi"/>
          <w:szCs w:val="24"/>
        </w:rPr>
        <w:t xml:space="preserve"> </w:t>
      </w:r>
      <w:r w:rsidRPr="00426B80">
        <w:rPr>
          <w:rFonts w:cstheme="minorHAnsi"/>
          <w:bCs/>
          <w:szCs w:val="24"/>
        </w:rPr>
        <w:t>digital technologies</w:t>
      </w:r>
      <w:r w:rsidRPr="00426B80" w:rsidDel="00AA4CCE">
        <w:rPr>
          <w:rFonts w:cstheme="minorHAnsi"/>
          <w:szCs w:val="24"/>
        </w:rPr>
        <w:t xml:space="preserve"> </w:t>
      </w:r>
      <w:r w:rsidRPr="00426B80">
        <w:rPr>
          <w:rFonts w:cstheme="minorHAnsi"/>
          <w:szCs w:val="24"/>
        </w:rPr>
        <w:t xml:space="preserve">for commercial aviation safety-of-life applications in existing HF bands allocated to the aeronautical mobile (route) service and ensure coexistence of current HF systems alongside modernized HF systems, in accordance with Resolution </w:t>
      </w:r>
      <w:r w:rsidRPr="00426B80">
        <w:rPr>
          <w:rFonts w:cstheme="minorHAnsi"/>
          <w:b/>
          <w:bCs/>
          <w:szCs w:val="24"/>
        </w:rPr>
        <w:t>429</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w:t>
      </w:r>
    </w:p>
    <w:p w14:paraId="573C1F0B" w14:textId="77777777" w:rsidR="00A03504" w:rsidRPr="00426B80" w:rsidRDefault="00A03504" w:rsidP="00A03504">
      <w:pPr>
        <w:rPr>
          <w:rFonts w:cstheme="minorHAnsi"/>
          <w:b/>
          <w:szCs w:val="24"/>
        </w:rPr>
      </w:pPr>
      <w:r w:rsidRPr="00426B80">
        <w:rPr>
          <w:rFonts w:cstheme="minorHAnsi"/>
          <w:szCs w:val="24"/>
        </w:rPr>
        <w:t>1.10</w:t>
      </w:r>
      <w:r w:rsidRPr="00426B80">
        <w:rPr>
          <w:rFonts w:cstheme="minorHAnsi"/>
          <w:szCs w:val="24"/>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426B80">
        <w:rPr>
          <w:rFonts w:cstheme="minorHAnsi"/>
          <w:b/>
          <w:bCs/>
          <w:szCs w:val="24"/>
        </w:rPr>
        <w:t>430</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bCs/>
          <w:szCs w:val="24"/>
        </w:rPr>
        <w:t>;</w:t>
      </w:r>
    </w:p>
    <w:p w14:paraId="387FD33F" w14:textId="77777777" w:rsidR="00A03504" w:rsidRPr="00426B80" w:rsidRDefault="00A03504" w:rsidP="00A03504">
      <w:pPr>
        <w:rPr>
          <w:rFonts w:cstheme="minorHAnsi"/>
          <w:szCs w:val="24"/>
        </w:rPr>
      </w:pPr>
      <w:r w:rsidRPr="00426B80">
        <w:rPr>
          <w:rFonts w:cstheme="minorHAnsi"/>
          <w:bCs/>
          <w:szCs w:val="24"/>
        </w:rPr>
        <w:t>1.11</w:t>
      </w:r>
      <w:r w:rsidRPr="00426B80">
        <w:rPr>
          <w:rFonts w:cstheme="minorHAnsi"/>
          <w:b/>
          <w:szCs w:val="24"/>
        </w:rPr>
        <w:tab/>
      </w:r>
      <w:r w:rsidRPr="00426B80">
        <w:rPr>
          <w:rFonts w:cstheme="minorHAnsi"/>
          <w:szCs w:val="24"/>
        </w:rPr>
        <w:t>to consider possible regulatory actions to support the modernization of the Global Maritime Distress and Safety System and the implementation of e</w:t>
      </w:r>
      <w:r w:rsidRPr="00426B80">
        <w:rPr>
          <w:rFonts w:cstheme="minorHAnsi"/>
          <w:szCs w:val="24"/>
        </w:rPr>
        <w:noBreakHyphen/>
        <w:t xml:space="preserve">navigation, in accordance with Resolution </w:t>
      </w:r>
      <w:r w:rsidRPr="00426B80">
        <w:rPr>
          <w:rFonts w:cstheme="minorHAnsi"/>
          <w:b/>
          <w:szCs w:val="24"/>
        </w:rPr>
        <w:t>361 (Rev.WRC</w:t>
      </w:r>
      <w:r w:rsidRPr="00426B80">
        <w:rPr>
          <w:rFonts w:cstheme="minorHAnsi"/>
          <w:b/>
          <w:szCs w:val="24"/>
        </w:rPr>
        <w:noBreakHyphen/>
        <w:t>19)</w:t>
      </w:r>
      <w:r w:rsidRPr="00426B80">
        <w:rPr>
          <w:rFonts w:cstheme="minorHAnsi"/>
          <w:szCs w:val="24"/>
        </w:rPr>
        <w:t>;</w:t>
      </w:r>
    </w:p>
    <w:p w14:paraId="1AD7E118" w14:textId="77777777" w:rsidR="00A03504" w:rsidRPr="00426B80" w:rsidRDefault="00A03504" w:rsidP="00A03504">
      <w:pPr>
        <w:rPr>
          <w:rFonts w:cstheme="minorHAnsi"/>
          <w:szCs w:val="24"/>
        </w:rPr>
      </w:pPr>
      <w:r w:rsidRPr="00426B80">
        <w:rPr>
          <w:rFonts w:cstheme="minorHAnsi"/>
          <w:szCs w:val="24"/>
        </w:rPr>
        <w:t>1.12</w:t>
      </w:r>
      <w:r w:rsidRPr="00426B80">
        <w:rPr>
          <w:rFonts w:cstheme="minorHAnsi"/>
          <w:szCs w:val="24"/>
        </w:rPr>
        <w:tab/>
      </w:r>
      <w:r w:rsidRPr="00426B80">
        <w:rPr>
          <w:rFonts w:eastAsia="Calibri" w:cstheme="minorHAnsi"/>
          <w:szCs w:val="24"/>
        </w:rPr>
        <w:t>to conduct, and complete in time for WRC</w:t>
      </w:r>
      <w:r w:rsidRPr="00426B80">
        <w:rPr>
          <w:rFonts w:eastAsia="Calibri" w:cstheme="minorHAnsi"/>
          <w:szCs w:val="24"/>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426B80">
        <w:rPr>
          <w:rFonts w:eastAsia="Calibri" w:cstheme="minorHAnsi"/>
          <w:b/>
          <w:szCs w:val="24"/>
        </w:rPr>
        <w:t>656 (Rev.WRC</w:t>
      </w:r>
      <w:r w:rsidRPr="00426B80">
        <w:rPr>
          <w:rFonts w:eastAsia="Calibri" w:cstheme="minorHAnsi"/>
          <w:b/>
          <w:szCs w:val="24"/>
        </w:rPr>
        <w:noBreakHyphen/>
        <w:t>19)</w:t>
      </w:r>
      <w:r w:rsidRPr="00426B80">
        <w:rPr>
          <w:rFonts w:eastAsia="Calibri" w:cstheme="minorHAnsi"/>
          <w:szCs w:val="24"/>
        </w:rPr>
        <w:t>;</w:t>
      </w:r>
    </w:p>
    <w:p w14:paraId="66E31AF3" w14:textId="77777777" w:rsidR="00A03504" w:rsidRPr="00426B80" w:rsidRDefault="00A03504" w:rsidP="00A03504">
      <w:pPr>
        <w:rPr>
          <w:rFonts w:cstheme="minorHAnsi"/>
          <w:szCs w:val="24"/>
        </w:rPr>
      </w:pPr>
      <w:r w:rsidRPr="00426B80">
        <w:rPr>
          <w:rFonts w:cstheme="minorHAnsi"/>
          <w:szCs w:val="24"/>
        </w:rPr>
        <w:t>1.13</w:t>
      </w:r>
      <w:r w:rsidRPr="00426B80">
        <w:rPr>
          <w:rFonts w:cstheme="minorHAnsi"/>
          <w:szCs w:val="24"/>
        </w:rPr>
        <w:tab/>
        <w:t xml:space="preserve">to consider a possible upgrade of the allocation of the frequency band 14.8-15.35 GHz to the space research service, in accordance with Resolution </w:t>
      </w:r>
      <w:r w:rsidRPr="00426B80">
        <w:rPr>
          <w:rFonts w:cstheme="minorHAnsi"/>
          <w:b/>
          <w:bCs/>
          <w:szCs w:val="24"/>
        </w:rPr>
        <w:t>661</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r w:rsidRPr="00426B80">
        <w:rPr>
          <w:rFonts w:cstheme="minorHAnsi"/>
          <w:szCs w:val="24"/>
        </w:rPr>
        <w:t>;</w:t>
      </w:r>
    </w:p>
    <w:p w14:paraId="318DD630" w14:textId="77777777" w:rsidR="00A03504" w:rsidRPr="00426B80" w:rsidRDefault="00A03504" w:rsidP="00A03504">
      <w:pPr>
        <w:rPr>
          <w:rFonts w:cstheme="minorHAnsi"/>
          <w:szCs w:val="24"/>
        </w:rPr>
      </w:pPr>
      <w:r w:rsidRPr="00426B80">
        <w:rPr>
          <w:rFonts w:cstheme="minorHAnsi"/>
          <w:szCs w:val="24"/>
        </w:rPr>
        <w:t>1.14</w:t>
      </w:r>
      <w:r w:rsidRPr="00426B80">
        <w:rPr>
          <w:rFonts w:cstheme="minorHAnsi"/>
          <w:szCs w:val="24"/>
        </w:rPr>
        <w:tab/>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426B80">
        <w:rPr>
          <w:rFonts w:cstheme="minorHAnsi"/>
          <w:b/>
          <w:bCs/>
          <w:szCs w:val="24"/>
        </w:rPr>
        <w:t>662</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w:t>
      </w:r>
    </w:p>
    <w:p w14:paraId="295EB738" w14:textId="77777777" w:rsidR="00A03504" w:rsidRPr="00426B80" w:rsidRDefault="00A03504" w:rsidP="00A03504">
      <w:pPr>
        <w:rPr>
          <w:rFonts w:cstheme="minorHAnsi"/>
          <w:szCs w:val="24"/>
        </w:rPr>
      </w:pPr>
      <w:r w:rsidRPr="00426B80">
        <w:rPr>
          <w:rFonts w:cstheme="minorHAnsi"/>
          <w:szCs w:val="24"/>
        </w:rPr>
        <w:t>1.15</w:t>
      </w:r>
      <w:r w:rsidRPr="00426B80">
        <w:rPr>
          <w:rFonts w:cstheme="minorHAnsi"/>
          <w:szCs w:val="24"/>
        </w:rPr>
        <w:tab/>
        <w:t xml:space="preserve">to harmonize the use of the frequency band 12.75-13.25 GHz (Earth-to-space) by earth stations on aircraft and vessels communicating with geostationary space stations in the fixed-satellite service globally, in accordance with Resolution </w:t>
      </w:r>
      <w:r w:rsidRPr="00426B80">
        <w:rPr>
          <w:rFonts w:cstheme="minorHAnsi"/>
          <w:b/>
          <w:bCs/>
          <w:szCs w:val="24"/>
        </w:rPr>
        <w:t>172</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w:t>
      </w:r>
    </w:p>
    <w:p w14:paraId="31A7B9A2" w14:textId="77777777" w:rsidR="00A03504" w:rsidRPr="00426B80" w:rsidRDefault="00A03504" w:rsidP="00A03504">
      <w:pPr>
        <w:rPr>
          <w:rFonts w:cstheme="minorHAnsi"/>
          <w:szCs w:val="24"/>
        </w:rPr>
      </w:pPr>
      <w:r w:rsidRPr="00426B80">
        <w:rPr>
          <w:rFonts w:cstheme="minorHAnsi"/>
          <w:kern w:val="2"/>
          <w:szCs w:val="24"/>
          <w:lang w:eastAsia="ja-JP"/>
        </w:rPr>
        <w:t>1.16</w:t>
      </w:r>
      <w:r w:rsidRPr="00426B80">
        <w:rPr>
          <w:rFonts w:eastAsia="SimSun" w:cstheme="minorHAnsi"/>
          <w:szCs w:val="24"/>
        </w:rPr>
        <w:tab/>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426B80">
        <w:rPr>
          <w:rFonts w:eastAsia="SimSun" w:cstheme="minorHAnsi"/>
          <w:b/>
          <w:bCs/>
          <w:szCs w:val="24"/>
        </w:rPr>
        <w:t>173</w:t>
      </w:r>
      <w:r w:rsidRPr="00426B80">
        <w:rPr>
          <w:rFonts w:eastAsia="SimSun" w:cstheme="minorHAnsi"/>
          <w:szCs w:val="24"/>
        </w:rPr>
        <w:t xml:space="preserve"> </w:t>
      </w:r>
      <w:r w:rsidRPr="00426B80">
        <w:rPr>
          <w:rFonts w:eastAsia="SimSun" w:cstheme="minorHAnsi"/>
          <w:b/>
          <w:bCs/>
          <w:szCs w:val="24"/>
        </w:rPr>
        <w:t>(WRC</w:t>
      </w:r>
      <w:r w:rsidRPr="00426B80">
        <w:rPr>
          <w:rFonts w:eastAsia="SimSun" w:cstheme="minorHAnsi"/>
          <w:b/>
          <w:bCs/>
          <w:szCs w:val="24"/>
        </w:rPr>
        <w:noBreakHyphen/>
        <w:t>19)</w:t>
      </w:r>
      <w:r w:rsidRPr="00426B80">
        <w:rPr>
          <w:rFonts w:eastAsia="SimSun" w:cstheme="minorHAnsi"/>
          <w:szCs w:val="24"/>
        </w:rPr>
        <w:t>;</w:t>
      </w:r>
    </w:p>
    <w:p w14:paraId="0A8950F9" w14:textId="77777777" w:rsidR="00A03504" w:rsidRPr="00426B80" w:rsidRDefault="00A03504" w:rsidP="00A03504">
      <w:pPr>
        <w:rPr>
          <w:rFonts w:cstheme="minorHAnsi"/>
          <w:szCs w:val="24"/>
        </w:rPr>
      </w:pPr>
      <w:r w:rsidRPr="00426B80">
        <w:rPr>
          <w:rFonts w:cstheme="minorHAnsi"/>
          <w:szCs w:val="24"/>
        </w:rPr>
        <w:t>1.17</w:t>
      </w:r>
      <w:r w:rsidRPr="00426B80">
        <w:rPr>
          <w:rFonts w:cstheme="minorHAnsi"/>
          <w:szCs w:val="24"/>
        </w:rPr>
        <w:tab/>
        <w:t>to determine and carry out, on the basis of the ITU</w:t>
      </w:r>
      <w:r w:rsidRPr="00426B80">
        <w:rPr>
          <w:rFonts w:cstheme="minorHAnsi"/>
          <w:szCs w:val="24"/>
        </w:rPr>
        <w:noBreakHyphen/>
        <w:t>R studies in</w:t>
      </w:r>
      <w:r w:rsidRPr="00426B80">
        <w:rPr>
          <w:rFonts w:cstheme="minorHAnsi"/>
          <w:spacing w:val="-8"/>
          <w:szCs w:val="24"/>
        </w:rPr>
        <w:t xml:space="preserve"> </w:t>
      </w:r>
      <w:r w:rsidRPr="00426B80">
        <w:rPr>
          <w:rFonts w:cstheme="minorHAnsi"/>
          <w:szCs w:val="24"/>
        </w:rPr>
        <w:t>accordance</w:t>
      </w:r>
      <w:r w:rsidRPr="00426B80">
        <w:rPr>
          <w:rFonts w:cstheme="minorHAnsi"/>
          <w:spacing w:val="-2"/>
          <w:szCs w:val="24"/>
        </w:rPr>
        <w:t xml:space="preserve"> </w:t>
      </w:r>
      <w:r w:rsidRPr="00426B80">
        <w:rPr>
          <w:rFonts w:cstheme="minorHAnsi"/>
          <w:szCs w:val="24"/>
        </w:rPr>
        <w:t xml:space="preserve">with Resolution </w:t>
      </w:r>
      <w:r w:rsidRPr="00426B80">
        <w:rPr>
          <w:rFonts w:cstheme="minorHAnsi"/>
          <w:b/>
          <w:bCs/>
          <w:szCs w:val="24"/>
        </w:rPr>
        <w:t>773</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the appropriate regulatory actions for the provision of inter-satellite links in specific frequency bands, or portions thereof, by adding an inter-satellite service allocation where appropriate;</w:t>
      </w:r>
    </w:p>
    <w:p w14:paraId="50F4211F" w14:textId="77777777" w:rsidR="00A03504" w:rsidRPr="00426B80" w:rsidRDefault="00A03504" w:rsidP="00A03504">
      <w:pPr>
        <w:rPr>
          <w:rFonts w:cstheme="minorHAnsi"/>
          <w:szCs w:val="24"/>
        </w:rPr>
      </w:pPr>
      <w:r w:rsidRPr="00426B80">
        <w:rPr>
          <w:rFonts w:cstheme="minorHAnsi"/>
          <w:szCs w:val="24"/>
        </w:rPr>
        <w:t>1.18</w:t>
      </w:r>
      <w:r w:rsidRPr="00426B80">
        <w:rPr>
          <w:rFonts w:cstheme="minorHAnsi"/>
          <w:szCs w:val="24"/>
        </w:rPr>
        <w:tab/>
        <w:t xml:space="preserve">to consider studies relating to spectrum needs and potential new allocations to the mobile-satellite service for future development of narrowband mobile-satellite systems, in accordance with Resolution </w:t>
      </w:r>
      <w:r w:rsidRPr="00426B80">
        <w:rPr>
          <w:rFonts w:cstheme="minorHAnsi"/>
          <w:b/>
          <w:bCs/>
          <w:szCs w:val="24"/>
        </w:rPr>
        <w:t>248</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r w:rsidRPr="00426B80">
        <w:rPr>
          <w:rFonts w:cstheme="minorHAnsi"/>
          <w:szCs w:val="24"/>
        </w:rPr>
        <w:t>;</w:t>
      </w:r>
    </w:p>
    <w:p w14:paraId="40A772BC" w14:textId="77777777" w:rsidR="00A03504" w:rsidRPr="00426B80" w:rsidRDefault="00A03504" w:rsidP="00A03504">
      <w:pPr>
        <w:rPr>
          <w:rFonts w:cstheme="minorHAnsi"/>
          <w:szCs w:val="24"/>
        </w:rPr>
      </w:pPr>
      <w:r w:rsidRPr="00426B80">
        <w:rPr>
          <w:rFonts w:cstheme="minorHAnsi"/>
          <w:szCs w:val="24"/>
        </w:rPr>
        <w:t>1.19</w:t>
      </w:r>
      <w:r w:rsidRPr="00426B80">
        <w:rPr>
          <w:rFonts w:cstheme="minorHAnsi"/>
          <w:b/>
          <w:szCs w:val="24"/>
        </w:rPr>
        <w:tab/>
      </w:r>
      <w:r w:rsidRPr="00426B80">
        <w:rPr>
          <w:rFonts w:cstheme="minorHAnsi"/>
          <w:szCs w:val="24"/>
        </w:rPr>
        <w:t xml:space="preserve">to consider a new primary allocation to the fixed-satellite service in the space-to-Earth direction in the frequency band 17.3-17.7 GHz in Region 2, while protecting existing primary services in the band, in accordance with Resolution </w:t>
      </w:r>
      <w:r w:rsidRPr="00426B80">
        <w:rPr>
          <w:rFonts w:cstheme="minorHAnsi"/>
          <w:b/>
          <w:bCs/>
          <w:szCs w:val="24"/>
        </w:rPr>
        <w:t>174</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bCs/>
          <w:szCs w:val="24"/>
        </w:rPr>
        <w:t>;</w:t>
      </w:r>
    </w:p>
    <w:p w14:paraId="72E97348" w14:textId="77777777" w:rsidR="00A03504" w:rsidRPr="00426B80" w:rsidRDefault="00A03504" w:rsidP="00A03504">
      <w:pPr>
        <w:rPr>
          <w:rFonts w:cstheme="minorHAnsi"/>
          <w:szCs w:val="24"/>
        </w:rPr>
      </w:pPr>
      <w:r w:rsidRPr="00426B80">
        <w:rPr>
          <w:rFonts w:cstheme="minorHAnsi"/>
          <w:szCs w:val="24"/>
        </w:rPr>
        <w:t>2</w:t>
      </w:r>
      <w:r w:rsidRPr="00426B80">
        <w:rPr>
          <w:rFonts w:cstheme="minorHAnsi"/>
          <w:szCs w:val="24"/>
        </w:rPr>
        <w:tab/>
        <w:t>to examine the revised ITU</w:t>
      </w:r>
      <w:r w:rsidRPr="00426B80">
        <w:rPr>
          <w:rFonts w:cstheme="minorHAnsi"/>
          <w:szCs w:val="24"/>
        </w:rPr>
        <w:noBreakHyphen/>
        <w:t xml:space="preserve">R Recommendations incorporated by reference in the Radio Regulations communicated by the Radiocommunication Assembly, in accordance with </w:t>
      </w:r>
      <w:r w:rsidRPr="00426B80">
        <w:rPr>
          <w:rFonts w:cstheme="minorHAnsi"/>
          <w:i/>
          <w:iCs/>
          <w:szCs w:val="24"/>
        </w:rPr>
        <w:t>further</w:t>
      </w:r>
      <w:r w:rsidRPr="00426B80">
        <w:rPr>
          <w:rFonts w:cstheme="minorHAnsi"/>
          <w:szCs w:val="24"/>
        </w:rPr>
        <w:t xml:space="preserve"> </w:t>
      </w:r>
      <w:r w:rsidRPr="00426B80">
        <w:rPr>
          <w:rFonts w:cstheme="minorHAnsi"/>
          <w:i/>
          <w:iCs/>
          <w:szCs w:val="24"/>
        </w:rPr>
        <w:t xml:space="preserve">resolves </w:t>
      </w:r>
      <w:r w:rsidRPr="00426B80">
        <w:rPr>
          <w:rFonts w:cstheme="minorHAnsi"/>
          <w:szCs w:val="24"/>
        </w:rPr>
        <w:t>of Resolution </w:t>
      </w:r>
      <w:r w:rsidRPr="00426B80">
        <w:rPr>
          <w:rFonts w:cstheme="minorHAnsi"/>
          <w:b/>
          <w:bCs/>
          <w:szCs w:val="24"/>
        </w:rPr>
        <w:t>27</w:t>
      </w:r>
      <w:r w:rsidRPr="00426B80">
        <w:rPr>
          <w:rFonts w:cstheme="minorHAnsi"/>
          <w:b/>
          <w:szCs w:val="24"/>
        </w:rPr>
        <w:t xml:space="preserve"> </w:t>
      </w:r>
      <w:r w:rsidRPr="00426B80">
        <w:rPr>
          <w:rFonts w:cstheme="minorHAnsi"/>
          <w:b/>
          <w:szCs w:val="24"/>
        </w:rPr>
        <w:lastRenderedPageBreak/>
        <w:t>(Rev.WRC</w:t>
      </w:r>
      <w:r w:rsidRPr="00426B80">
        <w:rPr>
          <w:rFonts w:cstheme="minorHAnsi"/>
          <w:b/>
          <w:szCs w:val="24"/>
        </w:rPr>
        <w:noBreakHyphen/>
        <w:t>19)</w:t>
      </w:r>
      <w:r w:rsidRPr="00426B80">
        <w:rPr>
          <w:rFonts w:cstheme="minorHAnsi"/>
          <w:szCs w:val="24"/>
        </w:rPr>
        <w:t xml:space="preserve">, and to decide whether or not to update the corresponding references in the Radio Regulations, in accordance with the principles contained in </w:t>
      </w:r>
      <w:r w:rsidRPr="00426B80">
        <w:rPr>
          <w:rFonts w:cstheme="minorHAnsi"/>
          <w:i/>
          <w:iCs/>
          <w:szCs w:val="24"/>
        </w:rPr>
        <w:t>resolves</w:t>
      </w:r>
      <w:r w:rsidRPr="00426B80">
        <w:rPr>
          <w:rFonts w:cstheme="minorHAnsi"/>
          <w:szCs w:val="24"/>
        </w:rPr>
        <w:t xml:space="preserve"> of that Resolution;</w:t>
      </w:r>
    </w:p>
    <w:p w14:paraId="00F87AF6" w14:textId="77777777" w:rsidR="00A03504" w:rsidRPr="00426B80" w:rsidRDefault="00A03504" w:rsidP="00A03504">
      <w:pPr>
        <w:rPr>
          <w:rFonts w:cstheme="minorHAnsi"/>
          <w:szCs w:val="24"/>
        </w:rPr>
      </w:pPr>
      <w:r w:rsidRPr="00426B80">
        <w:rPr>
          <w:rFonts w:cstheme="minorHAnsi"/>
          <w:szCs w:val="24"/>
        </w:rPr>
        <w:t>3</w:t>
      </w:r>
      <w:r w:rsidRPr="00426B80">
        <w:rPr>
          <w:rFonts w:cstheme="minorHAnsi"/>
          <w:szCs w:val="24"/>
        </w:rPr>
        <w:tab/>
        <w:t>to consider such consequential changes and amendments to the Radio Regulations as may be necessitated by the decisions of the conference;</w:t>
      </w:r>
    </w:p>
    <w:p w14:paraId="5791CEC3" w14:textId="77777777" w:rsidR="00A03504" w:rsidRPr="00426B80" w:rsidRDefault="00A03504" w:rsidP="00A03504">
      <w:pPr>
        <w:rPr>
          <w:rFonts w:cstheme="minorHAnsi"/>
          <w:color w:val="000000" w:themeColor="text1"/>
          <w:szCs w:val="24"/>
        </w:rPr>
      </w:pPr>
      <w:r w:rsidRPr="00426B80">
        <w:rPr>
          <w:rFonts w:cstheme="minorHAnsi"/>
          <w:szCs w:val="24"/>
        </w:rPr>
        <w:t>4</w:t>
      </w:r>
      <w:r w:rsidRPr="00426B80">
        <w:rPr>
          <w:rFonts w:cstheme="minorHAnsi"/>
          <w:szCs w:val="24"/>
        </w:rPr>
        <w:tab/>
        <w:t>in accordance with Resolution </w:t>
      </w:r>
      <w:r w:rsidRPr="00426B80">
        <w:rPr>
          <w:rFonts w:cstheme="minorHAnsi"/>
          <w:b/>
          <w:bCs/>
          <w:szCs w:val="24"/>
        </w:rPr>
        <w:t>95 (Rev.WRC</w:t>
      </w:r>
      <w:r w:rsidRPr="00426B80">
        <w:rPr>
          <w:rFonts w:cstheme="minorHAnsi"/>
          <w:b/>
          <w:bCs/>
          <w:szCs w:val="24"/>
        </w:rPr>
        <w:noBreakHyphen/>
        <w:t>19)</w:t>
      </w:r>
      <w:r w:rsidRPr="00426B80">
        <w:rPr>
          <w:rFonts w:cstheme="minorHAnsi"/>
          <w:szCs w:val="24"/>
        </w:rPr>
        <w:t xml:space="preserve">, to review the Resolutions and Recommendations of previous conferences with a view to their possible revision, replacement or </w:t>
      </w:r>
      <w:proofErr w:type="gramStart"/>
      <w:r w:rsidRPr="00426B80">
        <w:rPr>
          <w:rFonts w:cstheme="minorHAnsi"/>
          <w:szCs w:val="24"/>
        </w:rPr>
        <w:t>abrogation;</w:t>
      </w:r>
      <w:proofErr w:type="gramEnd"/>
    </w:p>
    <w:p w14:paraId="0FB5ECCE" w14:textId="77777777" w:rsidR="00A03504" w:rsidRPr="00426B80" w:rsidRDefault="00A03504" w:rsidP="00A03504">
      <w:pPr>
        <w:rPr>
          <w:rFonts w:cstheme="minorHAnsi"/>
          <w:szCs w:val="24"/>
        </w:rPr>
      </w:pPr>
      <w:r w:rsidRPr="00426B80">
        <w:rPr>
          <w:rFonts w:cstheme="minorHAnsi"/>
          <w:szCs w:val="24"/>
        </w:rPr>
        <w:t>5</w:t>
      </w:r>
      <w:r w:rsidRPr="00426B80">
        <w:rPr>
          <w:rFonts w:cstheme="minorHAnsi"/>
          <w:szCs w:val="24"/>
        </w:rPr>
        <w:tab/>
        <w:t>to review, and take appropriate action on, the Report from the Radiocommunication Assembly submitted in accordance with Nos. 135 and 136 of the Convention;</w:t>
      </w:r>
    </w:p>
    <w:p w14:paraId="514A513C" w14:textId="77777777" w:rsidR="00A03504" w:rsidRPr="00426B80" w:rsidRDefault="00A03504" w:rsidP="00A03504">
      <w:pPr>
        <w:rPr>
          <w:rFonts w:cstheme="minorHAnsi"/>
          <w:szCs w:val="24"/>
        </w:rPr>
      </w:pPr>
      <w:r w:rsidRPr="00426B80">
        <w:rPr>
          <w:rFonts w:cstheme="minorHAnsi"/>
          <w:szCs w:val="24"/>
        </w:rPr>
        <w:t>6</w:t>
      </w:r>
      <w:r w:rsidRPr="00426B80">
        <w:rPr>
          <w:rFonts w:cstheme="minorHAnsi"/>
          <w:szCs w:val="24"/>
        </w:rPr>
        <w:tab/>
        <w:t>to identify those items requiring urgent action by the radiocommunication study groups in preparation for the next world radiocommunication conference;</w:t>
      </w:r>
    </w:p>
    <w:p w14:paraId="2B1B3FB1" w14:textId="77777777" w:rsidR="00A03504" w:rsidRPr="00426B80" w:rsidRDefault="00A03504" w:rsidP="00A03504">
      <w:pPr>
        <w:rPr>
          <w:rFonts w:cstheme="minorHAnsi"/>
          <w:szCs w:val="24"/>
        </w:rPr>
      </w:pPr>
      <w:r w:rsidRPr="00426B80">
        <w:rPr>
          <w:rFonts w:cstheme="minorHAnsi"/>
          <w:szCs w:val="24"/>
        </w:rPr>
        <w:t>7</w:t>
      </w:r>
      <w:r w:rsidRPr="00426B80">
        <w:rPr>
          <w:rFonts w:cstheme="minorHAnsi"/>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6B80">
        <w:rPr>
          <w:rFonts w:cstheme="minorHAnsi"/>
          <w:b/>
          <w:szCs w:val="24"/>
        </w:rPr>
        <w:t>86</w:t>
      </w:r>
      <w:r w:rsidRPr="00426B80">
        <w:rPr>
          <w:rFonts w:cstheme="minorHAnsi"/>
          <w:szCs w:val="24"/>
        </w:rPr>
        <w:t xml:space="preserve"> </w:t>
      </w:r>
      <w:r w:rsidRPr="00426B80">
        <w:rPr>
          <w:rFonts w:cstheme="minorHAnsi"/>
          <w:b/>
          <w:szCs w:val="24"/>
        </w:rPr>
        <w:t>(Rev.WRC</w:t>
      </w:r>
      <w:r w:rsidRPr="00426B80">
        <w:rPr>
          <w:rFonts w:cstheme="minorHAnsi"/>
          <w:b/>
          <w:szCs w:val="24"/>
        </w:rPr>
        <w:noBreakHyphen/>
        <w:t>07)</w:t>
      </w:r>
      <w:r w:rsidRPr="00426B80">
        <w:rPr>
          <w:rFonts w:cstheme="minorHAnsi"/>
          <w:bCs/>
          <w:szCs w:val="24"/>
        </w:rPr>
        <w:t>, in order to facilitate the rational, efficient and economical use of radio frequencies and any associated orbits, including the geostationary-satellite orbit;</w:t>
      </w:r>
    </w:p>
    <w:p w14:paraId="4F673B6C" w14:textId="77777777" w:rsidR="00A03504" w:rsidRPr="00426B80" w:rsidRDefault="00A03504" w:rsidP="00A03504">
      <w:pPr>
        <w:rPr>
          <w:rFonts w:cstheme="minorHAnsi"/>
          <w:szCs w:val="24"/>
        </w:rPr>
      </w:pPr>
      <w:r w:rsidRPr="00426B80">
        <w:rPr>
          <w:rFonts w:cstheme="minorHAnsi"/>
          <w:szCs w:val="24"/>
        </w:rPr>
        <w:t>8</w:t>
      </w:r>
      <w:r w:rsidRPr="00426B80">
        <w:rPr>
          <w:rFonts w:cstheme="minorHAnsi"/>
          <w:szCs w:val="24"/>
        </w:rPr>
        <w:tab/>
        <w:t>to consider and take appropriate action on requests from administrations to delete their country footnotes or to have their country name deleted from footnotes, if no longer required, taking into account Resolution </w:t>
      </w:r>
      <w:r w:rsidRPr="00426B80">
        <w:rPr>
          <w:rFonts w:cstheme="minorHAnsi"/>
          <w:b/>
          <w:bCs/>
          <w:szCs w:val="24"/>
        </w:rPr>
        <w:t>26 (Rev.WRC</w:t>
      </w:r>
      <w:r w:rsidRPr="00426B80">
        <w:rPr>
          <w:rFonts w:cstheme="minorHAnsi"/>
          <w:b/>
          <w:bCs/>
          <w:szCs w:val="24"/>
        </w:rPr>
        <w:noBreakHyphen/>
        <w:t>19</w:t>
      </w:r>
      <w:proofErr w:type="gramStart"/>
      <w:r w:rsidRPr="00426B80">
        <w:rPr>
          <w:rFonts w:cstheme="minorHAnsi"/>
          <w:b/>
          <w:bCs/>
          <w:szCs w:val="24"/>
        </w:rPr>
        <w:t>)</w:t>
      </w:r>
      <w:r w:rsidRPr="00426B80">
        <w:rPr>
          <w:rFonts w:cstheme="minorHAnsi"/>
          <w:bCs/>
          <w:szCs w:val="24"/>
        </w:rPr>
        <w:t>;</w:t>
      </w:r>
      <w:proofErr w:type="gramEnd"/>
    </w:p>
    <w:p w14:paraId="465F7B12" w14:textId="77777777" w:rsidR="00A03504" w:rsidRPr="00426B80" w:rsidRDefault="00A03504" w:rsidP="00A03504">
      <w:pPr>
        <w:rPr>
          <w:rFonts w:cstheme="minorHAnsi"/>
          <w:szCs w:val="24"/>
        </w:rPr>
      </w:pPr>
      <w:r w:rsidRPr="00426B80">
        <w:rPr>
          <w:rFonts w:cstheme="minorHAnsi"/>
          <w:szCs w:val="24"/>
        </w:rPr>
        <w:t>9</w:t>
      </w:r>
      <w:r w:rsidRPr="00426B80">
        <w:rPr>
          <w:rFonts w:cstheme="minorHAnsi"/>
          <w:szCs w:val="24"/>
        </w:rPr>
        <w:tab/>
        <w:t>to consider and approve the Report of the Director of the Radiocommunication Bureau, in accordance with Article 7 of the Convention</w:t>
      </w:r>
      <w:r w:rsidRPr="00426B80">
        <w:rPr>
          <w:rFonts w:cstheme="minorHAnsi"/>
          <w:bCs/>
          <w:szCs w:val="24"/>
        </w:rPr>
        <w:t>;</w:t>
      </w:r>
    </w:p>
    <w:p w14:paraId="58013D66" w14:textId="77777777" w:rsidR="00A03504" w:rsidRPr="00426B80" w:rsidRDefault="00A03504" w:rsidP="00A03504">
      <w:pPr>
        <w:keepNext/>
        <w:rPr>
          <w:rFonts w:cstheme="minorHAnsi"/>
          <w:szCs w:val="24"/>
        </w:rPr>
      </w:pPr>
      <w:r w:rsidRPr="00426B80">
        <w:rPr>
          <w:rFonts w:cstheme="minorHAnsi"/>
          <w:szCs w:val="24"/>
        </w:rPr>
        <w:t>9.1</w:t>
      </w:r>
      <w:r w:rsidRPr="00426B80">
        <w:rPr>
          <w:rFonts w:cstheme="minorHAnsi"/>
          <w:szCs w:val="24"/>
        </w:rPr>
        <w:tab/>
        <w:t>on the activities of the Radiocommunication Sector since WRC</w:t>
      </w:r>
      <w:r w:rsidRPr="00426B80">
        <w:rPr>
          <w:rFonts w:cstheme="minorHAnsi"/>
          <w:szCs w:val="24"/>
        </w:rPr>
        <w:noBreakHyphen/>
        <w:t>19:</w:t>
      </w:r>
    </w:p>
    <w:p w14:paraId="429D666B" w14:textId="77777777" w:rsidR="00A03504" w:rsidRPr="00426B80" w:rsidRDefault="00A03504" w:rsidP="00A03504">
      <w:pPr>
        <w:pStyle w:val="enumlev1"/>
        <w:rPr>
          <w:rFonts w:cstheme="minorHAnsi"/>
          <w:szCs w:val="24"/>
        </w:rPr>
      </w:pPr>
      <w:r w:rsidRPr="00426B80">
        <w:rPr>
          <w:rFonts w:cstheme="minorHAnsi"/>
          <w:szCs w:val="24"/>
        </w:rPr>
        <w:t>–</w:t>
      </w:r>
      <w:r w:rsidRPr="00426B80">
        <w:rPr>
          <w:rFonts w:cstheme="minorHAnsi"/>
          <w:szCs w:val="24"/>
        </w:rPr>
        <w:tab/>
        <w:t xml:space="preserve">In accordance with Resolution </w:t>
      </w:r>
      <w:r w:rsidRPr="00426B80">
        <w:rPr>
          <w:rFonts w:cstheme="minorHAnsi"/>
          <w:b/>
          <w:szCs w:val="24"/>
        </w:rPr>
        <w:t>657 (Rev.WRC</w:t>
      </w:r>
      <w:r w:rsidRPr="00426B80">
        <w:rPr>
          <w:rFonts w:cstheme="minorHAnsi"/>
          <w:b/>
          <w:szCs w:val="24"/>
        </w:rPr>
        <w:noBreakHyphen/>
        <w:t>19)</w:t>
      </w:r>
      <w:r w:rsidRPr="00426B80">
        <w:rPr>
          <w:rFonts w:cstheme="minorHAnsi"/>
          <w:szCs w:val="2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2B6EF415" w14:textId="77777777" w:rsidR="00A03504" w:rsidRPr="00426B80" w:rsidRDefault="00A03504" w:rsidP="00A03504">
      <w:pPr>
        <w:pStyle w:val="enumlev1"/>
        <w:rPr>
          <w:rFonts w:cstheme="minorHAnsi"/>
          <w:bCs/>
          <w:szCs w:val="24"/>
          <w:lang w:eastAsia="nl-NL"/>
        </w:rPr>
      </w:pPr>
      <w:r w:rsidRPr="00426B80">
        <w:rPr>
          <w:rFonts w:cstheme="minorHAnsi"/>
          <w:szCs w:val="24"/>
        </w:rPr>
        <w:t>–</w:t>
      </w:r>
      <w:r w:rsidRPr="00426B80">
        <w:rPr>
          <w:rFonts w:cstheme="minorHAnsi"/>
          <w:szCs w:val="24"/>
        </w:rPr>
        <w:tab/>
        <w:t>Review of the amateur service and the amateur-satellite service allocations in the frequency band 1 240</w:t>
      </w:r>
      <w:r w:rsidRPr="00426B80">
        <w:rPr>
          <w:rFonts w:cstheme="minorHAnsi"/>
          <w:szCs w:val="24"/>
        </w:rPr>
        <w:noBreakHyphen/>
        <w:t xml:space="preserve">1 300 MHz to determine if additional measures are required to ensure protection of the </w:t>
      </w:r>
      <w:proofErr w:type="spellStart"/>
      <w:r w:rsidRPr="00426B80">
        <w:rPr>
          <w:rFonts w:cstheme="minorHAnsi"/>
          <w:szCs w:val="24"/>
        </w:rPr>
        <w:t>radionavigation</w:t>
      </w:r>
      <w:proofErr w:type="spellEnd"/>
      <w:r w:rsidRPr="00426B80">
        <w:rPr>
          <w:rFonts w:cstheme="minorHAnsi"/>
          <w:szCs w:val="24"/>
        </w:rPr>
        <w:t xml:space="preserve">-satellite (space-to-Earth) service operating in the same band </w:t>
      </w:r>
      <w:r w:rsidRPr="00426B80">
        <w:rPr>
          <w:rFonts w:cstheme="minorHAnsi"/>
          <w:szCs w:val="24"/>
          <w:lang w:eastAsia="nl-NL"/>
        </w:rPr>
        <w:t xml:space="preserve">in accordance with Resolution </w:t>
      </w:r>
      <w:r w:rsidRPr="00426B80">
        <w:rPr>
          <w:rFonts w:cstheme="minorHAnsi"/>
          <w:b/>
          <w:bCs/>
          <w:szCs w:val="24"/>
          <w:lang w:eastAsia="nl-NL"/>
        </w:rPr>
        <w:t xml:space="preserve">774 </w:t>
      </w:r>
      <w:r w:rsidRPr="00426B80">
        <w:rPr>
          <w:rFonts w:cstheme="minorHAnsi"/>
          <w:b/>
          <w:szCs w:val="24"/>
          <w:lang w:eastAsia="nl-NL"/>
        </w:rPr>
        <w:t>(WRC</w:t>
      </w:r>
      <w:r w:rsidRPr="00426B80">
        <w:rPr>
          <w:rFonts w:cstheme="minorHAnsi"/>
          <w:b/>
          <w:szCs w:val="24"/>
          <w:lang w:eastAsia="nl-NL"/>
        </w:rPr>
        <w:noBreakHyphen/>
        <w:t>19)</w:t>
      </w:r>
      <w:r w:rsidRPr="00426B80">
        <w:rPr>
          <w:rFonts w:cstheme="minorHAnsi"/>
          <w:bCs/>
          <w:szCs w:val="24"/>
          <w:lang w:eastAsia="nl-NL"/>
        </w:rPr>
        <w:t>;</w:t>
      </w:r>
    </w:p>
    <w:p w14:paraId="5A96A1F8" w14:textId="77777777" w:rsidR="00A03504" w:rsidRPr="00426B80" w:rsidRDefault="00A03504" w:rsidP="00A03504">
      <w:pPr>
        <w:pStyle w:val="enumlev1"/>
        <w:rPr>
          <w:rFonts w:cstheme="minorHAnsi"/>
          <w:szCs w:val="24"/>
        </w:rPr>
      </w:pPr>
      <w:r w:rsidRPr="00426B80">
        <w:rPr>
          <w:rFonts w:cstheme="minorHAnsi"/>
          <w:bCs/>
          <w:szCs w:val="24"/>
          <w:lang w:eastAsia="nl-NL"/>
        </w:rPr>
        <w:t>–</w:t>
      </w:r>
      <w:r w:rsidRPr="00426B80">
        <w:rPr>
          <w:rFonts w:cstheme="minorHAnsi"/>
          <w:bCs/>
          <w:szCs w:val="24"/>
          <w:lang w:eastAsia="nl-NL"/>
        </w:rPr>
        <w:tab/>
        <w:t>S</w:t>
      </w:r>
      <w:r w:rsidRPr="00426B80">
        <w:rPr>
          <w:rFonts w:cstheme="minorHAnsi"/>
          <w:szCs w:val="24"/>
        </w:rPr>
        <w:t xml:space="preserve">tudy the use of International Mobile Telecommunication system for fixed wireless broadband in the frequency bands allocated to the fixed services on primary basis, in accordance with Resolution </w:t>
      </w:r>
      <w:r w:rsidRPr="00426B80">
        <w:rPr>
          <w:rFonts w:cstheme="minorHAnsi"/>
          <w:b/>
          <w:bCs/>
          <w:szCs w:val="24"/>
        </w:rPr>
        <w:t>175</w:t>
      </w:r>
      <w:r w:rsidRPr="00426B80">
        <w:rPr>
          <w:rFonts w:cstheme="minorHAnsi"/>
          <w:szCs w:val="24"/>
        </w:rPr>
        <w:t xml:space="preserve"> </w:t>
      </w:r>
      <w:r w:rsidRPr="00426B80">
        <w:rPr>
          <w:rFonts w:cstheme="minorHAnsi"/>
          <w:b/>
          <w:bCs/>
          <w:szCs w:val="24"/>
        </w:rPr>
        <w:t>(WRC</w:t>
      </w:r>
      <w:r w:rsidRPr="00426B80">
        <w:rPr>
          <w:rFonts w:cstheme="minorHAnsi"/>
          <w:b/>
          <w:bCs/>
          <w:szCs w:val="24"/>
        </w:rPr>
        <w:noBreakHyphen/>
        <w:t>19)</w:t>
      </w:r>
      <w:r w:rsidRPr="00426B80">
        <w:rPr>
          <w:rFonts w:cstheme="minorHAnsi"/>
          <w:szCs w:val="24"/>
        </w:rPr>
        <w:t>;</w:t>
      </w:r>
    </w:p>
    <w:p w14:paraId="5FD086DA" w14:textId="77777777" w:rsidR="00A03504" w:rsidRPr="00426B80" w:rsidRDefault="00A03504" w:rsidP="00A03504">
      <w:pPr>
        <w:rPr>
          <w:rFonts w:cstheme="minorHAnsi"/>
          <w:szCs w:val="24"/>
        </w:rPr>
      </w:pPr>
      <w:r w:rsidRPr="00426B80">
        <w:rPr>
          <w:rFonts w:cstheme="minorHAnsi"/>
          <w:szCs w:val="24"/>
        </w:rPr>
        <w:t>9.2</w:t>
      </w:r>
      <w:r w:rsidRPr="00426B80">
        <w:rPr>
          <w:rFonts w:cstheme="minorHAnsi"/>
          <w:szCs w:val="24"/>
        </w:rPr>
        <w:tab/>
        <w:t>on any difficulties or inconsistencies encountered in the application of the Radio Regulations; and</w:t>
      </w:r>
      <w:r w:rsidRPr="00426B80">
        <w:rPr>
          <w:rStyle w:val="FootnoteReference"/>
          <w:rFonts w:asciiTheme="minorHAnsi" w:hAnsiTheme="minorHAnsi" w:cstheme="minorHAnsi"/>
        </w:rPr>
        <w:footnoteReference w:customMarkFollows="1" w:id="1"/>
        <w:t>1</w:t>
      </w:r>
    </w:p>
    <w:p w14:paraId="5DD23847" w14:textId="77777777" w:rsidR="00A03504" w:rsidRPr="00426B80" w:rsidRDefault="00A03504" w:rsidP="00A03504">
      <w:pPr>
        <w:rPr>
          <w:rFonts w:cstheme="minorHAnsi"/>
          <w:szCs w:val="24"/>
        </w:rPr>
      </w:pPr>
      <w:r w:rsidRPr="00426B80">
        <w:rPr>
          <w:rFonts w:cstheme="minorHAnsi"/>
          <w:szCs w:val="24"/>
        </w:rPr>
        <w:t>9.3</w:t>
      </w:r>
      <w:r w:rsidRPr="00426B80">
        <w:rPr>
          <w:rFonts w:cstheme="minorHAnsi"/>
          <w:szCs w:val="24"/>
        </w:rPr>
        <w:tab/>
        <w:t>on action in response to Resolution </w:t>
      </w:r>
      <w:r w:rsidRPr="00426B80">
        <w:rPr>
          <w:rFonts w:cstheme="minorHAnsi"/>
          <w:b/>
          <w:bCs/>
          <w:szCs w:val="24"/>
        </w:rPr>
        <w:t>80 (Rev.WRC</w:t>
      </w:r>
      <w:r w:rsidRPr="00426B80">
        <w:rPr>
          <w:rFonts w:cstheme="minorHAnsi"/>
          <w:b/>
          <w:bCs/>
          <w:szCs w:val="24"/>
        </w:rPr>
        <w:noBreakHyphen/>
      </w:r>
      <w:r w:rsidRPr="00426B80">
        <w:rPr>
          <w:rFonts w:cstheme="minorHAnsi"/>
          <w:b/>
          <w:bCs/>
          <w:iCs/>
          <w:szCs w:val="24"/>
        </w:rPr>
        <w:t>07</w:t>
      </w:r>
      <w:r w:rsidRPr="00426B80">
        <w:rPr>
          <w:rFonts w:cstheme="minorHAnsi"/>
          <w:b/>
          <w:bCs/>
          <w:szCs w:val="24"/>
        </w:rPr>
        <w:t>)</w:t>
      </w:r>
      <w:r w:rsidRPr="00426B80">
        <w:rPr>
          <w:rFonts w:cstheme="minorHAnsi"/>
          <w:szCs w:val="24"/>
        </w:rPr>
        <w:t>;</w:t>
      </w:r>
    </w:p>
    <w:p w14:paraId="64C5E8E3" w14:textId="77777777" w:rsidR="00A03504" w:rsidRPr="00426B80" w:rsidRDefault="00A03504" w:rsidP="00A03504">
      <w:pPr>
        <w:rPr>
          <w:rFonts w:cstheme="minorHAnsi"/>
          <w:szCs w:val="24"/>
        </w:rPr>
      </w:pPr>
      <w:r w:rsidRPr="00426B80">
        <w:rPr>
          <w:rFonts w:cstheme="minorHAnsi"/>
          <w:szCs w:val="24"/>
        </w:rPr>
        <w:t>10</w:t>
      </w:r>
      <w:r w:rsidRPr="00426B80">
        <w:rPr>
          <w:rFonts w:cstheme="minorHAnsi"/>
          <w:b/>
          <w:bCs/>
          <w:szCs w:val="24"/>
        </w:rPr>
        <w:tab/>
      </w:r>
      <w:r w:rsidRPr="00426B80">
        <w:rPr>
          <w:rFonts w:cstheme="minorHAnsi"/>
          <w:szCs w:val="24"/>
        </w:rPr>
        <w:t xml:space="preserve">to recommend to the Council items for inclusion in the agenda for the next WRC, </w:t>
      </w:r>
      <w:r w:rsidRPr="00426B80">
        <w:rPr>
          <w:rFonts w:cstheme="minorHAnsi"/>
          <w:iCs/>
          <w:szCs w:val="24"/>
        </w:rPr>
        <w:t xml:space="preserve">and items for the preliminary agenda of future conferences, </w:t>
      </w:r>
      <w:r w:rsidRPr="00426B80">
        <w:rPr>
          <w:rFonts w:cstheme="minorHAnsi"/>
          <w:szCs w:val="24"/>
        </w:rPr>
        <w:t xml:space="preserve">in accordance with Article 7 of the Convention </w:t>
      </w:r>
      <w:r w:rsidRPr="00426B80">
        <w:rPr>
          <w:rFonts w:cstheme="minorHAnsi"/>
          <w:iCs/>
          <w:szCs w:val="24"/>
        </w:rPr>
        <w:t xml:space="preserve">and Resolution </w:t>
      </w:r>
      <w:r w:rsidRPr="00426B80">
        <w:rPr>
          <w:rFonts w:cstheme="minorHAnsi"/>
          <w:b/>
          <w:bCs/>
          <w:iCs/>
          <w:szCs w:val="24"/>
        </w:rPr>
        <w:t>804 (Rev.WRC</w:t>
      </w:r>
      <w:r w:rsidRPr="00426B80">
        <w:rPr>
          <w:rFonts w:cstheme="minorHAnsi"/>
          <w:b/>
          <w:bCs/>
          <w:iCs/>
          <w:szCs w:val="24"/>
        </w:rPr>
        <w:noBreakHyphen/>
        <w:t>19)</w:t>
      </w:r>
      <w:r>
        <w:rPr>
          <w:rFonts w:cstheme="minorHAnsi"/>
          <w:iCs/>
          <w:szCs w:val="24"/>
        </w:rPr>
        <w:t>.</w:t>
      </w:r>
    </w:p>
    <w:p w14:paraId="467030F8" w14:textId="77777777" w:rsidR="00A03504" w:rsidRPr="009C4CAA" w:rsidRDefault="00A03504" w:rsidP="0063727D">
      <w:pPr>
        <w:spacing w:before="0" w:line="240" w:lineRule="auto"/>
        <w:jc w:val="center"/>
        <w:rPr>
          <w:lang w:val="en-GB"/>
        </w:rPr>
      </w:pPr>
      <w:r w:rsidRPr="009C4CAA">
        <w:rPr>
          <w:lang w:val="en-GB"/>
        </w:rPr>
        <w:t>_______________</w:t>
      </w:r>
    </w:p>
    <w:p w14:paraId="051D5773" w14:textId="77777777" w:rsidR="00E126B4" w:rsidRPr="009C4CAA" w:rsidRDefault="00E126B4" w:rsidP="00A03504">
      <w:pPr>
        <w:jc w:val="center"/>
        <w:rPr>
          <w:rFonts w:asciiTheme="minorHAnsi" w:hAnsiTheme="minorHAnsi" w:cstheme="minorHAnsi"/>
          <w:b/>
          <w:bCs/>
          <w:lang w:val="en-GB"/>
        </w:rPr>
        <w:sectPr w:rsidR="00E126B4" w:rsidRPr="009C4CAA" w:rsidSect="00A03504">
          <w:pgSz w:w="11906" w:h="16838" w:code="9"/>
          <w:pgMar w:top="1440" w:right="851" w:bottom="1440" w:left="851" w:header="709" w:footer="709" w:gutter="0"/>
          <w:cols w:space="708"/>
          <w:docGrid w:linePitch="360"/>
        </w:sectPr>
      </w:pPr>
    </w:p>
    <w:p w14:paraId="51B09365" w14:textId="0B83FBCF" w:rsidR="00E126B4" w:rsidRPr="009C4CAA" w:rsidRDefault="00E126B4" w:rsidP="00E126B4">
      <w:pPr>
        <w:jc w:val="center"/>
        <w:rPr>
          <w:rFonts w:asciiTheme="minorHAnsi" w:hAnsiTheme="minorHAnsi" w:cstheme="minorHAnsi"/>
          <w:b/>
          <w:bCs/>
          <w:sz w:val="28"/>
          <w:szCs w:val="28"/>
          <w:lang w:val="en-GB"/>
        </w:rPr>
      </w:pPr>
      <w:bookmarkStart w:id="7" w:name="annex3"/>
      <w:bookmarkEnd w:id="7"/>
      <w:r w:rsidRPr="009C4CAA">
        <w:rPr>
          <w:rFonts w:asciiTheme="minorHAnsi" w:hAnsiTheme="minorHAnsi" w:cstheme="minorHAnsi"/>
          <w:b/>
          <w:bCs/>
          <w:sz w:val="28"/>
          <w:szCs w:val="28"/>
          <w:lang w:val="en-GB"/>
        </w:rPr>
        <w:lastRenderedPageBreak/>
        <w:t>ANNEX 3</w:t>
      </w:r>
    </w:p>
    <w:p w14:paraId="7E136181" w14:textId="38C9A713" w:rsidR="00E126B4" w:rsidRPr="009C4CAA" w:rsidRDefault="00E126B4" w:rsidP="00E126B4">
      <w:pPr>
        <w:pStyle w:val="AnnexNo"/>
        <w:spacing w:before="240"/>
        <w:jc w:val="left"/>
        <w:rPr>
          <w:i/>
          <w:iCs/>
          <w:sz w:val="22"/>
          <w:szCs w:val="16"/>
        </w:rPr>
      </w:pPr>
      <w:r w:rsidRPr="009C4CAA">
        <w:rPr>
          <w:i/>
          <w:iCs/>
          <w:caps w:val="0"/>
          <w:sz w:val="22"/>
          <w:szCs w:val="16"/>
        </w:rPr>
        <w:t xml:space="preserve">Reference: </w:t>
      </w:r>
      <w:hyperlink r:id="rId33" w:history="1">
        <w:r w:rsidRPr="009C4CAA">
          <w:rPr>
            <w:rStyle w:val="Hyperlink"/>
            <w:i/>
            <w:iCs/>
            <w:caps w:val="0"/>
            <w:sz w:val="22"/>
            <w:szCs w:val="16"/>
          </w:rPr>
          <w:t>Document VC/DT/2</w:t>
        </w:r>
      </w:hyperlink>
    </w:p>
    <w:p w14:paraId="08F74037" w14:textId="77777777" w:rsidR="00E126B4" w:rsidRPr="009C4CAA" w:rsidRDefault="00E126B4" w:rsidP="00204C2B">
      <w:pPr>
        <w:ind w:right="-648"/>
        <w:jc w:val="right"/>
        <w:rPr>
          <w:b/>
          <w:sz w:val="4"/>
          <w:lang w:val="en-GB"/>
        </w:rPr>
      </w:pPr>
    </w:p>
    <w:p w14:paraId="1C1741E0" w14:textId="6F1CB4FA" w:rsidR="00E126B4" w:rsidRPr="00E126B4" w:rsidRDefault="00E126B4" w:rsidP="00E126B4">
      <w:pPr>
        <w:pStyle w:val="PartNo"/>
        <w:spacing w:before="0" w:line="240" w:lineRule="auto"/>
        <w:jc w:val="center"/>
        <w:rPr>
          <w:rFonts w:eastAsiaTheme="minorEastAsia"/>
          <w:sz w:val="28"/>
          <w:szCs w:val="24"/>
          <w:lang w:eastAsia="zh-CN"/>
        </w:rPr>
      </w:pPr>
      <w:r w:rsidRPr="00E126B4">
        <w:rPr>
          <w:rFonts w:eastAsiaTheme="minorEastAsia"/>
          <w:sz w:val="28"/>
          <w:szCs w:val="24"/>
          <w:lang w:eastAsia="zh-CN"/>
        </w:rPr>
        <w:t>DECISION 482 (modified 2020)</w:t>
      </w:r>
    </w:p>
    <w:p w14:paraId="4346EDB1" w14:textId="77777777" w:rsidR="00E126B4" w:rsidRPr="00E126B4" w:rsidRDefault="00E126B4" w:rsidP="00204C2B">
      <w:pPr>
        <w:pStyle w:val="Parttitle"/>
        <w:rPr>
          <w:rFonts w:eastAsiaTheme="minorEastAsia"/>
          <w:sz w:val="28"/>
          <w:szCs w:val="24"/>
          <w:lang w:eastAsia="zh-CN"/>
        </w:rPr>
      </w:pPr>
      <w:r w:rsidRPr="00E126B4">
        <w:rPr>
          <w:rFonts w:eastAsiaTheme="minorEastAsia"/>
          <w:sz w:val="28"/>
          <w:szCs w:val="24"/>
          <w:lang w:eastAsia="zh-CN"/>
        </w:rPr>
        <w:t>Implementation of cost recovery for satellite network filings</w:t>
      </w:r>
    </w:p>
    <w:p w14:paraId="13196570" w14:textId="77777777" w:rsidR="00E126B4" w:rsidRPr="00E126B4" w:rsidRDefault="00E126B4" w:rsidP="00204C2B">
      <w:pPr>
        <w:pStyle w:val="Normalaftertitle0"/>
        <w:spacing w:before="160"/>
        <w:jc w:val="both"/>
        <w:rPr>
          <w:rFonts w:asciiTheme="minorHAnsi" w:eastAsiaTheme="minorEastAsia" w:hAnsiTheme="minorHAnsi" w:cstheme="minorHAnsi"/>
          <w:lang w:eastAsia="zh-CN"/>
        </w:rPr>
      </w:pPr>
      <w:r w:rsidRPr="00E126B4">
        <w:rPr>
          <w:rFonts w:asciiTheme="minorHAnsi" w:eastAsiaTheme="minorEastAsia" w:hAnsiTheme="minorHAnsi" w:cstheme="minorHAnsi"/>
          <w:lang w:eastAsia="zh-CN"/>
        </w:rPr>
        <w:t>The Council,</w:t>
      </w:r>
    </w:p>
    <w:p w14:paraId="50552DC3" w14:textId="77777777" w:rsidR="00E126B4" w:rsidRPr="007E04E8" w:rsidRDefault="00E126B4" w:rsidP="00204C2B">
      <w:pPr>
        <w:pStyle w:val="Call"/>
        <w:jc w:val="both"/>
        <w:rPr>
          <w:rFonts w:eastAsiaTheme="minorEastAsia"/>
          <w:lang w:eastAsia="zh-CN"/>
        </w:rPr>
      </w:pPr>
      <w:r w:rsidRPr="007E04E8">
        <w:rPr>
          <w:rFonts w:eastAsiaTheme="minorEastAsia"/>
          <w:lang w:eastAsia="zh-CN"/>
        </w:rPr>
        <w:t>considering</w:t>
      </w:r>
    </w:p>
    <w:p w14:paraId="6EC974E4" w14:textId="77777777" w:rsidR="00E126B4" w:rsidRPr="007E04E8" w:rsidRDefault="00E126B4" w:rsidP="00204C2B">
      <w:pPr>
        <w:snapToGrid w:val="0"/>
        <w:spacing w:line="240" w:lineRule="auto"/>
      </w:pPr>
      <w:r w:rsidRPr="007E04E8">
        <w:rPr>
          <w:i/>
          <w:iCs/>
        </w:rPr>
        <w:t>a)</w:t>
      </w:r>
      <w:r>
        <w:tab/>
        <w:t>Resolution 88 (Rev. </w:t>
      </w:r>
      <w:r w:rsidRPr="007E04E8">
        <w:t>Marrakesh, 2002) of the Plenipotentiary Conference on the implementation of cost recovery for satellite network filings;</w:t>
      </w:r>
    </w:p>
    <w:p w14:paraId="419653FA" w14:textId="77777777" w:rsidR="00E126B4" w:rsidRPr="007E04E8" w:rsidRDefault="00E126B4" w:rsidP="00204C2B">
      <w:pPr>
        <w:snapToGrid w:val="0"/>
        <w:spacing w:line="240" w:lineRule="auto"/>
      </w:pPr>
      <w:r w:rsidRPr="007E04E8">
        <w:rPr>
          <w:i/>
          <w:iCs/>
        </w:rPr>
        <w:t>b)</w:t>
      </w:r>
      <w:r>
        <w:tab/>
        <w:t>Resolution 91 (Rev. </w:t>
      </w:r>
      <w:r w:rsidRPr="007E04E8">
        <w:t>Guadalajara, 2010) of the Plenipotentiary Conference on cost recovery for some products and services of ITU;</w:t>
      </w:r>
    </w:p>
    <w:p w14:paraId="3F206F1E" w14:textId="77777777" w:rsidR="00E126B4" w:rsidRPr="007E04E8" w:rsidRDefault="00E126B4" w:rsidP="00204C2B">
      <w:pPr>
        <w:snapToGrid w:val="0"/>
        <w:spacing w:line="240" w:lineRule="auto"/>
      </w:pPr>
      <w:r w:rsidRPr="007E04E8">
        <w:rPr>
          <w:i/>
          <w:iCs/>
        </w:rPr>
        <w:t>c)</w:t>
      </w:r>
      <w:r w:rsidRPr="007E04E8">
        <w:tab/>
        <w:t>Council Resolution 1113, on cost recovery for the processing by the Radiocommunication Bureau of space notifications;</w:t>
      </w:r>
    </w:p>
    <w:p w14:paraId="5A53AECF" w14:textId="77777777" w:rsidR="00E126B4" w:rsidRPr="007E04E8" w:rsidRDefault="00E126B4" w:rsidP="00204C2B">
      <w:pPr>
        <w:snapToGrid w:val="0"/>
        <w:spacing w:line="240" w:lineRule="auto"/>
      </w:pPr>
      <w:r w:rsidRPr="007E04E8">
        <w:rPr>
          <w:i/>
          <w:iCs/>
        </w:rPr>
        <w:t>d)</w:t>
      </w:r>
      <w:r w:rsidRPr="007E04E8">
        <w:tab/>
        <w:t xml:space="preserve">Document </w:t>
      </w:r>
      <w:hyperlink r:id="rId34" w:history="1">
        <w:r w:rsidRPr="007E04E8">
          <w:rPr>
            <w:color w:val="0000FF"/>
            <w:u w:val="single"/>
          </w:rPr>
          <w:t>C99/68</w:t>
        </w:r>
      </w:hyperlink>
      <w:r w:rsidRPr="007E04E8">
        <w:t xml:space="preserve"> reporting on the Council Working Group on implementation of cost recovery for satellite network filings;</w:t>
      </w:r>
    </w:p>
    <w:p w14:paraId="57661E07" w14:textId="77777777" w:rsidR="00E126B4" w:rsidRPr="007E04E8" w:rsidRDefault="00E126B4" w:rsidP="00204C2B">
      <w:pPr>
        <w:snapToGrid w:val="0"/>
        <w:spacing w:line="240" w:lineRule="auto"/>
      </w:pPr>
      <w:r w:rsidRPr="007E04E8">
        <w:rPr>
          <w:i/>
          <w:iCs/>
        </w:rPr>
        <w:t>e)</w:t>
      </w:r>
      <w:r w:rsidRPr="007E04E8">
        <w:tab/>
        <w:t xml:space="preserve">Document </w:t>
      </w:r>
      <w:hyperlink r:id="rId35" w:history="1">
        <w:r w:rsidRPr="007E04E8">
          <w:rPr>
            <w:color w:val="0000FF"/>
            <w:u w:val="single"/>
          </w:rPr>
          <w:t>C99/47</w:t>
        </w:r>
      </w:hyperlink>
      <w:r w:rsidRPr="007E04E8">
        <w:t xml:space="preserve"> on cost recovery for some ITU products and services;</w:t>
      </w:r>
    </w:p>
    <w:p w14:paraId="039AE2CA" w14:textId="77777777" w:rsidR="00E126B4" w:rsidRPr="007E04E8" w:rsidRDefault="00E126B4" w:rsidP="00204C2B">
      <w:pPr>
        <w:snapToGrid w:val="0"/>
        <w:spacing w:line="240" w:lineRule="auto"/>
      </w:pPr>
      <w:proofErr w:type="spellStart"/>
      <w:r w:rsidRPr="007E04E8">
        <w:rPr>
          <w:i/>
          <w:iCs/>
        </w:rPr>
        <w:t>ebis</w:t>
      </w:r>
      <w:proofErr w:type="spellEnd"/>
      <w:r w:rsidRPr="007E04E8">
        <w:rPr>
          <w:i/>
          <w:iCs/>
        </w:rPr>
        <w:t>)</w:t>
      </w:r>
      <w:r w:rsidRPr="007E04E8">
        <w:tab/>
        <w:t xml:space="preserve">Document </w:t>
      </w:r>
      <w:hyperlink r:id="rId36" w:history="1">
        <w:r w:rsidRPr="007E04E8">
          <w:rPr>
            <w:color w:val="0000FF"/>
            <w:u w:val="single"/>
          </w:rPr>
          <w:t>C05/29</w:t>
        </w:r>
      </w:hyperlink>
      <w:r w:rsidRPr="007E04E8">
        <w:t xml:space="preserve"> on cost recovery for the processing of satellite network filings;</w:t>
      </w:r>
    </w:p>
    <w:p w14:paraId="67FB169A" w14:textId="77777777" w:rsidR="00E126B4" w:rsidRPr="007E04E8" w:rsidRDefault="00E126B4" w:rsidP="00204C2B">
      <w:pPr>
        <w:snapToGrid w:val="0"/>
        <w:spacing w:line="240" w:lineRule="auto"/>
      </w:pPr>
      <w:r w:rsidRPr="007E04E8">
        <w:rPr>
          <w:i/>
          <w:iCs/>
        </w:rPr>
        <w:t>f)</w:t>
      </w:r>
      <w:r w:rsidRPr="007E04E8">
        <w:tab/>
        <w:t>that WRC-03 and WRC-07 adopted provisions referring to Council Decision 482, as amended, under which a satellite network filing is cancelled if payment is not received in accordance with the provisions of this decision;</w:t>
      </w:r>
    </w:p>
    <w:p w14:paraId="269F0D21" w14:textId="77777777" w:rsidR="00E126B4" w:rsidRPr="007E04E8" w:rsidRDefault="00E126B4" w:rsidP="00204C2B">
      <w:pPr>
        <w:snapToGrid w:val="0"/>
        <w:spacing w:line="240" w:lineRule="auto"/>
      </w:pPr>
      <w:r w:rsidRPr="007E04E8">
        <w:rPr>
          <w:i/>
          <w:iCs/>
        </w:rPr>
        <w:t>g)</w:t>
      </w:r>
      <w:r w:rsidRPr="007E04E8">
        <w:tab/>
        <w:t>that WRC-07 significantly revised the regulatory procedures associated to the fixed-satellite service Plan contained in Appendix 30B that entered into force as of 17 November 2007;</w:t>
      </w:r>
    </w:p>
    <w:p w14:paraId="3EC77624" w14:textId="77777777" w:rsidR="00E126B4" w:rsidRPr="007E04E8" w:rsidRDefault="00E126B4" w:rsidP="00204C2B">
      <w:pPr>
        <w:snapToGrid w:val="0"/>
        <w:spacing w:line="240" w:lineRule="auto"/>
      </w:pPr>
      <w:r w:rsidRPr="007E04E8">
        <w:rPr>
          <w:i/>
          <w:iCs/>
        </w:rPr>
        <w:t>h)</w:t>
      </w:r>
      <w:r w:rsidRPr="007E04E8">
        <w:tab/>
        <w:t>that the date of entry into force of Decision 482 (modified 2005) was 1 January 2006,</w:t>
      </w:r>
    </w:p>
    <w:p w14:paraId="050C240A" w14:textId="77777777" w:rsidR="00E126B4" w:rsidRPr="007E04E8" w:rsidRDefault="00E126B4" w:rsidP="00204C2B">
      <w:pPr>
        <w:pStyle w:val="Call"/>
        <w:jc w:val="both"/>
        <w:rPr>
          <w:rFonts w:eastAsiaTheme="minorEastAsia"/>
          <w:lang w:eastAsia="zh-CN"/>
        </w:rPr>
      </w:pPr>
      <w:r w:rsidRPr="007E04E8">
        <w:rPr>
          <w:rFonts w:eastAsiaTheme="minorEastAsia"/>
          <w:lang w:eastAsia="zh-CN"/>
        </w:rPr>
        <w:t>recognizing</w:t>
      </w:r>
    </w:p>
    <w:p w14:paraId="3DCF48C2" w14:textId="77777777" w:rsidR="00E126B4" w:rsidRPr="007E04E8" w:rsidRDefault="00E126B4" w:rsidP="00204C2B">
      <w:pPr>
        <w:snapToGrid w:val="0"/>
        <w:spacing w:line="240" w:lineRule="auto"/>
      </w:pPr>
      <w:r w:rsidRPr="007E04E8">
        <w:t>the practical experience of the Radiocommunication Bureau in implementing cost-recovery filing charges and the methodology as reported to the Council at its 2001 to 2007 sessions in accordance with Decision 482 as revised by the Council,</w:t>
      </w:r>
    </w:p>
    <w:p w14:paraId="54270BFF" w14:textId="77777777" w:rsidR="00E126B4" w:rsidRPr="007E04E8" w:rsidRDefault="00E126B4" w:rsidP="00204C2B">
      <w:pPr>
        <w:pStyle w:val="Call"/>
        <w:jc w:val="both"/>
        <w:rPr>
          <w:rFonts w:eastAsiaTheme="minorEastAsia"/>
          <w:lang w:eastAsia="zh-CN"/>
        </w:rPr>
      </w:pPr>
      <w:r w:rsidRPr="007E04E8">
        <w:rPr>
          <w:rFonts w:eastAsiaTheme="minorEastAsia"/>
          <w:lang w:eastAsia="zh-CN"/>
        </w:rPr>
        <w:t>decides</w:t>
      </w:r>
    </w:p>
    <w:p w14:paraId="79042773" w14:textId="3B57C48B" w:rsidR="00E126B4" w:rsidRPr="007E04E8" w:rsidRDefault="00E126B4" w:rsidP="00204C2B">
      <w:pPr>
        <w:snapToGrid w:val="0"/>
        <w:spacing w:line="240" w:lineRule="auto"/>
      </w:pPr>
      <w:r w:rsidRPr="007E04E8">
        <w:t>1</w:t>
      </w:r>
      <w:r w:rsidRPr="007E04E8">
        <w:tab/>
        <w:t>that all satellite network filings concerning advance publication, their associated requests for coordination or agreement (Article 9 of the Radio Regulations (RR), Article 7 of Appendices 30/30A to the RR, Resolution 539 (Rev.WRC-</w:t>
      </w:r>
      <w:r>
        <w:t>19</w:t>
      </w:r>
      <w:r w:rsidRPr="007E04E8">
        <w:t xml:space="preserve">)), the use of the </w:t>
      </w:r>
      <w:proofErr w:type="spellStart"/>
      <w:r w:rsidRPr="007E04E8">
        <w:t>guardbands</w:t>
      </w:r>
      <w:proofErr w:type="spellEnd"/>
      <w:r w:rsidRPr="007E04E8">
        <w:t xml:space="preserve"> (Article 2A to Appendices 30/30A to the RR), requests for modification of the space service plans and lists (Article 4 of Appendices 30 and 30A to the RR), requests for the implementation of the fixed-satellite service plan (former Sections IB and II of Article 6 of Appendix 30B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w:t>
      </w:r>
      <w:r>
        <w:t> </w:t>
      </w:r>
      <w:r w:rsidRPr="007E04E8">
        <w:t>6 of Appendix 30B to the RR as from 17 November 2007) shall be subject to cost-recovery charges if, and only if, they have been received by the Radiocommunication Bureau on or after 8 November 1998;</w:t>
      </w:r>
    </w:p>
    <w:p w14:paraId="2F6A639C" w14:textId="77777777" w:rsidR="00E126B4" w:rsidRPr="007E04E8" w:rsidRDefault="00E126B4" w:rsidP="00204C2B">
      <w:pPr>
        <w:snapToGrid w:val="0"/>
        <w:spacing w:line="240" w:lineRule="auto"/>
      </w:pPr>
      <w:r w:rsidRPr="007E04E8">
        <w:lastRenderedPageBreak/>
        <w:t>1</w:t>
      </w:r>
      <w:r w:rsidRPr="007E04E8">
        <w:rPr>
          <w:i/>
        </w:rPr>
        <w:t>bis</w:t>
      </w:r>
      <w:r w:rsidRPr="007E04E8">
        <w:tab/>
        <w:t>that all satellite network filings concerning notification for recording of frequency assignments in the Master International Frequency Register (Article 11 of the RR, Article 5 of Appendices 30/30A to the RR and Article 8 of Appendix 30B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14:paraId="1F7C22D4" w14:textId="77777777" w:rsidR="00E126B4" w:rsidRPr="007E04E8" w:rsidRDefault="00E126B4" w:rsidP="00204C2B">
      <w:pPr>
        <w:snapToGrid w:val="0"/>
        <w:spacing w:line="240" w:lineRule="auto"/>
      </w:pPr>
      <w:r w:rsidRPr="007E04E8">
        <w:t>1</w:t>
      </w:r>
      <w:r w:rsidRPr="007E04E8">
        <w:rPr>
          <w:i/>
        </w:rPr>
        <w:t>ter</w:t>
      </w:r>
      <w:r w:rsidRPr="007E04E8">
        <w:t xml:space="preserve"> </w:t>
      </w:r>
      <w:r w:rsidRPr="007E04E8">
        <w:tab/>
        <w:t>that all requests for the implementation of the fixed-satellite service plan (former Sections IA and III of Article 6 of Appendix 30B to the RR) shall be subject to cost-recovery charges if, and only if, they have been received by the Radiocommunication Bureau on or after 1 January 2006;</w:t>
      </w:r>
    </w:p>
    <w:p w14:paraId="7850D99B" w14:textId="77777777" w:rsidR="00E126B4" w:rsidRPr="007E04E8" w:rsidRDefault="00E126B4" w:rsidP="00204C2B">
      <w:pPr>
        <w:snapToGrid w:val="0"/>
        <w:spacing w:line="240" w:lineRule="auto"/>
        <w:outlineLvl w:val="0"/>
      </w:pPr>
      <w:r w:rsidRPr="007E04E8">
        <w:t>1</w:t>
      </w:r>
      <w:r w:rsidRPr="007E04E8">
        <w:rPr>
          <w:i/>
          <w:iCs/>
          <w:spacing w:val="-4"/>
        </w:rPr>
        <w:t>quater</w:t>
      </w:r>
      <w:r w:rsidRPr="007E04E8">
        <w:rPr>
          <w:i/>
          <w:iCs/>
        </w:rPr>
        <w:tab/>
      </w:r>
      <w:r w:rsidRPr="007E04E8">
        <w:t xml:space="preserve">that all requests for consolidation of frequency assignments in the MIFR of different GSO networks submitted by an administration </w:t>
      </w:r>
      <w:r w:rsidRPr="007E04E8">
        <w:rPr>
          <w:rFonts w:eastAsiaTheme="majorEastAsia" w:cstheme="majorBidi"/>
        </w:rPr>
        <w:t>(or an administration acting on behalf of a group of named administrations)</w:t>
      </w:r>
      <w:r w:rsidRPr="007E04E8">
        <w:rPr>
          <w:rFonts w:eastAsiaTheme="majorEastAsia" w:cstheme="majorBidi"/>
          <w:b/>
          <w:bCs/>
        </w:rPr>
        <w:t xml:space="preserve"> </w:t>
      </w:r>
      <w:r w:rsidRPr="007E04E8">
        <w:t>at the same orbital position into frequency assignments of a single satellite network received by the Radiocommunication Bureau on or after 1 July 2013, shall be s</w:t>
      </w:r>
      <w:r>
        <w:t>ubject to cost recovery charges;</w:t>
      </w:r>
    </w:p>
    <w:p w14:paraId="50B91129" w14:textId="77777777" w:rsidR="00E126B4" w:rsidRPr="007E04E8" w:rsidRDefault="00E126B4" w:rsidP="00204C2B">
      <w:pPr>
        <w:snapToGrid w:val="0"/>
        <w:spacing w:line="240" w:lineRule="auto"/>
      </w:pPr>
      <w:r w:rsidRPr="007E04E8">
        <w:t>2</w:t>
      </w:r>
      <w:r w:rsidRPr="007E04E8">
        <w:tab/>
        <w:t>that for each satellite network</w:t>
      </w:r>
      <w:r w:rsidRPr="007E04E8">
        <w:rPr>
          <w:position w:val="6"/>
          <w:sz w:val="18"/>
          <w:szCs w:val="18"/>
        </w:rPr>
        <w:footnoteReference w:id="2"/>
      </w:r>
      <w:r w:rsidRPr="007E04E8">
        <w:t xml:space="preserve"> filing communicated to the Radiocommunication Bureau, the following charges </w:t>
      </w:r>
      <w:r w:rsidRPr="007E04E8">
        <w:rPr>
          <w:position w:val="6"/>
          <w:sz w:val="18"/>
          <w:szCs w:val="18"/>
        </w:rPr>
        <w:footnoteReference w:id="3"/>
      </w:r>
      <w:r w:rsidRPr="007E04E8">
        <w:t>shall apply:</w:t>
      </w:r>
    </w:p>
    <w:p w14:paraId="66D4237D" w14:textId="77777777" w:rsidR="00E126B4" w:rsidRPr="007E04E8" w:rsidRDefault="00E126B4" w:rsidP="00204C2B">
      <w:pPr>
        <w:snapToGrid w:val="0"/>
        <w:spacing w:line="240" w:lineRule="auto"/>
        <w:ind w:left="567" w:hanging="567"/>
      </w:pPr>
      <w:r w:rsidRPr="007E04E8">
        <w:t>a)</w:t>
      </w:r>
      <w:r w:rsidRPr="007E04E8">
        <w:tab/>
        <w:t>for filings received up to and including 29 June 2001, Decision 482 (C-99) applies; these filings are charged at publication in accordance with the fee schedule in force at the date of publication;</w:t>
      </w:r>
    </w:p>
    <w:p w14:paraId="73626B31" w14:textId="77777777" w:rsidR="00E126B4" w:rsidRPr="007E04E8" w:rsidRDefault="00E126B4" w:rsidP="00204C2B">
      <w:pPr>
        <w:snapToGrid w:val="0"/>
        <w:spacing w:line="240" w:lineRule="auto"/>
        <w:ind w:left="567" w:hanging="567"/>
      </w:pPr>
      <w:r w:rsidRPr="007E04E8">
        <w:t>b)</w:t>
      </w:r>
      <w:r w:rsidRPr="007E04E8">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14:paraId="21B72F83" w14:textId="77777777" w:rsidR="00E126B4" w:rsidRPr="007E04E8" w:rsidRDefault="00E126B4" w:rsidP="00204C2B">
      <w:pPr>
        <w:snapToGrid w:val="0"/>
        <w:spacing w:line="240" w:lineRule="auto"/>
        <w:ind w:left="567" w:hanging="567"/>
      </w:pPr>
      <w:r w:rsidRPr="007E04E8">
        <w:t>c)</w:t>
      </w:r>
      <w:r w:rsidRPr="007E04E8">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14:paraId="0BA6800C" w14:textId="77777777" w:rsidR="00E126B4" w:rsidRPr="007E04E8" w:rsidRDefault="00E126B4" w:rsidP="00204C2B">
      <w:pPr>
        <w:snapToGrid w:val="0"/>
        <w:spacing w:line="240" w:lineRule="auto"/>
        <w:ind w:left="567" w:hanging="567"/>
      </w:pPr>
      <w:r w:rsidRPr="007E04E8">
        <w:t>d)</w:t>
      </w:r>
      <w:r w:rsidRPr="007E04E8">
        <w:tab/>
        <w:t xml:space="preserve">for filings received on or after 4 May 2002, </w:t>
      </w:r>
      <w:r w:rsidRPr="007E04E8">
        <w:rPr>
          <w:spacing w:val="-2"/>
        </w:rPr>
        <w:t>but before 31 December 2004,</w:t>
      </w:r>
      <w:r w:rsidRPr="007E04E8">
        <w:t xml:space="preserve"> </w:t>
      </w:r>
      <w:r w:rsidRPr="007E04E8">
        <w:rPr>
          <w:spacing w:val="-2"/>
        </w:rPr>
        <w:t>Decision 482</w:t>
      </w:r>
      <w:r w:rsidRPr="007E04E8">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0D8AFC77" w14:textId="77777777" w:rsidR="00E126B4" w:rsidRPr="007E04E8" w:rsidRDefault="00E126B4" w:rsidP="00204C2B">
      <w:pPr>
        <w:snapToGrid w:val="0"/>
        <w:spacing w:line="240" w:lineRule="auto"/>
        <w:ind w:left="567" w:hanging="567"/>
      </w:pPr>
      <w:r w:rsidRPr="007E04E8">
        <w:t>e)</w:t>
      </w:r>
      <w:r w:rsidRPr="007E04E8">
        <w:tab/>
      </w:r>
      <w:r w:rsidRPr="00C47558">
        <w:rPr>
          <w:spacing w:val="2"/>
        </w:rPr>
        <w:t>for filings received on or after 31 December 2004 but before 1 January 2006, Decision</w:t>
      </w:r>
      <w:r>
        <w:rPr>
          <w:spacing w:val="2"/>
        </w:rPr>
        <w:t> </w:t>
      </w:r>
      <w:r w:rsidRPr="00C47558">
        <w:rPr>
          <w:spacing w:val="2"/>
        </w:rPr>
        <w:t>482</w:t>
      </w:r>
      <w:r w:rsidRPr="007E04E8">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28042C3C" w14:textId="77777777" w:rsidR="00E126B4" w:rsidRPr="007E04E8" w:rsidRDefault="00E126B4" w:rsidP="00204C2B">
      <w:pPr>
        <w:snapToGrid w:val="0"/>
        <w:spacing w:line="240" w:lineRule="auto"/>
        <w:ind w:left="567" w:hanging="567"/>
      </w:pPr>
      <w:r w:rsidRPr="007E04E8">
        <w:t>f)</w:t>
      </w:r>
      <w:r w:rsidRPr="007E04E8">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14:paraId="4321CCD1" w14:textId="12BE85CB" w:rsidR="00E126B4" w:rsidRPr="007E04E8" w:rsidRDefault="00E126B4" w:rsidP="00204C2B">
      <w:pPr>
        <w:snapToGrid w:val="0"/>
        <w:spacing w:line="240" w:lineRule="auto"/>
        <w:ind w:left="567" w:hanging="567"/>
      </w:pPr>
      <w:r w:rsidRPr="007E04E8">
        <w:t>g)</w:t>
      </w:r>
      <w:r w:rsidRPr="007E04E8">
        <w:tab/>
        <w:t>for filings received on or after 1 January 2009, including those received under Appendix 30B as from 17</w:t>
      </w:r>
      <w:r w:rsidR="00BD558A">
        <w:t> </w:t>
      </w:r>
      <w:r w:rsidRPr="007E04E8">
        <w:t>November 2007, but before 14 July 2012, Decision 482 (C-08) applies; the fee, calculated in accordance with the fee schedule in force at the date of receipt, is payable after receipt of the notice;</w:t>
      </w:r>
    </w:p>
    <w:p w14:paraId="02BB51A9" w14:textId="77777777" w:rsidR="00E126B4" w:rsidRPr="007E04E8" w:rsidRDefault="00E126B4" w:rsidP="00204C2B">
      <w:pPr>
        <w:snapToGrid w:val="0"/>
        <w:spacing w:line="240" w:lineRule="auto"/>
        <w:ind w:left="567" w:hanging="567"/>
      </w:pPr>
      <w:r w:rsidRPr="007E04E8">
        <w:lastRenderedPageBreak/>
        <w:t>h)</w:t>
      </w:r>
      <w:r w:rsidRPr="007E04E8">
        <w:tab/>
        <w:t>for filings received on or after 14 July 2012, but before 1 July 2013, Decision 482 (C-12) applies; the fee, calculated in accordance with the fee schedule in force at the date of receipt, is payable after receipt of the notice;</w:t>
      </w:r>
    </w:p>
    <w:p w14:paraId="67386ACD" w14:textId="77777777" w:rsidR="00E126B4" w:rsidRPr="007E04E8" w:rsidRDefault="00E126B4" w:rsidP="00204C2B">
      <w:pPr>
        <w:snapToGrid w:val="0"/>
        <w:spacing w:line="240" w:lineRule="auto"/>
        <w:ind w:left="567" w:hanging="567"/>
      </w:pPr>
      <w:r w:rsidRPr="007E04E8">
        <w:t>i)</w:t>
      </w:r>
      <w:r w:rsidRPr="007E04E8">
        <w:tab/>
        <w:t>for filings received on or after 1 July 2013, Decision 482 (C-13) applies; the fee, calculated in accordance with the fee schedule in force at the date of receipt, is payable after receipt of the notice;</w:t>
      </w:r>
    </w:p>
    <w:p w14:paraId="7A663355" w14:textId="77777777" w:rsidR="00E126B4" w:rsidRPr="007E04E8" w:rsidRDefault="00E126B4" w:rsidP="00204C2B">
      <w:pPr>
        <w:snapToGrid w:val="0"/>
        <w:spacing w:line="240" w:lineRule="auto"/>
        <w:ind w:left="567" w:hanging="567"/>
      </w:pPr>
      <w:r w:rsidRPr="007E04E8">
        <w:t>j)</w:t>
      </w:r>
      <w:r w:rsidRPr="007E04E8">
        <w:tab/>
        <w:t>for filings received on or after 1 July 2017, Decision 482 (C-17) applies; the fee, calculated in accordance with the fee schedule in force at the date of receipt, is payable after receipt of the notice;</w:t>
      </w:r>
    </w:p>
    <w:p w14:paraId="3DCC3432" w14:textId="77777777" w:rsidR="00E126B4" w:rsidRPr="007E04E8" w:rsidRDefault="00E126B4" w:rsidP="00204C2B">
      <w:pPr>
        <w:snapToGrid w:val="0"/>
        <w:spacing w:line="240" w:lineRule="auto"/>
        <w:ind w:left="567" w:hanging="567"/>
      </w:pPr>
      <w:r w:rsidRPr="007E04E8">
        <w:t>k)</w:t>
      </w:r>
      <w:r w:rsidRPr="007E04E8">
        <w:tab/>
        <w:t>for filings received on or after 1 July 2018, Decision 482 (C-18) applies; the fee, calculated in accordance with the fee schedule in force at the date of receipt, is payable after receipt of the notice;</w:t>
      </w:r>
    </w:p>
    <w:p w14:paraId="5DFB46CB" w14:textId="311BEDBA" w:rsidR="00E126B4" w:rsidRPr="007E04E8" w:rsidRDefault="00E126B4" w:rsidP="00204C2B">
      <w:pPr>
        <w:snapToGrid w:val="0"/>
        <w:spacing w:line="240" w:lineRule="auto"/>
        <w:ind w:left="567" w:hanging="567"/>
      </w:pPr>
      <w:r w:rsidRPr="007E04E8">
        <w:t>l)</w:t>
      </w:r>
      <w:r w:rsidRPr="007E04E8">
        <w:tab/>
        <w:t>for filings received on or after 1 July 2019, Decision 482 (C-19) applies; the fee, calculated in accordance with the fee schedule in force at the date of receipt, is payable after receipt of the notice</w:t>
      </w:r>
      <w:r>
        <w:t>;</w:t>
      </w:r>
    </w:p>
    <w:p w14:paraId="0BD7B16A" w14:textId="77777777" w:rsidR="00E126B4" w:rsidRPr="007E04E8" w:rsidRDefault="00E126B4" w:rsidP="00204C2B">
      <w:pPr>
        <w:snapToGrid w:val="0"/>
        <w:spacing w:line="240" w:lineRule="auto"/>
        <w:ind w:left="567" w:hanging="567"/>
      </w:pPr>
      <w:r>
        <w:t>m</w:t>
      </w:r>
      <w:r w:rsidRPr="007E04E8">
        <w:t>)</w:t>
      </w:r>
      <w:r w:rsidRPr="007E04E8">
        <w:tab/>
        <w:t xml:space="preserve">for filings received on or after 1 </w:t>
      </w:r>
      <w:r>
        <w:t xml:space="preserve">September </w:t>
      </w:r>
      <w:r w:rsidRPr="007E04E8">
        <w:t>20</w:t>
      </w:r>
      <w:r>
        <w:t>20, Decision 482 (C-20</w:t>
      </w:r>
      <w:r w:rsidRPr="007E04E8">
        <w:t>) applies; the fee, calculated in accordance with the fee schedule in force at the date of receipt, is payable after receipt of the notice,</w:t>
      </w:r>
    </w:p>
    <w:p w14:paraId="6CBDF6E9" w14:textId="77777777" w:rsidR="00E126B4" w:rsidRPr="007E04E8" w:rsidRDefault="00E126B4" w:rsidP="00204C2B">
      <w:pPr>
        <w:snapToGrid w:val="0"/>
        <w:spacing w:line="240" w:lineRule="auto"/>
      </w:pPr>
      <w:r w:rsidRPr="007E04E8">
        <w:t>3</w:t>
      </w:r>
      <w:r w:rsidRPr="007E04E8">
        <w:tab/>
        <w:t>that the fee shall be regarded as a charge for a satellite network filing. There will be no charge for modifications which do not result in further technical or regulatory examination by the Radiocommunication Bureau, except modifications under 1</w:t>
      </w:r>
      <w:r w:rsidRPr="007E04E8">
        <w:rPr>
          <w:i/>
          <w:iCs/>
        </w:rPr>
        <w:t>quater</w:t>
      </w:r>
      <w:r w:rsidRPr="007E04E8">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4EB64CD1" w14:textId="77777777" w:rsidR="00E126B4" w:rsidRPr="007E04E8" w:rsidRDefault="00E126B4" w:rsidP="00204C2B">
      <w:pPr>
        <w:snapToGrid w:val="0"/>
        <w:spacing w:line="240" w:lineRule="auto"/>
        <w:rPr>
          <w:color w:val="000000"/>
        </w:rPr>
      </w:pPr>
      <w:r w:rsidRPr="007E04E8">
        <w:t>4</w:t>
      </w:r>
      <w:r w:rsidRPr="007E04E8">
        <w:tab/>
        <w:t>that each Member State shall be entitled to the publication of special sections or parts of the BR IFIC (space services) for one satellite network filing each year without the charges referred to above. Each Member State in its role as the notifying administration may determine which network shall benefit from the free entitlement;</w:t>
      </w:r>
      <w:r w:rsidRPr="007E04E8">
        <w:rPr>
          <w:position w:val="6"/>
          <w:sz w:val="18"/>
          <w:szCs w:val="18"/>
        </w:rPr>
        <w:footnoteReference w:id="4"/>
      </w:r>
    </w:p>
    <w:p w14:paraId="42ADD7A6" w14:textId="77777777" w:rsidR="00E126B4" w:rsidRPr="007E04E8" w:rsidRDefault="00E126B4" w:rsidP="00204C2B">
      <w:pPr>
        <w:snapToGrid w:val="0"/>
        <w:spacing w:line="240" w:lineRule="auto"/>
      </w:pPr>
      <w:r w:rsidRPr="007E04E8">
        <w:t>5</w:t>
      </w:r>
      <w:r w:rsidRPr="007E04E8">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7E04E8">
        <w:rPr>
          <w:i/>
          <w:iCs/>
        </w:rPr>
        <w:t>decides</w:t>
      </w:r>
      <w:r w:rsidRPr="007E04E8">
        <w:t xml:space="preserve"> 9 below. The free entitlement cannot be applied to a filing previously cancelled for non-payment;</w:t>
      </w:r>
    </w:p>
    <w:p w14:paraId="2236E076" w14:textId="5FB79E85" w:rsidR="00E126B4" w:rsidRPr="007E04E8" w:rsidRDefault="00E126B4" w:rsidP="00204C2B">
      <w:pPr>
        <w:snapToGrid w:val="0"/>
        <w:spacing w:line="240" w:lineRule="auto"/>
      </w:pPr>
      <w:r w:rsidRPr="007E04E8">
        <w:t>6</w:t>
      </w:r>
      <w:r w:rsidRPr="007E04E8">
        <w:tab/>
        <w:t>that for any satellite network for which the advance publication information (API) was received prior to 8</w:t>
      </w:r>
      <w:r w:rsidR="00CA1BF5">
        <w:t> </w:t>
      </w:r>
      <w:r w:rsidRPr="007E04E8">
        <w:t xml:space="preserve">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i/>
        </w:rPr>
        <w:t>decides</w:t>
      </w:r>
      <w:r w:rsidRPr="007E04E8">
        <w:t xml:space="preserve"> 2 above;</w:t>
      </w:r>
    </w:p>
    <w:p w14:paraId="2E4DCA96" w14:textId="77777777" w:rsidR="00E126B4" w:rsidRPr="007E04E8" w:rsidRDefault="00E126B4" w:rsidP="00204C2B">
      <w:pPr>
        <w:snapToGrid w:val="0"/>
        <w:spacing w:line="240" w:lineRule="auto"/>
      </w:pPr>
      <w:r w:rsidRPr="007E04E8">
        <w:t>7</w:t>
      </w:r>
      <w:r w:rsidRPr="007E04E8">
        <w:tab/>
        <w:t>that there will be no cost-recovery charges for any Part A submission involving the application of Article 4 of Appendices 30/30A received by the Bureau prior to 8 November 1998 or Part</w:t>
      </w:r>
      <w:r>
        <w:t> </w:t>
      </w:r>
      <w:r w:rsidRPr="007E04E8">
        <w:t>B submission involving the application of Article 4 of Appendices 30/30A where the associated Part</w:t>
      </w:r>
      <w:r>
        <w:t> </w:t>
      </w:r>
      <w:r w:rsidRPr="007E04E8">
        <w:t xml:space="preserve">A was received prior to 8 November 1998. Any request for publication in Part A received after 7 November 1998 under §4.3.5 up to 2 June 2000 and then §4.1.3 or §4.2.6 of Appendices 30/30A and corresponding Part B submitted under §4.3.14 up to 2 June 2000 and the §4.1.12 or §4.2.16 of Appendices 30/30A shall be subject to a charge in accordance with </w:t>
      </w:r>
      <w:r w:rsidRPr="007E04E8">
        <w:rPr>
          <w:i/>
        </w:rPr>
        <w:t xml:space="preserve">decides </w:t>
      </w:r>
      <w:r w:rsidRPr="007E04E8">
        <w:t xml:space="preserve">2 above; </w:t>
      </w:r>
    </w:p>
    <w:p w14:paraId="7961AD69" w14:textId="77777777" w:rsidR="00E126B4" w:rsidRPr="007E04E8" w:rsidRDefault="00E126B4" w:rsidP="00204C2B">
      <w:pPr>
        <w:snapToGrid w:val="0"/>
        <w:spacing w:line="240" w:lineRule="auto"/>
      </w:pPr>
      <w:r w:rsidRPr="007E04E8">
        <w:t>7</w:t>
      </w:r>
      <w:r w:rsidRPr="007E04E8">
        <w:rPr>
          <w:i/>
          <w:iCs/>
        </w:rPr>
        <w:t>bis</w:t>
      </w:r>
      <w:r w:rsidRPr="007E04E8">
        <w:tab/>
        <w:t>that there will be no cost-recovery charges for any submission under §6.17 of Article</w:t>
      </w:r>
      <w:r>
        <w:t> </w:t>
      </w:r>
      <w:r w:rsidRPr="007E04E8">
        <w:t>6 of Appendix 30B where the associated submission under §6.1 of that Article was received prior to 17</w:t>
      </w:r>
      <w:r>
        <w:t> </w:t>
      </w:r>
      <w:r w:rsidRPr="007E04E8">
        <w:t>November 2007;</w:t>
      </w:r>
    </w:p>
    <w:p w14:paraId="33469BF1" w14:textId="77777777" w:rsidR="00E126B4" w:rsidRPr="007E04E8" w:rsidRDefault="00E126B4" w:rsidP="00204C2B">
      <w:pPr>
        <w:snapToGrid w:val="0"/>
        <w:spacing w:line="240" w:lineRule="auto"/>
      </w:pPr>
      <w:r w:rsidRPr="007E04E8">
        <w:t>8</w:t>
      </w:r>
      <w:r w:rsidRPr="007E04E8">
        <w:tab/>
        <w:t>that the Annex (Schedule of processing charges) to this decision should be reviewed periodically by the Council;</w:t>
      </w:r>
    </w:p>
    <w:p w14:paraId="36D93DB3" w14:textId="77777777" w:rsidR="00E126B4" w:rsidRPr="007E04E8" w:rsidRDefault="00E126B4" w:rsidP="00204C2B">
      <w:pPr>
        <w:snapToGrid w:val="0"/>
        <w:spacing w:line="240" w:lineRule="auto"/>
      </w:pPr>
      <w:r w:rsidRPr="007E04E8">
        <w:lastRenderedPageBreak/>
        <w:t>9</w:t>
      </w:r>
      <w:r w:rsidRPr="007E04E8">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14:paraId="4720CB00" w14:textId="77777777" w:rsidR="00E126B4" w:rsidRPr="007E04E8" w:rsidRDefault="00E126B4" w:rsidP="00204C2B">
      <w:pPr>
        <w:snapToGrid w:val="0"/>
        <w:spacing w:line="240" w:lineRule="auto"/>
      </w:pPr>
      <w:r w:rsidRPr="007E04E8">
        <w:t>10</w:t>
      </w:r>
      <w:r w:rsidRPr="007E04E8">
        <w:tab/>
        <w:t>that any subsequent cancellation received by the Radiocommunication Bureau within 15 days of the date of receipt of the filing shall remove the obligation to pay the fee;</w:t>
      </w:r>
    </w:p>
    <w:p w14:paraId="5018AA12" w14:textId="1D33D618" w:rsidR="00E126B4" w:rsidRPr="007E04E8" w:rsidRDefault="00E126B4" w:rsidP="00204C2B">
      <w:pPr>
        <w:snapToGrid w:val="0"/>
        <w:spacing w:line="240" w:lineRule="auto"/>
      </w:pPr>
      <w:r w:rsidRPr="007E04E8">
        <w:t>11</w:t>
      </w:r>
      <w:r w:rsidRPr="007E04E8">
        <w:tab/>
        <w:t>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w:t>
      </w:r>
      <w:r>
        <w:t> </w:t>
      </w:r>
      <w:r w:rsidRPr="007E04E8">
        <w:t xml:space="preserve">I of Article 6 of Appendix </w:t>
      </w:r>
      <w:r w:rsidRPr="007E04E8">
        <w:rPr>
          <w:bCs/>
        </w:rPr>
        <w:t>30B,</w:t>
      </w:r>
      <w:r w:rsidRPr="007E04E8">
        <w:t xml:space="preserve"> </w:t>
      </w:r>
      <w:r w:rsidRPr="007E04E8">
        <w:rPr>
          <w:bCs/>
        </w:rPr>
        <w:t xml:space="preserve">the addition of a new allotment to the plan for a new Member State of the Union </w:t>
      </w:r>
      <w:r w:rsidRPr="007E04E8">
        <w:t xml:space="preserve">in accordance with the procedure of Article </w:t>
      </w:r>
      <w:r w:rsidRPr="007E04E8">
        <w:rPr>
          <w:bCs/>
        </w:rPr>
        <w:t>7</w:t>
      </w:r>
      <w:r w:rsidRPr="007E04E8">
        <w:t xml:space="preserve"> of Appendix </w:t>
      </w:r>
      <w:r w:rsidRPr="007E04E8">
        <w:rPr>
          <w:bCs/>
        </w:rPr>
        <w:t xml:space="preserve">30B </w:t>
      </w:r>
      <w:r w:rsidRPr="007E04E8">
        <w:t xml:space="preserve">shall be exempt from any charges; </w:t>
      </w:r>
    </w:p>
    <w:p w14:paraId="5D416408" w14:textId="77CABA8E" w:rsidR="00E126B4" w:rsidRPr="007E04E8" w:rsidRDefault="00E126B4" w:rsidP="00204C2B">
      <w:pPr>
        <w:snapToGrid w:val="0"/>
        <w:spacing w:line="240" w:lineRule="auto"/>
      </w:pPr>
      <w:r w:rsidRPr="007E04E8">
        <w:t>12</w:t>
      </w:r>
      <w:r w:rsidRPr="007E04E8">
        <w:tab/>
        <w:t>that the date of entry into force of Decision 482 (modified 20</w:t>
      </w:r>
      <w:r>
        <w:t>20</w:t>
      </w:r>
      <w:r w:rsidRPr="007E04E8">
        <w:t xml:space="preserve">) shall be 1 </w:t>
      </w:r>
      <w:r>
        <w:t>September</w:t>
      </w:r>
      <w:r w:rsidRPr="007E04E8">
        <w:t xml:space="preserve"> 20</w:t>
      </w:r>
      <w:r>
        <w:t>20</w:t>
      </w:r>
      <w:r w:rsidRPr="007E04E8">
        <w:t>;</w:t>
      </w:r>
    </w:p>
    <w:p w14:paraId="30A76B89" w14:textId="77777777" w:rsidR="00E126B4" w:rsidRPr="007E04E8" w:rsidRDefault="00E126B4" w:rsidP="00204C2B">
      <w:pPr>
        <w:snapToGrid w:val="0"/>
        <w:spacing w:line="240" w:lineRule="auto"/>
      </w:pPr>
      <w:r w:rsidRPr="007E04E8">
        <w:t>13</w:t>
      </w:r>
      <w:r w:rsidRPr="007E04E8">
        <w:tab/>
        <w:t>that the provisions of this decision need to be revised when further data from time recording are available,</w:t>
      </w:r>
    </w:p>
    <w:p w14:paraId="21D53E70" w14:textId="77777777" w:rsidR="00E126B4" w:rsidRPr="007E04E8" w:rsidRDefault="00E126B4" w:rsidP="00204C2B">
      <w:pPr>
        <w:pStyle w:val="Call"/>
        <w:jc w:val="both"/>
        <w:rPr>
          <w:rFonts w:eastAsiaTheme="minorEastAsia"/>
          <w:lang w:eastAsia="zh-CN"/>
        </w:rPr>
      </w:pPr>
      <w:r w:rsidRPr="007E04E8">
        <w:rPr>
          <w:rFonts w:eastAsiaTheme="minorEastAsia"/>
          <w:lang w:eastAsia="zh-CN"/>
        </w:rPr>
        <w:t>recommends</w:t>
      </w:r>
    </w:p>
    <w:p w14:paraId="0CC91619" w14:textId="3763D871" w:rsidR="00E126B4" w:rsidRPr="007E04E8" w:rsidRDefault="00E126B4" w:rsidP="00204C2B">
      <w:pPr>
        <w:snapToGrid w:val="0"/>
        <w:spacing w:line="240" w:lineRule="auto"/>
        <w:rPr>
          <w:iCs/>
        </w:rPr>
      </w:pPr>
      <w:r w:rsidRPr="007E04E8">
        <w:rPr>
          <w:iCs/>
        </w:rPr>
        <w:t>that should Council revise the schedule in the Annex, any credits that may arise should be applied by the Bureau to subsequent invoices as requested by administrations,</w:t>
      </w:r>
    </w:p>
    <w:p w14:paraId="19617488" w14:textId="77777777" w:rsidR="00E126B4" w:rsidRPr="007E04E8" w:rsidRDefault="00E126B4" w:rsidP="00204C2B">
      <w:pPr>
        <w:pStyle w:val="Call"/>
        <w:jc w:val="both"/>
        <w:rPr>
          <w:rFonts w:eastAsiaTheme="minorEastAsia"/>
          <w:lang w:eastAsia="zh-CN"/>
        </w:rPr>
      </w:pPr>
      <w:r w:rsidRPr="007E04E8">
        <w:rPr>
          <w:rFonts w:eastAsiaTheme="minorEastAsia"/>
          <w:lang w:eastAsia="zh-CN"/>
        </w:rPr>
        <w:t>encourages Member States</w:t>
      </w:r>
    </w:p>
    <w:p w14:paraId="4AC048C4" w14:textId="77777777" w:rsidR="00E126B4" w:rsidRPr="007E04E8" w:rsidRDefault="00E126B4" w:rsidP="00204C2B">
      <w:pPr>
        <w:snapToGrid w:val="0"/>
        <w:spacing w:line="240" w:lineRule="auto"/>
      </w:pPr>
      <w:r w:rsidRPr="007E04E8">
        <w:t>to develop domestic policies that will minimize the occurrence of non-payment and consequential revenue loss to ITU,</w:t>
      </w:r>
    </w:p>
    <w:p w14:paraId="4DB46C5B" w14:textId="77777777" w:rsidR="00E126B4" w:rsidRPr="007E04E8" w:rsidRDefault="00E126B4" w:rsidP="00204C2B">
      <w:pPr>
        <w:pStyle w:val="Call"/>
        <w:jc w:val="both"/>
        <w:rPr>
          <w:rFonts w:eastAsiaTheme="minorEastAsia"/>
          <w:lang w:eastAsia="zh-CN"/>
        </w:rPr>
      </w:pPr>
      <w:r w:rsidRPr="007E04E8">
        <w:rPr>
          <w:rFonts w:eastAsiaTheme="minorEastAsia"/>
          <w:lang w:eastAsia="zh-CN"/>
        </w:rPr>
        <w:t>instructs the Director of the Radiocommunication Bureau</w:t>
      </w:r>
    </w:p>
    <w:p w14:paraId="1DADC124" w14:textId="77777777" w:rsidR="00E126B4" w:rsidRPr="007E04E8" w:rsidRDefault="00E126B4" w:rsidP="00204C2B">
      <w:pPr>
        <w:snapToGrid w:val="0"/>
        <w:spacing w:line="240" w:lineRule="auto"/>
      </w:pPr>
      <w:r w:rsidRPr="007E04E8">
        <w:t>1</w:t>
      </w:r>
      <w:r w:rsidRPr="007E04E8">
        <w:tab/>
        <w:t>to enhanc</w:t>
      </w:r>
      <w:r>
        <w:t>e the Radiocommunication Bureau’</w:t>
      </w:r>
      <w:r w:rsidRPr="007E04E8">
        <w:t>s electronic notice form software (</w:t>
      </w:r>
      <w:proofErr w:type="spellStart"/>
      <w:r w:rsidRPr="007E04E8">
        <w:t>SpaceCap</w:t>
      </w:r>
      <w:proofErr w:type="spellEnd"/>
      <w:r w:rsidRPr="007E04E8">
        <w:t>) in order to enable the calculation of the best estimated charges associated with a satellite network filing of any type prior to its submission to ITU;</w:t>
      </w:r>
    </w:p>
    <w:p w14:paraId="2DD75301" w14:textId="77777777" w:rsidR="00E126B4" w:rsidRPr="007E04E8" w:rsidRDefault="00E126B4" w:rsidP="00204C2B">
      <w:pPr>
        <w:snapToGrid w:val="0"/>
        <w:spacing w:line="240" w:lineRule="auto"/>
      </w:pPr>
      <w:r w:rsidRPr="007E04E8">
        <w:t>2</w:t>
      </w:r>
      <w:r w:rsidRPr="007E04E8">
        <w:tab/>
        <w:t>to submit an annual report to the Council on the implementation of this decision, including analyses of:</w:t>
      </w:r>
    </w:p>
    <w:p w14:paraId="3898076F" w14:textId="77777777" w:rsidR="00E126B4" w:rsidRPr="007E04E8" w:rsidRDefault="00E126B4" w:rsidP="00204C2B">
      <w:pPr>
        <w:snapToGrid w:val="0"/>
        <w:spacing w:line="240" w:lineRule="auto"/>
        <w:ind w:left="851" w:hanging="851"/>
      </w:pPr>
      <w:r w:rsidRPr="007E04E8">
        <w:t>a)</w:t>
      </w:r>
      <w:r w:rsidRPr="007E04E8">
        <w:tab/>
        <w:t>the cost of the different steps of the procedures;</w:t>
      </w:r>
    </w:p>
    <w:p w14:paraId="3B61FE66" w14:textId="77777777" w:rsidR="00E126B4" w:rsidRPr="007E04E8" w:rsidRDefault="00E126B4" w:rsidP="00204C2B">
      <w:pPr>
        <w:snapToGrid w:val="0"/>
        <w:spacing w:line="240" w:lineRule="auto"/>
        <w:ind w:left="851" w:hanging="851"/>
      </w:pPr>
      <w:r w:rsidRPr="007E04E8">
        <w:t>b)</w:t>
      </w:r>
      <w:r w:rsidRPr="007E04E8">
        <w:tab/>
        <w:t>the impact of the electronic submission of information;</w:t>
      </w:r>
    </w:p>
    <w:p w14:paraId="39695710" w14:textId="77777777" w:rsidR="00E126B4" w:rsidRPr="007E04E8" w:rsidRDefault="00E126B4" w:rsidP="00204C2B">
      <w:pPr>
        <w:snapToGrid w:val="0"/>
        <w:spacing w:line="240" w:lineRule="auto"/>
        <w:ind w:left="851" w:hanging="851"/>
      </w:pPr>
      <w:r w:rsidRPr="007E04E8">
        <w:t>c)</w:t>
      </w:r>
      <w:r w:rsidRPr="007E04E8">
        <w:tab/>
        <w:t>enhancement in quality of service, including, among others, reduction of the backlog;</w:t>
      </w:r>
    </w:p>
    <w:p w14:paraId="193DC9A5" w14:textId="77777777" w:rsidR="00E126B4" w:rsidRPr="007E04E8" w:rsidRDefault="00E126B4" w:rsidP="00204C2B">
      <w:pPr>
        <w:snapToGrid w:val="0"/>
        <w:spacing w:line="240" w:lineRule="auto"/>
        <w:ind w:left="851" w:hanging="851"/>
      </w:pPr>
      <w:r w:rsidRPr="007E04E8">
        <w:t>d)</w:t>
      </w:r>
      <w:r w:rsidRPr="007E04E8">
        <w:tab/>
        <w:t>the costs of validating filings and requesting corrective action thereto; and</w:t>
      </w:r>
    </w:p>
    <w:p w14:paraId="726D87B2" w14:textId="77777777" w:rsidR="00E126B4" w:rsidRPr="007E04E8" w:rsidRDefault="00E126B4" w:rsidP="00204C2B">
      <w:pPr>
        <w:snapToGrid w:val="0"/>
        <w:spacing w:line="240" w:lineRule="auto"/>
        <w:ind w:left="851" w:hanging="851"/>
      </w:pPr>
      <w:r w:rsidRPr="007E04E8">
        <w:t>e)</w:t>
      </w:r>
      <w:r w:rsidRPr="007E04E8">
        <w:tab/>
        <w:t>difficulties encountered in applying the provisions of this decision,</w:t>
      </w:r>
    </w:p>
    <w:p w14:paraId="6EFB9FD0" w14:textId="77777777" w:rsidR="00E126B4" w:rsidRDefault="00E126B4" w:rsidP="00204C2B">
      <w:pPr>
        <w:snapToGrid w:val="0"/>
        <w:spacing w:line="240" w:lineRule="auto"/>
      </w:pPr>
      <w:r w:rsidRPr="007E04E8">
        <w:t>3</w:t>
      </w:r>
      <w:r w:rsidRPr="007E04E8">
        <w:tab/>
        <w:t>to inform the Member States of any practice used by the Radiocommunication Bureau to implement the provisions of this decision and the rationale for that practice.</w:t>
      </w:r>
    </w:p>
    <w:p w14:paraId="462EDAFC" w14:textId="77777777" w:rsidR="00E126B4" w:rsidRPr="007E04E8" w:rsidRDefault="00E126B4" w:rsidP="00204C2B">
      <w:pPr>
        <w:snapToGrid w:val="0"/>
        <w:spacing w:before="1440"/>
      </w:pPr>
      <w:r w:rsidRPr="00FC4489">
        <w:rPr>
          <w:b/>
          <w:bCs/>
        </w:rPr>
        <w:t>Annex:</w:t>
      </w:r>
      <w:r>
        <w:t xml:space="preserve"> 1</w:t>
      </w:r>
    </w:p>
    <w:p w14:paraId="0E93C918" w14:textId="77777777" w:rsidR="00E126B4" w:rsidRPr="007E04E8" w:rsidRDefault="00E126B4" w:rsidP="00204C2B">
      <w:pPr>
        <w:sectPr w:rsidR="00E126B4" w:rsidRPr="007E04E8" w:rsidSect="00204C2B">
          <w:headerReference w:type="default" r:id="rId37"/>
          <w:footerReference w:type="first" r:id="rId38"/>
          <w:pgSz w:w="11906" w:h="16838" w:code="9"/>
          <w:pgMar w:top="1440" w:right="851" w:bottom="1440" w:left="851" w:header="709" w:footer="709" w:gutter="0"/>
          <w:cols w:space="708"/>
          <w:docGrid w:linePitch="360"/>
        </w:sectPr>
      </w:pPr>
      <w:r w:rsidRPr="007E04E8">
        <w:br w:type="page"/>
      </w:r>
    </w:p>
    <w:p w14:paraId="56966580" w14:textId="77777777" w:rsidR="00E126B4" w:rsidRPr="007E04E8" w:rsidRDefault="00E126B4" w:rsidP="00204C2B">
      <w:pPr>
        <w:jc w:val="center"/>
        <w:rPr>
          <w:caps/>
          <w:sz w:val="28"/>
        </w:rPr>
      </w:pPr>
      <w:r w:rsidRPr="007E04E8">
        <w:rPr>
          <w:caps/>
          <w:sz w:val="28"/>
        </w:rPr>
        <w:lastRenderedPageBreak/>
        <w:t>ANNEX</w:t>
      </w:r>
    </w:p>
    <w:p w14:paraId="62C0B9C9" w14:textId="39CA1C51" w:rsidR="00E126B4" w:rsidRPr="007E04E8" w:rsidRDefault="00E126B4">
      <w:pPr>
        <w:pStyle w:val="Annextitle"/>
        <w:rPr>
          <w:rFonts w:eastAsiaTheme="minorEastAsia"/>
          <w:bCs/>
          <w:lang w:eastAsia="zh-CN"/>
        </w:rPr>
      </w:pPr>
      <w:r w:rsidRPr="007E04E8">
        <w:rPr>
          <w:rFonts w:eastAsiaTheme="minorEastAsia"/>
          <w:lang w:eastAsia="zh-CN"/>
        </w:rPr>
        <w:t xml:space="preserve">Schedule of processing charges to be applied to satellite network filings </w:t>
      </w:r>
      <w:r w:rsidRPr="007E04E8">
        <w:rPr>
          <w:rFonts w:eastAsiaTheme="minorEastAsia"/>
          <w:lang w:eastAsia="zh-CN"/>
        </w:rPr>
        <w:br/>
        <w:t xml:space="preserve">received by the Radiocommunication Bureau on or after 1 </w:t>
      </w:r>
      <w:r w:rsidRPr="00E126B4">
        <w:rPr>
          <w:rFonts w:eastAsiaTheme="minorEastAsia"/>
          <w:lang w:eastAsia="zh-CN"/>
        </w:rPr>
        <w:t>Septem</w:t>
      </w:r>
      <w:r w:rsidRPr="00117DD1">
        <w:rPr>
          <w:rFonts w:eastAsiaTheme="minorEastAsia"/>
          <w:lang w:eastAsia="zh-CN"/>
        </w:rPr>
        <w:t>ber</w:t>
      </w:r>
      <w:r w:rsidRPr="007E04E8">
        <w:rPr>
          <w:rFonts w:eastAsiaTheme="minorEastAsia"/>
          <w:lang w:eastAsia="zh-CN"/>
        </w:rPr>
        <w:t xml:space="preserve"> 20</w:t>
      </w:r>
      <w:r>
        <w:rPr>
          <w:rFonts w:eastAsiaTheme="minorEastAsia"/>
          <w:lang w:eastAsia="zh-CN"/>
        </w:rPr>
        <w:t>20</w:t>
      </w:r>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E126B4" w:rsidRPr="007E04E8" w14:paraId="49CF4815" w14:textId="77777777" w:rsidTr="00204C2B">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16A44F81" w14:textId="77777777" w:rsidR="00E126B4" w:rsidRPr="007E04E8" w:rsidRDefault="00E126B4" w:rsidP="00204C2B">
            <w:pPr>
              <w:snapToGrid w:val="0"/>
              <w:spacing w:after="120" w:line="259" w:lineRule="auto"/>
              <w:jc w:val="center"/>
              <w:rPr>
                <w:b/>
                <w:bCs/>
                <w:sz w:val="16"/>
              </w:rPr>
            </w:pPr>
            <w:r w:rsidRPr="007E04E8">
              <w:rPr>
                <w:b/>
                <w:bCs/>
                <w:sz w:val="16"/>
              </w:rPr>
              <w:t>Type</w:t>
            </w:r>
          </w:p>
        </w:tc>
        <w:tc>
          <w:tcPr>
            <w:tcW w:w="9263" w:type="dxa"/>
            <w:gridSpan w:val="2"/>
            <w:tcBorders>
              <w:top w:val="single" w:sz="4" w:space="0" w:color="000000"/>
              <w:left w:val="single" w:sz="4" w:space="0" w:color="000000"/>
              <w:bottom w:val="single" w:sz="4" w:space="0" w:color="000000"/>
            </w:tcBorders>
            <w:vAlign w:val="center"/>
          </w:tcPr>
          <w:p w14:paraId="388AC887" w14:textId="77777777" w:rsidR="00E126B4" w:rsidRPr="007E04E8" w:rsidRDefault="00E126B4" w:rsidP="00204C2B">
            <w:pPr>
              <w:snapToGrid w:val="0"/>
              <w:spacing w:after="120" w:line="259" w:lineRule="auto"/>
              <w:jc w:val="center"/>
              <w:rPr>
                <w:b/>
                <w:bCs/>
                <w:sz w:val="16"/>
              </w:rPr>
            </w:pPr>
            <w:r w:rsidRPr="007E04E8">
              <w:rPr>
                <w:b/>
                <w:bCs/>
                <w:sz w:val="16"/>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3F3BB384"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Flat fee per filing (in CHF)</w:t>
            </w:r>
            <w:r w:rsidRPr="007E04E8">
              <w:rPr>
                <w:b/>
                <w:sz w:val="16"/>
              </w:rPr>
              <w:br/>
              <w:t>(</w:t>
            </w:r>
            <w:r w:rsidRPr="007E04E8">
              <w:rPr>
                <w:rFonts w:ascii="Symbol" w:hAnsi="Symbol"/>
                <w:b/>
                <w:sz w:val="16"/>
              </w:rPr>
              <w:t></w:t>
            </w:r>
            <w:r w:rsidRPr="007E04E8">
              <w:rPr>
                <w:b/>
                <w:sz w:val="16"/>
              </w:rPr>
              <w:t xml:space="preserve"> 100 units, </w:t>
            </w:r>
            <w:r w:rsidRPr="007E04E8">
              <w:rPr>
                <w:b/>
                <w:sz w:val="16"/>
              </w:rPr>
              <w:br/>
              <w:t xml:space="preserve">if </w:t>
            </w:r>
            <w:proofErr w:type="gramStart"/>
            <w:r w:rsidRPr="007E04E8">
              <w:rPr>
                <w:b/>
                <w:sz w:val="16"/>
              </w:rPr>
              <w:t>applicable)</w:t>
            </w:r>
            <w:r w:rsidRPr="007E04E8">
              <w:rPr>
                <w:b/>
                <w:sz w:val="16"/>
                <w:vertAlign w:val="superscript"/>
              </w:rPr>
              <w:t>e</w:t>
            </w:r>
            <w:proofErr w:type="gramEnd"/>
            <w:r w:rsidRPr="007E04E8">
              <w:rPr>
                <w:b/>
                <w:sz w:val="16"/>
                <w:vertAlign w:val="superscript"/>
              </w:rPr>
              <w:t>)</w:t>
            </w:r>
          </w:p>
        </w:tc>
        <w:tc>
          <w:tcPr>
            <w:tcW w:w="936" w:type="dxa"/>
            <w:tcBorders>
              <w:top w:val="single" w:sz="4" w:space="0" w:color="000000"/>
              <w:left w:val="single" w:sz="4" w:space="0" w:color="000000"/>
              <w:bottom w:val="single" w:sz="4" w:space="0" w:color="000000"/>
            </w:tcBorders>
            <w:vAlign w:val="center"/>
          </w:tcPr>
          <w:p w14:paraId="7062ABF0"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Start fee per filing (in CHF)</w:t>
            </w:r>
            <w:r w:rsidRPr="007E04E8">
              <w:rPr>
                <w:b/>
                <w:sz w:val="16"/>
              </w:rPr>
              <w:br/>
              <w:t>(&lt; 100 units)</w:t>
            </w:r>
          </w:p>
        </w:tc>
        <w:tc>
          <w:tcPr>
            <w:tcW w:w="1049" w:type="dxa"/>
            <w:tcBorders>
              <w:top w:val="single" w:sz="4" w:space="0" w:color="000000"/>
              <w:left w:val="single" w:sz="4" w:space="0" w:color="000000"/>
              <w:bottom w:val="single" w:sz="4" w:space="0" w:color="000000"/>
            </w:tcBorders>
            <w:vAlign w:val="center"/>
          </w:tcPr>
          <w:p w14:paraId="146AFFFD"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Fee per unit (in CHF)</w:t>
            </w:r>
            <w:r w:rsidRPr="007E04E8">
              <w:rPr>
                <w:b/>
                <w:sz w:val="16"/>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14:paraId="67EB52AB"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Cost-recovery unit</w:t>
            </w:r>
          </w:p>
        </w:tc>
      </w:tr>
      <w:tr w:rsidR="00E126B4" w:rsidRPr="007E04E8" w14:paraId="5907EF77" w14:textId="77777777" w:rsidTr="00204C2B">
        <w:trPr>
          <w:cantSplit/>
          <w:jc w:val="center"/>
        </w:trPr>
        <w:tc>
          <w:tcPr>
            <w:tcW w:w="472" w:type="dxa"/>
            <w:tcBorders>
              <w:top w:val="single" w:sz="4" w:space="0" w:color="000000"/>
              <w:left w:val="single" w:sz="4" w:space="0" w:color="000000"/>
              <w:bottom w:val="single" w:sz="4" w:space="0" w:color="000000"/>
            </w:tcBorders>
            <w:vAlign w:val="center"/>
          </w:tcPr>
          <w:p w14:paraId="300D1EED" w14:textId="77777777" w:rsidR="00E126B4" w:rsidRPr="007E04E8" w:rsidRDefault="00E126B4" w:rsidP="00204C2B">
            <w:pPr>
              <w:snapToGrid w:val="0"/>
              <w:spacing w:after="120" w:line="259" w:lineRule="auto"/>
              <w:rPr>
                <w:sz w:val="16"/>
              </w:rPr>
            </w:pPr>
            <w:r w:rsidRPr="007E04E8">
              <w:rPr>
                <w:sz w:val="16"/>
              </w:rPr>
              <w:t>1</w:t>
            </w:r>
          </w:p>
        </w:tc>
        <w:tc>
          <w:tcPr>
            <w:tcW w:w="1088" w:type="dxa"/>
            <w:tcBorders>
              <w:top w:val="single" w:sz="4" w:space="0" w:color="000000"/>
              <w:left w:val="single" w:sz="4" w:space="0" w:color="000000"/>
              <w:bottom w:val="single" w:sz="4" w:space="0" w:color="000000"/>
            </w:tcBorders>
            <w:vAlign w:val="center"/>
          </w:tcPr>
          <w:p w14:paraId="02684703" w14:textId="77777777" w:rsidR="00E126B4" w:rsidRPr="007E04E8" w:rsidRDefault="00E126B4" w:rsidP="00204C2B">
            <w:pPr>
              <w:snapToGrid w:val="0"/>
              <w:spacing w:after="120" w:line="259" w:lineRule="auto"/>
              <w:rPr>
                <w:sz w:val="16"/>
              </w:rPr>
            </w:pPr>
            <w:r w:rsidRPr="007E04E8">
              <w:rPr>
                <w:sz w:val="16"/>
              </w:rPr>
              <w:t>Advance publication (A)</w:t>
            </w:r>
          </w:p>
        </w:tc>
        <w:tc>
          <w:tcPr>
            <w:tcW w:w="683" w:type="dxa"/>
            <w:tcBorders>
              <w:top w:val="single" w:sz="4" w:space="0" w:color="000000"/>
              <w:left w:val="single" w:sz="4" w:space="0" w:color="000000"/>
              <w:bottom w:val="single" w:sz="4" w:space="0" w:color="000000"/>
            </w:tcBorders>
            <w:vAlign w:val="center"/>
          </w:tcPr>
          <w:p w14:paraId="7578FA8E" w14:textId="77777777" w:rsidR="00E126B4" w:rsidRPr="007E04E8" w:rsidRDefault="00E126B4" w:rsidP="00204C2B">
            <w:pPr>
              <w:snapToGrid w:val="0"/>
              <w:spacing w:after="120" w:line="259" w:lineRule="auto"/>
              <w:rPr>
                <w:sz w:val="16"/>
              </w:rPr>
            </w:pPr>
            <w:r w:rsidRPr="007E04E8">
              <w:rPr>
                <w:sz w:val="16"/>
              </w:rPr>
              <w:t>A1</w:t>
            </w:r>
          </w:p>
        </w:tc>
        <w:tc>
          <w:tcPr>
            <w:tcW w:w="8580" w:type="dxa"/>
            <w:tcBorders>
              <w:top w:val="single" w:sz="4" w:space="0" w:color="000000"/>
              <w:left w:val="single" w:sz="4" w:space="0" w:color="000000"/>
              <w:bottom w:val="single" w:sz="4" w:space="0" w:color="000000"/>
            </w:tcBorders>
            <w:vAlign w:val="center"/>
          </w:tcPr>
          <w:p w14:paraId="3D3109D5" w14:textId="39791011" w:rsidR="00E126B4" w:rsidRPr="007E04E8" w:rsidRDefault="00E126B4" w:rsidP="00204C2B">
            <w:pPr>
              <w:snapToGrid w:val="0"/>
              <w:spacing w:after="120" w:line="259" w:lineRule="auto"/>
              <w:rPr>
                <w:sz w:val="16"/>
              </w:rPr>
            </w:pPr>
            <w:r w:rsidRPr="007E04E8">
              <w:rPr>
                <w:sz w:val="16"/>
              </w:rPr>
              <w:t xml:space="preserve">Advance publication of a non-geostationary-satellite network not subject to coordination under Section </w:t>
            </w:r>
            <w:r w:rsidRPr="007E04E8">
              <w:rPr>
                <w:b/>
                <w:sz w:val="16"/>
              </w:rPr>
              <w:t>I</w:t>
            </w:r>
            <w:r>
              <w:rPr>
                <w:b/>
                <w:sz w:val="16"/>
              </w:rPr>
              <w:t>I</w:t>
            </w:r>
            <w:r w:rsidRPr="007E04E8">
              <w:rPr>
                <w:sz w:val="16"/>
              </w:rPr>
              <w:t xml:space="preserve"> of Article</w:t>
            </w:r>
            <w:r w:rsidRPr="007E04E8">
              <w:rPr>
                <w:b/>
                <w:sz w:val="16"/>
              </w:rPr>
              <w:t xml:space="preserve"> 9</w:t>
            </w:r>
            <w:r w:rsidRPr="007E04E8">
              <w:rPr>
                <w:bCs/>
                <w:sz w:val="16"/>
              </w:rPr>
              <w:t>;</w:t>
            </w:r>
            <w:r w:rsidRPr="007E04E8">
              <w:rPr>
                <w:sz w:val="16"/>
              </w:rPr>
              <w:t xml:space="preserve"> Advance publication of inter-satellite links of a geostationary-satellite space station communicating with a non-geostationary space station provisionally not subject to coordination </w:t>
            </w:r>
            <w:r w:rsidRPr="00024A61">
              <w:rPr>
                <w:sz w:val="16"/>
              </w:rPr>
              <w:t xml:space="preserve">under Section </w:t>
            </w:r>
            <w:r w:rsidRPr="00024A61">
              <w:rPr>
                <w:b/>
                <w:sz w:val="16"/>
              </w:rPr>
              <w:t>II</w:t>
            </w:r>
            <w:r w:rsidRPr="00024A61">
              <w:rPr>
                <w:sz w:val="16"/>
              </w:rPr>
              <w:t xml:space="preserve"> of Article</w:t>
            </w:r>
            <w:r w:rsidRPr="00024A61">
              <w:rPr>
                <w:b/>
                <w:sz w:val="16"/>
              </w:rPr>
              <w:t xml:space="preserve"> 9</w:t>
            </w:r>
            <w:r>
              <w:rPr>
                <w:b/>
                <w:sz w:val="16"/>
              </w:rPr>
              <w:t xml:space="preserve"> </w:t>
            </w:r>
            <w:r w:rsidRPr="007E04E8">
              <w:rPr>
                <w:sz w:val="16"/>
              </w:rPr>
              <w:t>in accordance with the Rule of Procedure on No. </w:t>
            </w:r>
            <w:r w:rsidRPr="007E04E8">
              <w:rPr>
                <w:b/>
                <w:bCs/>
                <w:sz w:val="16"/>
              </w:rPr>
              <w:t>11.32</w:t>
            </w:r>
            <w:r w:rsidRPr="007E04E8">
              <w:rPr>
                <w:sz w:val="16"/>
              </w:rPr>
              <w:t>, §6 (MOD RRB04/35).</w:t>
            </w:r>
          </w:p>
          <w:p w14:paraId="1D52FEAE" w14:textId="77777777" w:rsidR="00E126B4" w:rsidRPr="007E04E8" w:rsidRDefault="00E126B4" w:rsidP="00204C2B">
            <w:pPr>
              <w:spacing w:after="120" w:line="259" w:lineRule="auto"/>
              <w:rPr>
                <w:sz w:val="16"/>
              </w:rPr>
            </w:pPr>
            <w:r w:rsidRPr="007E04E8">
              <w:rPr>
                <w:sz w:val="16"/>
              </w:rPr>
              <w:t xml:space="preserve">Note: Advance publication also includes the application of No. </w:t>
            </w:r>
            <w:r w:rsidRPr="007E04E8">
              <w:rPr>
                <w:b/>
                <w:bCs/>
                <w:sz w:val="16"/>
              </w:rPr>
              <w:t xml:space="preserve">9.5 </w:t>
            </w:r>
            <w:r w:rsidRPr="007E04E8">
              <w:rPr>
                <w:sz w:val="16"/>
              </w:rPr>
              <w:t xml:space="preserve">(API/B special section) </w:t>
            </w:r>
            <w:r w:rsidRPr="007E04E8">
              <w:rPr>
                <w:bCs/>
                <w:sz w:val="16"/>
              </w:rPr>
              <w:t>and will not be separately charged</w:t>
            </w:r>
            <w:r w:rsidRPr="007E04E8">
              <w:rPr>
                <w:sz w:val="16"/>
              </w:rPr>
              <w:t>.</w:t>
            </w:r>
          </w:p>
        </w:tc>
        <w:tc>
          <w:tcPr>
            <w:tcW w:w="2070" w:type="dxa"/>
            <w:gridSpan w:val="2"/>
            <w:tcBorders>
              <w:top w:val="single" w:sz="4" w:space="0" w:color="000000"/>
              <w:left w:val="single" w:sz="4" w:space="0" w:color="000000"/>
              <w:bottom w:val="single" w:sz="4" w:space="0" w:color="000000"/>
            </w:tcBorders>
            <w:vAlign w:val="center"/>
          </w:tcPr>
          <w:p w14:paraId="14012BEF"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Cs/>
                <w:sz w:val="16"/>
              </w:rPr>
            </w:pPr>
            <w:r w:rsidRPr="007E04E8">
              <w:rPr>
                <w:bCs/>
                <w:sz w:val="16"/>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0BFF37AF"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Not applicable</w:t>
            </w:r>
          </w:p>
        </w:tc>
      </w:tr>
      <w:tr w:rsidR="00E126B4" w:rsidRPr="007E04E8" w14:paraId="6610B6A3" w14:textId="77777777" w:rsidTr="00204C2B">
        <w:trPr>
          <w:cantSplit/>
          <w:jc w:val="center"/>
        </w:trPr>
        <w:tc>
          <w:tcPr>
            <w:tcW w:w="472" w:type="dxa"/>
            <w:vMerge w:val="restart"/>
            <w:tcBorders>
              <w:top w:val="single" w:sz="4" w:space="0" w:color="000000"/>
              <w:left w:val="single" w:sz="4" w:space="0" w:color="000000"/>
              <w:bottom w:val="single" w:sz="4" w:space="0" w:color="000000"/>
            </w:tcBorders>
            <w:vAlign w:val="center"/>
          </w:tcPr>
          <w:p w14:paraId="207A9F98" w14:textId="77777777" w:rsidR="00E126B4" w:rsidRPr="007E04E8" w:rsidRDefault="00E126B4" w:rsidP="00204C2B">
            <w:pPr>
              <w:snapToGrid w:val="0"/>
              <w:spacing w:after="120" w:line="259" w:lineRule="auto"/>
              <w:rPr>
                <w:sz w:val="16"/>
              </w:rPr>
            </w:pPr>
            <w:r w:rsidRPr="007E04E8">
              <w:rPr>
                <w:sz w:val="16"/>
              </w:rPr>
              <w:t>2</w:t>
            </w:r>
          </w:p>
        </w:tc>
        <w:tc>
          <w:tcPr>
            <w:tcW w:w="1088" w:type="dxa"/>
            <w:vMerge w:val="restart"/>
            <w:tcBorders>
              <w:top w:val="single" w:sz="4" w:space="0" w:color="000000"/>
              <w:left w:val="single" w:sz="4" w:space="0" w:color="000000"/>
              <w:bottom w:val="single" w:sz="4" w:space="0" w:color="000000"/>
            </w:tcBorders>
            <w:vAlign w:val="center"/>
          </w:tcPr>
          <w:p w14:paraId="1B494B42" w14:textId="77777777" w:rsidR="00E126B4" w:rsidRPr="007E04E8" w:rsidRDefault="00E126B4" w:rsidP="00204C2B">
            <w:pPr>
              <w:snapToGrid w:val="0"/>
              <w:spacing w:after="120" w:line="259" w:lineRule="auto"/>
              <w:rPr>
                <w:sz w:val="16"/>
              </w:rPr>
            </w:pPr>
            <w:r w:rsidRPr="007E04E8">
              <w:rPr>
                <w:sz w:val="16"/>
              </w:rPr>
              <w:t>Coordination (C)</w:t>
            </w:r>
          </w:p>
        </w:tc>
        <w:tc>
          <w:tcPr>
            <w:tcW w:w="683" w:type="dxa"/>
            <w:tcBorders>
              <w:top w:val="single" w:sz="4" w:space="0" w:color="000000"/>
              <w:left w:val="single" w:sz="4" w:space="0" w:color="000000"/>
              <w:bottom w:val="single" w:sz="4" w:space="0" w:color="000000"/>
            </w:tcBorders>
            <w:vAlign w:val="center"/>
          </w:tcPr>
          <w:p w14:paraId="65D8EFED" w14:textId="77777777" w:rsidR="00E126B4" w:rsidRPr="007E04E8" w:rsidRDefault="00E126B4" w:rsidP="00204C2B">
            <w:pPr>
              <w:snapToGrid w:val="0"/>
              <w:spacing w:after="120" w:line="259" w:lineRule="auto"/>
              <w:rPr>
                <w:sz w:val="16"/>
              </w:rPr>
            </w:pPr>
            <w:r w:rsidRPr="007E04E8">
              <w:rPr>
                <w:sz w:val="16"/>
              </w:rPr>
              <w:t>C1*</w:t>
            </w:r>
          </w:p>
        </w:tc>
        <w:tc>
          <w:tcPr>
            <w:tcW w:w="8580" w:type="dxa"/>
            <w:vMerge w:val="restart"/>
            <w:tcBorders>
              <w:top w:val="single" w:sz="4" w:space="0" w:color="000000"/>
              <w:left w:val="single" w:sz="4" w:space="0" w:color="000000"/>
              <w:bottom w:val="single" w:sz="4" w:space="0" w:color="000000"/>
            </w:tcBorders>
            <w:vAlign w:val="center"/>
          </w:tcPr>
          <w:p w14:paraId="4E7945D7" w14:textId="62C850F1" w:rsidR="00E126B4" w:rsidRPr="007E04E8" w:rsidRDefault="00E126B4" w:rsidP="00204C2B">
            <w:pPr>
              <w:snapToGrid w:val="0"/>
              <w:spacing w:after="120" w:line="259" w:lineRule="auto"/>
              <w:rPr>
                <w:bCs/>
                <w:sz w:val="16"/>
              </w:rPr>
            </w:pPr>
            <w:r w:rsidRPr="007E04E8">
              <w:rPr>
                <w:sz w:val="16"/>
              </w:rPr>
              <w:t>Coordination request for a satellite network in accordance with No.</w:t>
            </w:r>
            <w:r w:rsidRPr="007E04E8">
              <w:rPr>
                <w:b/>
                <w:sz w:val="16"/>
              </w:rPr>
              <w:t xml:space="preserve"> 9.6</w:t>
            </w:r>
            <w:r w:rsidRPr="007E04E8">
              <w:rPr>
                <w:sz w:val="16"/>
              </w:rPr>
              <w:t xml:space="preserve"> along with one or more of Nos. </w:t>
            </w:r>
            <w:r w:rsidRPr="007E04E8">
              <w:rPr>
                <w:b/>
                <w:sz w:val="16"/>
              </w:rPr>
              <w:t xml:space="preserve"> 9.7</w:t>
            </w:r>
            <w:r w:rsidRPr="007E04E8">
              <w:rPr>
                <w:sz w:val="16"/>
              </w:rPr>
              <w:t xml:space="preserve">, </w:t>
            </w:r>
            <w:r w:rsidRPr="007E04E8">
              <w:rPr>
                <w:b/>
                <w:bCs/>
                <w:sz w:val="16"/>
              </w:rPr>
              <w:t>9.7A, 9.7B</w:t>
            </w:r>
            <w:r w:rsidRPr="007E04E8">
              <w:rPr>
                <w:sz w:val="16"/>
              </w:rPr>
              <w:t xml:space="preserve">, </w:t>
            </w:r>
            <w:r w:rsidRPr="007E04E8">
              <w:rPr>
                <w:b/>
                <w:sz w:val="16"/>
              </w:rPr>
              <w:t>9.11, 9.11A, 9.12, 9.12A, 9.13, 9.14</w:t>
            </w:r>
            <w:r w:rsidRPr="007E04E8">
              <w:rPr>
                <w:sz w:val="16"/>
              </w:rPr>
              <w:t xml:space="preserve"> and </w:t>
            </w:r>
            <w:r w:rsidRPr="007E04E8">
              <w:rPr>
                <w:b/>
                <w:sz w:val="16"/>
              </w:rPr>
              <w:t>9.21</w:t>
            </w:r>
            <w:r w:rsidRPr="007E04E8">
              <w:rPr>
                <w:sz w:val="16"/>
              </w:rPr>
              <w:t xml:space="preserve"> of Section </w:t>
            </w:r>
            <w:r w:rsidRPr="007E04E8">
              <w:rPr>
                <w:b/>
                <w:sz w:val="16"/>
              </w:rPr>
              <w:t>II</w:t>
            </w:r>
            <w:r w:rsidRPr="007E04E8">
              <w:rPr>
                <w:sz w:val="16"/>
              </w:rPr>
              <w:t xml:space="preserve"> of Article </w:t>
            </w:r>
            <w:r w:rsidRPr="007E04E8">
              <w:rPr>
                <w:b/>
                <w:sz w:val="16"/>
              </w:rPr>
              <w:t>9</w:t>
            </w:r>
            <w:r w:rsidRPr="007E04E8">
              <w:rPr>
                <w:sz w:val="16"/>
              </w:rPr>
              <w:t>, §</w:t>
            </w:r>
            <w:r w:rsidRPr="007E04E8">
              <w:rPr>
                <w:b/>
                <w:sz w:val="16"/>
              </w:rPr>
              <w:t>7.1</w:t>
            </w:r>
            <w:r w:rsidRPr="007E04E8">
              <w:rPr>
                <w:sz w:val="16"/>
              </w:rPr>
              <w:t xml:space="preserve"> of Article </w:t>
            </w:r>
            <w:r w:rsidRPr="007E04E8">
              <w:rPr>
                <w:b/>
                <w:sz w:val="16"/>
              </w:rPr>
              <w:t>7</w:t>
            </w:r>
            <w:r w:rsidRPr="007E04E8">
              <w:rPr>
                <w:sz w:val="16"/>
              </w:rPr>
              <w:t xml:space="preserve"> of Appendix </w:t>
            </w:r>
            <w:r w:rsidRPr="007E04E8">
              <w:rPr>
                <w:b/>
                <w:sz w:val="16"/>
              </w:rPr>
              <w:t>30</w:t>
            </w:r>
            <w:r w:rsidRPr="007E04E8">
              <w:rPr>
                <w:sz w:val="16"/>
              </w:rPr>
              <w:t>, §</w:t>
            </w:r>
            <w:r w:rsidRPr="007E04E8">
              <w:rPr>
                <w:b/>
                <w:sz w:val="16"/>
              </w:rPr>
              <w:t>7.1</w:t>
            </w:r>
            <w:r w:rsidRPr="007E04E8">
              <w:rPr>
                <w:sz w:val="16"/>
              </w:rPr>
              <w:t xml:space="preserve"> of Article </w:t>
            </w:r>
            <w:r w:rsidRPr="007E04E8">
              <w:rPr>
                <w:b/>
                <w:sz w:val="16"/>
              </w:rPr>
              <w:t>7</w:t>
            </w:r>
            <w:r w:rsidRPr="007E04E8">
              <w:rPr>
                <w:sz w:val="16"/>
              </w:rPr>
              <w:t xml:space="preserve"> of Appendix </w:t>
            </w:r>
            <w:r w:rsidRPr="007E04E8">
              <w:rPr>
                <w:b/>
                <w:sz w:val="16"/>
              </w:rPr>
              <w:t>30A</w:t>
            </w:r>
            <w:r w:rsidRPr="007E04E8">
              <w:rPr>
                <w:bCs/>
                <w:sz w:val="16"/>
              </w:rPr>
              <w:t xml:space="preserve"> and Resolution </w:t>
            </w:r>
            <w:r w:rsidRPr="007E04E8">
              <w:rPr>
                <w:b/>
                <w:sz w:val="16"/>
              </w:rPr>
              <w:t>539</w:t>
            </w:r>
            <w:r w:rsidRPr="007E04E8">
              <w:rPr>
                <w:bCs/>
                <w:sz w:val="16"/>
              </w:rPr>
              <w:t xml:space="preserve"> (Rev.WRC-</w:t>
            </w:r>
            <w:r>
              <w:rPr>
                <w:bCs/>
                <w:sz w:val="16"/>
              </w:rPr>
              <w:t>19</w:t>
            </w:r>
            <w:r w:rsidRPr="007E04E8">
              <w:rPr>
                <w:bCs/>
                <w:sz w:val="16"/>
              </w:rPr>
              <w:t>).</w:t>
            </w:r>
          </w:p>
          <w:p w14:paraId="1D7934C8" w14:textId="77777777" w:rsidR="00E126B4" w:rsidRPr="007E04E8" w:rsidRDefault="00E126B4" w:rsidP="00204C2B">
            <w:pPr>
              <w:spacing w:after="120" w:line="259" w:lineRule="auto"/>
              <w:rPr>
                <w:bCs/>
                <w:sz w:val="16"/>
              </w:rPr>
            </w:pPr>
            <w:r w:rsidRPr="007E04E8">
              <w:rPr>
                <w:bCs/>
                <w:sz w:val="16"/>
              </w:rPr>
              <w:t xml:space="preserve">Note: Coordination also includes the application of, Nos. </w:t>
            </w:r>
            <w:r w:rsidRPr="007E04E8">
              <w:rPr>
                <w:b/>
                <w:sz w:val="16"/>
              </w:rPr>
              <w:t>9.1A</w:t>
            </w:r>
            <w:r w:rsidRPr="007E04E8">
              <w:rPr>
                <w:bCs/>
                <w:sz w:val="16"/>
              </w:rPr>
              <w:t xml:space="preserve">, </w:t>
            </w:r>
            <w:r w:rsidRPr="007E04E8">
              <w:rPr>
                <w:b/>
                <w:sz w:val="16"/>
              </w:rPr>
              <w:t>9.53A</w:t>
            </w:r>
            <w:r w:rsidRPr="007E04E8">
              <w:rPr>
                <w:bCs/>
                <w:sz w:val="16"/>
              </w:rPr>
              <w:t xml:space="preserve"> (CR/D special section) and </w:t>
            </w:r>
            <w:r w:rsidRPr="007E04E8">
              <w:rPr>
                <w:b/>
                <w:sz w:val="16"/>
              </w:rPr>
              <w:t>9.41</w:t>
            </w:r>
            <w:r w:rsidRPr="007E04E8">
              <w:rPr>
                <w:bCs/>
                <w:sz w:val="16"/>
              </w:rPr>
              <w:t>/</w:t>
            </w:r>
            <w:r w:rsidRPr="007E04E8">
              <w:rPr>
                <w:b/>
                <w:sz w:val="16"/>
              </w:rPr>
              <w:t>9.42</w:t>
            </w:r>
            <w:r w:rsidRPr="007E04E8">
              <w:rPr>
                <w:bCs/>
                <w:sz w:val="16"/>
              </w:rPr>
              <w:t xml:space="preserve"> and will not be separately charged.</w:t>
            </w:r>
          </w:p>
          <w:p w14:paraId="4DEA90CE" w14:textId="77777777" w:rsidR="00E126B4" w:rsidRPr="007E04E8" w:rsidRDefault="00E126B4" w:rsidP="00204C2B">
            <w:pPr>
              <w:spacing w:after="120" w:line="259" w:lineRule="auto"/>
              <w:rPr>
                <w:bCs/>
                <w:sz w:val="16"/>
              </w:rPr>
            </w:pPr>
            <w:r w:rsidRPr="007E04E8">
              <w:rPr>
                <w:bCs/>
                <w:sz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134" w:type="dxa"/>
            <w:tcBorders>
              <w:top w:val="single" w:sz="4" w:space="0" w:color="000000"/>
              <w:left w:val="single" w:sz="4" w:space="0" w:color="000000"/>
              <w:bottom w:val="single" w:sz="4" w:space="0" w:color="000000"/>
            </w:tcBorders>
            <w:vAlign w:val="center"/>
          </w:tcPr>
          <w:p w14:paraId="3AC218DC" w14:textId="77777777" w:rsidR="00E126B4" w:rsidRPr="007E04E8" w:rsidRDefault="00E126B4" w:rsidP="00204C2B">
            <w:pPr>
              <w:snapToGrid w:val="0"/>
              <w:spacing w:after="120" w:line="259" w:lineRule="auto"/>
              <w:jc w:val="center"/>
              <w:rPr>
                <w:bCs/>
                <w:sz w:val="16"/>
              </w:rPr>
            </w:pPr>
            <w:r w:rsidRPr="007E04E8">
              <w:rPr>
                <w:bCs/>
                <w:sz w:val="16"/>
              </w:rPr>
              <w:t>20 560</w:t>
            </w:r>
          </w:p>
        </w:tc>
        <w:tc>
          <w:tcPr>
            <w:tcW w:w="936" w:type="dxa"/>
            <w:tcBorders>
              <w:top w:val="single" w:sz="4" w:space="0" w:color="000000"/>
              <w:left w:val="single" w:sz="4" w:space="0" w:color="000000"/>
              <w:bottom w:val="single" w:sz="4" w:space="0" w:color="000000"/>
            </w:tcBorders>
            <w:vAlign w:val="center"/>
          </w:tcPr>
          <w:p w14:paraId="43408A96" w14:textId="77777777" w:rsidR="00E126B4" w:rsidRPr="007E04E8" w:rsidRDefault="00E126B4" w:rsidP="00204C2B">
            <w:pPr>
              <w:snapToGrid w:val="0"/>
              <w:spacing w:after="120" w:line="259" w:lineRule="auto"/>
              <w:jc w:val="center"/>
              <w:rPr>
                <w:sz w:val="16"/>
              </w:rPr>
            </w:pPr>
            <w:r w:rsidRPr="007E04E8">
              <w:rPr>
                <w:sz w:val="16"/>
              </w:rPr>
              <w:t>5 560</w:t>
            </w:r>
          </w:p>
        </w:tc>
        <w:tc>
          <w:tcPr>
            <w:tcW w:w="1049" w:type="dxa"/>
            <w:vMerge w:val="restart"/>
            <w:tcBorders>
              <w:top w:val="single" w:sz="4" w:space="0" w:color="000000"/>
              <w:left w:val="single" w:sz="4" w:space="0" w:color="000000"/>
              <w:bottom w:val="single" w:sz="4" w:space="0" w:color="000000"/>
            </w:tcBorders>
            <w:vAlign w:val="center"/>
          </w:tcPr>
          <w:p w14:paraId="1E116E17" w14:textId="77777777" w:rsidR="00E126B4" w:rsidRPr="007E04E8" w:rsidRDefault="00E126B4" w:rsidP="00204C2B">
            <w:pPr>
              <w:snapToGrid w:val="0"/>
              <w:spacing w:after="120" w:line="259" w:lineRule="auto"/>
              <w:jc w:val="center"/>
              <w:rPr>
                <w:sz w:val="16"/>
              </w:rPr>
            </w:pPr>
            <w:r w:rsidRPr="007E04E8">
              <w:rPr>
                <w:sz w:val="16"/>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1DB93AC7" w14:textId="77777777" w:rsidR="00E126B4" w:rsidRPr="007E04E8" w:rsidRDefault="00E126B4" w:rsidP="00204C2B">
            <w:pPr>
              <w:snapToGrid w:val="0"/>
              <w:spacing w:after="120" w:line="259" w:lineRule="auto"/>
              <w:jc w:val="center"/>
              <w:rPr>
                <w:sz w:val="16"/>
              </w:rPr>
            </w:pPr>
            <w:r w:rsidRPr="007E04E8">
              <w:rPr>
                <w:sz w:val="16"/>
              </w:rPr>
              <w:t>Product of the number of frequency assignments, number of classes of station and the number of emissions, summed up for all frequency assignment groups</w:t>
            </w:r>
          </w:p>
        </w:tc>
      </w:tr>
      <w:tr w:rsidR="00E126B4" w:rsidRPr="007E04E8" w14:paraId="50EA531B" w14:textId="77777777" w:rsidTr="00204C2B">
        <w:trPr>
          <w:cantSplit/>
          <w:jc w:val="center"/>
        </w:trPr>
        <w:tc>
          <w:tcPr>
            <w:tcW w:w="472" w:type="dxa"/>
            <w:vMerge/>
            <w:tcBorders>
              <w:top w:val="single" w:sz="4" w:space="0" w:color="000000"/>
              <w:left w:val="single" w:sz="4" w:space="0" w:color="000000"/>
              <w:bottom w:val="single" w:sz="4" w:space="0" w:color="000000"/>
            </w:tcBorders>
            <w:vAlign w:val="center"/>
          </w:tcPr>
          <w:p w14:paraId="2A3B7CF5" w14:textId="77777777" w:rsidR="00E126B4" w:rsidRPr="007E04E8" w:rsidRDefault="00E126B4" w:rsidP="00204C2B">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47359281" w14:textId="77777777" w:rsidR="00E126B4" w:rsidRPr="007E04E8" w:rsidRDefault="00E126B4" w:rsidP="00204C2B">
            <w:pPr>
              <w:spacing w:after="120" w:line="259" w:lineRule="auto"/>
            </w:pPr>
          </w:p>
        </w:tc>
        <w:tc>
          <w:tcPr>
            <w:tcW w:w="683" w:type="dxa"/>
            <w:tcBorders>
              <w:top w:val="single" w:sz="4" w:space="0" w:color="000000"/>
              <w:left w:val="single" w:sz="4" w:space="0" w:color="000000"/>
              <w:bottom w:val="single" w:sz="4" w:space="0" w:color="000000"/>
            </w:tcBorders>
            <w:vAlign w:val="center"/>
          </w:tcPr>
          <w:p w14:paraId="6D422DFC" w14:textId="77777777" w:rsidR="00E126B4" w:rsidRPr="007E04E8" w:rsidRDefault="00E126B4" w:rsidP="00204C2B">
            <w:pPr>
              <w:snapToGrid w:val="0"/>
              <w:spacing w:after="120" w:line="259" w:lineRule="auto"/>
              <w:rPr>
                <w:sz w:val="16"/>
              </w:rPr>
            </w:pPr>
            <w:r w:rsidRPr="007E04E8">
              <w:rPr>
                <w:sz w:val="16"/>
              </w:rPr>
              <w:t>C2*</w:t>
            </w:r>
          </w:p>
        </w:tc>
        <w:tc>
          <w:tcPr>
            <w:tcW w:w="8580" w:type="dxa"/>
            <w:vMerge/>
            <w:tcBorders>
              <w:top w:val="single" w:sz="4" w:space="0" w:color="000000"/>
              <w:left w:val="single" w:sz="4" w:space="0" w:color="000000"/>
              <w:bottom w:val="single" w:sz="4" w:space="0" w:color="000000"/>
            </w:tcBorders>
            <w:vAlign w:val="center"/>
          </w:tcPr>
          <w:p w14:paraId="1EEB158F" w14:textId="77777777" w:rsidR="00E126B4" w:rsidRPr="007E04E8" w:rsidRDefault="00E126B4" w:rsidP="00204C2B">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3BA6CFEA" w14:textId="77777777" w:rsidR="00E126B4" w:rsidRPr="007E04E8" w:rsidRDefault="00E126B4" w:rsidP="00204C2B">
            <w:pPr>
              <w:snapToGrid w:val="0"/>
              <w:spacing w:after="120" w:line="259" w:lineRule="auto"/>
              <w:jc w:val="center"/>
              <w:rPr>
                <w:bCs/>
                <w:sz w:val="16"/>
              </w:rPr>
            </w:pPr>
            <w:r w:rsidRPr="007E04E8">
              <w:rPr>
                <w:bCs/>
                <w:sz w:val="16"/>
              </w:rPr>
              <w:t>24 620</w:t>
            </w:r>
          </w:p>
        </w:tc>
        <w:tc>
          <w:tcPr>
            <w:tcW w:w="936" w:type="dxa"/>
            <w:tcBorders>
              <w:top w:val="single" w:sz="4" w:space="0" w:color="000000"/>
              <w:left w:val="single" w:sz="4" w:space="0" w:color="000000"/>
              <w:bottom w:val="single" w:sz="4" w:space="0" w:color="000000"/>
            </w:tcBorders>
            <w:vAlign w:val="center"/>
          </w:tcPr>
          <w:p w14:paraId="098309FF" w14:textId="77777777" w:rsidR="00E126B4" w:rsidRPr="007E04E8" w:rsidRDefault="00E126B4" w:rsidP="00204C2B">
            <w:pPr>
              <w:snapToGrid w:val="0"/>
              <w:spacing w:after="120" w:line="259" w:lineRule="auto"/>
              <w:jc w:val="center"/>
              <w:rPr>
                <w:sz w:val="16"/>
              </w:rPr>
            </w:pPr>
            <w:r w:rsidRPr="007E04E8">
              <w:rPr>
                <w:sz w:val="16"/>
              </w:rPr>
              <w:t>9 620</w:t>
            </w:r>
          </w:p>
        </w:tc>
        <w:tc>
          <w:tcPr>
            <w:tcW w:w="1049" w:type="dxa"/>
            <w:vMerge/>
            <w:tcBorders>
              <w:top w:val="single" w:sz="4" w:space="0" w:color="000000"/>
              <w:left w:val="single" w:sz="4" w:space="0" w:color="000000"/>
              <w:bottom w:val="single" w:sz="4" w:space="0" w:color="000000"/>
            </w:tcBorders>
            <w:vAlign w:val="center"/>
          </w:tcPr>
          <w:p w14:paraId="032321C7" w14:textId="77777777" w:rsidR="00E126B4" w:rsidRPr="007E04E8" w:rsidRDefault="00E126B4" w:rsidP="00204C2B">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75D39439" w14:textId="77777777" w:rsidR="00E126B4" w:rsidRPr="007E04E8" w:rsidRDefault="00E126B4" w:rsidP="00204C2B">
            <w:pPr>
              <w:spacing w:after="120" w:line="259" w:lineRule="auto"/>
            </w:pPr>
          </w:p>
        </w:tc>
      </w:tr>
      <w:tr w:rsidR="00E126B4" w:rsidRPr="007E04E8" w14:paraId="52A08300" w14:textId="77777777" w:rsidTr="00204C2B">
        <w:trPr>
          <w:cantSplit/>
          <w:jc w:val="center"/>
        </w:trPr>
        <w:tc>
          <w:tcPr>
            <w:tcW w:w="472" w:type="dxa"/>
            <w:vMerge/>
            <w:tcBorders>
              <w:top w:val="single" w:sz="4" w:space="0" w:color="000000"/>
              <w:left w:val="single" w:sz="4" w:space="0" w:color="000000"/>
              <w:bottom w:val="single" w:sz="4" w:space="0" w:color="000000"/>
            </w:tcBorders>
            <w:vAlign w:val="center"/>
          </w:tcPr>
          <w:p w14:paraId="48832214" w14:textId="77777777" w:rsidR="00E126B4" w:rsidRPr="007E04E8" w:rsidRDefault="00E126B4" w:rsidP="00204C2B">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69BF28FD" w14:textId="77777777" w:rsidR="00E126B4" w:rsidRPr="007E04E8" w:rsidRDefault="00E126B4" w:rsidP="00204C2B">
            <w:pPr>
              <w:spacing w:after="120" w:line="259" w:lineRule="auto"/>
            </w:pPr>
          </w:p>
        </w:tc>
        <w:tc>
          <w:tcPr>
            <w:tcW w:w="683" w:type="dxa"/>
            <w:tcBorders>
              <w:top w:val="single" w:sz="4" w:space="0" w:color="000000"/>
              <w:left w:val="single" w:sz="4" w:space="0" w:color="000000"/>
              <w:bottom w:val="single" w:sz="4" w:space="0" w:color="000000"/>
            </w:tcBorders>
            <w:vAlign w:val="center"/>
          </w:tcPr>
          <w:p w14:paraId="659455F0" w14:textId="77777777" w:rsidR="00E126B4" w:rsidRPr="007E04E8" w:rsidRDefault="00E126B4" w:rsidP="00204C2B">
            <w:pPr>
              <w:snapToGrid w:val="0"/>
              <w:spacing w:after="120" w:line="259" w:lineRule="auto"/>
              <w:rPr>
                <w:sz w:val="16"/>
              </w:rPr>
            </w:pPr>
            <w:r w:rsidRPr="007E04E8">
              <w:rPr>
                <w:sz w:val="16"/>
              </w:rPr>
              <w:t>C3*</w:t>
            </w:r>
          </w:p>
        </w:tc>
        <w:tc>
          <w:tcPr>
            <w:tcW w:w="8580" w:type="dxa"/>
            <w:vMerge/>
            <w:tcBorders>
              <w:top w:val="single" w:sz="4" w:space="0" w:color="000000"/>
              <w:left w:val="single" w:sz="4" w:space="0" w:color="000000"/>
              <w:bottom w:val="single" w:sz="4" w:space="0" w:color="000000"/>
            </w:tcBorders>
            <w:vAlign w:val="center"/>
          </w:tcPr>
          <w:p w14:paraId="06B1C4D6" w14:textId="77777777" w:rsidR="00E126B4" w:rsidRPr="007E04E8" w:rsidRDefault="00E126B4" w:rsidP="00204C2B">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6CD907C0" w14:textId="77777777" w:rsidR="00E126B4" w:rsidRPr="007E04E8" w:rsidRDefault="00E126B4" w:rsidP="00204C2B">
            <w:pPr>
              <w:snapToGrid w:val="0"/>
              <w:spacing w:after="120" w:line="259" w:lineRule="auto"/>
              <w:jc w:val="center"/>
              <w:rPr>
                <w:bCs/>
                <w:sz w:val="16"/>
              </w:rPr>
            </w:pPr>
            <w:r w:rsidRPr="007E04E8">
              <w:rPr>
                <w:bCs/>
                <w:sz w:val="16"/>
              </w:rPr>
              <w:t>33 467</w:t>
            </w:r>
          </w:p>
        </w:tc>
        <w:tc>
          <w:tcPr>
            <w:tcW w:w="936" w:type="dxa"/>
            <w:tcBorders>
              <w:top w:val="single" w:sz="4" w:space="0" w:color="000000"/>
              <w:left w:val="single" w:sz="4" w:space="0" w:color="000000"/>
              <w:bottom w:val="single" w:sz="4" w:space="0" w:color="000000"/>
            </w:tcBorders>
            <w:vAlign w:val="center"/>
          </w:tcPr>
          <w:p w14:paraId="5D0B51ED" w14:textId="77777777" w:rsidR="00E126B4" w:rsidRPr="007E04E8" w:rsidRDefault="00E126B4" w:rsidP="00204C2B">
            <w:pPr>
              <w:snapToGrid w:val="0"/>
              <w:spacing w:after="120" w:line="259" w:lineRule="auto"/>
              <w:jc w:val="center"/>
              <w:rPr>
                <w:sz w:val="16"/>
              </w:rPr>
            </w:pPr>
            <w:r w:rsidRPr="007E04E8">
              <w:rPr>
                <w:sz w:val="16"/>
              </w:rPr>
              <w:t>18 467</w:t>
            </w:r>
          </w:p>
        </w:tc>
        <w:tc>
          <w:tcPr>
            <w:tcW w:w="1049" w:type="dxa"/>
            <w:vMerge/>
            <w:tcBorders>
              <w:top w:val="single" w:sz="4" w:space="0" w:color="000000"/>
              <w:left w:val="single" w:sz="4" w:space="0" w:color="000000"/>
              <w:bottom w:val="single" w:sz="4" w:space="0" w:color="000000"/>
            </w:tcBorders>
            <w:vAlign w:val="center"/>
          </w:tcPr>
          <w:p w14:paraId="1652D0A2" w14:textId="77777777" w:rsidR="00E126B4" w:rsidRPr="007E04E8" w:rsidRDefault="00E126B4" w:rsidP="00204C2B">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021AA109" w14:textId="77777777" w:rsidR="00E126B4" w:rsidRPr="007E04E8" w:rsidRDefault="00E126B4" w:rsidP="00204C2B">
            <w:pPr>
              <w:spacing w:after="120" w:line="259" w:lineRule="auto"/>
            </w:pPr>
          </w:p>
        </w:tc>
      </w:tr>
      <w:tr w:rsidR="00E126B4" w:rsidRPr="007E04E8" w14:paraId="76327AB4" w14:textId="77777777" w:rsidTr="00204C2B">
        <w:trPr>
          <w:cantSplit/>
          <w:jc w:val="center"/>
        </w:trPr>
        <w:tc>
          <w:tcPr>
            <w:tcW w:w="472" w:type="dxa"/>
            <w:vMerge w:val="restart"/>
            <w:tcBorders>
              <w:top w:val="single" w:sz="4" w:space="0" w:color="000000"/>
              <w:left w:val="single" w:sz="4" w:space="0" w:color="000000"/>
            </w:tcBorders>
            <w:vAlign w:val="center"/>
          </w:tcPr>
          <w:p w14:paraId="72CE81B3" w14:textId="77777777" w:rsidR="00E126B4" w:rsidRPr="007E04E8" w:rsidRDefault="00E126B4" w:rsidP="00204C2B">
            <w:pPr>
              <w:snapToGrid w:val="0"/>
              <w:spacing w:after="120" w:line="259" w:lineRule="auto"/>
              <w:rPr>
                <w:sz w:val="16"/>
              </w:rPr>
            </w:pPr>
            <w:r w:rsidRPr="007E04E8">
              <w:rPr>
                <w:sz w:val="16"/>
              </w:rPr>
              <w:t>3</w:t>
            </w:r>
          </w:p>
        </w:tc>
        <w:tc>
          <w:tcPr>
            <w:tcW w:w="1088" w:type="dxa"/>
            <w:vMerge w:val="restart"/>
            <w:tcBorders>
              <w:top w:val="single" w:sz="4" w:space="0" w:color="000000"/>
              <w:left w:val="single" w:sz="4" w:space="0" w:color="000000"/>
            </w:tcBorders>
            <w:vAlign w:val="center"/>
          </w:tcPr>
          <w:p w14:paraId="775293AE" w14:textId="77777777" w:rsidR="00E126B4" w:rsidRPr="007E04E8" w:rsidRDefault="00E126B4" w:rsidP="00204C2B">
            <w:pPr>
              <w:snapToGrid w:val="0"/>
              <w:spacing w:after="120" w:line="259" w:lineRule="auto"/>
              <w:rPr>
                <w:bCs/>
                <w:sz w:val="20"/>
                <w:vertAlign w:val="superscript"/>
              </w:rPr>
            </w:pPr>
            <w:r w:rsidRPr="007E04E8">
              <w:rPr>
                <w:sz w:val="16"/>
              </w:rPr>
              <w:t>Notification (N)</w:t>
            </w:r>
            <w:r w:rsidRPr="007E04E8">
              <w:rPr>
                <w:bCs/>
                <w:sz w:val="20"/>
                <w:vertAlign w:val="superscript"/>
              </w:rPr>
              <w:t>a)</w:t>
            </w:r>
          </w:p>
        </w:tc>
        <w:tc>
          <w:tcPr>
            <w:tcW w:w="683" w:type="dxa"/>
            <w:vMerge w:val="restart"/>
            <w:tcBorders>
              <w:top w:val="single" w:sz="4" w:space="0" w:color="000000"/>
              <w:left w:val="single" w:sz="4" w:space="0" w:color="000000"/>
              <w:bottom w:val="single" w:sz="4" w:space="0" w:color="000000"/>
            </w:tcBorders>
            <w:vAlign w:val="center"/>
          </w:tcPr>
          <w:p w14:paraId="35F86A88" w14:textId="77777777" w:rsidR="00E126B4" w:rsidRPr="007E04E8" w:rsidRDefault="00E126B4" w:rsidP="00204C2B">
            <w:pPr>
              <w:snapToGrid w:val="0"/>
              <w:spacing w:after="120" w:line="259" w:lineRule="auto"/>
              <w:rPr>
                <w:sz w:val="16"/>
              </w:rPr>
            </w:pPr>
            <w:r w:rsidRPr="007E04E8">
              <w:rPr>
                <w:sz w:val="16"/>
              </w:rPr>
              <w:t>N1*</w:t>
            </w:r>
            <w:r w:rsidRPr="007E04E8">
              <w:rPr>
                <w:sz w:val="18"/>
                <w:szCs w:val="18"/>
                <w:vertAlign w:val="superscript"/>
              </w:rPr>
              <w:t>d)</w:t>
            </w:r>
          </w:p>
        </w:tc>
        <w:tc>
          <w:tcPr>
            <w:tcW w:w="8580" w:type="dxa"/>
            <w:vMerge w:val="restart"/>
            <w:tcBorders>
              <w:top w:val="single" w:sz="4" w:space="0" w:color="000000"/>
              <w:left w:val="single" w:sz="4" w:space="0" w:color="000000"/>
              <w:bottom w:val="single" w:sz="4" w:space="0" w:color="000000"/>
            </w:tcBorders>
            <w:vAlign w:val="center"/>
          </w:tcPr>
          <w:p w14:paraId="161BA1AD" w14:textId="77777777" w:rsidR="00E126B4" w:rsidRPr="007E04E8" w:rsidRDefault="00E126B4" w:rsidP="00204C2B">
            <w:pPr>
              <w:snapToGrid w:val="0"/>
              <w:spacing w:after="120" w:line="259" w:lineRule="auto"/>
              <w:rPr>
                <w:bCs/>
                <w:sz w:val="16"/>
              </w:rPr>
            </w:pPr>
            <w:r w:rsidRPr="007E04E8">
              <w:rPr>
                <w:sz w:val="16"/>
              </w:rPr>
              <w:t xml:space="preserve">Notification for recording in the MIFR of frequency assignments to a satellite network subject to coordination under Section </w:t>
            </w:r>
            <w:r w:rsidRPr="007E04E8">
              <w:rPr>
                <w:b/>
                <w:sz w:val="16"/>
              </w:rPr>
              <w:t>II</w:t>
            </w:r>
            <w:r w:rsidRPr="007E04E8">
              <w:rPr>
                <w:sz w:val="16"/>
              </w:rPr>
              <w:t xml:space="preserve"> of Article</w:t>
            </w:r>
            <w:r w:rsidRPr="007E04E8">
              <w:rPr>
                <w:b/>
                <w:sz w:val="16"/>
              </w:rPr>
              <w:t xml:space="preserve"> 9</w:t>
            </w:r>
            <w:r w:rsidRPr="007E04E8">
              <w:rPr>
                <w:bCs/>
                <w:sz w:val="16"/>
              </w:rPr>
              <w:t xml:space="preserve"> (with the exception of </w:t>
            </w:r>
            <w:r w:rsidRPr="007E04E8">
              <w:rPr>
                <w:sz w:val="16"/>
              </w:rPr>
              <w:t xml:space="preserve">non-geostationary-satellite network </w:t>
            </w:r>
            <w:r w:rsidRPr="007E04E8">
              <w:rPr>
                <w:bCs/>
                <w:sz w:val="16"/>
              </w:rPr>
              <w:t xml:space="preserve">subject to No. </w:t>
            </w:r>
            <w:r w:rsidRPr="007E04E8">
              <w:rPr>
                <w:b/>
                <w:sz w:val="16"/>
              </w:rPr>
              <w:t xml:space="preserve">9.21 </w:t>
            </w:r>
            <w:r w:rsidRPr="007E04E8">
              <w:rPr>
                <w:bCs/>
                <w:sz w:val="16"/>
              </w:rPr>
              <w:t>only).</w:t>
            </w:r>
          </w:p>
          <w:p w14:paraId="3D161B27" w14:textId="77777777" w:rsidR="00E126B4" w:rsidRPr="007E04E8" w:rsidRDefault="00E126B4" w:rsidP="00204C2B">
            <w:pPr>
              <w:tabs>
                <w:tab w:val="left" w:pos="5954"/>
                <w:tab w:val="right" w:pos="9639"/>
              </w:tabs>
              <w:spacing w:after="120" w:line="259" w:lineRule="auto"/>
              <w:rPr>
                <w:sz w:val="16"/>
              </w:rPr>
            </w:pPr>
            <w:r w:rsidRPr="007E04E8">
              <w:rPr>
                <w:sz w:val="16"/>
              </w:rPr>
              <w:t xml:space="preserve">Note: Notification also includes the application of Resolutions </w:t>
            </w:r>
            <w:r w:rsidRPr="007E04E8">
              <w:rPr>
                <w:b/>
                <w:bCs/>
                <w:sz w:val="16"/>
              </w:rPr>
              <w:t xml:space="preserve">4 </w:t>
            </w:r>
            <w:r w:rsidRPr="007E04E8">
              <w:rPr>
                <w:sz w:val="16"/>
              </w:rPr>
              <w:t xml:space="preserve">and </w:t>
            </w:r>
            <w:r w:rsidRPr="007E04E8">
              <w:rPr>
                <w:b/>
                <w:bCs/>
                <w:sz w:val="16"/>
              </w:rPr>
              <w:t>49</w:t>
            </w:r>
            <w:r w:rsidRPr="007E04E8">
              <w:rPr>
                <w:sz w:val="16"/>
              </w:rPr>
              <w:t xml:space="preserve">, Nos. </w:t>
            </w:r>
            <w:r w:rsidRPr="007E04E8">
              <w:rPr>
                <w:b/>
                <w:bCs/>
                <w:sz w:val="16"/>
              </w:rPr>
              <w:t xml:space="preserve">11.32A </w:t>
            </w:r>
            <w:r w:rsidRPr="007E04E8">
              <w:rPr>
                <w:sz w:val="16"/>
              </w:rPr>
              <w:t xml:space="preserve">(see footnote a), </w:t>
            </w:r>
            <w:r w:rsidRPr="007E04E8">
              <w:rPr>
                <w:b/>
                <w:bCs/>
                <w:sz w:val="16"/>
              </w:rPr>
              <w:t>11.41</w:t>
            </w:r>
            <w:r w:rsidRPr="007E04E8">
              <w:rPr>
                <w:sz w:val="16"/>
              </w:rPr>
              <w:t xml:space="preserve">, </w:t>
            </w:r>
            <w:r w:rsidRPr="007E04E8">
              <w:rPr>
                <w:b/>
                <w:bCs/>
                <w:sz w:val="16"/>
              </w:rPr>
              <w:t>11.47</w:t>
            </w:r>
            <w:r w:rsidRPr="007E04E8">
              <w:rPr>
                <w:sz w:val="16"/>
              </w:rPr>
              <w:t xml:space="preserve">, </w:t>
            </w:r>
            <w:r w:rsidRPr="007E04E8">
              <w:rPr>
                <w:b/>
                <w:bCs/>
                <w:sz w:val="16"/>
              </w:rPr>
              <w:t>11.49</w:t>
            </w:r>
            <w:r w:rsidRPr="007E04E8">
              <w:rPr>
                <w:sz w:val="16"/>
              </w:rPr>
              <w:t>, Sub</w:t>
            </w:r>
            <w:r w:rsidRPr="007E04E8">
              <w:rPr>
                <w:sz w:val="16"/>
              </w:rPr>
              <w:noBreakHyphen/>
              <w:t xml:space="preserve">section IID of Article </w:t>
            </w:r>
            <w:r w:rsidRPr="007E04E8">
              <w:rPr>
                <w:b/>
                <w:bCs/>
                <w:sz w:val="16"/>
              </w:rPr>
              <w:t>9</w:t>
            </w:r>
            <w:r w:rsidRPr="007E04E8">
              <w:rPr>
                <w:sz w:val="16"/>
              </w:rPr>
              <w:t xml:space="preserve">, Sections 1 and 2 of Article </w:t>
            </w:r>
            <w:r w:rsidRPr="007E04E8">
              <w:rPr>
                <w:b/>
                <w:bCs/>
                <w:sz w:val="16"/>
              </w:rPr>
              <w:t>13</w:t>
            </w:r>
            <w:r w:rsidRPr="007E04E8">
              <w:rPr>
                <w:sz w:val="16"/>
              </w:rPr>
              <w:t xml:space="preserve">, Article </w:t>
            </w:r>
            <w:r w:rsidRPr="007E04E8">
              <w:rPr>
                <w:b/>
                <w:bCs/>
                <w:sz w:val="16"/>
              </w:rPr>
              <w:t xml:space="preserve">14 </w:t>
            </w:r>
            <w:r w:rsidRPr="007E04E8">
              <w:rPr>
                <w:bCs/>
                <w:sz w:val="16"/>
              </w:rPr>
              <w:t>and will not be separately charged</w:t>
            </w:r>
            <w:r w:rsidRPr="007E04E8">
              <w:rPr>
                <w:sz w:val="16"/>
              </w:rPr>
              <w:t xml:space="preserve">. </w:t>
            </w:r>
          </w:p>
        </w:tc>
        <w:tc>
          <w:tcPr>
            <w:tcW w:w="1134" w:type="dxa"/>
            <w:tcBorders>
              <w:top w:val="single" w:sz="4" w:space="0" w:color="000000"/>
              <w:left w:val="single" w:sz="4" w:space="0" w:color="000000"/>
              <w:bottom w:val="single" w:sz="4" w:space="0" w:color="000000"/>
            </w:tcBorders>
            <w:vAlign w:val="center"/>
          </w:tcPr>
          <w:p w14:paraId="141C6E94" w14:textId="77777777" w:rsidR="00E126B4" w:rsidRPr="007E04E8" w:rsidRDefault="00E126B4" w:rsidP="00204C2B">
            <w:pPr>
              <w:snapToGrid w:val="0"/>
              <w:spacing w:after="120" w:line="259" w:lineRule="auto"/>
              <w:jc w:val="center"/>
              <w:rPr>
                <w:bCs/>
                <w:sz w:val="16"/>
              </w:rPr>
            </w:pPr>
            <w:r w:rsidRPr="007E04E8">
              <w:rPr>
                <w:bCs/>
                <w:sz w:val="16"/>
              </w:rPr>
              <w:t>30 910</w:t>
            </w:r>
          </w:p>
        </w:tc>
        <w:tc>
          <w:tcPr>
            <w:tcW w:w="936" w:type="dxa"/>
            <w:tcBorders>
              <w:top w:val="single" w:sz="4" w:space="0" w:color="000000"/>
              <w:left w:val="single" w:sz="4" w:space="0" w:color="000000"/>
              <w:bottom w:val="single" w:sz="4" w:space="0" w:color="000000"/>
            </w:tcBorders>
            <w:vAlign w:val="center"/>
          </w:tcPr>
          <w:p w14:paraId="21CADB37" w14:textId="77777777" w:rsidR="00E126B4" w:rsidRPr="007E04E8" w:rsidRDefault="00E126B4" w:rsidP="00204C2B">
            <w:pPr>
              <w:snapToGrid w:val="0"/>
              <w:spacing w:after="120" w:line="259" w:lineRule="auto"/>
              <w:jc w:val="center"/>
              <w:rPr>
                <w:sz w:val="16"/>
              </w:rPr>
            </w:pPr>
            <w:r w:rsidRPr="007E04E8">
              <w:rPr>
                <w:sz w:val="16"/>
              </w:rPr>
              <w:t>15 910</w:t>
            </w:r>
          </w:p>
        </w:tc>
        <w:tc>
          <w:tcPr>
            <w:tcW w:w="1049" w:type="dxa"/>
            <w:vMerge/>
            <w:tcBorders>
              <w:top w:val="single" w:sz="4" w:space="0" w:color="000000"/>
              <w:left w:val="single" w:sz="4" w:space="0" w:color="000000"/>
              <w:bottom w:val="single" w:sz="4" w:space="0" w:color="000000"/>
            </w:tcBorders>
            <w:vAlign w:val="center"/>
          </w:tcPr>
          <w:p w14:paraId="7E489056" w14:textId="77777777" w:rsidR="00E126B4" w:rsidRPr="007E04E8" w:rsidRDefault="00E126B4" w:rsidP="00204C2B">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40D63EC2" w14:textId="77777777" w:rsidR="00E126B4" w:rsidRPr="007E04E8" w:rsidRDefault="00E126B4" w:rsidP="00204C2B">
            <w:pPr>
              <w:spacing w:after="120" w:line="259" w:lineRule="auto"/>
            </w:pPr>
          </w:p>
        </w:tc>
      </w:tr>
      <w:tr w:rsidR="00E126B4" w:rsidRPr="007E04E8" w14:paraId="25524C45" w14:textId="77777777" w:rsidTr="00204C2B">
        <w:trPr>
          <w:cantSplit/>
          <w:trHeight w:val="570"/>
          <w:jc w:val="center"/>
        </w:trPr>
        <w:tc>
          <w:tcPr>
            <w:tcW w:w="472" w:type="dxa"/>
            <w:vMerge/>
            <w:tcBorders>
              <w:top w:val="single" w:sz="4" w:space="0" w:color="000000"/>
              <w:left w:val="single" w:sz="4" w:space="0" w:color="000000"/>
            </w:tcBorders>
            <w:vAlign w:val="center"/>
          </w:tcPr>
          <w:p w14:paraId="099A509E" w14:textId="77777777" w:rsidR="00E126B4" w:rsidRPr="007E04E8" w:rsidRDefault="00E126B4" w:rsidP="00204C2B">
            <w:pPr>
              <w:spacing w:after="120" w:line="259" w:lineRule="auto"/>
            </w:pPr>
          </w:p>
        </w:tc>
        <w:tc>
          <w:tcPr>
            <w:tcW w:w="1088" w:type="dxa"/>
            <w:vMerge/>
            <w:tcBorders>
              <w:top w:val="single" w:sz="4" w:space="0" w:color="000000"/>
              <w:left w:val="single" w:sz="4" w:space="0" w:color="000000"/>
            </w:tcBorders>
            <w:vAlign w:val="center"/>
          </w:tcPr>
          <w:p w14:paraId="00136F61" w14:textId="77777777" w:rsidR="00E126B4" w:rsidRPr="007E04E8" w:rsidRDefault="00E126B4" w:rsidP="00204C2B">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04A495A3" w14:textId="77777777" w:rsidR="00E126B4" w:rsidRPr="007E04E8" w:rsidRDefault="00E126B4" w:rsidP="00204C2B">
            <w:pPr>
              <w:spacing w:after="120" w:line="259" w:lineRule="auto"/>
            </w:pPr>
          </w:p>
        </w:tc>
        <w:tc>
          <w:tcPr>
            <w:tcW w:w="8580" w:type="dxa"/>
            <w:vMerge/>
            <w:tcBorders>
              <w:top w:val="single" w:sz="4" w:space="0" w:color="000000"/>
              <w:left w:val="single" w:sz="4" w:space="0" w:color="000000"/>
              <w:bottom w:val="single" w:sz="4" w:space="0" w:color="000000"/>
            </w:tcBorders>
            <w:vAlign w:val="center"/>
          </w:tcPr>
          <w:p w14:paraId="390D46F0" w14:textId="77777777" w:rsidR="00E126B4" w:rsidRPr="007E04E8" w:rsidRDefault="00E126B4" w:rsidP="00204C2B">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4D673993" w14:textId="77777777" w:rsidR="00E126B4" w:rsidRPr="007E04E8" w:rsidRDefault="00E126B4" w:rsidP="00204C2B">
            <w:pPr>
              <w:snapToGrid w:val="0"/>
              <w:spacing w:after="120" w:line="259" w:lineRule="auto"/>
              <w:jc w:val="center"/>
              <w:rPr>
                <w:bCs/>
                <w:sz w:val="16"/>
              </w:rPr>
            </w:pPr>
            <w:r w:rsidRPr="007E04E8">
              <w:rPr>
                <w:bCs/>
                <w:sz w:val="16"/>
              </w:rPr>
              <w:t>57 920</w:t>
            </w:r>
          </w:p>
        </w:tc>
        <w:tc>
          <w:tcPr>
            <w:tcW w:w="936" w:type="dxa"/>
            <w:vMerge w:val="restart"/>
            <w:tcBorders>
              <w:top w:val="single" w:sz="4" w:space="0" w:color="000000"/>
              <w:left w:val="single" w:sz="4" w:space="0" w:color="000000"/>
              <w:bottom w:val="single" w:sz="4" w:space="0" w:color="000000"/>
            </w:tcBorders>
            <w:vAlign w:val="center"/>
          </w:tcPr>
          <w:p w14:paraId="0C18A29C" w14:textId="77777777" w:rsidR="00E126B4" w:rsidRPr="007E04E8" w:rsidRDefault="00E126B4" w:rsidP="00204C2B">
            <w:pPr>
              <w:snapToGrid w:val="0"/>
              <w:spacing w:after="120" w:line="259" w:lineRule="auto"/>
              <w:jc w:val="center"/>
              <w:rPr>
                <w:sz w:val="16"/>
              </w:rPr>
            </w:pPr>
            <w:r w:rsidRPr="007E04E8">
              <w:rPr>
                <w:sz w:val="16"/>
              </w:rPr>
              <w:t>42 920</w:t>
            </w:r>
          </w:p>
        </w:tc>
        <w:tc>
          <w:tcPr>
            <w:tcW w:w="1049" w:type="dxa"/>
            <w:vMerge/>
            <w:tcBorders>
              <w:top w:val="single" w:sz="4" w:space="0" w:color="000000"/>
              <w:left w:val="single" w:sz="4" w:space="0" w:color="000000"/>
              <w:bottom w:val="single" w:sz="4" w:space="0" w:color="000000"/>
            </w:tcBorders>
            <w:vAlign w:val="center"/>
          </w:tcPr>
          <w:p w14:paraId="2822E4DC" w14:textId="77777777" w:rsidR="00E126B4" w:rsidRPr="007E04E8" w:rsidRDefault="00E126B4" w:rsidP="00204C2B">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5DB28983" w14:textId="77777777" w:rsidR="00E126B4" w:rsidRPr="007E04E8" w:rsidRDefault="00E126B4" w:rsidP="00204C2B">
            <w:pPr>
              <w:spacing w:after="120" w:line="259" w:lineRule="auto"/>
            </w:pPr>
          </w:p>
        </w:tc>
      </w:tr>
      <w:tr w:rsidR="00E126B4" w:rsidRPr="007E04E8" w14:paraId="746B4D93" w14:textId="77777777" w:rsidTr="00204C2B">
        <w:trPr>
          <w:cantSplit/>
          <w:trHeight w:val="570"/>
          <w:jc w:val="center"/>
        </w:trPr>
        <w:tc>
          <w:tcPr>
            <w:tcW w:w="472" w:type="dxa"/>
            <w:vMerge/>
            <w:tcBorders>
              <w:top w:val="single" w:sz="4" w:space="0" w:color="000000"/>
              <w:left w:val="single" w:sz="4" w:space="0" w:color="000000"/>
            </w:tcBorders>
            <w:vAlign w:val="center"/>
          </w:tcPr>
          <w:p w14:paraId="6144B933" w14:textId="77777777" w:rsidR="00E126B4" w:rsidRPr="007E04E8" w:rsidRDefault="00E126B4" w:rsidP="00204C2B">
            <w:pPr>
              <w:spacing w:after="120" w:line="259" w:lineRule="auto"/>
            </w:pPr>
          </w:p>
        </w:tc>
        <w:tc>
          <w:tcPr>
            <w:tcW w:w="1088" w:type="dxa"/>
            <w:vMerge/>
            <w:tcBorders>
              <w:top w:val="single" w:sz="4" w:space="0" w:color="000000"/>
              <w:left w:val="single" w:sz="4" w:space="0" w:color="000000"/>
            </w:tcBorders>
            <w:vAlign w:val="center"/>
          </w:tcPr>
          <w:p w14:paraId="2481B3F8" w14:textId="77777777" w:rsidR="00E126B4" w:rsidRPr="007E04E8" w:rsidRDefault="00E126B4" w:rsidP="00204C2B">
            <w:pPr>
              <w:spacing w:after="120" w:line="259" w:lineRule="auto"/>
            </w:pPr>
          </w:p>
        </w:tc>
        <w:tc>
          <w:tcPr>
            <w:tcW w:w="683" w:type="dxa"/>
            <w:vMerge w:val="restart"/>
            <w:tcBorders>
              <w:top w:val="single" w:sz="4" w:space="0" w:color="000000"/>
              <w:left w:val="single" w:sz="4" w:space="0" w:color="000000"/>
              <w:bottom w:val="single" w:sz="4" w:space="0" w:color="000000"/>
            </w:tcBorders>
            <w:vAlign w:val="center"/>
          </w:tcPr>
          <w:p w14:paraId="1EE1EDCA" w14:textId="77777777" w:rsidR="00E126B4" w:rsidRPr="007E04E8" w:rsidRDefault="00E126B4" w:rsidP="00204C2B">
            <w:pPr>
              <w:snapToGrid w:val="0"/>
              <w:spacing w:after="120" w:line="259" w:lineRule="auto"/>
              <w:rPr>
                <w:sz w:val="16"/>
              </w:rPr>
            </w:pPr>
            <w:r w:rsidRPr="007E04E8">
              <w:rPr>
                <w:sz w:val="16"/>
              </w:rPr>
              <w:t>N2*</w:t>
            </w:r>
          </w:p>
        </w:tc>
        <w:tc>
          <w:tcPr>
            <w:tcW w:w="8580" w:type="dxa"/>
            <w:vMerge/>
            <w:tcBorders>
              <w:top w:val="single" w:sz="4" w:space="0" w:color="000000"/>
              <w:left w:val="single" w:sz="4" w:space="0" w:color="000000"/>
              <w:bottom w:val="single" w:sz="4" w:space="0" w:color="000000"/>
            </w:tcBorders>
            <w:vAlign w:val="center"/>
          </w:tcPr>
          <w:p w14:paraId="5C6C16CD" w14:textId="77777777" w:rsidR="00E126B4" w:rsidRPr="007E04E8" w:rsidRDefault="00E126B4" w:rsidP="00204C2B">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39B3AE0F" w14:textId="77777777" w:rsidR="00E126B4" w:rsidRPr="007E04E8" w:rsidRDefault="00E126B4" w:rsidP="00204C2B">
            <w:pPr>
              <w:spacing w:after="120" w:line="259" w:lineRule="auto"/>
            </w:pPr>
          </w:p>
        </w:tc>
        <w:tc>
          <w:tcPr>
            <w:tcW w:w="936" w:type="dxa"/>
            <w:vMerge/>
            <w:tcBorders>
              <w:top w:val="single" w:sz="4" w:space="0" w:color="000000"/>
              <w:left w:val="single" w:sz="4" w:space="0" w:color="000000"/>
              <w:bottom w:val="single" w:sz="4" w:space="0" w:color="000000"/>
            </w:tcBorders>
            <w:vAlign w:val="center"/>
          </w:tcPr>
          <w:p w14:paraId="3D294B64" w14:textId="77777777" w:rsidR="00E126B4" w:rsidRPr="007E04E8" w:rsidRDefault="00E126B4" w:rsidP="00204C2B">
            <w:pPr>
              <w:spacing w:after="120" w:line="259" w:lineRule="auto"/>
            </w:pPr>
          </w:p>
        </w:tc>
        <w:tc>
          <w:tcPr>
            <w:tcW w:w="1049" w:type="dxa"/>
            <w:vMerge/>
            <w:tcBorders>
              <w:top w:val="single" w:sz="4" w:space="0" w:color="000000"/>
              <w:left w:val="single" w:sz="4" w:space="0" w:color="000000"/>
              <w:bottom w:val="single" w:sz="4" w:space="0" w:color="000000"/>
            </w:tcBorders>
            <w:vAlign w:val="center"/>
          </w:tcPr>
          <w:p w14:paraId="743E2247" w14:textId="77777777" w:rsidR="00E126B4" w:rsidRPr="007E04E8" w:rsidRDefault="00E126B4" w:rsidP="00204C2B">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0EB5EDAA" w14:textId="77777777" w:rsidR="00E126B4" w:rsidRPr="007E04E8" w:rsidRDefault="00E126B4" w:rsidP="00204C2B">
            <w:pPr>
              <w:spacing w:after="120" w:line="259" w:lineRule="auto"/>
            </w:pPr>
          </w:p>
        </w:tc>
      </w:tr>
      <w:tr w:rsidR="00E126B4" w:rsidRPr="007E04E8" w14:paraId="7FEB86A2" w14:textId="77777777" w:rsidTr="00204C2B">
        <w:trPr>
          <w:cantSplit/>
          <w:trHeight w:val="570"/>
          <w:jc w:val="center"/>
        </w:trPr>
        <w:tc>
          <w:tcPr>
            <w:tcW w:w="472" w:type="dxa"/>
            <w:vMerge/>
            <w:tcBorders>
              <w:top w:val="single" w:sz="4" w:space="0" w:color="000000"/>
              <w:left w:val="single" w:sz="4" w:space="0" w:color="000000"/>
            </w:tcBorders>
            <w:vAlign w:val="center"/>
          </w:tcPr>
          <w:p w14:paraId="538BF0CB" w14:textId="77777777" w:rsidR="00E126B4" w:rsidRPr="007E04E8" w:rsidRDefault="00E126B4" w:rsidP="00204C2B">
            <w:pPr>
              <w:spacing w:after="120" w:line="259" w:lineRule="auto"/>
            </w:pPr>
          </w:p>
        </w:tc>
        <w:tc>
          <w:tcPr>
            <w:tcW w:w="1088" w:type="dxa"/>
            <w:vMerge/>
            <w:tcBorders>
              <w:top w:val="single" w:sz="4" w:space="0" w:color="000000"/>
              <w:left w:val="single" w:sz="4" w:space="0" w:color="000000"/>
            </w:tcBorders>
            <w:vAlign w:val="center"/>
          </w:tcPr>
          <w:p w14:paraId="3AA18745" w14:textId="77777777" w:rsidR="00E126B4" w:rsidRPr="007E04E8" w:rsidRDefault="00E126B4" w:rsidP="00204C2B">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61CF2EA4" w14:textId="77777777" w:rsidR="00E126B4" w:rsidRPr="007E04E8" w:rsidRDefault="00E126B4" w:rsidP="00204C2B">
            <w:pPr>
              <w:spacing w:after="120" w:line="259" w:lineRule="auto"/>
            </w:pPr>
          </w:p>
        </w:tc>
        <w:tc>
          <w:tcPr>
            <w:tcW w:w="8580" w:type="dxa"/>
            <w:vMerge/>
            <w:tcBorders>
              <w:top w:val="single" w:sz="4" w:space="0" w:color="000000"/>
              <w:left w:val="single" w:sz="4" w:space="0" w:color="000000"/>
              <w:bottom w:val="single" w:sz="4" w:space="0" w:color="000000"/>
            </w:tcBorders>
            <w:vAlign w:val="center"/>
          </w:tcPr>
          <w:p w14:paraId="643D3BD8" w14:textId="77777777" w:rsidR="00E126B4" w:rsidRPr="007E04E8" w:rsidRDefault="00E126B4" w:rsidP="00204C2B">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1C2DA763" w14:textId="77777777" w:rsidR="00E126B4" w:rsidRPr="007E04E8" w:rsidRDefault="00E126B4" w:rsidP="00204C2B">
            <w:pPr>
              <w:snapToGrid w:val="0"/>
              <w:spacing w:after="120" w:line="259" w:lineRule="auto"/>
              <w:jc w:val="center"/>
              <w:rPr>
                <w:bCs/>
                <w:sz w:val="16"/>
              </w:rPr>
            </w:pPr>
            <w:r w:rsidRPr="007E04E8">
              <w:rPr>
                <w:bCs/>
                <w:sz w:val="16"/>
              </w:rPr>
              <w:t>57 920</w:t>
            </w:r>
          </w:p>
        </w:tc>
        <w:tc>
          <w:tcPr>
            <w:tcW w:w="936" w:type="dxa"/>
            <w:vMerge w:val="restart"/>
            <w:tcBorders>
              <w:top w:val="single" w:sz="4" w:space="0" w:color="000000"/>
              <w:left w:val="single" w:sz="4" w:space="0" w:color="000000"/>
              <w:bottom w:val="single" w:sz="4" w:space="0" w:color="000000"/>
            </w:tcBorders>
            <w:vAlign w:val="center"/>
          </w:tcPr>
          <w:p w14:paraId="1E7B333E" w14:textId="77777777" w:rsidR="00E126B4" w:rsidRPr="007E04E8" w:rsidRDefault="00E126B4" w:rsidP="00204C2B">
            <w:pPr>
              <w:snapToGrid w:val="0"/>
              <w:spacing w:after="120" w:line="259" w:lineRule="auto"/>
              <w:jc w:val="center"/>
              <w:rPr>
                <w:sz w:val="16"/>
              </w:rPr>
            </w:pPr>
            <w:r w:rsidRPr="007E04E8">
              <w:rPr>
                <w:sz w:val="16"/>
              </w:rPr>
              <w:t>42 920</w:t>
            </w:r>
          </w:p>
        </w:tc>
        <w:tc>
          <w:tcPr>
            <w:tcW w:w="1049" w:type="dxa"/>
            <w:vMerge/>
            <w:tcBorders>
              <w:top w:val="single" w:sz="4" w:space="0" w:color="000000"/>
              <w:left w:val="single" w:sz="4" w:space="0" w:color="000000"/>
              <w:bottom w:val="single" w:sz="4" w:space="0" w:color="000000"/>
            </w:tcBorders>
            <w:vAlign w:val="center"/>
          </w:tcPr>
          <w:p w14:paraId="7769A6CA" w14:textId="77777777" w:rsidR="00E126B4" w:rsidRPr="007E04E8" w:rsidRDefault="00E126B4" w:rsidP="00204C2B">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2B308859" w14:textId="77777777" w:rsidR="00E126B4" w:rsidRPr="007E04E8" w:rsidRDefault="00E126B4" w:rsidP="00204C2B">
            <w:pPr>
              <w:spacing w:after="120" w:line="259" w:lineRule="auto"/>
            </w:pPr>
          </w:p>
        </w:tc>
      </w:tr>
      <w:tr w:rsidR="00E126B4" w:rsidRPr="007E04E8" w14:paraId="367CDAEA" w14:textId="77777777" w:rsidTr="00204C2B">
        <w:trPr>
          <w:cantSplit/>
          <w:jc w:val="center"/>
        </w:trPr>
        <w:tc>
          <w:tcPr>
            <w:tcW w:w="472" w:type="dxa"/>
            <w:vMerge/>
            <w:tcBorders>
              <w:top w:val="single" w:sz="4" w:space="0" w:color="000000"/>
              <w:left w:val="single" w:sz="4" w:space="0" w:color="000000"/>
              <w:bottom w:val="single" w:sz="4" w:space="0" w:color="000000"/>
            </w:tcBorders>
            <w:vAlign w:val="center"/>
          </w:tcPr>
          <w:p w14:paraId="0998FFEC" w14:textId="77777777" w:rsidR="00E126B4" w:rsidRPr="007E04E8" w:rsidRDefault="00E126B4" w:rsidP="00204C2B">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4D9EB901" w14:textId="77777777" w:rsidR="00E126B4" w:rsidRPr="007E04E8" w:rsidRDefault="00E126B4" w:rsidP="00204C2B">
            <w:pPr>
              <w:spacing w:after="120" w:line="259" w:lineRule="auto"/>
            </w:pPr>
          </w:p>
        </w:tc>
        <w:tc>
          <w:tcPr>
            <w:tcW w:w="683" w:type="dxa"/>
            <w:tcBorders>
              <w:top w:val="single" w:sz="4" w:space="0" w:color="000000"/>
              <w:left w:val="single" w:sz="4" w:space="0" w:color="000000"/>
              <w:bottom w:val="single" w:sz="4" w:space="0" w:color="000000"/>
            </w:tcBorders>
            <w:vAlign w:val="center"/>
          </w:tcPr>
          <w:p w14:paraId="5D2C4503" w14:textId="77777777" w:rsidR="00E126B4" w:rsidRPr="007E04E8" w:rsidRDefault="00E126B4" w:rsidP="00204C2B">
            <w:pPr>
              <w:snapToGrid w:val="0"/>
              <w:spacing w:after="120" w:line="259" w:lineRule="auto"/>
              <w:rPr>
                <w:sz w:val="16"/>
              </w:rPr>
            </w:pPr>
            <w:r w:rsidRPr="007E04E8">
              <w:rPr>
                <w:sz w:val="16"/>
              </w:rPr>
              <w:t>N3*</w:t>
            </w:r>
          </w:p>
        </w:tc>
        <w:tc>
          <w:tcPr>
            <w:tcW w:w="8580" w:type="dxa"/>
            <w:vMerge/>
            <w:tcBorders>
              <w:top w:val="single" w:sz="4" w:space="0" w:color="000000"/>
              <w:left w:val="single" w:sz="4" w:space="0" w:color="000000"/>
              <w:bottom w:val="single" w:sz="4" w:space="0" w:color="000000"/>
            </w:tcBorders>
            <w:vAlign w:val="center"/>
          </w:tcPr>
          <w:p w14:paraId="06606247" w14:textId="77777777" w:rsidR="00E126B4" w:rsidRPr="007E04E8" w:rsidRDefault="00E126B4" w:rsidP="00204C2B">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3AA6FDA2" w14:textId="77777777" w:rsidR="00E126B4" w:rsidRPr="007E04E8" w:rsidRDefault="00E126B4" w:rsidP="00204C2B">
            <w:pPr>
              <w:spacing w:after="120" w:line="259" w:lineRule="auto"/>
            </w:pPr>
          </w:p>
        </w:tc>
        <w:tc>
          <w:tcPr>
            <w:tcW w:w="936" w:type="dxa"/>
            <w:vMerge/>
            <w:tcBorders>
              <w:top w:val="single" w:sz="4" w:space="0" w:color="000000"/>
              <w:left w:val="single" w:sz="4" w:space="0" w:color="000000"/>
              <w:bottom w:val="single" w:sz="4" w:space="0" w:color="000000"/>
            </w:tcBorders>
            <w:vAlign w:val="center"/>
          </w:tcPr>
          <w:p w14:paraId="335D0067" w14:textId="77777777" w:rsidR="00E126B4" w:rsidRPr="007E04E8" w:rsidRDefault="00E126B4" w:rsidP="00204C2B">
            <w:pPr>
              <w:spacing w:after="120" w:line="259" w:lineRule="auto"/>
            </w:pPr>
          </w:p>
        </w:tc>
        <w:tc>
          <w:tcPr>
            <w:tcW w:w="1049" w:type="dxa"/>
            <w:vMerge/>
            <w:tcBorders>
              <w:top w:val="single" w:sz="4" w:space="0" w:color="000000"/>
              <w:left w:val="single" w:sz="4" w:space="0" w:color="000000"/>
              <w:bottom w:val="single" w:sz="4" w:space="0" w:color="000000"/>
            </w:tcBorders>
            <w:vAlign w:val="center"/>
          </w:tcPr>
          <w:p w14:paraId="11E52D03" w14:textId="77777777" w:rsidR="00E126B4" w:rsidRPr="007E04E8" w:rsidRDefault="00E126B4" w:rsidP="00204C2B">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1FFC8B68" w14:textId="77777777" w:rsidR="00E126B4" w:rsidRPr="007E04E8" w:rsidRDefault="00E126B4" w:rsidP="00204C2B">
            <w:pPr>
              <w:spacing w:after="120" w:line="259" w:lineRule="auto"/>
            </w:pPr>
          </w:p>
        </w:tc>
      </w:tr>
      <w:tr w:rsidR="00E126B4" w:rsidRPr="007E04E8" w14:paraId="1679D96A" w14:textId="77777777" w:rsidTr="00204C2B">
        <w:trPr>
          <w:cantSplit/>
          <w:jc w:val="center"/>
        </w:trPr>
        <w:tc>
          <w:tcPr>
            <w:tcW w:w="472" w:type="dxa"/>
            <w:tcBorders>
              <w:top w:val="single" w:sz="4" w:space="0" w:color="000000"/>
              <w:left w:val="single" w:sz="4" w:space="0" w:color="000000"/>
              <w:bottom w:val="single" w:sz="4" w:space="0" w:color="000000"/>
            </w:tcBorders>
            <w:vAlign w:val="center"/>
          </w:tcPr>
          <w:p w14:paraId="6EE71D72" w14:textId="77777777" w:rsidR="00E126B4" w:rsidRPr="007E04E8" w:rsidRDefault="00E126B4" w:rsidP="00204C2B">
            <w:pPr>
              <w:snapToGrid w:val="0"/>
              <w:spacing w:after="120" w:line="259" w:lineRule="auto"/>
              <w:rPr>
                <w:sz w:val="16"/>
              </w:rPr>
            </w:pPr>
          </w:p>
        </w:tc>
        <w:tc>
          <w:tcPr>
            <w:tcW w:w="1088" w:type="dxa"/>
            <w:tcBorders>
              <w:top w:val="single" w:sz="4" w:space="0" w:color="000000"/>
              <w:left w:val="single" w:sz="4" w:space="0" w:color="000000"/>
              <w:bottom w:val="single" w:sz="4" w:space="0" w:color="000000"/>
            </w:tcBorders>
            <w:vAlign w:val="center"/>
          </w:tcPr>
          <w:p w14:paraId="33618178" w14:textId="77777777" w:rsidR="00E126B4" w:rsidRPr="007E04E8" w:rsidRDefault="00E126B4" w:rsidP="00204C2B">
            <w:pPr>
              <w:snapToGrid w:val="0"/>
              <w:spacing w:after="120" w:line="259" w:lineRule="auto"/>
              <w:rPr>
                <w:sz w:val="16"/>
              </w:rPr>
            </w:pPr>
          </w:p>
        </w:tc>
        <w:tc>
          <w:tcPr>
            <w:tcW w:w="683" w:type="dxa"/>
            <w:tcBorders>
              <w:top w:val="single" w:sz="4" w:space="0" w:color="000000"/>
              <w:left w:val="single" w:sz="4" w:space="0" w:color="000000"/>
              <w:bottom w:val="single" w:sz="4" w:space="0" w:color="000000"/>
            </w:tcBorders>
            <w:vAlign w:val="center"/>
          </w:tcPr>
          <w:p w14:paraId="3EB0B787" w14:textId="77777777" w:rsidR="00E126B4" w:rsidRPr="007E04E8" w:rsidRDefault="00E126B4" w:rsidP="00204C2B">
            <w:pPr>
              <w:snapToGrid w:val="0"/>
              <w:spacing w:after="120" w:line="259" w:lineRule="auto"/>
              <w:rPr>
                <w:sz w:val="16"/>
              </w:rPr>
            </w:pPr>
            <w:r w:rsidRPr="007E04E8">
              <w:rPr>
                <w:sz w:val="16"/>
              </w:rPr>
              <w:t>N4</w:t>
            </w:r>
          </w:p>
        </w:tc>
        <w:tc>
          <w:tcPr>
            <w:tcW w:w="8580" w:type="dxa"/>
            <w:tcBorders>
              <w:top w:val="single" w:sz="4" w:space="0" w:color="000000"/>
              <w:left w:val="single" w:sz="4" w:space="0" w:color="000000"/>
              <w:bottom w:val="single" w:sz="4" w:space="0" w:color="000000"/>
            </w:tcBorders>
            <w:vAlign w:val="center"/>
          </w:tcPr>
          <w:p w14:paraId="1C7D9534" w14:textId="39D61D0B" w:rsidR="00E126B4" w:rsidRPr="007E04E8" w:rsidRDefault="00E126B4" w:rsidP="00204C2B">
            <w:pPr>
              <w:snapToGrid w:val="0"/>
              <w:spacing w:after="120" w:line="259" w:lineRule="auto"/>
              <w:rPr>
                <w:bCs/>
                <w:sz w:val="16"/>
              </w:rPr>
            </w:pPr>
            <w:r w:rsidRPr="007E04E8">
              <w:rPr>
                <w:sz w:val="16"/>
              </w:rPr>
              <w:t xml:space="preserve">Notification for recording in the MIFR of frequency assignments to a satellite network not subject to coordination under Section </w:t>
            </w:r>
            <w:r w:rsidRPr="007E04E8">
              <w:rPr>
                <w:b/>
                <w:sz w:val="16"/>
              </w:rPr>
              <w:t>II</w:t>
            </w:r>
            <w:r w:rsidRPr="007E04E8">
              <w:rPr>
                <w:sz w:val="16"/>
              </w:rPr>
              <w:t xml:space="preserve"> of Article</w:t>
            </w:r>
            <w:r w:rsidRPr="007E04E8">
              <w:rPr>
                <w:b/>
                <w:sz w:val="16"/>
              </w:rPr>
              <w:t xml:space="preserve"> 9, </w:t>
            </w:r>
            <w:r w:rsidRPr="007E04E8">
              <w:rPr>
                <w:bCs/>
                <w:sz w:val="16"/>
              </w:rPr>
              <w:t xml:space="preserve">or </w:t>
            </w:r>
            <w:r>
              <w:rPr>
                <w:bCs/>
                <w:sz w:val="16"/>
              </w:rPr>
              <w:t xml:space="preserve">to </w:t>
            </w:r>
            <w:r w:rsidRPr="000631A7">
              <w:rPr>
                <w:bCs/>
                <w:sz w:val="16"/>
              </w:rPr>
              <w:t xml:space="preserve">a non-geostationary satellite network </w:t>
            </w:r>
            <w:r w:rsidRPr="007E04E8">
              <w:rPr>
                <w:bCs/>
                <w:sz w:val="16"/>
              </w:rPr>
              <w:t xml:space="preserve">subject to No. </w:t>
            </w:r>
            <w:r w:rsidRPr="007E04E8">
              <w:rPr>
                <w:b/>
                <w:sz w:val="16"/>
              </w:rPr>
              <w:t xml:space="preserve">9.21 </w:t>
            </w:r>
            <w:r w:rsidRPr="007E04E8">
              <w:rPr>
                <w:bCs/>
                <w:sz w:val="16"/>
              </w:rPr>
              <w:t>only.</w:t>
            </w:r>
          </w:p>
        </w:tc>
        <w:tc>
          <w:tcPr>
            <w:tcW w:w="2070" w:type="dxa"/>
            <w:gridSpan w:val="2"/>
            <w:tcBorders>
              <w:top w:val="single" w:sz="4" w:space="0" w:color="000000"/>
              <w:left w:val="single" w:sz="4" w:space="0" w:color="000000"/>
              <w:bottom w:val="single" w:sz="4" w:space="0" w:color="000000"/>
            </w:tcBorders>
            <w:vAlign w:val="center"/>
          </w:tcPr>
          <w:p w14:paraId="18D1B998" w14:textId="77777777" w:rsidR="00E126B4" w:rsidRPr="007E04E8" w:rsidRDefault="00E126B4" w:rsidP="00204C2B">
            <w:pPr>
              <w:snapToGrid w:val="0"/>
              <w:spacing w:after="120" w:line="259" w:lineRule="auto"/>
              <w:jc w:val="center"/>
              <w:rPr>
                <w:bCs/>
                <w:sz w:val="16"/>
              </w:rPr>
            </w:pPr>
            <w:r w:rsidRPr="007E04E8">
              <w:rPr>
                <w:bCs/>
                <w:sz w:val="16"/>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40C9BD8E" w14:textId="77777777" w:rsidR="00E126B4" w:rsidRPr="007E04E8" w:rsidRDefault="00E126B4" w:rsidP="00204C2B">
            <w:pPr>
              <w:snapToGrid w:val="0"/>
              <w:spacing w:after="120" w:line="259" w:lineRule="auto"/>
              <w:jc w:val="center"/>
              <w:rPr>
                <w:sz w:val="16"/>
              </w:rPr>
            </w:pPr>
            <w:r w:rsidRPr="007E04E8">
              <w:rPr>
                <w:sz w:val="16"/>
              </w:rPr>
              <w:t>Not applicable</w:t>
            </w:r>
          </w:p>
        </w:tc>
      </w:tr>
      <w:tr w:rsidR="00E126B4" w:rsidRPr="007E04E8" w14:paraId="056AEE03" w14:textId="77777777" w:rsidTr="00204C2B">
        <w:trPr>
          <w:cantSplit/>
          <w:jc w:val="center"/>
        </w:trPr>
        <w:tc>
          <w:tcPr>
            <w:tcW w:w="472" w:type="dxa"/>
            <w:vMerge w:val="restart"/>
            <w:tcBorders>
              <w:top w:val="single" w:sz="4" w:space="0" w:color="000000"/>
              <w:left w:val="single" w:sz="4" w:space="0" w:color="000000"/>
              <w:bottom w:val="single" w:sz="4" w:space="0" w:color="000000"/>
            </w:tcBorders>
            <w:vAlign w:val="center"/>
          </w:tcPr>
          <w:p w14:paraId="5B966F67" w14:textId="77777777" w:rsidR="00E126B4" w:rsidRPr="007E04E8" w:rsidRDefault="00E126B4" w:rsidP="00204C2B">
            <w:pPr>
              <w:snapToGrid w:val="0"/>
              <w:spacing w:after="120" w:line="259" w:lineRule="auto"/>
              <w:rPr>
                <w:sz w:val="16"/>
              </w:rPr>
            </w:pPr>
            <w:r w:rsidRPr="007E04E8">
              <w:rPr>
                <w:sz w:val="16"/>
              </w:rPr>
              <w:t>4</w:t>
            </w:r>
          </w:p>
        </w:tc>
        <w:tc>
          <w:tcPr>
            <w:tcW w:w="1088" w:type="dxa"/>
            <w:vMerge w:val="restart"/>
            <w:tcBorders>
              <w:top w:val="single" w:sz="4" w:space="0" w:color="000000"/>
              <w:left w:val="single" w:sz="4" w:space="0" w:color="000000"/>
              <w:bottom w:val="single" w:sz="4" w:space="0" w:color="000000"/>
            </w:tcBorders>
            <w:vAlign w:val="center"/>
          </w:tcPr>
          <w:p w14:paraId="353CAF97" w14:textId="77777777" w:rsidR="00E126B4" w:rsidRPr="007E04E8" w:rsidRDefault="00E126B4" w:rsidP="00204C2B">
            <w:pPr>
              <w:snapToGrid w:val="0"/>
              <w:spacing w:after="120" w:line="259" w:lineRule="auto"/>
              <w:rPr>
                <w:sz w:val="16"/>
              </w:rPr>
            </w:pPr>
            <w:r w:rsidRPr="007E04E8">
              <w:rPr>
                <w:sz w:val="16"/>
              </w:rPr>
              <w:t>Plans (P)</w:t>
            </w:r>
          </w:p>
        </w:tc>
        <w:tc>
          <w:tcPr>
            <w:tcW w:w="683" w:type="dxa"/>
            <w:tcBorders>
              <w:top w:val="single" w:sz="4" w:space="0" w:color="000000"/>
              <w:left w:val="single" w:sz="4" w:space="0" w:color="000000"/>
              <w:bottom w:val="single" w:sz="4" w:space="0" w:color="000000"/>
            </w:tcBorders>
            <w:vAlign w:val="center"/>
          </w:tcPr>
          <w:p w14:paraId="74290048" w14:textId="77777777" w:rsidR="00E126B4" w:rsidRPr="007E04E8" w:rsidRDefault="00E126B4" w:rsidP="00204C2B">
            <w:pPr>
              <w:snapToGrid w:val="0"/>
              <w:spacing w:after="120" w:line="259" w:lineRule="auto"/>
              <w:rPr>
                <w:sz w:val="16"/>
              </w:rPr>
            </w:pPr>
            <w:r w:rsidRPr="007E04E8">
              <w:rPr>
                <w:sz w:val="16"/>
              </w:rPr>
              <w:t>P1</w:t>
            </w:r>
          </w:p>
        </w:tc>
        <w:tc>
          <w:tcPr>
            <w:tcW w:w="8580" w:type="dxa"/>
            <w:tcBorders>
              <w:top w:val="single" w:sz="4" w:space="0" w:color="000000"/>
              <w:left w:val="single" w:sz="4" w:space="0" w:color="000000"/>
              <w:bottom w:val="single" w:sz="4" w:space="0" w:color="000000"/>
            </w:tcBorders>
          </w:tcPr>
          <w:p w14:paraId="63FCAE7C" w14:textId="6625139F" w:rsidR="00E126B4" w:rsidRPr="007E04E8" w:rsidRDefault="00E126B4" w:rsidP="00204C2B">
            <w:pPr>
              <w:snapToGrid w:val="0"/>
              <w:spacing w:after="120" w:line="259" w:lineRule="auto"/>
              <w:rPr>
                <w:bCs/>
                <w:sz w:val="16"/>
              </w:rPr>
            </w:pPr>
            <w:r w:rsidRPr="007E04E8">
              <w:rPr>
                <w:sz w:val="16"/>
              </w:rPr>
              <w:t>Part A Special Section for a proposed new or modified assignment in the Regions 1 and 3 List or feeder-link Lists of additional uses under §</w:t>
            </w:r>
            <w:r w:rsidRPr="007E04E8">
              <w:rPr>
                <w:b/>
                <w:bCs/>
                <w:sz w:val="16"/>
              </w:rPr>
              <w:t>4.1.5</w:t>
            </w:r>
            <w:r w:rsidRPr="007E04E8">
              <w:rPr>
                <w:sz w:val="16"/>
              </w:rPr>
              <w:t xml:space="preserve"> or proposed modification to the Region 2 Plans under §</w:t>
            </w:r>
            <w:r w:rsidRPr="007E04E8">
              <w:rPr>
                <w:b/>
                <w:bCs/>
                <w:sz w:val="16"/>
              </w:rPr>
              <w:t>4.2.8</w:t>
            </w:r>
            <w:r w:rsidRPr="007E04E8">
              <w:rPr>
                <w:sz w:val="16"/>
              </w:rPr>
              <w:t xml:space="preserve"> of Appendices </w:t>
            </w:r>
            <w:r w:rsidRPr="007E04E8">
              <w:rPr>
                <w:b/>
                <w:bCs/>
                <w:sz w:val="16"/>
              </w:rPr>
              <w:t>30</w:t>
            </w:r>
            <w:r w:rsidRPr="007E04E8">
              <w:rPr>
                <w:sz w:val="16"/>
              </w:rPr>
              <w:t xml:space="preserve"> or </w:t>
            </w:r>
            <w:r w:rsidRPr="007E04E8">
              <w:rPr>
                <w:b/>
                <w:bCs/>
                <w:sz w:val="16"/>
              </w:rPr>
              <w:t>30A</w:t>
            </w:r>
            <w:r w:rsidRPr="007E04E8">
              <w:rPr>
                <w:sz w:val="16"/>
              </w:rPr>
              <w:t>; or Part B Special Section for a proposed new or modified assignment in the Regions 1 and 3 List or feeder-link Lists of additional uses under §</w:t>
            </w:r>
            <w:r w:rsidRPr="007E04E8">
              <w:rPr>
                <w:b/>
                <w:bCs/>
                <w:sz w:val="16"/>
              </w:rPr>
              <w:t>4.1.15</w:t>
            </w:r>
            <w:r w:rsidRPr="007E04E8">
              <w:rPr>
                <w:sz w:val="16"/>
              </w:rPr>
              <w:t xml:space="preserve"> (except Part B special section related to the application of Resolution </w:t>
            </w:r>
            <w:r w:rsidRPr="007E04E8">
              <w:rPr>
                <w:b/>
                <w:bCs/>
                <w:sz w:val="16"/>
              </w:rPr>
              <w:t>548</w:t>
            </w:r>
            <w:r w:rsidRPr="007E04E8">
              <w:rPr>
                <w:sz w:val="16"/>
              </w:rPr>
              <w:t xml:space="preserve"> (</w:t>
            </w:r>
            <w:r>
              <w:rPr>
                <w:sz w:val="16"/>
              </w:rPr>
              <w:t>Rev.</w:t>
            </w:r>
            <w:r w:rsidRPr="007E04E8">
              <w:rPr>
                <w:sz w:val="16"/>
              </w:rPr>
              <w:t>WRC-</w:t>
            </w:r>
            <w:r>
              <w:rPr>
                <w:sz w:val="16"/>
              </w:rPr>
              <w:t>12</w:t>
            </w:r>
            <w:r w:rsidRPr="007E04E8">
              <w:rPr>
                <w:sz w:val="16"/>
              </w:rPr>
              <w:t xml:space="preserve">)) or proposed modification to the Region 2 Plans under </w:t>
            </w:r>
            <w:r w:rsidRPr="007E04E8">
              <w:rPr>
                <w:b/>
                <w:bCs/>
                <w:sz w:val="16"/>
              </w:rPr>
              <w:t>4.2.19</w:t>
            </w:r>
            <w:r w:rsidRPr="007E04E8">
              <w:rPr>
                <w:sz w:val="16"/>
              </w:rPr>
              <w:t xml:space="preserve"> of Appendices </w:t>
            </w:r>
            <w:r w:rsidRPr="007E04E8">
              <w:rPr>
                <w:b/>
                <w:bCs/>
                <w:sz w:val="16"/>
              </w:rPr>
              <w:t>30</w:t>
            </w:r>
            <w:r w:rsidRPr="007E04E8">
              <w:rPr>
                <w:sz w:val="16"/>
              </w:rPr>
              <w:t xml:space="preserve"> or </w:t>
            </w:r>
            <w:r w:rsidRPr="007E04E8">
              <w:rPr>
                <w:b/>
                <w:bCs/>
                <w:sz w:val="16"/>
              </w:rPr>
              <w:t>30A</w:t>
            </w:r>
            <w:r w:rsidRPr="007E04E8">
              <w:rPr>
                <w:sz w:val="18"/>
                <w:szCs w:val="18"/>
                <w:vertAlign w:val="superscript"/>
              </w:rPr>
              <w:t>b)</w:t>
            </w:r>
            <w:r w:rsidRPr="007E04E8">
              <w:rPr>
                <w:bCs/>
                <w:sz w:val="16"/>
              </w:rPr>
              <w:t>.</w:t>
            </w:r>
          </w:p>
        </w:tc>
        <w:tc>
          <w:tcPr>
            <w:tcW w:w="2070" w:type="dxa"/>
            <w:gridSpan w:val="2"/>
            <w:tcBorders>
              <w:top w:val="single" w:sz="4" w:space="0" w:color="000000"/>
              <w:left w:val="single" w:sz="4" w:space="0" w:color="000000"/>
              <w:bottom w:val="single" w:sz="4" w:space="0" w:color="000000"/>
            </w:tcBorders>
            <w:vAlign w:val="center"/>
          </w:tcPr>
          <w:p w14:paraId="6FBEAD46" w14:textId="77777777" w:rsidR="00E126B4" w:rsidRPr="007E04E8" w:rsidRDefault="00E126B4" w:rsidP="00204C2B">
            <w:pPr>
              <w:snapToGrid w:val="0"/>
              <w:spacing w:after="120" w:line="259" w:lineRule="auto"/>
              <w:jc w:val="center"/>
              <w:rPr>
                <w:bCs/>
                <w:sz w:val="16"/>
              </w:rPr>
            </w:pPr>
            <w:r w:rsidRPr="007E04E8">
              <w:rPr>
                <w:bCs/>
                <w:sz w:val="16"/>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10A5BA8" w14:textId="77777777" w:rsidR="00E126B4" w:rsidRPr="007E04E8" w:rsidRDefault="00E126B4" w:rsidP="00204C2B">
            <w:pPr>
              <w:snapToGrid w:val="0"/>
              <w:spacing w:after="120" w:line="259" w:lineRule="auto"/>
              <w:jc w:val="center"/>
              <w:rPr>
                <w:sz w:val="16"/>
              </w:rPr>
            </w:pPr>
            <w:r w:rsidRPr="007E04E8">
              <w:rPr>
                <w:sz w:val="16"/>
              </w:rPr>
              <w:t>Not applicable</w:t>
            </w:r>
          </w:p>
        </w:tc>
      </w:tr>
      <w:tr w:rsidR="00E126B4" w:rsidRPr="007E04E8" w14:paraId="0EE3433D" w14:textId="77777777" w:rsidTr="00204C2B">
        <w:trPr>
          <w:cantSplit/>
          <w:jc w:val="center"/>
        </w:trPr>
        <w:tc>
          <w:tcPr>
            <w:tcW w:w="472" w:type="dxa"/>
            <w:vMerge/>
            <w:tcBorders>
              <w:top w:val="single" w:sz="4" w:space="0" w:color="000000"/>
              <w:left w:val="single" w:sz="4" w:space="0" w:color="000000"/>
              <w:bottom w:val="single" w:sz="4" w:space="0" w:color="000000"/>
            </w:tcBorders>
            <w:vAlign w:val="center"/>
          </w:tcPr>
          <w:p w14:paraId="7239A27C" w14:textId="77777777" w:rsidR="00E126B4" w:rsidRPr="007E04E8" w:rsidRDefault="00E126B4" w:rsidP="00204C2B">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281B59A1" w14:textId="77777777" w:rsidR="00E126B4" w:rsidRPr="007E04E8" w:rsidRDefault="00E126B4" w:rsidP="00204C2B">
            <w:pPr>
              <w:spacing w:after="160" w:line="259" w:lineRule="auto"/>
            </w:pPr>
          </w:p>
        </w:tc>
        <w:tc>
          <w:tcPr>
            <w:tcW w:w="683" w:type="dxa"/>
            <w:tcBorders>
              <w:top w:val="single" w:sz="4" w:space="0" w:color="000000"/>
              <w:left w:val="single" w:sz="4" w:space="0" w:color="000000"/>
              <w:bottom w:val="single" w:sz="4" w:space="0" w:color="000000"/>
            </w:tcBorders>
            <w:vAlign w:val="center"/>
          </w:tcPr>
          <w:p w14:paraId="3C4A4357" w14:textId="77777777" w:rsidR="00E126B4" w:rsidRPr="007E04E8" w:rsidRDefault="00E126B4" w:rsidP="00204C2B">
            <w:pPr>
              <w:snapToGrid w:val="0"/>
              <w:spacing w:after="120" w:line="259" w:lineRule="auto"/>
              <w:rPr>
                <w:sz w:val="16"/>
                <w:vertAlign w:val="superscript"/>
              </w:rPr>
            </w:pPr>
            <w:r w:rsidRPr="007E04E8">
              <w:rPr>
                <w:sz w:val="16"/>
              </w:rPr>
              <w:t>P2</w:t>
            </w:r>
            <w:r w:rsidRPr="007E04E8">
              <w:rPr>
                <w:sz w:val="18"/>
                <w:szCs w:val="18"/>
                <w:vertAlign w:val="superscript"/>
              </w:rPr>
              <w:t>d)</w:t>
            </w:r>
          </w:p>
        </w:tc>
        <w:tc>
          <w:tcPr>
            <w:tcW w:w="8580" w:type="dxa"/>
            <w:tcBorders>
              <w:top w:val="single" w:sz="4" w:space="0" w:color="000000"/>
              <w:left w:val="single" w:sz="4" w:space="0" w:color="000000"/>
              <w:bottom w:val="single" w:sz="4" w:space="0" w:color="000000"/>
            </w:tcBorders>
          </w:tcPr>
          <w:p w14:paraId="08062FE2" w14:textId="77777777" w:rsidR="00E126B4" w:rsidRPr="007E04E8" w:rsidRDefault="00E126B4" w:rsidP="00204C2B">
            <w:pPr>
              <w:snapToGrid w:val="0"/>
              <w:spacing w:after="120" w:line="259" w:lineRule="auto"/>
              <w:rPr>
                <w:rFonts w:ascii="Times New Roman Bold" w:hAnsi="Times New Roman Bold" w:hint="eastAsia"/>
                <w:sz w:val="20"/>
                <w:vertAlign w:val="superscript"/>
              </w:rPr>
            </w:pPr>
            <w:r w:rsidRPr="007E04E8">
              <w:rPr>
                <w:bCs/>
                <w:sz w:val="16"/>
              </w:rPr>
              <w:t xml:space="preserve">Notification for recording in the MIFR of frequency assignments to space stations in the broadcasting-satellite service and its associated feeder-link in Regions 1 and 3 or Region 2 under Article </w:t>
            </w:r>
            <w:r w:rsidRPr="007E04E8">
              <w:rPr>
                <w:b/>
                <w:sz w:val="16"/>
              </w:rPr>
              <w:t>5</w:t>
            </w:r>
            <w:r w:rsidRPr="007E04E8">
              <w:rPr>
                <w:bCs/>
                <w:sz w:val="16"/>
              </w:rPr>
              <w:t xml:space="preserve"> </w:t>
            </w:r>
            <w:r w:rsidRPr="007E04E8">
              <w:rPr>
                <w:sz w:val="16"/>
              </w:rPr>
              <w:t xml:space="preserve">of Appendices </w:t>
            </w:r>
            <w:r w:rsidRPr="007E04E8">
              <w:rPr>
                <w:b/>
                <w:bCs/>
                <w:sz w:val="16"/>
              </w:rPr>
              <w:t>30</w:t>
            </w:r>
            <w:r w:rsidRPr="007E04E8">
              <w:rPr>
                <w:sz w:val="16"/>
              </w:rPr>
              <w:t xml:space="preserve"> or </w:t>
            </w:r>
            <w:r w:rsidRPr="007E04E8">
              <w:rPr>
                <w:b/>
                <w:bCs/>
                <w:sz w:val="16"/>
              </w:rPr>
              <w:t>30A</w:t>
            </w:r>
            <w:r w:rsidRPr="007E04E8">
              <w:rPr>
                <w:sz w:val="18"/>
                <w:szCs w:val="18"/>
                <w:vertAlign w:val="superscript"/>
              </w:rPr>
              <w:t>b)</w:t>
            </w:r>
            <w:r w:rsidRPr="007E04E8">
              <w:rPr>
                <w:bCs/>
                <w:sz w:val="16"/>
              </w:rPr>
              <w:t>.</w:t>
            </w:r>
          </w:p>
        </w:tc>
        <w:tc>
          <w:tcPr>
            <w:tcW w:w="2070" w:type="dxa"/>
            <w:gridSpan w:val="2"/>
            <w:tcBorders>
              <w:top w:val="single" w:sz="4" w:space="0" w:color="000000"/>
              <w:left w:val="single" w:sz="4" w:space="0" w:color="000000"/>
              <w:bottom w:val="single" w:sz="4" w:space="0" w:color="000000"/>
            </w:tcBorders>
            <w:vAlign w:val="center"/>
          </w:tcPr>
          <w:p w14:paraId="7067AB51"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542447CC" w14:textId="77777777" w:rsidR="00E126B4" w:rsidRPr="007E04E8" w:rsidRDefault="00E126B4" w:rsidP="00204C2B">
            <w:pPr>
              <w:spacing w:after="120" w:line="259" w:lineRule="auto"/>
            </w:pPr>
          </w:p>
        </w:tc>
      </w:tr>
      <w:tr w:rsidR="00E126B4" w:rsidRPr="007E04E8" w14:paraId="1959DDC6" w14:textId="77777777" w:rsidTr="00204C2B">
        <w:trPr>
          <w:cantSplit/>
          <w:jc w:val="center"/>
        </w:trPr>
        <w:tc>
          <w:tcPr>
            <w:tcW w:w="472" w:type="dxa"/>
            <w:vMerge/>
            <w:tcBorders>
              <w:top w:val="single" w:sz="4" w:space="0" w:color="000000"/>
              <w:left w:val="single" w:sz="4" w:space="0" w:color="000000"/>
              <w:bottom w:val="single" w:sz="4" w:space="0" w:color="000000"/>
            </w:tcBorders>
            <w:vAlign w:val="center"/>
          </w:tcPr>
          <w:p w14:paraId="3F9744BD" w14:textId="77777777" w:rsidR="00E126B4" w:rsidRPr="007E04E8" w:rsidRDefault="00E126B4" w:rsidP="00204C2B">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2934EEBD" w14:textId="77777777" w:rsidR="00E126B4" w:rsidRPr="007E04E8" w:rsidRDefault="00E126B4" w:rsidP="00204C2B">
            <w:pPr>
              <w:spacing w:after="160" w:line="259" w:lineRule="auto"/>
            </w:pPr>
          </w:p>
        </w:tc>
        <w:tc>
          <w:tcPr>
            <w:tcW w:w="683" w:type="dxa"/>
            <w:tcBorders>
              <w:top w:val="single" w:sz="4" w:space="0" w:color="000000"/>
              <w:left w:val="single" w:sz="4" w:space="0" w:color="000000"/>
              <w:bottom w:val="single" w:sz="4" w:space="0" w:color="000000"/>
            </w:tcBorders>
            <w:vAlign w:val="center"/>
          </w:tcPr>
          <w:p w14:paraId="6EB78799" w14:textId="77777777" w:rsidR="00E126B4" w:rsidRPr="007E04E8" w:rsidRDefault="00E126B4" w:rsidP="00204C2B">
            <w:pPr>
              <w:snapToGrid w:val="0"/>
              <w:spacing w:after="120" w:line="259" w:lineRule="auto"/>
              <w:rPr>
                <w:sz w:val="16"/>
              </w:rPr>
            </w:pPr>
            <w:r w:rsidRPr="007E04E8">
              <w:rPr>
                <w:sz w:val="16"/>
              </w:rPr>
              <w:t>P3</w:t>
            </w:r>
          </w:p>
        </w:tc>
        <w:tc>
          <w:tcPr>
            <w:tcW w:w="8580" w:type="dxa"/>
            <w:tcBorders>
              <w:top w:val="single" w:sz="4" w:space="0" w:color="000000"/>
              <w:left w:val="single" w:sz="4" w:space="0" w:color="000000"/>
              <w:bottom w:val="single" w:sz="4" w:space="0" w:color="000000"/>
            </w:tcBorders>
            <w:vAlign w:val="center"/>
          </w:tcPr>
          <w:p w14:paraId="11D9E89A" w14:textId="77777777" w:rsidR="00E126B4" w:rsidRPr="007E04E8" w:rsidRDefault="00E126B4" w:rsidP="00204C2B">
            <w:pPr>
              <w:snapToGrid w:val="0"/>
              <w:spacing w:after="120" w:line="259" w:lineRule="auto"/>
              <w:rPr>
                <w:sz w:val="16"/>
              </w:rPr>
            </w:pPr>
            <w:r w:rsidRPr="007E04E8">
              <w:rPr>
                <w:bCs/>
                <w:sz w:val="16"/>
              </w:rPr>
              <w:t xml:space="preserve">Coordination request in accordance with Article </w:t>
            </w:r>
            <w:r w:rsidRPr="007E04E8">
              <w:rPr>
                <w:b/>
                <w:sz w:val="16"/>
              </w:rPr>
              <w:t>2A</w:t>
            </w:r>
            <w:r w:rsidRPr="007E04E8">
              <w:rPr>
                <w:bCs/>
                <w:sz w:val="16"/>
              </w:rPr>
              <w:t xml:space="preserve"> of </w:t>
            </w:r>
            <w:r w:rsidRPr="007E04E8">
              <w:rPr>
                <w:sz w:val="16"/>
              </w:rPr>
              <w:t xml:space="preserve">Appendices </w:t>
            </w:r>
            <w:r w:rsidRPr="007E04E8">
              <w:rPr>
                <w:b/>
                <w:bCs/>
                <w:sz w:val="16"/>
              </w:rPr>
              <w:t xml:space="preserve">30 </w:t>
            </w:r>
            <w:r w:rsidRPr="007E04E8">
              <w:rPr>
                <w:sz w:val="16"/>
              </w:rPr>
              <w:t xml:space="preserve">and </w:t>
            </w:r>
            <w:r w:rsidRPr="007E04E8">
              <w:rPr>
                <w:b/>
                <w:bCs/>
                <w:sz w:val="16"/>
              </w:rPr>
              <w:t>30A</w:t>
            </w:r>
            <w:r w:rsidRPr="007E04E8">
              <w:rPr>
                <w:sz w:val="16"/>
              </w:rPr>
              <w:t>.</w:t>
            </w:r>
          </w:p>
        </w:tc>
        <w:tc>
          <w:tcPr>
            <w:tcW w:w="2070" w:type="dxa"/>
            <w:gridSpan w:val="2"/>
            <w:tcBorders>
              <w:top w:val="single" w:sz="4" w:space="0" w:color="000000"/>
              <w:left w:val="single" w:sz="4" w:space="0" w:color="000000"/>
              <w:bottom w:val="single" w:sz="4" w:space="0" w:color="000000"/>
            </w:tcBorders>
            <w:vAlign w:val="center"/>
          </w:tcPr>
          <w:p w14:paraId="6FBD24B3"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4635CF2D" w14:textId="77777777" w:rsidR="00E126B4" w:rsidRPr="007E04E8" w:rsidRDefault="00E126B4" w:rsidP="00204C2B">
            <w:pPr>
              <w:spacing w:after="120" w:line="259" w:lineRule="auto"/>
            </w:pPr>
          </w:p>
        </w:tc>
      </w:tr>
      <w:tr w:rsidR="00E126B4" w:rsidRPr="007E04E8" w14:paraId="23312D46" w14:textId="77777777" w:rsidTr="00204C2B">
        <w:trPr>
          <w:cantSplit/>
          <w:jc w:val="center"/>
        </w:trPr>
        <w:tc>
          <w:tcPr>
            <w:tcW w:w="472" w:type="dxa"/>
            <w:vMerge/>
            <w:tcBorders>
              <w:top w:val="single" w:sz="4" w:space="0" w:color="000000"/>
              <w:left w:val="single" w:sz="4" w:space="0" w:color="000000"/>
              <w:bottom w:val="single" w:sz="4" w:space="0" w:color="000000"/>
            </w:tcBorders>
            <w:vAlign w:val="center"/>
          </w:tcPr>
          <w:p w14:paraId="279DA20A" w14:textId="77777777" w:rsidR="00E126B4" w:rsidRPr="007E04E8" w:rsidRDefault="00E126B4" w:rsidP="00204C2B">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655E1A72" w14:textId="77777777" w:rsidR="00E126B4" w:rsidRPr="007E04E8" w:rsidRDefault="00E126B4" w:rsidP="00204C2B">
            <w:pPr>
              <w:spacing w:after="160" w:line="259" w:lineRule="auto"/>
            </w:pPr>
          </w:p>
        </w:tc>
        <w:tc>
          <w:tcPr>
            <w:tcW w:w="683" w:type="dxa"/>
            <w:tcBorders>
              <w:top w:val="single" w:sz="4" w:space="0" w:color="000000"/>
              <w:left w:val="single" w:sz="4" w:space="0" w:color="000000"/>
              <w:bottom w:val="single" w:sz="4" w:space="0" w:color="000000"/>
            </w:tcBorders>
            <w:vAlign w:val="center"/>
          </w:tcPr>
          <w:p w14:paraId="662965D2" w14:textId="77777777" w:rsidR="00E126B4" w:rsidRPr="007E04E8" w:rsidRDefault="00E126B4" w:rsidP="00204C2B">
            <w:pPr>
              <w:snapToGrid w:val="0"/>
              <w:spacing w:after="120" w:line="259" w:lineRule="auto"/>
              <w:rPr>
                <w:sz w:val="16"/>
              </w:rPr>
            </w:pPr>
            <w:r w:rsidRPr="007E04E8">
              <w:rPr>
                <w:sz w:val="16"/>
              </w:rPr>
              <w:t>P4</w:t>
            </w:r>
          </w:p>
        </w:tc>
        <w:tc>
          <w:tcPr>
            <w:tcW w:w="8580" w:type="dxa"/>
            <w:tcBorders>
              <w:top w:val="single" w:sz="4" w:space="0" w:color="000000"/>
              <w:left w:val="single" w:sz="4" w:space="0" w:color="000000"/>
              <w:bottom w:val="single" w:sz="4" w:space="0" w:color="000000"/>
            </w:tcBorders>
          </w:tcPr>
          <w:p w14:paraId="5D342465" w14:textId="77777777" w:rsidR="00E126B4" w:rsidRPr="007E04E8" w:rsidRDefault="00E126B4" w:rsidP="00204C2B">
            <w:pPr>
              <w:snapToGrid w:val="0"/>
              <w:spacing w:after="120" w:line="259" w:lineRule="auto"/>
              <w:rPr>
                <w:sz w:val="16"/>
              </w:rPr>
            </w:pPr>
            <w:r w:rsidRPr="007E04E8">
              <w:rPr>
                <w:sz w:val="16"/>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7E04E8">
              <w:rPr>
                <w:b/>
                <w:bCs/>
                <w:sz w:val="16"/>
              </w:rPr>
              <w:t>30B</w:t>
            </w:r>
            <w:r w:rsidRPr="007E04E8">
              <w:rPr>
                <w:sz w:val="16"/>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7E04E8">
              <w:rPr>
                <w:b/>
                <w:bCs/>
                <w:sz w:val="16"/>
              </w:rPr>
              <w:t>30B</w:t>
            </w:r>
            <w:r w:rsidRPr="007E04E8">
              <w:rPr>
                <w:sz w:val="18"/>
                <w:szCs w:val="18"/>
                <w:vertAlign w:val="superscript"/>
              </w:rPr>
              <w:t>c)</w:t>
            </w:r>
            <w:r w:rsidRPr="007E04E8">
              <w:rPr>
                <w:sz w:val="16"/>
              </w:rPr>
              <w:t>.</w:t>
            </w:r>
          </w:p>
        </w:tc>
        <w:tc>
          <w:tcPr>
            <w:tcW w:w="2070" w:type="dxa"/>
            <w:gridSpan w:val="2"/>
            <w:tcBorders>
              <w:top w:val="single" w:sz="4" w:space="0" w:color="000000"/>
              <w:left w:val="single" w:sz="4" w:space="0" w:color="000000"/>
              <w:bottom w:val="single" w:sz="4" w:space="0" w:color="000000"/>
            </w:tcBorders>
            <w:vAlign w:val="center"/>
          </w:tcPr>
          <w:p w14:paraId="3465213E"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rPr>
            </w:pPr>
            <w:r w:rsidRPr="007E04E8">
              <w:rPr>
                <w:sz w:val="16"/>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26B9063E" w14:textId="77777777" w:rsidR="00E126B4" w:rsidRPr="007E04E8" w:rsidRDefault="00E126B4" w:rsidP="00204C2B">
            <w:pPr>
              <w:spacing w:after="120" w:line="259" w:lineRule="auto"/>
            </w:pPr>
          </w:p>
        </w:tc>
      </w:tr>
      <w:tr w:rsidR="00E126B4" w:rsidRPr="007E04E8" w14:paraId="5729FF31" w14:textId="77777777" w:rsidTr="00204C2B">
        <w:trPr>
          <w:cantSplit/>
          <w:jc w:val="center"/>
        </w:trPr>
        <w:tc>
          <w:tcPr>
            <w:tcW w:w="472" w:type="dxa"/>
            <w:vMerge/>
            <w:tcBorders>
              <w:top w:val="single" w:sz="4" w:space="0" w:color="000000"/>
              <w:left w:val="single" w:sz="4" w:space="0" w:color="000000"/>
              <w:bottom w:val="single" w:sz="4" w:space="0" w:color="auto"/>
            </w:tcBorders>
            <w:vAlign w:val="center"/>
          </w:tcPr>
          <w:p w14:paraId="30A2AB79" w14:textId="77777777" w:rsidR="00E126B4" w:rsidRPr="007E04E8" w:rsidRDefault="00E126B4" w:rsidP="00204C2B">
            <w:pPr>
              <w:spacing w:after="160" w:line="259" w:lineRule="auto"/>
            </w:pPr>
          </w:p>
        </w:tc>
        <w:tc>
          <w:tcPr>
            <w:tcW w:w="1088" w:type="dxa"/>
            <w:vMerge/>
            <w:tcBorders>
              <w:top w:val="single" w:sz="4" w:space="0" w:color="000000"/>
              <w:left w:val="single" w:sz="4" w:space="0" w:color="000000"/>
              <w:bottom w:val="single" w:sz="4" w:space="0" w:color="auto"/>
            </w:tcBorders>
            <w:vAlign w:val="center"/>
          </w:tcPr>
          <w:p w14:paraId="6B992103" w14:textId="77777777" w:rsidR="00E126B4" w:rsidRPr="007E04E8" w:rsidRDefault="00E126B4" w:rsidP="00204C2B">
            <w:pPr>
              <w:spacing w:after="160" w:line="259" w:lineRule="auto"/>
            </w:pPr>
          </w:p>
        </w:tc>
        <w:tc>
          <w:tcPr>
            <w:tcW w:w="683" w:type="dxa"/>
            <w:tcBorders>
              <w:top w:val="single" w:sz="4" w:space="0" w:color="000000"/>
              <w:left w:val="single" w:sz="4" w:space="0" w:color="000000"/>
              <w:bottom w:val="single" w:sz="4" w:space="0" w:color="auto"/>
            </w:tcBorders>
            <w:vAlign w:val="center"/>
          </w:tcPr>
          <w:p w14:paraId="6C946B0B" w14:textId="77777777" w:rsidR="00E126B4" w:rsidRPr="007E04E8" w:rsidRDefault="00E126B4" w:rsidP="00204C2B">
            <w:pPr>
              <w:snapToGrid w:val="0"/>
              <w:spacing w:after="120" w:line="259" w:lineRule="auto"/>
              <w:rPr>
                <w:sz w:val="16"/>
              </w:rPr>
            </w:pPr>
            <w:r w:rsidRPr="007E04E8">
              <w:rPr>
                <w:sz w:val="16"/>
              </w:rPr>
              <w:t>P5</w:t>
            </w:r>
            <w:r w:rsidRPr="007E04E8">
              <w:rPr>
                <w:sz w:val="18"/>
                <w:szCs w:val="18"/>
                <w:vertAlign w:val="superscript"/>
              </w:rPr>
              <w:t>d)</w:t>
            </w:r>
          </w:p>
        </w:tc>
        <w:tc>
          <w:tcPr>
            <w:tcW w:w="8580" w:type="dxa"/>
            <w:tcBorders>
              <w:top w:val="single" w:sz="4" w:space="0" w:color="000000"/>
              <w:left w:val="single" w:sz="4" w:space="0" w:color="000000"/>
              <w:bottom w:val="single" w:sz="4" w:space="0" w:color="auto"/>
            </w:tcBorders>
          </w:tcPr>
          <w:p w14:paraId="14DB880C" w14:textId="77777777" w:rsidR="00E126B4" w:rsidRPr="007E04E8" w:rsidRDefault="00E126B4" w:rsidP="00204C2B">
            <w:pPr>
              <w:snapToGrid w:val="0"/>
              <w:spacing w:after="120" w:line="259" w:lineRule="auto"/>
              <w:rPr>
                <w:sz w:val="16"/>
              </w:rPr>
            </w:pPr>
            <w:r w:rsidRPr="007E04E8">
              <w:rPr>
                <w:bCs/>
                <w:sz w:val="16"/>
              </w:rPr>
              <w:t xml:space="preserve">Notification for recording in the MIFR of frequency assignments to space stations in the fixed satellite service under Article </w:t>
            </w:r>
            <w:r w:rsidRPr="007E04E8">
              <w:rPr>
                <w:b/>
                <w:sz w:val="16"/>
              </w:rPr>
              <w:t>8</w:t>
            </w:r>
            <w:r w:rsidRPr="007E04E8">
              <w:rPr>
                <w:bCs/>
                <w:sz w:val="16"/>
              </w:rPr>
              <w:t xml:space="preserve"> </w:t>
            </w:r>
            <w:r w:rsidRPr="007E04E8">
              <w:rPr>
                <w:sz w:val="16"/>
              </w:rPr>
              <w:t xml:space="preserve">of Appendix </w:t>
            </w:r>
            <w:r w:rsidRPr="007E04E8">
              <w:rPr>
                <w:b/>
                <w:bCs/>
                <w:sz w:val="16"/>
              </w:rPr>
              <w:t>30B</w:t>
            </w:r>
            <w:r w:rsidRPr="007E04E8">
              <w:rPr>
                <w:sz w:val="16"/>
              </w:rPr>
              <w:t>.</w:t>
            </w:r>
          </w:p>
        </w:tc>
        <w:tc>
          <w:tcPr>
            <w:tcW w:w="2070" w:type="dxa"/>
            <w:gridSpan w:val="2"/>
            <w:tcBorders>
              <w:top w:val="single" w:sz="4" w:space="0" w:color="000000"/>
              <w:left w:val="single" w:sz="4" w:space="0" w:color="000000"/>
              <w:bottom w:val="single" w:sz="4" w:space="0" w:color="auto"/>
            </w:tcBorders>
            <w:vAlign w:val="center"/>
          </w:tcPr>
          <w:p w14:paraId="44FF025C" w14:textId="77777777" w:rsidR="00E126B4" w:rsidRPr="007E04E8" w:rsidRDefault="00E126B4" w:rsidP="00204C2B">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rPr>
            </w:pPr>
            <w:r w:rsidRPr="007E04E8">
              <w:rPr>
                <w:sz w:val="16"/>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060A60A3" w14:textId="77777777" w:rsidR="00E126B4" w:rsidRPr="007E04E8" w:rsidRDefault="00E126B4" w:rsidP="00204C2B">
            <w:pPr>
              <w:spacing w:after="120" w:line="259" w:lineRule="auto"/>
            </w:pPr>
          </w:p>
        </w:tc>
      </w:tr>
    </w:tbl>
    <w:p w14:paraId="012FDA90" w14:textId="77777777" w:rsidR="00E126B4" w:rsidRPr="007E04E8" w:rsidRDefault="00E126B4" w:rsidP="00204C2B">
      <w:pPr>
        <w:tabs>
          <w:tab w:val="left" w:pos="284"/>
        </w:tabs>
        <w:snapToGrid w:val="0"/>
        <w:spacing w:before="240" w:after="160" w:line="259" w:lineRule="auto"/>
        <w:ind w:left="284" w:hanging="284"/>
        <w:rPr>
          <w:rFonts w:cstheme="minorHAnsi"/>
          <w:sz w:val="16"/>
          <w:szCs w:val="16"/>
        </w:rPr>
      </w:pPr>
      <w:r w:rsidRPr="007E04E8">
        <w:rPr>
          <w:rFonts w:cstheme="minorHAnsi"/>
          <w:sz w:val="18"/>
          <w:szCs w:val="18"/>
          <w:vertAlign w:val="superscript"/>
        </w:rPr>
        <w:t>a)</w:t>
      </w:r>
      <w:r w:rsidRPr="007E04E8">
        <w:rPr>
          <w:rFonts w:cstheme="minorHAnsi"/>
          <w:sz w:val="16"/>
          <w:szCs w:val="16"/>
        </w:rPr>
        <w:tab/>
        <w:t>Fees for Categories N1, N2 and N3 are applicable to the first notification of assignments that also contains a request to apply No.</w:t>
      </w:r>
      <w:r w:rsidRPr="007E04E8">
        <w:rPr>
          <w:rFonts w:cstheme="minorHAnsi"/>
          <w:b/>
          <w:sz w:val="16"/>
          <w:szCs w:val="16"/>
        </w:rPr>
        <w:t xml:space="preserve"> 11.32A</w:t>
      </w:r>
      <w:r w:rsidRPr="007E04E8">
        <w:rPr>
          <w:rFonts w:cstheme="minorHAnsi"/>
          <w:sz w:val="16"/>
          <w:szCs w:val="16"/>
        </w:rPr>
        <w:t xml:space="preserve">. If the application of No. </w:t>
      </w:r>
      <w:r w:rsidRPr="007E04E8">
        <w:rPr>
          <w:rFonts w:cstheme="minorHAnsi"/>
          <w:b/>
          <w:sz w:val="16"/>
          <w:szCs w:val="16"/>
        </w:rPr>
        <w:t>11.32A</w:t>
      </w:r>
      <w:r w:rsidRPr="007E04E8">
        <w:rPr>
          <w:rFonts w:cstheme="minorHAnsi"/>
          <w:sz w:val="16"/>
          <w:szCs w:val="16"/>
        </w:rPr>
        <w:t xml:space="preserve"> is not requested, 70% of the indicated fees will apply, with the remaining 30% to be charged to a subsequent request, if any, for application of No.</w:t>
      </w:r>
      <w:r w:rsidRPr="007E04E8">
        <w:rPr>
          <w:rFonts w:cstheme="minorHAnsi"/>
          <w:b/>
          <w:sz w:val="16"/>
          <w:szCs w:val="16"/>
        </w:rPr>
        <w:t xml:space="preserve"> 11.32A</w:t>
      </w:r>
      <w:r w:rsidRPr="007E04E8">
        <w:rPr>
          <w:rFonts w:cstheme="minorHAnsi"/>
          <w:sz w:val="16"/>
          <w:szCs w:val="16"/>
        </w:rPr>
        <w:t xml:space="preserve">. </w:t>
      </w:r>
    </w:p>
    <w:p w14:paraId="23E07F09" w14:textId="77777777" w:rsidR="00E126B4" w:rsidRPr="007E04E8" w:rsidRDefault="00E126B4" w:rsidP="00204C2B">
      <w:pPr>
        <w:tabs>
          <w:tab w:val="left" w:pos="284"/>
        </w:tabs>
        <w:spacing w:before="60" w:after="160" w:line="259" w:lineRule="auto"/>
        <w:ind w:left="284" w:hanging="284"/>
        <w:rPr>
          <w:rFonts w:cstheme="minorHAnsi"/>
          <w:sz w:val="16"/>
          <w:szCs w:val="16"/>
        </w:rPr>
      </w:pPr>
      <w:r w:rsidRPr="007E04E8">
        <w:rPr>
          <w:rFonts w:cstheme="minorHAnsi"/>
          <w:sz w:val="18"/>
          <w:szCs w:val="18"/>
          <w:vertAlign w:val="superscript"/>
        </w:rPr>
        <w:t>b)</w:t>
      </w:r>
      <w:r w:rsidRPr="007E04E8">
        <w:rPr>
          <w:rFonts w:cstheme="minorHAnsi"/>
          <w:sz w:val="16"/>
          <w:szCs w:val="16"/>
        </w:rPr>
        <w:tab/>
        <w:t>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“Flat fee per filing”.</w:t>
      </w:r>
    </w:p>
    <w:p w14:paraId="76764300" w14:textId="77777777" w:rsidR="00E126B4" w:rsidRPr="007E04E8" w:rsidRDefault="00E126B4" w:rsidP="00204C2B">
      <w:pPr>
        <w:tabs>
          <w:tab w:val="left" w:pos="284"/>
        </w:tabs>
        <w:spacing w:before="60" w:after="160" w:line="259" w:lineRule="auto"/>
        <w:ind w:left="284" w:hanging="284"/>
        <w:rPr>
          <w:rFonts w:cstheme="minorHAnsi"/>
          <w:sz w:val="16"/>
          <w:szCs w:val="16"/>
        </w:rPr>
      </w:pPr>
      <w:r w:rsidRPr="007E04E8">
        <w:rPr>
          <w:rFonts w:cstheme="minorHAnsi"/>
          <w:sz w:val="18"/>
          <w:szCs w:val="18"/>
          <w:vertAlign w:val="superscript"/>
        </w:rPr>
        <w:t>c)</w:t>
      </w:r>
      <w:r w:rsidRPr="007E04E8">
        <w:rPr>
          <w:rFonts w:cstheme="minorHAnsi"/>
          <w:sz w:val="16"/>
          <w:szCs w:val="16"/>
        </w:rPr>
        <w:tab/>
        <w:t xml:space="preserve">Fees for a request in accordance with §6.17 of Article 6 of Appendix </w:t>
      </w:r>
      <w:r w:rsidRPr="007E04E8">
        <w:rPr>
          <w:rFonts w:cstheme="minorHAnsi"/>
          <w:b/>
          <w:bCs/>
          <w:sz w:val="16"/>
          <w:szCs w:val="16"/>
        </w:rPr>
        <w:t>30B</w:t>
      </w:r>
      <w:r w:rsidRPr="007E04E8">
        <w:rPr>
          <w:rFonts w:cstheme="minorHAnsi"/>
          <w:sz w:val="16"/>
          <w:szCs w:val="16"/>
          <w:vertAlign w:val="superscript"/>
        </w:rPr>
        <w:t xml:space="preserve"> </w:t>
      </w:r>
      <w:r w:rsidRPr="007E04E8">
        <w:rPr>
          <w:rFonts w:cstheme="minorHAnsi"/>
          <w:sz w:val="16"/>
          <w:szCs w:val="16"/>
        </w:rPr>
        <w:t xml:space="preserve">also contains a possible subsequent request (resubmission) in accordance with §6.25. A request in accordance with §6.17 of Article 6 of Appendix </w:t>
      </w:r>
      <w:r w:rsidRPr="007E04E8">
        <w:rPr>
          <w:rFonts w:cstheme="minorHAnsi"/>
          <w:b/>
          <w:bCs/>
          <w:sz w:val="16"/>
          <w:szCs w:val="16"/>
        </w:rPr>
        <w:t>30B</w:t>
      </w:r>
      <w:r w:rsidRPr="007E04E8">
        <w:rPr>
          <w:rFonts w:cstheme="minorHAnsi"/>
          <w:sz w:val="16"/>
          <w:szCs w:val="16"/>
          <w:vertAlign w:val="superscript"/>
        </w:rPr>
        <w:t xml:space="preserve"> </w:t>
      </w:r>
      <w:r w:rsidRPr="007E04E8">
        <w:rPr>
          <w:rFonts w:cstheme="minorHAnsi"/>
          <w:sz w:val="16"/>
          <w:szCs w:val="16"/>
        </w:rPr>
        <w:t xml:space="preserve">for a submission treated as that under §6.1 in accordance with §7.7 of Article 7 shall not be charged. </w:t>
      </w:r>
    </w:p>
    <w:p w14:paraId="31F54E53" w14:textId="77777777" w:rsidR="00E126B4" w:rsidRPr="007E04E8" w:rsidRDefault="00E126B4" w:rsidP="00204C2B">
      <w:pPr>
        <w:tabs>
          <w:tab w:val="left" w:pos="284"/>
        </w:tabs>
        <w:spacing w:before="60" w:after="160"/>
        <w:ind w:left="284" w:hanging="284"/>
        <w:rPr>
          <w:rFonts w:cstheme="minorHAnsi"/>
          <w:sz w:val="16"/>
          <w:szCs w:val="16"/>
        </w:rPr>
      </w:pPr>
      <w:r w:rsidRPr="007E04E8">
        <w:rPr>
          <w:rFonts w:cstheme="minorHAnsi"/>
          <w:sz w:val="18"/>
          <w:szCs w:val="18"/>
          <w:vertAlign w:val="superscript"/>
        </w:rPr>
        <w:t>d)</w:t>
      </w:r>
      <w:r w:rsidRPr="007E04E8">
        <w:rPr>
          <w:rFonts w:cstheme="minorHAnsi"/>
          <w:sz w:val="16"/>
          <w:szCs w:val="16"/>
        </w:rPr>
        <w:tab/>
        <w:t>For cases of consolidation of frequency assignments in the MIFR of different GSO networks submitted by an administration (or an administration acting on behalf of a group of named administrations) under Article 11 of the Radio Regulations, category N1 shall apply, for cases submitted under Appendices 30 or 30A, category P2 shall apply, and for cases submitted under Appendix 30B, category P5 shall apply.</w:t>
      </w:r>
    </w:p>
    <w:p w14:paraId="2ACA9700" w14:textId="77777777" w:rsidR="00E126B4" w:rsidRPr="007E04E8" w:rsidRDefault="00E126B4" w:rsidP="00204C2B">
      <w:pPr>
        <w:tabs>
          <w:tab w:val="left" w:pos="284"/>
        </w:tabs>
        <w:spacing w:before="60" w:after="160" w:line="259" w:lineRule="auto"/>
        <w:ind w:left="284" w:hanging="284"/>
        <w:rPr>
          <w:rFonts w:cstheme="minorHAnsi"/>
          <w:sz w:val="16"/>
          <w:szCs w:val="16"/>
        </w:rPr>
      </w:pPr>
      <w:r w:rsidRPr="001814F1">
        <w:rPr>
          <w:rFonts w:cstheme="minorHAnsi"/>
          <w:sz w:val="18"/>
          <w:szCs w:val="18"/>
          <w:vertAlign w:val="superscript"/>
        </w:rPr>
        <w:t>e)</w:t>
      </w:r>
      <w:r w:rsidRPr="001814F1">
        <w:rPr>
          <w:rFonts w:cstheme="minorHAnsi"/>
          <w:sz w:val="18"/>
          <w:szCs w:val="18"/>
          <w:vertAlign w:val="superscript"/>
        </w:rPr>
        <w:tab/>
      </w:r>
      <w:r w:rsidRPr="001814F1">
        <w:rPr>
          <w:rFonts w:eastAsia="SimSun" w:cstheme="minorHAnsi"/>
          <w:sz w:val="16"/>
          <w:szCs w:val="16"/>
        </w:rPr>
        <w:t>For non-geostationary satellite networks, the flat fee for categories C1, C2, C3, N1, N2 and N3 is applicable from 100 units to 25 000 units. From 25 000 units to 75 000 units, there is an additional fee per additional unit, equal to the flat fee divided by 50 000. Above 75 000 units, there is no additional fee per additional unit.</w:t>
      </w:r>
    </w:p>
    <w:p w14:paraId="390FB477" w14:textId="77777777" w:rsidR="00E126B4" w:rsidRPr="001814F1" w:rsidRDefault="00E126B4" w:rsidP="00204C2B">
      <w:pPr>
        <w:tabs>
          <w:tab w:val="left" w:pos="284"/>
        </w:tabs>
        <w:rPr>
          <w:rFonts w:cstheme="minorHAnsi"/>
          <w:sz w:val="16"/>
          <w:szCs w:val="16"/>
        </w:rPr>
        <w:sectPr w:rsidR="00E126B4" w:rsidRPr="001814F1" w:rsidSect="00204C2B">
          <w:headerReference w:type="default" r:id="rId39"/>
          <w:headerReference w:type="first" r:id="rId40"/>
          <w:footerReference w:type="first" r:id="rId41"/>
          <w:pgSz w:w="16834" w:h="11907" w:orient="landscape" w:code="9"/>
          <w:pgMar w:top="907" w:right="1418" w:bottom="794" w:left="1418" w:header="567" w:footer="567" w:gutter="0"/>
          <w:cols w:space="720"/>
          <w:titlePg/>
        </w:sectPr>
      </w:pPr>
    </w:p>
    <w:p w14:paraId="2A8B0E6D" w14:textId="77777777" w:rsidR="00E126B4" w:rsidRPr="007E04E8" w:rsidRDefault="00E126B4" w:rsidP="00204C2B">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33B5333B" w14:textId="77777777" w:rsidR="00E126B4" w:rsidRPr="007E04E8" w:rsidRDefault="00E126B4" w:rsidP="00204C2B">
      <w:pPr>
        <w:spacing w:after="120"/>
      </w:pPr>
      <w:r w:rsidRPr="007E04E8">
        <w:t>The category for coordination (C1, C2, C3) and for notification (N1, N2, N3) is related to the number of forms of coordination applicable to a particular satellite network coordination request or notification submission, as follows:</w:t>
      </w:r>
    </w:p>
    <w:p w14:paraId="497B2AC9" w14:textId="77777777" w:rsidR="00E126B4" w:rsidRPr="007E04E8" w:rsidRDefault="00E126B4" w:rsidP="00204C2B">
      <w:pPr>
        <w:spacing w:after="120"/>
        <w:ind w:left="567" w:hanging="567"/>
      </w:pPr>
      <w:r w:rsidRPr="007E04E8">
        <w:t>•</w:t>
      </w:r>
      <w:r w:rsidRPr="007E04E8">
        <w:tab/>
        <w:t xml:space="preserve">C1 and N1 correspond to a satellite network filing referring to only one cost-recovery form of coordination (A, B, C, D, E or F). Both categories also include cases for which no form of coordination applies as a result of </w:t>
      </w:r>
      <w:proofErr w:type="spellStart"/>
      <w:r w:rsidRPr="007E04E8">
        <w:t>unfavourable</w:t>
      </w:r>
      <w:proofErr w:type="spellEnd"/>
      <w:r w:rsidRPr="007E04E8">
        <w:t xml:space="preserve"> finding under No. 11.31 of the Radio Regulations for all frequency assignments of the submitted filing, or cases including frequency assignments published for information only.</w:t>
      </w:r>
    </w:p>
    <w:p w14:paraId="15253E62" w14:textId="77777777" w:rsidR="00E126B4" w:rsidRPr="007E04E8" w:rsidRDefault="00E126B4" w:rsidP="00204C2B">
      <w:pPr>
        <w:spacing w:after="120"/>
        <w:ind w:left="567" w:hanging="567"/>
      </w:pPr>
      <w:r w:rsidRPr="007E04E8">
        <w:t>•</w:t>
      </w:r>
      <w:r w:rsidRPr="007E04E8">
        <w:tab/>
        <w:t>C2 and N2 correspond to a satellite network filing referring to any two or three cost</w:t>
      </w:r>
      <w:r w:rsidRPr="007E04E8">
        <w:noBreakHyphen/>
        <w:t>recovery forms of coordination amongst A, B, C, D, E or F.</w:t>
      </w:r>
    </w:p>
    <w:p w14:paraId="50D6F584" w14:textId="77777777" w:rsidR="00E126B4" w:rsidRPr="007E04E8" w:rsidRDefault="00E126B4" w:rsidP="00204C2B">
      <w:pPr>
        <w:spacing w:after="120"/>
        <w:ind w:left="567" w:hanging="567"/>
      </w:pPr>
      <w:r w:rsidRPr="007E04E8">
        <w:t>•</w:t>
      </w:r>
      <w:r w:rsidRPr="007E04E8">
        <w:tab/>
        <w:t>C3 and N3 correspond to a satellite network filing referring to any four or more cost</w:t>
      </w:r>
      <w:r w:rsidRPr="007E04E8">
        <w:noBreakHyphen/>
        <w:t>recovery forms of coordination amongst A, B, C, D, E or F.</w:t>
      </w:r>
    </w:p>
    <w:p w14:paraId="6195A078" w14:textId="77777777" w:rsidR="00E126B4" w:rsidRPr="007E04E8" w:rsidRDefault="00E126B4" w:rsidP="00204C2B">
      <w:pPr>
        <w:spacing w:before="136" w:after="160" w:line="259" w:lineRule="auto"/>
        <w:jc w:val="center"/>
      </w:pPr>
    </w:p>
    <w:tbl>
      <w:tblPr>
        <w:tblW w:w="0" w:type="auto"/>
        <w:tblInd w:w="108" w:type="dxa"/>
        <w:tblLayout w:type="fixed"/>
        <w:tblLook w:val="0000" w:firstRow="0" w:lastRow="0" w:firstColumn="0" w:lastColumn="0" w:noHBand="0" w:noVBand="0"/>
      </w:tblPr>
      <w:tblGrid>
        <w:gridCol w:w="3969"/>
        <w:gridCol w:w="5539"/>
      </w:tblGrid>
      <w:tr w:rsidR="00E126B4" w:rsidRPr="007E04E8" w14:paraId="705B4B47" w14:textId="77777777" w:rsidTr="00204C2B">
        <w:tc>
          <w:tcPr>
            <w:tcW w:w="3969" w:type="dxa"/>
            <w:tcBorders>
              <w:top w:val="single" w:sz="4" w:space="0" w:color="000000"/>
              <w:left w:val="single" w:sz="4" w:space="0" w:color="000000"/>
              <w:bottom w:val="single" w:sz="4" w:space="0" w:color="000000"/>
            </w:tcBorders>
          </w:tcPr>
          <w:p w14:paraId="4439FB6D" w14:textId="77777777" w:rsidR="00E126B4" w:rsidRPr="007E04E8" w:rsidRDefault="00E126B4" w:rsidP="00204C2B">
            <w:pPr>
              <w:snapToGrid w:val="0"/>
              <w:spacing w:before="136" w:after="160" w:line="259" w:lineRule="auto"/>
              <w:jc w:val="center"/>
              <w:rPr>
                <w:b/>
                <w:bCs/>
              </w:rPr>
            </w:pPr>
            <w:r w:rsidRPr="007E04E8">
              <w:rPr>
                <w:b/>
                <w:bCs/>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7F6F6AA5" w14:textId="77777777" w:rsidR="00E126B4" w:rsidRPr="007E04E8" w:rsidRDefault="00E126B4" w:rsidP="00204C2B">
            <w:pPr>
              <w:snapToGrid w:val="0"/>
              <w:spacing w:before="136" w:after="160" w:line="259" w:lineRule="auto"/>
              <w:jc w:val="center"/>
              <w:rPr>
                <w:b/>
                <w:bCs/>
              </w:rPr>
            </w:pPr>
            <w:r w:rsidRPr="007E04E8">
              <w:rPr>
                <w:b/>
                <w:bCs/>
              </w:rPr>
              <w:t>Individual Radio Regulations forms of coordination</w:t>
            </w:r>
          </w:p>
        </w:tc>
      </w:tr>
      <w:tr w:rsidR="00E126B4" w:rsidRPr="007E04E8" w14:paraId="25F1E31F" w14:textId="77777777" w:rsidTr="00204C2B">
        <w:tc>
          <w:tcPr>
            <w:tcW w:w="3969" w:type="dxa"/>
            <w:tcBorders>
              <w:top w:val="single" w:sz="4" w:space="0" w:color="000000"/>
              <w:left w:val="single" w:sz="4" w:space="0" w:color="000000"/>
              <w:bottom w:val="single" w:sz="4" w:space="0" w:color="000000"/>
            </w:tcBorders>
          </w:tcPr>
          <w:p w14:paraId="7963CF10" w14:textId="77777777" w:rsidR="00E126B4" w:rsidRPr="007E04E8" w:rsidRDefault="00E126B4" w:rsidP="00204C2B">
            <w:pPr>
              <w:snapToGrid w:val="0"/>
              <w:spacing w:before="136" w:after="160" w:line="259" w:lineRule="auto"/>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050B84CA" w14:textId="376EB8CB" w:rsidR="00E126B4" w:rsidRPr="007E04E8" w:rsidRDefault="00E126B4" w:rsidP="00204C2B">
            <w:pPr>
              <w:snapToGrid w:val="0"/>
              <w:spacing w:before="136" w:after="160" w:line="259" w:lineRule="auto"/>
            </w:pPr>
            <w:r w:rsidRPr="007E04E8">
              <w:t>No. 9.7</w:t>
            </w:r>
          </w:p>
        </w:tc>
      </w:tr>
      <w:tr w:rsidR="00E126B4" w:rsidRPr="007E04E8" w14:paraId="71860189" w14:textId="77777777" w:rsidTr="00204C2B">
        <w:tc>
          <w:tcPr>
            <w:tcW w:w="3969" w:type="dxa"/>
            <w:tcBorders>
              <w:top w:val="single" w:sz="4" w:space="0" w:color="000000"/>
              <w:left w:val="single" w:sz="4" w:space="0" w:color="000000"/>
              <w:bottom w:val="single" w:sz="4" w:space="0" w:color="000000"/>
            </w:tcBorders>
          </w:tcPr>
          <w:p w14:paraId="4BA2D668" w14:textId="77777777" w:rsidR="00E126B4" w:rsidRPr="007E04E8" w:rsidRDefault="00E126B4" w:rsidP="00204C2B">
            <w:pPr>
              <w:snapToGrid w:val="0"/>
              <w:spacing w:before="136" w:after="160" w:line="259" w:lineRule="auto"/>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41082BD2" w14:textId="77777777" w:rsidR="00E126B4" w:rsidRPr="007E04E8" w:rsidRDefault="00E126B4" w:rsidP="00204C2B">
            <w:pPr>
              <w:snapToGrid w:val="0"/>
              <w:spacing w:before="136" w:after="160" w:line="259" w:lineRule="auto"/>
            </w:pPr>
            <w:r w:rsidRPr="007E04E8">
              <w:t>AP30 7.1, AP30A 7.1</w:t>
            </w:r>
          </w:p>
        </w:tc>
      </w:tr>
      <w:tr w:rsidR="00E126B4" w:rsidRPr="007E04E8" w14:paraId="4EAB3585" w14:textId="77777777" w:rsidTr="00204C2B">
        <w:tc>
          <w:tcPr>
            <w:tcW w:w="3969" w:type="dxa"/>
            <w:tcBorders>
              <w:top w:val="single" w:sz="4" w:space="0" w:color="000000"/>
              <w:left w:val="single" w:sz="4" w:space="0" w:color="000000"/>
              <w:bottom w:val="single" w:sz="4" w:space="0" w:color="000000"/>
            </w:tcBorders>
          </w:tcPr>
          <w:p w14:paraId="3CF5D457" w14:textId="77777777" w:rsidR="00E126B4" w:rsidRPr="007E04E8" w:rsidRDefault="00E126B4" w:rsidP="00204C2B">
            <w:pPr>
              <w:snapToGrid w:val="0"/>
              <w:spacing w:before="136" w:after="160" w:line="259" w:lineRule="auto"/>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3DDFD2EA" w14:textId="2DB40B27" w:rsidR="00E126B4" w:rsidRPr="007E04E8" w:rsidRDefault="00E126B4" w:rsidP="00204C2B">
            <w:pPr>
              <w:snapToGrid w:val="0"/>
              <w:spacing w:before="136" w:after="160" w:line="259" w:lineRule="auto"/>
            </w:pPr>
            <w:r w:rsidRPr="007E04E8">
              <w:t>No. 9.11, RS539</w:t>
            </w:r>
          </w:p>
        </w:tc>
      </w:tr>
      <w:tr w:rsidR="00E126B4" w:rsidRPr="007E04E8" w14:paraId="79589DA9" w14:textId="77777777" w:rsidTr="00204C2B">
        <w:tc>
          <w:tcPr>
            <w:tcW w:w="3969" w:type="dxa"/>
            <w:tcBorders>
              <w:top w:val="single" w:sz="4" w:space="0" w:color="000000"/>
              <w:left w:val="single" w:sz="4" w:space="0" w:color="000000"/>
              <w:bottom w:val="single" w:sz="4" w:space="0" w:color="000000"/>
            </w:tcBorders>
          </w:tcPr>
          <w:p w14:paraId="19311958" w14:textId="77777777" w:rsidR="00E126B4" w:rsidRPr="007E04E8" w:rsidRDefault="00E126B4" w:rsidP="00204C2B">
            <w:pPr>
              <w:snapToGrid w:val="0"/>
              <w:spacing w:before="136" w:after="160" w:line="259" w:lineRule="auto"/>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0BA5F946" w14:textId="77777777" w:rsidR="00E126B4" w:rsidRPr="007E04E8" w:rsidRDefault="00E126B4" w:rsidP="00204C2B">
            <w:pPr>
              <w:snapToGrid w:val="0"/>
              <w:spacing w:before="136" w:after="160" w:line="259" w:lineRule="auto"/>
            </w:pPr>
            <w:r w:rsidRPr="007E04E8">
              <w:t>Nos. 9.7B, 9.11A, 9.12, 9.12A, 9.13, 9.14</w:t>
            </w:r>
          </w:p>
        </w:tc>
      </w:tr>
      <w:tr w:rsidR="00E126B4" w:rsidRPr="007E04E8" w14:paraId="29F342D4" w14:textId="77777777" w:rsidTr="00204C2B">
        <w:tc>
          <w:tcPr>
            <w:tcW w:w="3969" w:type="dxa"/>
            <w:tcBorders>
              <w:top w:val="single" w:sz="4" w:space="0" w:color="000000"/>
              <w:left w:val="single" w:sz="4" w:space="0" w:color="000000"/>
              <w:bottom w:val="single" w:sz="4" w:space="0" w:color="000000"/>
            </w:tcBorders>
          </w:tcPr>
          <w:p w14:paraId="57A5552E" w14:textId="77777777" w:rsidR="00E126B4" w:rsidRPr="007E04E8" w:rsidRDefault="00E126B4" w:rsidP="00204C2B">
            <w:pPr>
              <w:snapToGrid w:val="0"/>
              <w:spacing w:before="136" w:after="160" w:line="259" w:lineRule="auto"/>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7CC1980E" w14:textId="77777777" w:rsidR="00E126B4" w:rsidRPr="007E04E8" w:rsidRDefault="00E126B4" w:rsidP="00204C2B">
            <w:pPr>
              <w:snapToGrid w:val="0"/>
              <w:spacing w:before="136" w:after="160" w:line="259" w:lineRule="auto"/>
            </w:pPr>
            <w:r w:rsidRPr="007E04E8">
              <w:t>No. 9.7A</w:t>
            </w:r>
            <w:r w:rsidRPr="007E04E8">
              <w:rPr>
                <w:position w:val="6"/>
                <w:sz w:val="18"/>
                <w:szCs w:val="18"/>
              </w:rPr>
              <w:footnoteReference w:id="5"/>
            </w:r>
          </w:p>
        </w:tc>
      </w:tr>
      <w:tr w:rsidR="00E126B4" w:rsidRPr="007E04E8" w14:paraId="1771FED8" w14:textId="77777777" w:rsidTr="00204C2B">
        <w:tc>
          <w:tcPr>
            <w:tcW w:w="3969" w:type="dxa"/>
            <w:tcBorders>
              <w:top w:val="single" w:sz="4" w:space="0" w:color="000000"/>
              <w:left w:val="single" w:sz="4" w:space="0" w:color="000000"/>
              <w:bottom w:val="single" w:sz="4" w:space="0" w:color="000000"/>
            </w:tcBorders>
          </w:tcPr>
          <w:p w14:paraId="74578EA9" w14:textId="77777777" w:rsidR="00E126B4" w:rsidRPr="007E04E8" w:rsidRDefault="00E126B4" w:rsidP="00204C2B">
            <w:pPr>
              <w:snapToGrid w:val="0"/>
              <w:spacing w:before="136" w:after="160" w:line="259" w:lineRule="auto"/>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5E08ECD1" w14:textId="77777777" w:rsidR="00E126B4" w:rsidRPr="007E04E8" w:rsidRDefault="00E126B4" w:rsidP="00204C2B">
            <w:pPr>
              <w:snapToGrid w:val="0"/>
              <w:spacing w:before="136" w:after="160" w:line="259" w:lineRule="auto"/>
            </w:pPr>
            <w:r w:rsidRPr="007E04E8">
              <w:t>No. 9.21</w:t>
            </w:r>
          </w:p>
        </w:tc>
      </w:tr>
    </w:tbl>
    <w:p w14:paraId="0B4A740C" w14:textId="77777777" w:rsidR="00E126B4" w:rsidRPr="00CE0C41" w:rsidRDefault="00E126B4" w:rsidP="00204C2B">
      <w:pPr>
        <w:spacing w:after="120"/>
      </w:pPr>
    </w:p>
    <w:p w14:paraId="4C957F5D" w14:textId="77777777" w:rsidR="00E126B4" w:rsidRPr="00AB3627" w:rsidRDefault="00E126B4" w:rsidP="00204C2B">
      <w:pPr>
        <w:jc w:val="center"/>
        <w:rPr>
          <w:u w:val="single"/>
        </w:rPr>
      </w:pPr>
      <w:r>
        <w:rPr>
          <w:u w:val="single"/>
        </w:rPr>
        <w:t>                                                   </w:t>
      </w:r>
    </w:p>
    <w:p w14:paraId="6C65AFA3" w14:textId="77777777" w:rsidR="008E542A" w:rsidRDefault="008E542A" w:rsidP="00A03504">
      <w:pPr>
        <w:jc w:val="center"/>
        <w:rPr>
          <w:rFonts w:asciiTheme="minorHAnsi" w:hAnsiTheme="minorHAnsi" w:cstheme="minorHAnsi"/>
          <w:b/>
          <w:bCs/>
        </w:rPr>
        <w:sectPr w:rsidR="008E542A" w:rsidSect="00A03504">
          <w:pgSz w:w="11906" w:h="16838" w:code="9"/>
          <w:pgMar w:top="1440" w:right="851" w:bottom="1440" w:left="851" w:header="709" w:footer="709" w:gutter="0"/>
          <w:cols w:space="708"/>
          <w:docGrid w:linePitch="360"/>
        </w:sectPr>
      </w:pPr>
    </w:p>
    <w:p w14:paraId="064C59E3" w14:textId="063019D1" w:rsidR="00BC342B" w:rsidRPr="00A03504" w:rsidRDefault="00BC342B" w:rsidP="00BC342B">
      <w:pPr>
        <w:jc w:val="center"/>
        <w:rPr>
          <w:rFonts w:asciiTheme="minorHAnsi" w:hAnsiTheme="minorHAnsi" w:cstheme="minorHAnsi"/>
          <w:b/>
          <w:bCs/>
          <w:sz w:val="28"/>
          <w:szCs w:val="28"/>
        </w:rPr>
      </w:pPr>
      <w:bookmarkStart w:id="8" w:name="annex4"/>
      <w:bookmarkEnd w:id="8"/>
      <w:r w:rsidRPr="00A03504">
        <w:rPr>
          <w:rFonts w:asciiTheme="minorHAnsi" w:hAnsiTheme="minorHAnsi" w:cstheme="minorHAnsi"/>
          <w:b/>
          <w:bCs/>
          <w:sz w:val="28"/>
          <w:szCs w:val="28"/>
        </w:rPr>
        <w:lastRenderedPageBreak/>
        <w:t xml:space="preserve">ANNEX </w:t>
      </w:r>
      <w:r>
        <w:rPr>
          <w:rFonts w:asciiTheme="minorHAnsi" w:hAnsiTheme="minorHAnsi" w:cstheme="minorHAnsi"/>
          <w:b/>
          <w:bCs/>
          <w:sz w:val="28"/>
          <w:szCs w:val="28"/>
        </w:rPr>
        <w:t>4</w:t>
      </w:r>
    </w:p>
    <w:p w14:paraId="3A210599" w14:textId="287E37FD" w:rsidR="00BC342B" w:rsidRPr="00A03504" w:rsidRDefault="00BC342B" w:rsidP="00BC342B">
      <w:pPr>
        <w:pStyle w:val="AnnexNo"/>
        <w:spacing w:before="240"/>
        <w:jc w:val="left"/>
        <w:rPr>
          <w:i/>
          <w:iCs/>
          <w:sz w:val="22"/>
          <w:szCs w:val="16"/>
        </w:rPr>
      </w:pPr>
      <w:r w:rsidRPr="00A03504">
        <w:rPr>
          <w:i/>
          <w:iCs/>
          <w:caps w:val="0"/>
          <w:sz w:val="22"/>
          <w:szCs w:val="16"/>
        </w:rPr>
        <w:t xml:space="preserve">Reference: </w:t>
      </w:r>
      <w:hyperlink r:id="rId42" w:history="1">
        <w:r w:rsidRPr="00A03504">
          <w:rPr>
            <w:rStyle w:val="Hyperlink"/>
            <w:i/>
            <w:iCs/>
            <w:caps w:val="0"/>
            <w:sz w:val="22"/>
            <w:szCs w:val="16"/>
          </w:rPr>
          <w:t xml:space="preserve">Document </w:t>
        </w:r>
        <w:r>
          <w:rPr>
            <w:rStyle w:val="Hyperlink"/>
            <w:i/>
            <w:iCs/>
            <w:caps w:val="0"/>
            <w:sz w:val="22"/>
            <w:szCs w:val="16"/>
          </w:rPr>
          <w:t>C20/2</w:t>
        </w:r>
      </w:hyperlink>
    </w:p>
    <w:p w14:paraId="140FDF3A" w14:textId="77777777" w:rsidR="008E542A" w:rsidRPr="00455789" w:rsidRDefault="008E542A" w:rsidP="008E542A">
      <w:pPr>
        <w:pStyle w:val="AnnexNo"/>
        <w:spacing w:before="480"/>
        <w:rPr>
          <w:lang w:val="en-US"/>
        </w:rPr>
      </w:pPr>
      <w:r w:rsidRPr="00455789">
        <w:rPr>
          <w:lang w:val="en-US"/>
        </w:rPr>
        <w:t xml:space="preserve">DRAFT DECISION [ </w:t>
      </w:r>
      <w:proofErr w:type="gramStart"/>
      <w:r w:rsidRPr="00455789">
        <w:rPr>
          <w:lang w:val="en-US"/>
        </w:rPr>
        <w:t>... ]</w:t>
      </w:r>
      <w:proofErr w:type="gramEnd"/>
    </w:p>
    <w:p w14:paraId="3FF373D6" w14:textId="77777777" w:rsidR="008E542A" w:rsidRPr="00203DAF" w:rsidRDefault="008E542A" w:rsidP="008E542A">
      <w:pPr>
        <w:pStyle w:val="Annextitle"/>
        <w:rPr>
          <w:lang w:val="en-US"/>
        </w:rPr>
      </w:pPr>
      <w:r w:rsidRPr="00203DAF">
        <w:rPr>
          <w:lang w:val="en-US"/>
        </w:rPr>
        <w:t>Dates and duration of the 2021, 2022</w:t>
      </w:r>
      <w:r>
        <w:rPr>
          <w:lang w:val="en-US"/>
        </w:rPr>
        <w:t>,</w:t>
      </w:r>
      <w:r w:rsidRPr="00203DAF">
        <w:rPr>
          <w:lang w:val="en-US"/>
        </w:rPr>
        <w:t xml:space="preserve"> 2023</w:t>
      </w:r>
      <w:r>
        <w:rPr>
          <w:lang w:val="en-US"/>
        </w:rPr>
        <w:t xml:space="preserve">, 2024, 2025, and 2026 </w:t>
      </w:r>
      <w:r w:rsidRPr="00203DAF">
        <w:rPr>
          <w:lang w:val="en-US"/>
        </w:rPr>
        <w:t>sessions of the Council, along with the clusters of Council Working Groups and Expert Groups</w:t>
      </w:r>
      <w:r>
        <w:rPr>
          <w:lang w:val="en-US"/>
        </w:rPr>
        <w:t xml:space="preserve"> </w:t>
      </w:r>
      <w:r>
        <w:rPr>
          <w:lang w:val="en-US"/>
        </w:rPr>
        <w:br/>
        <w:t>for 2020</w:t>
      </w:r>
      <w:r w:rsidRPr="00203DAF">
        <w:rPr>
          <w:lang w:val="en-US"/>
        </w:rPr>
        <w:t>,</w:t>
      </w:r>
      <w:r>
        <w:rPr>
          <w:lang w:val="en-US"/>
        </w:rPr>
        <w:t xml:space="preserve"> 2021, and 2022</w:t>
      </w:r>
      <w:r w:rsidRPr="00203DAF">
        <w:rPr>
          <w:lang w:val="en-US"/>
        </w:rPr>
        <w:t xml:space="preserve"> </w:t>
      </w:r>
    </w:p>
    <w:p w14:paraId="79AFA252" w14:textId="77777777" w:rsidR="008E542A" w:rsidRPr="00AA3BBA" w:rsidRDefault="008E542A" w:rsidP="008E542A">
      <w:pPr>
        <w:pStyle w:val="Normalaftertitle0"/>
        <w:rPr>
          <w:rFonts w:asciiTheme="minorHAnsi" w:hAnsiTheme="minorHAnsi" w:cstheme="minorHAnsi"/>
          <w:sz w:val="22"/>
          <w:szCs w:val="22"/>
          <w:lang w:val="en-US"/>
        </w:rPr>
      </w:pPr>
      <w:r w:rsidRPr="00AA3BBA">
        <w:rPr>
          <w:rFonts w:asciiTheme="minorHAnsi" w:hAnsiTheme="minorHAnsi" w:cstheme="minorHAnsi"/>
          <w:sz w:val="22"/>
          <w:szCs w:val="22"/>
          <w:lang w:val="en-US"/>
        </w:rPr>
        <w:t>The ITU Council,</w:t>
      </w:r>
    </w:p>
    <w:p w14:paraId="61F30BDD" w14:textId="77777777" w:rsidR="008E542A" w:rsidRPr="00AA3BBA" w:rsidRDefault="008E542A" w:rsidP="008E542A">
      <w:pPr>
        <w:pStyle w:val="call0"/>
        <w:rPr>
          <w:sz w:val="22"/>
          <w:szCs w:val="22"/>
        </w:rPr>
      </w:pPr>
      <w:r w:rsidRPr="00AA3BBA">
        <w:rPr>
          <w:sz w:val="22"/>
          <w:szCs w:val="22"/>
        </w:rPr>
        <w:t>bearing in mind</w:t>
      </w:r>
    </w:p>
    <w:p w14:paraId="441B02AA" w14:textId="77777777" w:rsidR="008E542A" w:rsidRPr="00AA3BBA" w:rsidRDefault="008E542A" w:rsidP="008E542A">
      <w:pPr>
        <w:pStyle w:val="ListParagraph"/>
        <w:numPr>
          <w:ilvl w:val="0"/>
          <w:numId w:val="43"/>
        </w:numPr>
        <w:tabs>
          <w:tab w:val="clear" w:pos="567"/>
          <w:tab w:val="clear" w:pos="1134"/>
          <w:tab w:val="clear" w:pos="1701"/>
          <w:tab w:val="clear" w:pos="2268"/>
          <w:tab w:val="clear" w:pos="2835"/>
        </w:tabs>
        <w:snapToGrid w:val="0"/>
        <w:ind w:left="0" w:firstLine="0"/>
        <w:jc w:val="both"/>
        <w:rPr>
          <w:sz w:val="22"/>
          <w:szCs w:val="22"/>
          <w:lang w:val="en-US"/>
        </w:rPr>
      </w:pPr>
      <w:r w:rsidRPr="00AA3BBA">
        <w:rPr>
          <w:sz w:val="22"/>
          <w:szCs w:val="22"/>
          <w:lang w:val="en-US"/>
        </w:rPr>
        <w:t xml:space="preserve">Resolution 77 (Rev. Dubai, 2018) of the Plenipotentiary Conference, which </w:t>
      </w:r>
      <w:r w:rsidRPr="00AA3BBA">
        <w:rPr>
          <w:i/>
          <w:iCs/>
          <w:sz w:val="22"/>
          <w:szCs w:val="22"/>
          <w:lang w:val="en-US"/>
        </w:rPr>
        <w:t xml:space="preserve">instructs the Council </w:t>
      </w:r>
      <w:r w:rsidRPr="00AA3BBA">
        <w:rPr>
          <w:sz w:val="22"/>
          <w:szCs w:val="22"/>
          <w:lang w:val="en-US"/>
        </w:rPr>
        <w:t>“at each ordinary session, to schedule its next three ordinary sessions in June-July and to review the Council’s schedule on a rolling basis”;</w:t>
      </w:r>
    </w:p>
    <w:p w14:paraId="5B420461" w14:textId="77777777" w:rsidR="008E542A" w:rsidRPr="00AA3BBA" w:rsidRDefault="008E542A" w:rsidP="008E542A">
      <w:pPr>
        <w:pStyle w:val="ListParagraph"/>
        <w:numPr>
          <w:ilvl w:val="0"/>
          <w:numId w:val="43"/>
        </w:numPr>
        <w:tabs>
          <w:tab w:val="clear" w:pos="567"/>
          <w:tab w:val="clear" w:pos="1134"/>
          <w:tab w:val="clear" w:pos="1701"/>
          <w:tab w:val="clear" w:pos="2268"/>
          <w:tab w:val="clear" w:pos="2835"/>
        </w:tabs>
        <w:snapToGrid w:val="0"/>
        <w:ind w:left="0" w:firstLine="0"/>
        <w:jc w:val="both"/>
        <w:rPr>
          <w:sz w:val="22"/>
          <w:szCs w:val="22"/>
          <w:lang w:val="en-US"/>
        </w:rPr>
      </w:pPr>
      <w:r w:rsidRPr="00AA3BBA">
        <w:rPr>
          <w:sz w:val="22"/>
          <w:szCs w:val="22"/>
          <w:lang w:val="en-US"/>
        </w:rPr>
        <w:t xml:space="preserve">Resolution 111 (Rev. Busan, 2014) of the Plenipotentiary Conference, which </w:t>
      </w:r>
      <w:r w:rsidRPr="00AA3BBA">
        <w:rPr>
          <w:i/>
          <w:iCs/>
          <w:sz w:val="22"/>
          <w:szCs w:val="22"/>
          <w:lang w:val="en-US"/>
        </w:rPr>
        <w:t>resolves</w:t>
      </w:r>
      <w:r w:rsidRPr="00AA3BBA">
        <w:rPr>
          <w:sz w:val="22"/>
          <w:szCs w:val="22"/>
          <w:lang w:val="en-US"/>
        </w:rPr>
        <w:t xml:space="preserve"> “that the Union and the Member States of the Council should make every effort, as far as practicable, in order that the planned period of any Council session not be scheduled during a period which is considered a major religious period by a Member State of the Council”;</w:t>
      </w:r>
    </w:p>
    <w:p w14:paraId="0EAEE82A" w14:textId="77777777" w:rsidR="008E542A" w:rsidRPr="00AA3BBA" w:rsidRDefault="008E542A" w:rsidP="008E542A">
      <w:pPr>
        <w:pStyle w:val="ListParagraph"/>
        <w:numPr>
          <w:ilvl w:val="0"/>
          <w:numId w:val="43"/>
        </w:numPr>
        <w:tabs>
          <w:tab w:val="clear" w:pos="567"/>
          <w:tab w:val="clear" w:pos="1134"/>
          <w:tab w:val="clear" w:pos="1701"/>
          <w:tab w:val="clear" w:pos="2268"/>
          <w:tab w:val="clear" w:pos="2835"/>
        </w:tabs>
        <w:snapToGrid w:val="0"/>
        <w:ind w:left="0" w:firstLine="0"/>
        <w:jc w:val="both"/>
        <w:rPr>
          <w:sz w:val="22"/>
          <w:szCs w:val="22"/>
          <w:lang w:val="en-US"/>
        </w:rPr>
      </w:pPr>
      <w:r w:rsidRPr="00AA3BBA">
        <w:rPr>
          <w:sz w:val="22"/>
          <w:szCs w:val="22"/>
        </w:rPr>
        <w:t>Decision 619 on Headquarters Premises adopted at the additional 2019 session of the Council,</w:t>
      </w:r>
    </w:p>
    <w:p w14:paraId="670D4E73" w14:textId="77777777" w:rsidR="008E542A" w:rsidRPr="00AA3BBA" w:rsidRDefault="008E542A" w:rsidP="008E542A">
      <w:pPr>
        <w:pStyle w:val="call0"/>
        <w:jc w:val="both"/>
        <w:rPr>
          <w:sz w:val="22"/>
          <w:szCs w:val="22"/>
          <w:lang w:val="en-US"/>
        </w:rPr>
      </w:pPr>
      <w:r w:rsidRPr="00AA3BBA">
        <w:rPr>
          <w:sz w:val="22"/>
          <w:szCs w:val="22"/>
          <w:lang w:val="en-US"/>
        </w:rPr>
        <w:t>recalling</w:t>
      </w:r>
    </w:p>
    <w:p w14:paraId="04877EA7" w14:textId="77777777" w:rsidR="008E542A" w:rsidRPr="00AA3BBA" w:rsidRDefault="008E542A" w:rsidP="008E542A">
      <w:r w:rsidRPr="00AA3BBA">
        <w:t>Council Decision 612 confirming the dates for the 2021 and 2022 sessions of the Council,</w:t>
      </w:r>
    </w:p>
    <w:p w14:paraId="5D127D38" w14:textId="77777777" w:rsidR="008E542A" w:rsidRPr="00AA3BBA" w:rsidRDefault="008E542A" w:rsidP="008E542A">
      <w:pPr>
        <w:pStyle w:val="call0"/>
        <w:jc w:val="both"/>
        <w:rPr>
          <w:sz w:val="22"/>
          <w:szCs w:val="22"/>
          <w:lang w:val="en-US"/>
        </w:rPr>
      </w:pPr>
      <w:r w:rsidRPr="00AA3BBA">
        <w:rPr>
          <w:sz w:val="22"/>
          <w:szCs w:val="22"/>
          <w:lang w:val="en-US"/>
        </w:rPr>
        <w:t>considering</w:t>
      </w:r>
    </w:p>
    <w:p w14:paraId="295AC229" w14:textId="77777777" w:rsidR="008E542A" w:rsidRPr="00AA3BBA" w:rsidRDefault="008E542A" w:rsidP="008E542A">
      <w:pPr>
        <w:snapToGrid w:val="0"/>
      </w:pPr>
      <w:r w:rsidRPr="00AA3BBA">
        <w:t>the need to schedule ordinary sessions of the Council as much as possible around the same time frame each year in order to facilitate the arrangement of other ITU events,</w:t>
      </w:r>
    </w:p>
    <w:p w14:paraId="19D75931" w14:textId="77777777" w:rsidR="008E542A" w:rsidRPr="00AA3BBA" w:rsidRDefault="008E542A" w:rsidP="008E542A">
      <w:pPr>
        <w:pStyle w:val="call0"/>
        <w:jc w:val="both"/>
        <w:rPr>
          <w:sz w:val="22"/>
          <w:szCs w:val="22"/>
          <w:lang w:val="en-US"/>
        </w:rPr>
      </w:pPr>
      <w:r w:rsidRPr="00AA3BBA">
        <w:rPr>
          <w:sz w:val="22"/>
          <w:szCs w:val="22"/>
          <w:lang w:val="en-US"/>
        </w:rPr>
        <w:t>considering further</w:t>
      </w:r>
    </w:p>
    <w:p w14:paraId="75856C69" w14:textId="77777777" w:rsidR="008E542A" w:rsidRPr="00AA3BBA" w:rsidRDefault="008E542A" w:rsidP="008E542A">
      <w:pPr>
        <w:snapToGrid w:val="0"/>
      </w:pPr>
      <w:r w:rsidRPr="00AA3BBA">
        <w:t>the need to organize the ordinary session of the Council within a Plenipotentiary Conference (PP) year early enough so to allow Council reports to be further considered at PP to be published in a reasonable time frame,</w:t>
      </w:r>
    </w:p>
    <w:p w14:paraId="1A9D0084" w14:textId="77777777" w:rsidR="008E542A" w:rsidRPr="00AA3BBA" w:rsidRDefault="008E542A" w:rsidP="008E542A">
      <w:pPr>
        <w:pStyle w:val="call0"/>
        <w:jc w:val="both"/>
        <w:rPr>
          <w:sz w:val="22"/>
          <w:szCs w:val="22"/>
          <w:lang w:val="en-US"/>
        </w:rPr>
      </w:pPr>
      <w:r w:rsidRPr="00AA3BBA">
        <w:rPr>
          <w:sz w:val="22"/>
          <w:szCs w:val="22"/>
          <w:lang w:val="en-US"/>
        </w:rPr>
        <w:t>emphasizing</w:t>
      </w:r>
    </w:p>
    <w:p w14:paraId="142991E9" w14:textId="77777777" w:rsidR="008E542A" w:rsidRPr="00AA3BBA" w:rsidRDefault="008E542A" w:rsidP="008E542A">
      <w:pPr>
        <w:snapToGrid w:val="0"/>
      </w:pPr>
      <w:r w:rsidRPr="00AA3BBA">
        <w:t>that scheduling the clusters of Council Working Groups and Expert Groups (CWGs &amp; EGs), over the next three years, would not only improve the overall planning of ITU events, but also reduce the risk of overlapping,</w:t>
      </w:r>
    </w:p>
    <w:p w14:paraId="19CF55D6" w14:textId="77777777" w:rsidR="008E542A" w:rsidRPr="00AA3BBA" w:rsidRDefault="008E542A" w:rsidP="008E542A">
      <w:pPr>
        <w:snapToGrid w:val="0"/>
        <w:ind w:firstLine="437"/>
        <w:rPr>
          <w:i/>
        </w:rPr>
      </w:pPr>
      <w:r w:rsidRPr="00AA3BBA">
        <w:rPr>
          <w:i/>
        </w:rPr>
        <w:t>acknowledging</w:t>
      </w:r>
    </w:p>
    <w:p w14:paraId="421CC371" w14:textId="77777777" w:rsidR="008E542A" w:rsidRPr="00AA3BBA" w:rsidRDefault="008E542A" w:rsidP="008E542A">
      <w:pPr>
        <w:snapToGrid w:val="0"/>
      </w:pPr>
      <w:r w:rsidRPr="00AA3BBA">
        <w:t xml:space="preserve">the need to </w:t>
      </w:r>
      <w:r w:rsidRPr="00AA3BBA">
        <w:rPr>
          <w:rFonts w:asciiTheme="minorHAnsi" w:hAnsiTheme="minorHAnsi" w:cstheme="minorHAnsi"/>
        </w:rPr>
        <w:t xml:space="preserve">address the need for temporary conference and meeting facilities during the demolition and early construction phase of the project by producing a list of the needs, including dates of conferences and meetings during this period, </w:t>
      </w:r>
    </w:p>
    <w:p w14:paraId="64829194" w14:textId="77777777" w:rsidR="008E542A" w:rsidRPr="00AA3BBA" w:rsidRDefault="008E542A" w:rsidP="008E542A">
      <w:pPr>
        <w:pStyle w:val="call0"/>
        <w:jc w:val="both"/>
        <w:rPr>
          <w:sz w:val="22"/>
          <w:szCs w:val="22"/>
          <w:lang w:val="en-US"/>
        </w:rPr>
      </w:pPr>
      <w:r w:rsidRPr="00AA3BBA">
        <w:rPr>
          <w:sz w:val="22"/>
          <w:szCs w:val="22"/>
          <w:lang w:val="en-US"/>
        </w:rPr>
        <w:t>decides</w:t>
      </w:r>
    </w:p>
    <w:p w14:paraId="0017B835" w14:textId="651FC7CF" w:rsidR="008E542A" w:rsidRPr="00AA3BBA" w:rsidRDefault="008E542A" w:rsidP="008E542A">
      <w:pPr>
        <w:tabs>
          <w:tab w:val="left" w:pos="426"/>
        </w:tabs>
        <w:rPr>
          <w:rFonts w:asciiTheme="minorHAnsi" w:hAnsiTheme="minorHAnsi"/>
          <w:snapToGrid w:val="0"/>
        </w:rPr>
      </w:pPr>
      <w:r w:rsidRPr="00AA3BBA">
        <w:rPr>
          <w:rFonts w:asciiTheme="minorHAnsi" w:hAnsiTheme="minorHAnsi"/>
          <w:snapToGrid w:val="0"/>
        </w:rPr>
        <w:t>1</w:t>
      </w:r>
      <w:r w:rsidRPr="00AA3BBA">
        <w:rPr>
          <w:rFonts w:asciiTheme="minorHAnsi" w:hAnsiTheme="minorHAnsi"/>
          <w:snapToGrid w:val="0"/>
        </w:rPr>
        <w:tab/>
        <w:t>that in 2020, the second cluster of CWGs &amp; EGs will be held from Monday, 14 September to Friday, 25</w:t>
      </w:r>
      <w:r w:rsidR="00AA3BBA">
        <w:rPr>
          <w:rFonts w:asciiTheme="minorHAnsi" w:hAnsiTheme="minorHAnsi"/>
          <w:snapToGrid w:val="0"/>
        </w:rPr>
        <w:t> </w:t>
      </w:r>
      <w:r w:rsidRPr="00AA3BBA">
        <w:rPr>
          <w:rFonts w:asciiTheme="minorHAnsi" w:hAnsiTheme="minorHAnsi"/>
          <w:snapToGrid w:val="0"/>
        </w:rPr>
        <w:t>September 2020;</w:t>
      </w:r>
    </w:p>
    <w:p w14:paraId="290269C6" w14:textId="77777777" w:rsidR="008E542A" w:rsidRPr="00AA3BBA" w:rsidRDefault="008E542A" w:rsidP="008E542A">
      <w:pPr>
        <w:tabs>
          <w:tab w:val="left" w:pos="426"/>
        </w:tabs>
        <w:rPr>
          <w:rFonts w:asciiTheme="minorHAnsi" w:hAnsiTheme="minorHAnsi"/>
          <w:snapToGrid w:val="0"/>
        </w:rPr>
      </w:pPr>
      <w:r w:rsidRPr="00AA3BBA">
        <w:rPr>
          <w:snapToGrid w:val="0"/>
        </w:rPr>
        <w:lastRenderedPageBreak/>
        <w:t>2</w:t>
      </w:r>
      <w:r w:rsidRPr="00AA3BBA">
        <w:rPr>
          <w:snapToGrid w:val="0"/>
        </w:rPr>
        <w:tab/>
        <w:t xml:space="preserve">that the 2021 session of the Council will open in Geneva for a period of nine working days </w:t>
      </w:r>
      <w:r w:rsidRPr="00AA3BBA">
        <w:rPr>
          <w:rFonts w:asciiTheme="minorHAnsi" w:hAnsiTheme="minorHAnsi"/>
          <w:snapToGrid w:val="0"/>
        </w:rPr>
        <w:t>and will hold its clusters of CWGs &amp; EGs as follows:</w:t>
      </w:r>
    </w:p>
    <w:p w14:paraId="5CA0A453" w14:textId="77777777" w:rsidR="008E542A" w:rsidRPr="00AA3BBA" w:rsidRDefault="008E542A" w:rsidP="008E542A">
      <w:pPr>
        <w:pStyle w:val="ListParagraph"/>
        <w:numPr>
          <w:ilvl w:val="0"/>
          <w:numId w:val="44"/>
        </w:numPr>
        <w:tabs>
          <w:tab w:val="clear" w:pos="567"/>
          <w:tab w:val="left" w:pos="426"/>
        </w:tabs>
        <w:contextualSpacing/>
        <w:jc w:val="both"/>
        <w:rPr>
          <w:snapToGrid w:val="0"/>
          <w:sz w:val="22"/>
          <w:szCs w:val="22"/>
        </w:rPr>
      </w:pPr>
      <w:r w:rsidRPr="00AA3BBA">
        <w:rPr>
          <w:rFonts w:asciiTheme="minorHAnsi" w:hAnsiTheme="minorHAnsi"/>
          <w:snapToGrid w:val="0"/>
          <w:sz w:val="22"/>
          <w:szCs w:val="22"/>
        </w:rPr>
        <w:t>First cluster of CWGs &amp; EGs: from Monday, 25 January to Friday, 5 February 2021</w:t>
      </w:r>
    </w:p>
    <w:p w14:paraId="19CCF200" w14:textId="77777777" w:rsidR="008E542A" w:rsidRPr="00AA3BBA" w:rsidRDefault="008E542A" w:rsidP="008E542A">
      <w:pPr>
        <w:pStyle w:val="ListParagraph"/>
        <w:numPr>
          <w:ilvl w:val="0"/>
          <w:numId w:val="44"/>
        </w:numPr>
        <w:tabs>
          <w:tab w:val="clear" w:pos="567"/>
          <w:tab w:val="clear" w:pos="1134"/>
        </w:tabs>
        <w:contextualSpacing/>
        <w:jc w:val="both"/>
        <w:rPr>
          <w:snapToGrid w:val="0"/>
          <w:sz w:val="22"/>
          <w:szCs w:val="22"/>
        </w:rPr>
      </w:pPr>
      <w:r w:rsidRPr="00AA3BBA">
        <w:rPr>
          <w:rFonts w:asciiTheme="minorHAnsi" w:hAnsiTheme="minorHAnsi"/>
          <w:b/>
          <w:bCs/>
          <w:snapToGrid w:val="0"/>
          <w:sz w:val="22"/>
          <w:szCs w:val="22"/>
        </w:rPr>
        <w:t xml:space="preserve">Council-21: </w:t>
      </w:r>
      <w:r w:rsidRPr="00AA3BBA">
        <w:rPr>
          <w:b/>
          <w:bCs/>
          <w:snapToGrid w:val="0"/>
          <w:sz w:val="22"/>
          <w:szCs w:val="22"/>
          <w:lang w:val="en-US"/>
        </w:rPr>
        <w:t>from</w:t>
      </w:r>
      <w:r w:rsidRPr="00AA3BBA">
        <w:rPr>
          <w:snapToGrid w:val="0"/>
          <w:sz w:val="22"/>
          <w:szCs w:val="22"/>
          <w:lang w:val="en-US"/>
        </w:rPr>
        <w:t xml:space="preserve"> </w:t>
      </w:r>
      <w:r w:rsidRPr="00AA3BBA">
        <w:rPr>
          <w:rFonts w:asciiTheme="minorHAnsi" w:hAnsiTheme="minorHAnsi"/>
          <w:b/>
          <w:bCs/>
          <w:snapToGrid w:val="0"/>
          <w:sz w:val="22"/>
          <w:szCs w:val="22"/>
        </w:rPr>
        <w:t>Tuesday, 8 June to Friday, 18 June 2021</w:t>
      </w:r>
    </w:p>
    <w:p w14:paraId="666CA86A" w14:textId="77777777" w:rsidR="008E542A" w:rsidRPr="00AA3BBA" w:rsidRDefault="008E542A" w:rsidP="008E542A">
      <w:pPr>
        <w:pStyle w:val="ListParagraph"/>
        <w:numPr>
          <w:ilvl w:val="0"/>
          <w:numId w:val="44"/>
        </w:numPr>
        <w:tabs>
          <w:tab w:val="clear" w:pos="567"/>
          <w:tab w:val="clear" w:pos="1134"/>
        </w:tabs>
        <w:contextualSpacing/>
        <w:jc w:val="both"/>
        <w:rPr>
          <w:rFonts w:asciiTheme="minorHAnsi" w:hAnsiTheme="minorHAnsi"/>
          <w:snapToGrid w:val="0"/>
          <w:sz w:val="22"/>
          <w:szCs w:val="22"/>
        </w:rPr>
      </w:pPr>
      <w:bookmarkStart w:id="9" w:name="_Hlk38552166"/>
      <w:r w:rsidRPr="00AA3BBA">
        <w:rPr>
          <w:rFonts w:asciiTheme="minorHAnsi" w:hAnsiTheme="minorHAnsi"/>
          <w:snapToGrid w:val="0"/>
          <w:sz w:val="22"/>
          <w:szCs w:val="22"/>
        </w:rPr>
        <w:t xml:space="preserve">Second cluster of CWGs &amp; EGs: from Monday, 20 September to Friday, 1 October </w:t>
      </w:r>
      <w:proofErr w:type="gramStart"/>
      <w:r w:rsidRPr="00AA3BBA">
        <w:rPr>
          <w:rFonts w:asciiTheme="minorHAnsi" w:hAnsiTheme="minorHAnsi"/>
          <w:snapToGrid w:val="0"/>
          <w:sz w:val="22"/>
          <w:szCs w:val="22"/>
        </w:rPr>
        <w:t>2021;</w:t>
      </w:r>
      <w:proofErr w:type="gramEnd"/>
    </w:p>
    <w:bookmarkEnd w:id="9"/>
    <w:p w14:paraId="7185D01C" w14:textId="77777777" w:rsidR="008E542A" w:rsidRPr="00AA3BBA" w:rsidRDefault="008E542A" w:rsidP="008E542A">
      <w:pPr>
        <w:keepNext/>
        <w:keepLines/>
        <w:tabs>
          <w:tab w:val="left" w:pos="426"/>
        </w:tabs>
        <w:rPr>
          <w:rFonts w:asciiTheme="minorHAnsi" w:hAnsiTheme="minorHAnsi"/>
          <w:snapToGrid w:val="0"/>
        </w:rPr>
      </w:pPr>
      <w:r w:rsidRPr="00AA3BBA">
        <w:rPr>
          <w:snapToGrid w:val="0"/>
          <w:spacing w:val="-4"/>
        </w:rPr>
        <w:t>3</w:t>
      </w:r>
      <w:r w:rsidRPr="00AA3BBA">
        <w:rPr>
          <w:snapToGrid w:val="0"/>
          <w:spacing w:val="-4"/>
        </w:rPr>
        <w:tab/>
        <w:t>that the 2022 ordinary session of the Council will open in Geneva for a period of nine working days,</w:t>
      </w:r>
      <w:r w:rsidRPr="00AA3BBA">
        <w:rPr>
          <w:rFonts w:asciiTheme="minorHAnsi" w:hAnsiTheme="minorHAnsi"/>
          <w:snapToGrid w:val="0"/>
        </w:rPr>
        <w:t xml:space="preserve"> and will hold its cluster of CWGs &amp; EGs as follows:</w:t>
      </w:r>
    </w:p>
    <w:p w14:paraId="358DA7B3" w14:textId="77777777" w:rsidR="008E542A" w:rsidRPr="00AA3BBA" w:rsidRDefault="008E542A" w:rsidP="008E542A">
      <w:pPr>
        <w:pStyle w:val="ListParagraph"/>
        <w:keepNext/>
        <w:keepLines/>
        <w:numPr>
          <w:ilvl w:val="0"/>
          <w:numId w:val="44"/>
        </w:numPr>
        <w:tabs>
          <w:tab w:val="clear" w:pos="567"/>
          <w:tab w:val="clear" w:pos="1134"/>
        </w:tabs>
        <w:contextualSpacing/>
        <w:jc w:val="both"/>
        <w:rPr>
          <w:rFonts w:asciiTheme="minorHAnsi" w:hAnsiTheme="minorHAnsi"/>
          <w:b/>
          <w:bCs/>
          <w:snapToGrid w:val="0"/>
          <w:sz w:val="22"/>
          <w:szCs w:val="22"/>
        </w:rPr>
      </w:pPr>
      <w:r w:rsidRPr="00AA3BBA">
        <w:rPr>
          <w:snapToGrid w:val="0"/>
          <w:spacing w:val="-4"/>
          <w:sz w:val="22"/>
          <w:szCs w:val="22"/>
          <w:lang w:val="en-US"/>
        </w:rPr>
        <w:t>Cluster of CWGs &amp; EGs: from Monday, 10 January to Friday, 21 January 2022</w:t>
      </w:r>
    </w:p>
    <w:p w14:paraId="16675CAA" w14:textId="77777777" w:rsidR="008E542A" w:rsidRPr="00AA3BBA" w:rsidRDefault="008E542A" w:rsidP="008E542A">
      <w:pPr>
        <w:pStyle w:val="ListParagraph"/>
        <w:keepNext/>
        <w:keepLines/>
        <w:numPr>
          <w:ilvl w:val="0"/>
          <w:numId w:val="44"/>
        </w:numPr>
        <w:tabs>
          <w:tab w:val="clear" w:pos="567"/>
        </w:tabs>
        <w:contextualSpacing/>
        <w:jc w:val="both"/>
        <w:rPr>
          <w:rFonts w:asciiTheme="minorHAnsi" w:hAnsiTheme="minorHAnsi"/>
          <w:snapToGrid w:val="0"/>
          <w:sz w:val="22"/>
          <w:szCs w:val="22"/>
        </w:rPr>
      </w:pPr>
      <w:r w:rsidRPr="00AA3BBA">
        <w:rPr>
          <w:b/>
          <w:bCs/>
          <w:snapToGrid w:val="0"/>
          <w:spacing w:val="-4"/>
          <w:sz w:val="22"/>
          <w:szCs w:val="22"/>
        </w:rPr>
        <w:t xml:space="preserve">Council-22: </w:t>
      </w:r>
      <w:r w:rsidRPr="00AA3BBA">
        <w:rPr>
          <w:b/>
          <w:bCs/>
          <w:snapToGrid w:val="0"/>
          <w:spacing w:val="-4"/>
          <w:sz w:val="22"/>
          <w:szCs w:val="22"/>
          <w:lang w:val="en-US"/>
        </w:rPr>
        <w:t>from</w:t>
      </w:r>
      <w:r w:rsidRPr="00AA3BBA">
        <w:rPr>
          <w:snapToGrid w:val="0"/>
          <w:sz w:val="22"/>
          <w:szCs w:val="22"/>
          <w:lang w:val="en-US"/>
        </w:rPr>
        <w:t xml:space="preserve"> </w:t>
      </w:r>
      <w:r w:rsidRPr="00AA3BBA">
        <w:rPr>
          <w:b/>
          <w:bCs/>
          <w:snapToGrid w:val="0"/>
          <w:sz w:val="22"/>
          <w:szCs w:val="22"/>
          <w:lang w:val="en-US"/>
        </w:rPr>
        <w:t>Tuesday</w:t>
      </w:r>
      <w:r w:rsidRPr="00AA3BBA">
        <w:rPr>
          <w:rFonts w:asciiTheme="minorHAnsi" w:hAnsiTheme="minorHAnsi"/>
          <w:b/>
          <w:bCs/>
          <w:snapToGrid w:val="0"/>
          <w:sz w:val="22"/>
          <w:szCs w:val="22"/>
          <w:lang w:val="en-US"/>
        </w:rPr>
        <w:t>, 22 March to Friday, 1 April 2022</w:t>
      </w:r>
      <w:r w:rsidRPr="00AA3BBA">
        <w:rPr>
          <w:rFonts w:asciiTheme="minorHAnsi" w:hAnsiTheme="minorHAnsi"/>
          <w:snapToGrid w:val="0"/>
          <w:sz w:val="22"/>
          <w:szCs w:val="22"/>
          <w:lang w:val="en-US"/>
        </w:rPr>
        <w:t>,</w:t>
      </w:r>
      <w:r w:rsidRPr="00AA3BBA">
        <w:rPr>
          <w:rFonts w:asciiTheme="minorHAnsi" w:hAnsiTheme="minorHAnsi"/>
          <w:b/>
          <w:bCs/>
          <w:snapToGrid w:val="0"/>
          <w:sz w:val="22"/>
          <w:szCs w:val="22"/>
          <w:lang w:val="en-US"/>
        </w:rPr>
        <w:t xml:space="preserve"> </w:t>
      </w:r>
      <w:r w:rsidRPr="00AA3BBA">
        <w:rPr>
          <w:rFonts w:asciiTheme="minorHAnsi" w:hAnsiTheme="minorHAnsi"/>
          <w:snapToGrid w:val="0"/>
          <w:sz w:val="22"/>
          <w:szCs w:val="22"/>
          <w:lang w:val="en-US"/>
        </w:rPr>
        <w:t>and</w:t>
      </w:r>
      <w:r w:rsidRPr="00AA3BBA">
        <w:rPr>
          <w:rFonts w:asciiTheme="minorHAnsi" w:hAnsiTheme="minorHAnsi"/>
          <w:b/>
          <w:bCs/>
          <w:snapToGrid w:val="0"/>
          <w:sz w:val="22"/>
          <w:szCs w:val="22"/>
          <w:lang w:val="en-US"/>
        </w:rPr>
        <w:t xml:space="preserve"> </w:t>
      </w:r>
      <w:r w:rsidRPr="00AA3BBA">
        <w:rPr>
          <w:rFonts w:asciiTheme="minorHAnsi" w:hAnsiTheme="minorHAnsi"/>
          <w:snapToGrid w:val="0"/>
          <w:sz w:val="22"/>
          <w:szCs w:val="22"/>
          <w:lang w:val="en-US"/>
        </w:rPr>
        <w:t xml:space="preserve">shall have its final meeting on the Saturday before the start of the 2022 Plenipotentiary </w:t>
      </w:r>
      <w:proofErr w:type="gramStart"/>
      <w:r w:rsidRPr="00AA3BBA">
        <w:rPr>
          <w:rFonts w:asciiTheme="minorHAnsi" w:hAnsiTheme="minorHAnsi"/>
          <w:snapToGrid w:val="0"/>
          <w:sz w:val="22"/>
          <w:szCs w:val="22"/>
          <w:lang w:val="en-US"/>
        </w:rPr>
        <w:t>Conference;</w:t>
      </w:r>
      <w:proofErr w:type="gramEnd"/>
    </w:p>
    <w:p w14:paraId="165AA90C" w14:textId="77777777" w:rsidR="008E542A" w:rsidRPr="00AA3BBA" w:rsidRDefault="008E542A" w:rsidP="008E542A">
      <w:pPr>
        <w:tabs>
          <w:tab w:val="left" w:pos="426"/>
        </w:tabs>
        <w:rPr>
          <w:rFonts w:asciiTheme="minorHAnsi" w:hAnsiTheme="minorHAnsi"/>
          <w:snapToGrid w:val="0"/>
        </w:rPr>
      </w:pPr>
      <w:r w:rsidRPr="00AA3BBA">
        <w:rPr>
          <w:snapToGrid w:val="0"/>
        </w:rPr>
        <w:t>4</w:t>
      </w:r>
      <w:r w:rsidRPr="00AA3BBA">
        <w:rPr>
          <w:snapToGrid w:val="0"/>
        </w:rPr>
        <w:tab/>
        <w:t xml:space="preserve">that the 2023 session of the Council will open in Geneva for a period of nine working days, </w:t>
      </w:r>
      <w:r w:rsidRPr="00AA3BBA">
        <w:rPr>
          <w:rFonts w:asciiTheme="minorHAnsi" w:hAnsiTheme="minorHAnsi"/>
          <w:snapToGrid w:val="0"/>
        </w:rPr>
        <w:t>as follows:</w:t>
      </w:r>
    </w:p>
    <w:p w14:paraId="2F13E92F" w14:textId="77777777" w:rsidR="008E542A" w:rsidRPr="00AA3BBA" w:rsidRDefault="008E542A" w:rsidP="008E542A">
      <w:pPr>
        <w:pStyle w:val="ListParagraph"/>
        <w:keepNext/>
        <w:keepLines/>
        <w:numPr>
          <w:ilvl w:val="0"/>
          <w:numId w:val="44"/>
        </w:numPr>
        <w:tabs>
          <w:tab w:val="clear" w:pos="567"/>
          <w:tab w:val="clear" w:pos="1134"/>
        </w:tabs>
        <w:contextualSpacing/>
        <w:jc w:val="both"/>
        <w:rPr>
          <w:rFonts w:asciiTheme="minorHAnsi" w:hAnsiTheme="minorHAnsi"/>
          <w:b/>
          <w:bCs/>
          <w:snapToGrid w:val="0"/>
          <w:sz w:val="22"/>
          <w:szCs w:val="22"/>
        </w:rPr>
      </w:pPr>
      <w:r w:rsidRPr="00AA3BBA">
        <w:rPr>
          <w:rFonts w:asciiTheme="minorHAnsi" w:hAnsiTheme="minorHAnsi"/>
          <w:b/>
          <w:bCs/>
          <w:snapToGrid w:val="0"/>
          <w:sz w:val="22"/>
          <w:szCs w:val="22"/>
        </w:rPr>
        <w:t xml:space="preserve">Council-23: </w:t>
      </w:r>
      <w:r w:rsidRPr="00AA3BBA">
        <w:rPr>
          <w:b/>
          <w:bCs/>
          <w:snapToGrid w:val="0"/>
          <w:sz w:val="22"/>
          <w:szCs w:val="22"/>
          <w:lang w:val="en-US"/>
        </w:rPr>
        <w:t>from</w:t>
      </w:r>
      <w:r w:rsidRPr="00AA3BBA">
        <w:rPr>
          <w:snapToGrid w:val="0"/>
          <w:sz w:val="22"/>
          <w:szCs w:val="22"/>
          <w:lang w:val="en-US"/>
        </w:rPr>
        <w:t xml:space="preserve"> </w:t>
      </w:r>
      <w:r w:rsidRPr="00AA3BBA">
        <w:rPr>
          <w:rFonts w:asciiTheme="minorHAnsi" w:hAnsiTheme="minorHAnsi"/>
          <w:b/>
          <w:bCs/>
          <w:snapToGrid w:val="0"/>
          <w:sz w:val="22"/>
          <w:szCs w:val="22"/>
        </w:rPr>
        <w:t xml:space="preserve">Tuesday, 11 July to Friday, 21 July </w:t>
      </w:r>
      <w:proofErr w:type="gramStart"/>
      <w:r w:rsidRPr="00AA3BBA">
        <w:rPr>
          <w:rFonts w:asciiTheme="minorHAnsi" w:hAnsiTheme="minorHAnsi"/>
          <w:b/>
          <w:bCs/>
          <w:snapToGrid w:val="0"/>
          <w:sz w:val="22"/>
          <w:szCs w:val="22"/>
        </w:rPr>
        <w:t>2023</w:t>
      </w:r>
      <w:r w:rsidRPr="00AA3BBA">
        <w:rPr>
          <w:rFonts w:asciiTheme="minorHAnsi" w:hAnsiTheme="minorHAnsi"/>
          <w:snapToGrid w:val="0"/>
          <w:sz w:val="22"/>
          <w:szCs w:val="22"/>
        </w:rPr>
        <w:t>;</w:t>
      </w:r>
      <w:proofErr w:type="gramEnd"/>
    </w:p>
    <w:p w14:paraId="29E56FEA" w14:textId="77777777" w:rsidR="008E542A" w:rsidRPr="00AA3BBA" w:rsidRDefault="008E542A" w:rsidP="008E542A">
      <w:pPr>
        <w:tabs>
          <w:tab w:val="left" w:pos="426"/>
        </w:tabs>
        <w:rPr>
          <w:rFonts w:asciiTheme="minorHAnsi" w:hAnsiTheme="minorHAnsi"/>
          <w:snapToGrid w:val="0"/>
        </w:rPr>
      </w:pPr>
      <w:r w:rsidRPr="00AA3BBA">
        <w:t>5</w:t>
      </w:r>
      <w:r w:rsidRPr="00AA3BBA">
        <w:tab/>
      </w:r>
      <w:r w:rsidRPr="00AA3BBA">
        <w:rPr>
          <w:snapToGrid w:val="0"/>
        </w:rPr>
        <w:t xml:space="preserve">that the 2024 session of the Council will open in Geneva for a period of nine working days, </w:t>
      </w:r>
      <w:r w:rsidRPr="00AA3BBA">
        <w:rPr>
          <w:rFonts w:asciiTheme="minorHAnsi" w:hAnsiTheme="minorHAnsi"/>
          <w:snapToGrid w:val="0"/>
        </w:rPr>
        <w:t>as follows:</w:t>
      </w:r>
    </w:p>
    <w:p w14:paraId="6203348E" w14:textId="77777777" w:rsidR="008E542A" w:rsidRPr="00AA3BBA" w:rsidRDefault="008E542A" w:rsidP="008E542A">
      <w:pPr>
        <w:pStyle w:val="ListParagraph"/>
        <w:keepNext/>
        <w:keepLines/>
        <w:numPr>
          <w:ilvl w:val="0"/>
          <w:numId w:val="44"/>
        </w:numPr>
        <w:tabs>
          <w:tab w:val="clear" w:pos="567"/>
          <w:tab w:val="clear" w:pos="1134"/>
        </w:tabs>
        <w:contextualSpacing/>
        <w:jc w:val="both"/>
        <w:rPr>
          <w:b/>
          <w:bCs/>
          <w:sz w:val="22"/>
          <w:szCs w:val="22"/>
        </w:rPr>
      </w:pPr>
      <w:r w:rsidRPr="00AA3BBA">
        <w:rPr>
          <w:rFonts w:asciiTheme="minorHAnsi" w:hAnsiTheme="minorHAnsi"/>
          <w:b/>
          <w:bCs/>
          <w:snapToGrid w:val="0"/>
          <w:sz w:val="22"/>
          <w:szCs w:val="22"/>
        </w:rPr>
        <w:t>Council</w:t>
      </w:r>
      <w:r w:rsidRPr="00AA3BBA">
        <w:rPr>
          <w:b/>
          <w:bCs/>
          <w:sz w:val="22"/>
          <w:szCs w:val="22"/>
        </w:rPr>
        <w:t xml:space="preserve">-24: from </w:t>
      </w:r>
      <w:r w:rsidRPr="00AA3BBA">
        <w:rPr>
          <w:rFonts w:asciiTheme="minorHAnsi" w:hAnsiTheme="minorHAnsi" w:cstheme="minorHAnsi"/>
          <w:b/>
          <w:bCs/>
          <w:sz w:val="22"/>
          <w:szCs w:val="22"/>
        </w:rPr>
        <w:t xml:space="preserve">Tuesday, </w:t>
      </w:r>
      <w:r w:rsidRPr="00AA3BBA">
        <w:rPr>
          <w:rFonts w:asciiTheme="minorHAnsi" w:hAnsiTheme="minorHAnsi" w:cstheme="minorHAnsi"/>
          <w:b/>
          <w:bCs/>
          <w:sz w:val="22"/>
          <w:szCs w:val="22"/>
          <w:lang w:val="en-US"/>
        </w:rPr>
        <w:t xml:space="preserve">9 July to Friday, 19 July </w:t>
      </w:r>
      <w:proofErr w:type="gramStart"/>
      <w:r w:rsidRPr="00AA3BBA">
        <w:rPr>
          <w:rFonts w:asciiTheme="minorHAnsi" w:hAnsiTheme="minorHAnsi" w:cstheme="minorHAnsi"/>
          <w:b/>
          <w:bCs/>
          <w:sz w:val="22"/>
          <w:szCs w:val="22"/>
          <w:lang w:val="en-US"/>
        </w:rPr>
        <w:t>2024</w:t>
      </w:r>
      <w:r w:rsidRPr="00AA3BBA">
        <w:rPr>
          <w:rFonts w:asciiTheme="minorHAnsi" w:hAnsiTheme="minorHAnsi" w:cstheme="minorHAnsi"/>
          <w:sz w:val="22"/>
          <w:szCs w:val="22"/>
          <w:lang w:val="en-US"/>
        </w:rPr>
        <w:t>;</w:t>
      </w:r>
      <w:proofErr w:type="gramEnd"/>
    </w:p>
    <w:p w14:paraId="30040F8B" w14:textId="77777777" w:rsidR="008E542A" w:rsidRPr="00AA3BBA" w:rsidRDefault="008E542A" w:rsidP="008E542A">
      <w:pPr>
        <w:tabs>
          <w:tab w:val="left" w:pos="426"/>
        </w:tabs>
        <w:rPr>
          <w:rFonts w:asciiTheme="minorHAnsi" w:hAnsiTheme="minorHAnsi"/>
          <w:snapToGrid w:val="0"/>
        </w:rPr>
      </w:pPr>
      <w:r w:rsidRPr="00AA3BBA">
        <w:rPr>
          <w:snapToGrid w:val="0"/>
        </w:rPr>
        <w:t>6</w:t>
      </w:r>
      <w:r w:rsidRPr="00AA3BBA">
        <w:rPr>
          <w:snapToGrid w:val="0"/>
        </w:rPr>
        <w:tab/>
        <w:t xml:space="preserve">that the 2025 session of the Council will open in Geneva for a period of nine working days, </w:t>
      </w:r>
      <w:r w:rsidRPr="00AA3BBA">
        <w:rPr>
          <w:rFonts w:asciiTheme="minorHAnsi" w:hAnsiTheme="minorHAnsi"/>
          <w:snapToGrid w:val="0"/>
        </w:rPr>
        <w:t>as follows:</w:t>
      </w:r>
    </w:p>
    <w:p w14:paraId="26D506D0" w14:textId="77777777" w:rsidR="008E542A" w:rsidRPr="00AA3BBA" w:rsidRDefault="008E542A" w:rsidP="008E542A">
      <w:pPr>
        <w:pStyle w:val="ListParagraph"/>
        <w:keepNext/>
        <w:keepLines/>
        <w:numPr>
          <w:ilvl w:val="0"/>
          <w:numId w:val="44"/>
        </w:numPr>
        <w:tabs>
          <w:tab w:val="clear" w:pos="567"/>
          <w:tab w:val="clear" w:pos="1134"/>
        </w:tabs>
        <w:contextualSpacing/>
        <w:jc w:val="both"/>
        <w:rPr>
          <w:sz w:val="22"/>
          <w:szCs w:val="22"/>
        </w:rPr>
      </w:pPr>
      <w:r w:rsidRPr="00AA3BBA">
        <w:rPr>
          <w:rFonts w:asciiTheme="minorHAnsi" w:hAnsiTheme="minorHAnsi"/>
          <w:b/>
          <w:bCs/>
          <w:snapToGrid w:val="0"/>
          <w:sz w:val="22"/>
          <w:szCs w:val="22"/>
        </w:rPr>
        <w:t>Council</w:t>
      </w:r>
      <w:r w:rsidRPr="00AA3BBA">
        <w:rPr>
          <w:b/>
          <w:bCs/>
          <w:sz w:val="22"/>
          <w:szCs w:val="22"/>
        </w:rPr>
        <w:t xml:space="preserve">-25: from Tuesday, 1 July to Friday, 11 July </w:t>
      </w:r>
      <w:proofErr w:type="gramStart"/>
      <w:r w:rsidRPr="00AA3BBA">
        <w:rPr>
          <w:b/>
          <w:bCs/>
          <w:sz w:val="22"/>
          <w:szCs w:val="22"/>
        </w:rPr>
        <w:t>2025</w:t>
      </w:r>
      <w:r w:rsidRPr="00AA3BBA">
        <w:rPr>
          <w:sz w:val="22"/>
          <w:szCs w:val="22"/>
        </w:rPr>
        <w:t>;</w:t>
      </w:r>
      <w:proofErr w:type="gramEnd"/>
    </w:p>
    <w:p w14:paraId="55731FB2" w14:textId="77777777" w:rsidR="008E542A" w:rsidRPr="00AA3BBA" w:rsidRDefault="008E542A" w:rsidP="008E542A">
      <w:pPr>
        <w:tabs>
          <w:tab w:val="left" w:pos="426"/>
        </w:tabs>
        <w:rPr>
          <w:rFonts w:asciiTheme="minorHAnsi" w:hAnsiTheme="minorHAnsi"/>
          <w:snapToGrid w:val="0"/>
        </w:rPr>
      </w:pPr>
      <w:r w:rsidRPr="00AA3BBA">
        <w:rPr>
          <w:snapToGrid w:val="0"/>
        </w:rPr>
        <w:t>7</w:t>
      </w:r>
      <w:r w:rsidRPr="00AA3BBA">
        <w:rPr>
          <w:snapToGrid w:val="0"/>
        </w:rPr>
        <w:tab/>
        <w:t xml:space="preserve">that the 2026 session of the Council will open in Geneva for a period of nine working days, </w:t>
      </w:r>
      <w:r w:rsidRPr="00AA3BBA">
        <w:rPr>
          <w:rFonts w:asciiTheme="minorHAnsi" w:hAnsiTheme="minorHAnsi"/>
          <w:snapToGrid w:val="0"/>
        </w:rPr>
        <w:t>as follows:</w:t>
      </w:r>
    </w:p>
    <w:p w14:paraId="3C93CA1A" w14:textId="77777777" w:rsidR="008E542A" w:rsidRPr="00AA3BBA" w:rsidRDefault="008E542A" w:rsidP="008E542A">
      <w:pPr>
        <w:pStyle w:val="ListParagraph"/>
        <w:keepNext/>
        <w:keepLines/>
        <w:numPr>
          <w:ilvl w:val="0"/>
          <w:numId w:val="44"/>
        </w:numPr>
        <w:tabs>
          <w:tab w:val="clear" w:pos="567"/>
          <w:tab w:val="clear" w:pos="1134"/>
        </w:tabs>
        <w:contextualSpacing/>
        <w:jc w:val="both"/>
        <w:rPr>
          <w:b/>
          <w:bCs/>
          <w:sz w:val="22"/>
          <w:szCs w:val="22"/>
        </w:rPr>
      </w:pPr>
      <w:r w:rsidRPr="00AA3BBA">
        <w:rPr>
          <w:rFonts w:asciiTheme="minorHAnsi" w:hAnsiTheme="minorHAnsi"/>
          <w:b/>
          <w:bCs/>
          <w:snapToGrid w:val="0"/>
          <w:sz w:val="22"/>
          <w:szCs w:val="22"/>
        </w:rPr>
        <w:t>Council</w:t>
      </w:r>
      <w:r w:rsidRPr="00AA3BBA">
        <w:rPr>
          <w:b/>
          <w:bCs/>
          <w:sz w:val="22"/>
          <w:szCs w:val="22"/>
        </w:rPr>
        <w:t>-26: from Monday 4 May to Thursday, 14 May 2026.</w:t>
      </w:r>
    </w:p>
    <w:p w14:paraId="75CB018A" w14:textId="044DF40C" w:rsidR="00A03504" w:rsidRPr="00AA3BBA" w:rsidRDefault="008E542A" w:rsidP="00AA3BBA">
      <w:pPr>
        <w:pStyle w:val="AnnexNo"/>
        <w:spacing w:before="840"/>
        <w:rPr>
          <w:sz w:val="22"/>
          <w:szCs w:val="22"/>
        </w:rPr>
      </w:pPr>
      <w:r w:rsidRPr="00AA3BBA">
        <w:rPr>
          <w:sz w:val="22"/>
          <w:szCs w:val="22"/>
          <w:u w:val="single"/>
        </w:rPr>
        <w:t>__________________</w:t>
      </w:r>
    </w:p>
    <w:sectPr w:rsidR="00A03504" w:rsidRPr="00AA3BBA" w:rsidSect="00204C2B">
      <w:headerReference w:type="default" r:id="rId43"/>
      <w:footerReference w:type="first" r:id="rId44"/>
      <w:footnotePr>
        <w:numFmt w:val="chicago"/>
      </w:footnotePr>
      <w:pgSz w:w="11907" w:h="16834"/>
      <w:pgMar w:top="1418" w:right="1134" w:bottom="1418" w:left="1134"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7B0E8" w14:textId="77777777" w:rsidR="00B969F0" w:rsidRDefault="00B969F0">
      <w:r>
        <w:separator/>
      </w:r>
    </w:p>
  </w:endnote>
  <w:endnote w:type="continuationSeparator" w:id="0">
    <w:p w14:paraId="546A5AA4" w14:textId="77777777" w:rsidR="00B969F0" w:rsidRDefault="00B9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441B" w14:textId="77777777" w:rsidR="0072624D" w:rsidRPr="00FB65BC" w:rsidRDefault="0072624D" w:rsidP="00895CEB">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C520" w14:textId="77777777" w:rsidR="0072624D" w:rsidRPr="00156DF3" w:rsidRDefault="0072624D" w:rsidP="00204C2B">
    <w:pPr>
      <w:pStyle w:val="TextA"/>
      <w:spacing w:after="120"/>
      <w:jc w:val="center"/>
    </w:pPr>
    <w:r>
      <w:t xml:space="preserve">• </w:t>
    </w:r>
    <w:hyperlink r:id="rId1" w:history="1">
      <w:r>
        <w:rPr>
          <w:rStyle w:val="Hyperlink0"/>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4B4CF" w14:textId="77777777" w:rsidR="0072624D" w:rsidRPr="00B67C8D" w:rsidRDefault="0072624D" w:rsidP="00204C2B">
    <w:pPr>
      <w:pStyle w:val="Footer"/>
      <w:rPr>
        <w:color w:val="BFBFBF" w:themeColor="background1" w:themeShade="B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BEB73" w14:textId="77777777" w:rsidR="0072624D" w:rsidRPr="0063727D" w:rsidRDefault="0072624D" w:rsidP="0063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F942C" w14:textId="77777777" w:rsidR="00B969F0" w:rsidRDefault="00B969F0">
      <w:r>
        <w:t>____________________</w:t>
      </w:r>
    </w:p>
  </w:footnote>
  <w:footnote w:type="continuationSeparator" w:id="0">
    <w:p w14:paraId="50117B69" w14:textId="77777777" w:rsidR="00B969F0" w:rsidRDefault="00B969F0">
      <w:r>
        <w:continuationSeparator/>
      </w:r>
    </w:p>
  </w:footnote>
  <w:footnote w:id="1">
    <w:p w14:paraId="59137BE0" w14:textId="77777777" w:rsidR="0072624D" w:rsidRPr="001B52ED" w:rsidRDefault="0072624D" w:rsidP="00A03504">
      <w:pPr>
        <w:pStyle w:val="FootnoteText"/>
        <w:rPr>
          <w:rFonts w:ascii="Times New Roman" w:hAnsi="Times New Roman" w:cs="Times New Roman"/>
          <w:szCs w:val="18"/>
        </w:rPr>
      </w:pPr>
      <w:r w:rsidRPr="007237BE">
        <w:rPr>
          <w:rStyle w:val="FootnoteReference"/>
          <w:szCs w:val="20"/>
        </w:rPr>
        <w:t>1</w:t>
      </w:r>
      <w:r w:rsidRPr="007237BE">
        <w:rPr>
          <w:rFonts w:ascii="Times New Roman" w:hAnsi="Times New Roman" w:cs="Times New Roman"/>
          <w:szCs w:val="20"/>
        </w:rPr>
        <w:t xml:space="preserve"> </w:t>
      </w:r>
      <w:r w:rsidRPr="007237BE">
        <w:rPr>
          <w:rFonts w:ascii="Times New Roman" w:hAnsi="Times New Roman" w:cs="Times New Roman"/>
          <w:szCs w:val="20"/>
        </w:rPr>
        <w:tab/>
      </w:r>
      <w:r w:rsidRPr="001B52ED">
        <w:rPr>
          <w:rFonts w:cstheme="minorHAnsi"/>
          <w:szCs w:val="18"/>
        </w:rPr>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6FF022B0" w14:textId="77777777" w:rsidR="0072624D" w:rsidRPr="006A60CB" w:rsidRDefault="0072624D" w:rsidP="00204C2B">
      <w:pPr>
        <w:pStyle w:val="FootnoteText"/>
        <w:rPr>
          <w:szCs w:val="18"/>
        </w:rPr>
      </w:pPr>
      <w:r w:rsidRPr="00BA2BED">
        <w:rPr>
          <w:rStyle w:val="FootnoteReference"/>
          <w:szCs w:val="18"/>
        </w:rPr>
        <w:footnoteRef/>
      </w:r>
      <w:r w:rsidRPr="006A60CB">
        <w:t xml:space="preserve"> </w:t>
      </w:r>
      <w:r w:rsidRPr="006A60CB">
        <w:rPr>
          <w:szCs w:val="18"/>
        </w:rPr>
        <w:tab/>
      </w:r>
      <w:r w:rsidRPr="006A60CB">
        <w:t>In this decision, the term “satellite network” refers to any space system in accordance with No. 1.110 of the Radio Regulations.</w:t>
      </w:r>
    </w:p>
  </w:footnote>
  <w:footnote w:id="3">
    <w:p w14:paraId="6A6FB09F" w14:textId="77777777" w:rsidR="0072624D" w:rsidRPr="006A60CB" w:rsidRDefault="0072624D" w:rsidP="00204C2B">
      <w:pPr>
        <w:pStyle w:val="FootnoteText"/>
        <w:tabs>
          <w:tab w:val="clear" w:pos="255"/>
        </w:tabs>
        <w:spacing w:before="60"/>
        <w:ind w:left="284" w:hanging="284"/>
        <w:rPr>
          <w:szCs w:val="16"/>
        </w:rPr>
      </w:pPr>
      <w:r w:rsidRPr="00BA2BED">
        <w:rPr>
          <w:rStyle w:val="FootnoteReference"/>
          <w:szCs w:val="18"/>
        </w:rPr>
        <w:footnoteRef/>
      </w:r>
      <w:r w:rsidRPr="006A60CB">
        <w:rPr>
          <w:sz w:val="28"/>
        </w:rPr>
        <w:t xml:space="preserve"> </w:t>
      </w:r>
      <w:r w:rsidRPr="006A60CB">
        <w:tab/>
        <w:t>The fee per “unit” (see Annex) shall not be understood as a tax imposed on spectrum users. It is used here as a driver for the calculation of cost recovery relating to publication of satellite systems.</w:t>
      </w:r>
    </w:p>
  </w:footnote>
  <w:footnote w:id="4">
    <w:p w14:paraId="59D7B92C" w14:textId="77777777" w:rsidR="0072624D" w:rsidRPr="00F04F41" w:rsidRDefault="0072624D" w:rsidP="00204C2B">
      <w:pPr>
        <w:pStyle w:val="FootnoteText"/>
        <w:rPr>
          <w:szCs w:val="16"/>
        </w:rPr>
      </w:pPr>
      <w:r w:rsidRPr="00F04F41">
        <w:rPr>
          <w:rStyle w:val="FootnoteReference"/>
        </w:rPr>
        <w:footnoteRef/>
      </w:r>
      <w:r w:rsidRPr="00F04F41">
        <w:t xml:space="preserve"> </w:t>
      </w:r>
      <w:r w:rsidRPr="00F04F41">
        <w:tab/>
      </w:r>
      <w:r w:rsidRPr="00F04F41">
        <w:rPr>
          <w:szCs w:val="16"/>
        </w:rPr>
        <w:t>A submission of filings under Article 4 of Appendix 30 and Appendix 30A in the Regions 1 and 3 Plans, referring to a single orbital position with the same satellite name and received on the same date shall be considered as one “satellite network” filing for the purpose of free entitlement.</w:t>
      </w:r>
    </w:p>
  </w:footnote>
  <w:footnote w:id="5">
    <w:p w14:paraId="2C98348E" w14:textId="77777777" w:rsidR="0072624D" w:rsidRPr="006E0F08" w:rsidRDefault="0072624D" w:rsidP="00204C2B">
      <w:pPr>
        <w:pStyle w:val="FootnoteText"/>
        <w:rPr>
          <w:rFonts w:asciiTheme="minorHAnsi" w:hAnsiTheme="minorHAnsi" w:cstheme="minorHAnsi"/>
        </w:rPr>
      </w:pPr>
      <w:r w:rsidRPr="00BF2163">
        <w:rPr>
          <w:rStyle w:val="FootnoteReference"/>
          <w:szCs w:val="18"/>
        </w:rPr>
        <w:footnoteRef/>
      </w:r>
      <w:r w:rsidRPr="00BF2163">
        <w:rPr>
          <w:szCs w:val="16"/>
        </w:rPr>
        <w:t xml:space="preserve"> </w:t>
      </w:r>
      <w:r w:rsidRPr="006E0F08">
        <w:rPr>
          <w:rFonts w:asciiTheme="minorHAnsi" w:hAnsiTheme="minorHAnsi" w:cstheme="minorHAnsi"/>
          <w:szCs w:val="16"/>
        </w:rPr>
        <w:t xml:space="preserve">Cost recovery for category C1 only. See also </w:t>
      </w:r>
      <w:r w:rsidRPr="006E0F08">
        <w:rPr>
          <w:rFonts w:asciiTheme="minorHAnsi" w:hAnsiTheme="minorHAnsi" w:cstheme="minorHAnsi"/>
          <w:i/>
          <w:iCs/>
          <w:szCs w:val="16"/>
        </w:rPr>
        <w:t xml:space="preserve">decides </w:t>
      </w:r>
      <w:r w:rsidRPr="006E0F08">
        <w:rPr>
          <w:rFonts w:asciiTheme="minorHAnsi" w:hAnsiTheme="minorHAnsi" w:cstheme="minorHAnsi"/>
          <w:iCs/>
          <w:szCs w:val="16"/>
        </w:rPr>
        <w:t>11</w:t>
      </w:r>
      <w:r w:rsidRPr="006E0F08">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EC2C" w14:textId="387AD52E" w:rsidR="0072624D" w:rsidRPr="00155CA8" w:rsidRDefault="0072624D"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F777A" w14:textId="562C1CF5" w:rsidR="0072624D" w:rsidRPr="00AF3325" w:rsidRDefault="0072624D" w:rsidP="00BF708A">
    <w:pPr>
      <w:pStyle w:val="Header"/>
      <w:jc w:val="cente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5</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2624D" w14:paraId="5695B5E1" w14:textId="77777777" w:rsidTr="00895CEB">
      <w:tc>
        <w:tcPr>
          <w:tcW w:w="9923" w:type="dxa"/>
        </w:tcPr>
        <w:p w14:paraId="21FF34B5" w14:textId="77777777" w:rsidR="0072624D" w:rsidRDefault="0072624D" w:rsidP="00895CEB">
          <w:pPr>
            <w:pStyle w:val="Header"/>
            <w:tabs>
              <w:tab w:val="clear" w:pos="794"/>
              <w:tab w:val="clear" w:pos="4820"/>
            </w:tabs>
            <w:spacing w:before="120" w:line="360" w:lineRule="auto"/>
            <w:jc w:val="center"/>
          </w:pPr>
          <w:r>
            <w:rPr>
              <w:noProof/>
              <w:lang w:val="en-GB" w:eastAsia="zh-CN"/>
            </w:rPr>
            <w:drawing>
              <wp:inline distT="0" distB="0" distL="0" distR="0" wp14:anchorId="2990911B" wp14:editId="2A1B8BE8">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486F666F" w14:textId="77777777" w:rsidR="0072624D" w:rsidRPr="00EA0E7A" w:rsidRDefault="0072624D" w:rsidP="00EA0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E8201" w14:textId="77777777" w:rsidR="0072624D" w:rsidRPr="00155CA8" w:rsidRDefault="0072624D" w:rsidP="00BF708A">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noProof/>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AD893" w14:textId="77777777" w:rsidR="0072624D" w:rsidRPr="00155CA8" w:rsidRDefault="0072624D" w:rsidP="00C74965">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DC781" w14:textId="77777777" w:rsidR="0072624D" w:rsidRPr="00155CA8" w:rsidRDefault="0072624D" w:rsidP="00C74965">
    <w:pPr>
      <w:pStyle w:val="Header"/>
      <w:jc w:val="center"/>
      <w:rPr>
        <w:sz w:val="20"/>
        <w:szCs w:val="20"/>
      </w:rPr>
    </w:pPr>
    <w:r w:rsidRPr="00155CA8">
      <w:rPr>
        <w:sz w:val="20"/>
        <w:szCs w:val="20"/>
      </w:rPr>
      <w:t xml:space="preserve">– </w:t>
    </w:r>
    <w:r w:rsidRPr="00155CA8">
      <w:rPr>
        <w:rStyle w:val="PageNumber"/>
        <w:sz w:val="20"/>
        <w:szCs w:val="20"/>
      </w:rPr>
      <w:fldChar w:fldCharType="begin"/>
    </w:r>
    <w:r w:rsidRPr="00155CA8">
      <w:rPr>
        <w:rStyle w:val="PageNumber"/>
        <w:sz w:val="20"/>
        <w:szCs w:val="20"/>
      </w:rPr>
      <w:instrText xml:space="preserve"> PAGE </w:instrText>
    </w:r>
    <w:r w:rsidRPr="00155CA8">
      <w:rPr>
        <w:rStyle w:val="PageNumber"/>
        <w:sz w:val="20"/>
        <w:szCs w:val="20"/>
      </w:rPr>
      <w:fldChar w:fldCharType="separate"/>
    </w:r>
    <w:r>
      <w:rPr>
        <w:rStyle w:val="PageNumber"/>
        <w:sz w:val="20"/>
        <w:szCs w:val="20"/>
      </w:rPr>
      <w:t>2</w:t>
    </w:r>
    <w:r w:rsidRPr="00155CA8">
      <w:rPr>
        <w:rStyle w:val="PageNumber"/>
        <w:sz w:val="20"/>
        <w:szCs w:val="20"/>
      </w:rPr>
      <w:fldChar w:fldCharType="end"/>
    </w:r>
    <w:r>
      <w:rPr>
        <w:rStyle w:val="PageNumber"/>
        <w:sz w:val="20"/>
        <w:szCs w:val="20"/>
      </w:rPr>
      <w:t xml:space="preserve"> </w:t>
    </w:r>
    <w:r w:rsidRPr="00155CA8">
      <w:rPr>
        <w:rStyle w:val="PageNumber"/>
        <w:sz w:val="20"/>
        <w:szCs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94933"/>
      <w:docPartObj>
        <w:docPartGallery w:val="Page Numbers (Top of Page)"/>
        <w:docPartUnique/>
      </w:docPartObj>
    </w:sdtPr>
    <w:sdtEndPr>
      <w:rPr>
        <w:noProof/>
        <w:sz w:val="20"/>
        <w:szCs w:val="20"/>
      </w:rPr>
    </w:sdtEndPr>
    <w:sdtContent>
      <w:sdt>
        <w:sdtPr>
          <w:id w:val="-744487773"/>
          <w:docPartObj>
            <w:docPartGallery w:val="Page Numbers (Top of Page)"/>
            <w:docPartUnique/>
          </w:docPartObj>
        </w:sdtPr>
        <w:sdtEndPr>
          <w:rPr>
            <w:noProof/>
            <w:sz w:val="20"/>
            <w:szCs w:val="20"/>
          </w:rPr>
        </w:sdtEndPr>
        <w:sdtContent>
          <w:sdt>
            <w:sdtPr>
              <w:id w:val="1270434703"/>
              <w:docPartObj>
                <w:docPartGallery w:val="Page Numbers (Top of Page)"/>
                <w:docPartUnique/>
              </w:docPartObj>
            </w:sdtPr>
            <w:sdtEndPr>
              <w:rPr>
                <w:noProof/>
                <w:sz w:val="20"/>
                <w:szCs w:val="20"/>
              </w:rPr>
            </w:sdtEndPr>
            <w:sdtContent>
              <w:p w14:paraId="72124D5C" w14:textId="300D1325" w:rsidR="0072624D" w:rsidRPr="00593C30" w:rsidRDefault="0072624D" w:rsidP="00204C2B">
                <w:pPr>
                  <w:pStyle w:val="Header"/>
                  <w:jc w:val="center"/>
                  <w:rPr>
                    <w:noProof/>
                    <w:sz w:val="20"/>
                    <w:szCs w:val="20"/>
                  </w:rPr>
                </w:pPr>
                <w:r>
                  <w:t xml:space="preserve">- </w:t>
                </w:r>
                <w:r w:rsidRPr="00593C30">
                  <w:rPr>
                    <w:sz w:val="20"/>
                    <w:szCs w:val="20"/>
                  </w:rPr>
                  <w:fldChar w:fldCharType="begin"/>
                </w:r>
                <w:r w:rsidRPr="00593C30">
                  <w:rPr>
                    <w:sz w:val="20"/>
                    <w:szCs w:val="20"/>
                  </w:rPr>
                  <w:instrText xml:space="preserve"> PAGE   \* MERGEFORMAT </w:instrText>
                </w:r>
                <w:r w:rsidRPr="00593C30">
                  <w:rPr>
                    <w:sz w:val="20"/>
                    <w:szCs w:val="20"/>
                  </w:rPr>
                  <w:fldChar w:fldCharType="separate"/>
                </w:r>
                <w:r w:rsidRPr="00593C30">
                  <w:rPr>
                    <w:noProof/>
                    <w:sz w:val="20"/>
                    <w:szCs w:val="20"/>
                  </w:rPr>
                  <w:t>6</w:t>
                </w:r>
                <w:r w:rsidRPr="00593C30">
                  <w:rPr>
                    <w:noProof/>
                    <w:sz w:val="20"/>
                    <w:szCs w:val="20"/>
                  </w:rPr>
                  <w:fldChar w:fldCharType="end"/>
                </w:r>
                <w:r>
                  <w:rPr>
                    <w:noProof/>
                    <w:sz w:val="20"/>
                    <w:szCs w:val="20"/>
                  </w:rPr>
                  <w:t xml:space="preserve"> -</w:t>
                </w:r>
              </w:p>
              <w:p w14:paraId="432EC253" w14:textId="32BD6F81" w:rsidR="0072624D" w:rsidRPr="00593C30" w:rsidRDefault="00B969F0" w:rsidP="00204C2B">
                <w:pPr>
                  <w:pStyle w:val="Header"/>
                  <w:spacing w:after="160"/>
                  <w:jc w:val="center"/>
                  <w:rPr>
                    <w:sz w:val="20"/>
                    <w:szCs w:val="20"/>
                  </w:rPr>
                </w:pPr>
              </w:p>
            </w:sdtContent>
          </w:sdt>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4F49" w14:textId="49FEF489" w:rsidR="0072624D" w:rsidRDefault="0072624D" w:rsidP="0063727D">
    <w:pPr>
      <w:pStyle w:val="Header"/>
      <w:jc w:val="center"/>
    </w:pPr>
    <w:r>
      <w:t xml:space="preserve">- </w:t>
    </w:r>
    <w:r>
      <w:fldChar w:fldCharType="begin"/>
    </w:r>
    <w:r>
      <w:instrText>PAGE</w:instrText>
    </w:r>
    <w:r>
      <w:fldChar w:fldCharType="separate"/>
    </w:r>
    <w:r>
      <w:t>1</w:t>
    </w:r>
    <w:r>
      <w:rPr>
        <w:noProof/>
      </w:rPr>
      <w:fldChar w:fldCharType="end"/>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443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5A4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2E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AB9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A0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108A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E4E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4A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7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CB5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24A1181"/>
    <w:multiLevelType w:val="hybridMultilevel"/>
    <w:tmpl w:val="7EEE0B1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04003474"/>
    <w:multiLevelType w:val="hybridMultilevel"/>
    <w:tmpl w:val="FF368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A613BD"/>
    <w:multiLevelType w:val="hybridMultilevel"/>
    <w:tmpl w:val="4C4EBE8C"/>
    <w:lvl w:ilvl="0" w:tplc="90A6BF2A">
      <w:numFmt w:val="bullet"/>
      <w:lvlText w:val="-"/>
      <w:lvlJc w:val="left"/>
      <w:pPr>
        <w:ind w:left="720" w:hanging="360"/>
      </w:pPr>
      <w:rPr>
        <w:rFonts w:ascii="Calibri" w:eastAsiaTheme="minorEastAsia"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0D8D11EE"/>
    <w:multiLevelType w:val="multilevel"/>
    <w:tmpl w:val="30AA5A22"/>
    <w:lvl w:ilvl="0">
      <w:start w:val="3"/>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20" w15:restartNumberingAfterBreak="0">
    <w:nsid w:val="139F7746"/>
    <w:multiLevelType w:val="hybridMultilevel"/>
    <w:tmpl w:val="01A6B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43437F2"/>
    <w:multiLevelType w:val="hybridMultilevel"/>
    <w:tmpl w:val="0426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647BE0"/>
    <w:multiLevelType w:val="hybridMultilevel"/>
    <w:tmpl w:val="25C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886398"/>
    <w:multiLevelType w:val="hybridMultilevel"/>
    <w:tmpl w:val="1CB0E4B8"/>
    <w:lvl w:ilvl="0" w:tplc="8050EC9E">
      <w:numFmt w:val="bullet"/>
      <w:lvlText w:val="-"/>
      <w:lvlJc w:val="left"/>
      <w:pPr>
        <w:ind w:left="720" w:hanging="360"/>
      </w:pPr>
      <w:rPr>
        <w:rFonts w:ascii="Calibri" w:eastAsia="MS Mincho"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E7F14EA"/>
    <w:multiLevelType w:val="hybridMultilevel"/>
    <w:tmpl w:val="F0268F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D5318A"/>
    <w:multiLevelType w:val="hybridMultilevel"/>
    <w:tmpl w:val="941EE298"/>
    <w:lvl w:ilvl="0" w:tplc="05C01114">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0E21C5"/>
    <w:multiLevelType w:val="hybridMultilevel"/>
    <w:tmpl w:val="38A2EF5C"/>
    <w:lvl w:ilvl="0" w:tplc="AFC4709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885535"/>
    <w:multiLevelType w:val="hybridMultilevel"/>
    <w:tmpl w:val="1224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31" w15:restartNumberingAfterBreak="0">
    <w:nsid w:val="2C5A23A3"/>
    <w:multiLevelType w:val="hybridMultilevel"/>
    <w:tmpl w:val="31201B3E"/>
    <w:lvl w:ilvl="0" w:tplc="08090001">
      <w:start w:val="1"/>
      <w:numFmt w:val="bullet"/>
      <w:lvlText w:val=""/>
      <w:lvlJc w:val="left"/>
      <w:pPr>
        <w:ind w:left="720" w:hanging="360"/>
      </w:pPr>
      <w:rPr>
        <w:rFonts w:ascii="Symbol" w:hAnsi="Symbol" w:hint="default"/>
      </w:rPr>
    </w:lvl>
    <w:lvl w:ilvl="1" w:tplc="A21239B6">
      <w:numFmt w:val="bullet"/>
      <w:lvlText w:val="-"/>
      <w:lvlJc w:val="left"/>
      <w:pPr>
        <w:ind w:left="1440" w:hanging="360"/>
      </w:pPr>
      <w:rPr>
        <w:rFonts w:ascii="Calibri" w:eastAsia="MS Mincho" w:hAnsi="Calibri" w:cs="Calibri" w:hint="default"/>
      </w:rPr>
    </w:lvl>
    <w:lvl w:ilvl="2" w:tplc="8310840A">
      <w:numFmt w:val="bullet"/>
      <w:lvlText w:val="•"/>
      <w:lvlJc w:val="left"/>
      <w:pPr>
        <w:ind w:left="2590" w:hanging="790"/>
      </w:pPr>
      <w:rPr>
        <w:rFonts w:ascii="Calibri" w:eastAsia="MS Mincho"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983D6D"/>
    <w:multiLevelType w:val="hybridMultilevel"/>
    <w:tmpl w:val="0FF4435A"/>
    <w:lvl w:ilvl="0" w:tplc="EECED892">
      <w:start w:val="1"/>
      <w:numFmt w:val="decimal"/>
      <w:lvlText w:val="%1."/>
      <w:lvlJc w:val="left"/>
      <w:pPr>
        <w:ind w:left="1080" w:hanging="360"/>
      </w:pPr>
      <w:rPr>
        <w:rFonts w:hint="default"/>
        <w:color w:val="943634" w:themeColor="accent2" w:themeShade="BF"/>
        <w:sz w:val="24"/>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7C96592"/>
    <w:multiLevelType w:val="hybridMultilevel"/>
    <w:tmpl w:val="B6DC9CEE"/>
    <w:lvl w:ilvl="0" w:tplc="19C0282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5" w15:restartNumberingAfterBreak="0">
    <w:nsid w:val="3D355D81"/>
    <w:multiLevelType w:val="hybridMultilevel"/>
    <w:tmpl w:val="3DF677A4"/>
    <w:lvl w:ilvl="0" w:tplc="72AA615A">
      <w:start w:val="3"/>
      <w:numFmt w:val="bullet"/>
      <w:lvlText w:val="-"/>
      <w:lvlJc w:val="left"/>
      <w:pPr>
        <w:ind w:left="810" w:hanging="360"/>
      </w:pPr>
      <w:rPr>
        <w:rFonts w:ascii="Calibri" w:eastAsia="MS Mincho"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3F845B8F"/>
    <w:multiLevelType w:val="hybridMultilevel"/>
    <w:tmpl w:val="7ED64652"/>
    <w:lvl w:ilvl="0" w:tplc="72AA615A">
      <w:start w:val="3"/>
      <w:numFmt w:val="bullet"/>
      <w:lvlText w:val="-"/>
      <w:lvlJc w:val="left"/>
      <w:pPr>
        <w:ind w:left="720" w:hanging="360"/>
      </w:pPr>
      <w:rPr>
        <w:rFonts w:ascii="Calibri" w:eastAsia="MS Mincho" w:hAnsi="Calibri"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015DCC"/>
    <w:multiLevelType w:val="hybridMultilevel"/>
    <w:tmpl w:val="337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0C79A8"/>
    <w:multiLevelType w:val="hybridMultilevel"/>
    <w:tmpl w:val="23721EB2"/>
    <w:lvl w:ilvl="0" w:tplc="3CE4608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B96596"/>
    <w:multiLevelType w:val="hybridMultilevel"/>
    <w:tmpl w:val="E396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D02705"/>
    <w:multiLevelType w:val="hybridMultilevel"/>
    <w:tmpl w:val="59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EF4089"/>
    <w:multiLevelType w:val="hybridMultilevel"/>
    <w:tmpl w:val="ED32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27"/>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47"/>
  </w:num>
  <w:num w:numId="17">
    <w:abstractNumId w:val="29"/>
  </w:num>
  <w:num w:numId="18">
    <w:abstractNumId w:val="15"/>
  </w:num>
  <w:num w:numId="19">
    <w:abstractNumId w:val="23"/>
  </w:num>
  <w:num w:numId="20">
    <w:abstractNumId w:val="20"/>
  </w:num>
  <w:num w:numId="21">
    <w:abstractNumId w:val="43"/>
  </w:num>
  <w:num w:numId="22">
    <w:abstractNumId w:val="33"/>
  </w:num>
  <w:num w:numId="23">
    <w:abstractNumId w:val="39"/>
  </w:num>
  <w:num w:numId="24">
    <w:abstractNumId w:val="46"/>
  </w:num>
  <w:num w:numId="25">
    <w:abstractNumId w:val="31"/>
  </w:num>
  <w:num w:numId="26">
    <w:abstractNumId w:val="22"/>
  </w:num>
  <w:num w:numId="27">
    <w:abstractNumId w:val="45"/>
  </w:num>
  <w:num w:numId="28">
    <w:abstractNumId w:val="26"/>
  </w:num>
  <w:num w:numId="29">
    <w:abstractNumId w:val="40"/>
  </w:num>
  <w:num w:numId="30">
    <w:abstractNumId w:val="32"/>
  </w:num>
  <w:num w:numId="31">
    <w:abstractNumId w:val="21"/>
  </w:num>
  <w:num w:numId="32">
    <w:abstractNumId w:val="37"/>
  </w:num>
  <w:num w:numId="33">
    <w:abstractNumId w:val="41"/>
  </w:num>
  <w:num w:numId="34">
    <w:abstractNumId w:val="16"/>
  </w:num>
  <w:num w:numId="35">
    <w:abstractNumId w:val="44"/>
  </w:num>
  <w:num w:numId="36">
    <w:abstractNumId w:val="25"/>
  </w:num>
  <w:num w:numId="37">
    <w:abstractNumId w:val="34"/>
  </w:num>
  <w:num w:numId="38">
    <w:abstractNumId w:val="19"/>
  </w:num>
  <w:num w:numId="39">
    <w:abstractNumId w:val="38"/>
  </w:num>
  <w:num w:numId="40">
    <w:abstractNumId w:val="30"/>
  </w:num>
  <w:num w:numId="41">
    <w:abstractNumId w:val="18"/>
  </w:num>
  <w:num w:numId="42">
    <w:abstractNumId w:val="14"/>
  </w:num>
  <w:num w:numId="43">
    <w:abstractNumId w:val="4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64015"/>
    <w:rsid w:val="00003B1C"/>
    <w:rsid w:val="00003BB2"/>
    <w:rsid w:val="00006C82"/>
    <w:rsid w:val="00010E30"/>
    <w:rsid w:val="00017CF0"/>
    <w:rsid w:val="00017FB2"/>
    <w:rsid w:val="000254C3"/>
    <w:rsid w:val="00026640"/>
    <w:rsid w:val="0002696A"/>
    <w:rsid w:val="00026CF8"/>
    <w:rsid w:val="00037DC0"/>
    <w:rsid w:val="00041670"/>
    <w:rsid w:val="00044C9E"/>
    <w:rsid w:val="0004590F"/>
    <w:rsid w:val="00051047"/>
    <w:rsid w:val="00054391"/>
    <w:rsid w:val="0005792C"/>
    <w:rsid w:val="000618B1"/>
    <w:rsid w:val="00070258"/>
    <w:rsid w:val="0007323C"/>
    <w:rsid w:val="00076A88"/>
    <w:rsid w:val="00083585"/>
    <w:rsid w:val="00084936"/>
    <w:rsid w:val="00086D03"/>
    <w:rsid w:val="000965DC"/>
    <w:rsid w:val="00097327"/>
    <w:rsid w:val="000A3B39"/>
    <w:rsid w:val="000A45D4"/>
    <w:rsid w:val="000A7051"/>
    <w:rsid w:val="000B0196"/>
    <w:rsid w:val="000B304F"/>
    <w:rsid w:val="000B3BAC"/>
    <w:rsid w:val="000B52E1"/>
    <w:rsid w:val="000B6FA6"/>
    <w:rsid w:val="000B7A66"/>
    <w:rsid w:val="000C03C7"/>
    <w:rsid w:val="000C7608"/>
    <w:rsid w:val="000D7A3B"/>
    <w:rsid w:val="000E0B83"/>
    <w:rsid w:val="000E1545"/>
    <w:rsid w:val="000E2A48"/>
    <w:rsid w:val="000E3DEE"/>
    <w:rsid w:val="000E6901"/>
    <w:rsid w:val="000E74E8"/>
    <w:rsid w:val="000F1F92"/>
    <w:rsid w:val="000F6A8C"/>
    <w:rsid w:val="00100B72"/>
    <w:rsid w:val="0010161F"/>
    <w:rsid w:val="00103433"/>
    <w:rsid w:val="00103C76"/>
    <w:rsid w:val="0010648E"/>
    <w:rsid w:val="00107FC0"/>
    <w:rsid w:val="001105B9"/>
    <w:rsid w:val="0011265F"/>
    <w:rsid w:val="001130CD"/>
    <w:rsid w:val="00113E8A"/>
    <w:rsid w:val="001167ED"/>
    <w:rsid w:val="00120DCB"/>
    <w:rsid w:val="00123973"/>
    <w:rsid w:val="00125E49"/>
    <w:rsid w:val="00126355"/>
    <w:rsid w:val="001339B1"/>
    <w:rsid w:val="00134404"/>
    <w:rsid w:val="00136853"/>
    <w:rsid w:val="00141630"/>
    <w:rsid w:val="0014389F"/>
    <w:rsid w:val="00144DFB"/>
    <w:rsid w:val="00154F20"/>
    <w:rsid w:val="00155CA8"/>
    <w:rsid w:val="00156205"/>
    <w:rsid w:val="001567EF"/>
    <w:rsid w:val="001572DF"/>
    <w:rsid w:val="00162375"/>
    <w:rsid w:val="00167A36"/>
    <w:rsid w:val="001702A3"/>
    <w:rsid w:val="001761BA"/>
    <w:rsid w:val="00183012"/>
    <w:rsid w:val="0018621C"/>
    <w:rsid w:val="0018639E"/>
    <w:rsid w:val="00187CA3"/>
    <w:rsid w:val="00193716"/>
    <w:rsid w:val="00196710"/>
    <w:rsid w:val="00196BDD"/>
    <w:rsid w:val="00197324"/>
    <w:rsid w:val="00197CCB"/>
    <w:rsid w:val="001A608F"/>
    <w:rsid w:val="001A79CA"/>
    <w:rsid w:val="001B2531"/>
    <w:rsid w:val="001B67FC"/>
    <w:rsid w:val="001B729B"/>
    <w:rsid w:val="001C06DB"/>
    <w:rsid w:val="001C1439"/>
    <w:rsid w:val="001C2559"/>
    <w:rsid w:val="001C76C3"/>
    <w:rsid w:val="001C78C7"/>
    <w:rsid w:val="001D0158"/>
    <w:rsid w:val="001D31D3"/>
    <w:rsid w:val="001D7070"/>
    <w:rsid w:val="001E5D86"/>
    <w:rsid w:val="001F5A49"/>
    <w:rsid w:val="00201097"/>
    <w:rsid w:val="002019AD"/>
    <w:rsid w:val="00201B6E"/>
    <w:rsid w:val="00204C2B"/>
    <w:rsid w:val="00212ECA"/>
    <w:rsid w:val="002166D1"/>
    <w:rsid w:val="00217298"/>
    <w:rsid w:val="002302B3"/>
    <w:rsid w:val="0023030E"/>
    <w:rsid w:val="00231835"/>
    <w:rsid w:val="002318E0"/>
    <w:rsid w:val="00235A29"/>
    <w:rsid w:val="002443A2"/>
    <w:rsid w:val="002478D2"/>
    <w:rsid w:val="0025256E"/>
    <w:rsid w:val="00252CD0"/>
    <w:rsid w:val="00265457"/>
    <w:rsid w:val="002753C1"/>
    <w:rsid w:val="00276E99"/>
    <w:rsid w:val="00277AED"/>
    <w:rsid w:val="0028409C"/>
    <w:rsid w:val="002861E6"/>
    <w:rsid w:val="00287D18"/>
    <w:rsid w:val="00292A3B"/>
    <w:rsid w:val="0029572C"/>
    <w:rsid w:val="002A0B8D"/>
    <w:rsid w:val="002B5DEA"/>
    <w:rsid w:val="002B63E1"/>
    <w:rsid w:val="002B71DE"/>
    <w:rsid w:val="002C0AB3"/>
    <w:rsid w:val="002D170B"/>
    <w:rsid w:val="002D3484"/>
    <w:rsid w:val="002D5267"/>
    <w:rsid w:val="002D58A8"/>
    <w:rsid w:val="002D5A15"/>
    <w:rsid w:val="002D5BDD"/>
    <w:rsid w:val="002D627D"/>
    <w:rsid w:val="002E1838"/>
    <w:rsid w:val="002E3E26"/>
    <w:rsid w:val="002E49EF"/>
    <w:rsid w:val="002E55E7"/>
    <w:rsid w:val="002F0108"/>
    <w:rsid w:val="002F0890"/>
    <w:rsid w:val="002F2531"/>
    <w:rsid w:val="002F4967"/>
    <w:rsid w:val="00300F12"/>
    <w:rsid w:val="00305702"/>
    <w:rsid w:val="00314C9A"/>
    <w:rsid w:val="00316935"/>
    <w:rsid w:val="003173E3"/>
    <w:rsid w:val="00321CED"/>
    <w:rsid w:val="003223B7"/>
    <w:rsid w:val="00325CE3"/>
    <w:rsid w:val="00326D76"/>
    <w:rsid w:val="003300BB"/>
    <w:rsid w:val="003370B8"/>
    <w:rsid w:val="003415F4"/>
    <w:rsid w:val="003442B0"/>
    <w:rsid w:val="00350F9A"/>
    <w:rsid w:val="00351414"/>
    <w:rsid w:val="00364015"/>
    <w:rsid w:val="003666FF"/>
    <w:rsid w:val="003733A1"/>
    <w:rsid w:val="00377E6C"/>
    <w:rsid w:val="00377FC0"/>
    <w:rsid w:val="00383819"/>
    <w:rsid w:val="00391755"/>
    <w:rsid w:val="003B2BDA"/>
    <w:rsid w:val="003B48BB"/>
    <w:rsid w:val="003B55EC"/>
    <w:rsid w:val="003B620B"/>
    <w:rsid w:val="003B7CBB"/>
    <w:rsid w:val="003C1493"/>
    <w:rsid w:val="003C423C"/>
    <w:rsid w:val="003C4471"/>
    <w:rsid w:val="003D7EAD"/>
    <w:rsid w:val="003E504F"/>
    <w:rsid w:val="003E6C90"/>
    <w:rsid w:val="003E78D6"/>
    <w:rsid w:val="003F26D2"/>
    <w:rsid w:val="003F6B9C"/>
    <w:rsid w:val="00400A02"/>
    <w:rsid w:val="0040153A"/>
    <w:rsid w:val="004103CE"/>
    <w:rsid w:val="004156BB"/>
    <w:rsid w:val="0042318E"/>
    <w:rsid w:val="00424122"/>
    <w:rsid w:val="00426AB5"/>
    <w:rsid w:val="0043031B"/>
    <w:rsid w:val="004326DB"/>
    <w:rsid w:val="00432F35"/>
    <w:rsid w:val="00433884"/>
    <w:rsid w:val="0043682E"/>
    <w:rsid w:val="0044018B"/>
    <w:rsid w:val="00441DCF"/>
    <w:rsid w:val="00447D24"/>
    <w:rsid w:val="00447ECB"/>
    <w:rsid w:val="00452F5E"/>
    <w:rsid w:val="0045301D"/>
    <w:rsid w:val="00454496"/>
    <w:rsid w:val="00455451"/>
    <w:rsid w:val="004623F7"/>
    <w:rsid w:val="00470C8D"/>
    <w:rsid w:val="00471F37"/>
    <w:rsid w:val="004767D5"/>
    <w:rsid w:val="00480F51"/>
    <w:rsid w:val="00481124"/>
    <w:rsid w:val="004815EB"/>
    <w:rsid w:val="004818D4"/>
    <w:rsid w:val="00487569"/>
    <w:rsid w:val="00491F6B"/>
    <w:rsid w:val="0049244B"/>
    <w:rsid w:val="00496864"/>
    <w:rsid w:val="00496920"/>
    <w:rsid w:val="004A2025"/>
    <w:rsid w:val="004A5302"/>
    <w:rsid w:val="004A7C64"/>
    <w:rsid w:val="004B050E"/>
    <w:rsid w:val="004B6F59"/>
    <w:rsid w:val="004B7C9A"/>
    <w:rsid w:val="004C045F"/>
    <w:rsid w:val="004C26D5"/>
    <w:rsid w:val="004C345B"/>
    <w:rsid w:val="004C46AC"/>
    <w:rsid w:val="004C4BC0"/>
    <w:rsid w:val="004C4CC6"/>
    <w:rsid w:val="004C6779"/>
    <w:rsid w:val="004D0F37"/>
    <w:rsid w:val="004E0DC4"/>
    <w:rsid w:val="004E0FB5"/>
    <w:rsid w:val="004E3041"/>
    <w:rsid w:val="004E43BB"/>
    <w:rsid w:val="004E720B"/>
    <w:rsid w:val="004F178E"/>
    <w:rsid w:val="004F2B6D"/>
    <w:rsid w:val="004F71A9"/>
    <w:rsid w:val="00501654"/>
    <w:rsid w:val="00505309"/>
    <w:rsid w:val="00506C78"/>
    <w:rsid w:val="00506E9E"/>
    <w:rsid w:val="0050789B"/>
    <w:rsid w:val="005139C7"/>
    <w:rsid w:val="005151B6"/>
    <w:rsid w:val="0052207C"/>
    <w:rsid w:val="005239E4"/>
    <w:rsid w:val="005244CA"/>
    <w:rsid w:val="00525340"/>
    <w:rsid w:val="00525672"/>
    <w:rsid w:val="00526D1D"/>
    <w:rsid w:val="005312B5"/>
    <w:rsid w:val="00534372"/>
    <w:rsid w:val="0053670A"/>
    <w:rsid w:val="00541858"/>
    <w:rsid w:val="00543DF8"/>
    <w:rsid w:val="00546101"/>
    <w:rsid w:val="005521A9"/>
    <w:rsid w:val="00552DF8"/>
    <w:rsid w:val="00553DD7"/>
    <w:rsid w:val="00554108"/>
    <w:rsid w:val="005544D1"/>
    <w:rsid w:val="005614C3"/>
    <w:rsid w:val="005638CF"/>
    <w:rsid w:val="005659F4"/>
    <w:rsid w:val="0056741E"/>
    <w:rsid w:val="00567C40"/>
    <w:rsid w:val="0057325A"/>
    <w:rsid w:val="0057469A"/>
    <w:rsid w:val="005804D4"/>
    <w:rsid w:val="00580814"/>
    <w:rsid w:val="005829EF"/>
    <w:rsid w:val="00583C12"/>
    <w:rsid w:val="005862E4"/>
    <w:rsid w:val="00592F85"/>
    <w:rsid w:val="005A03A3"/>
    <w:rsid w:val="005A3B21"/>
    <w:rsid w:val="005A5E05"/>
    <w:rsid w:val="005A7264"/>
    <w:rsid w:val="005A79E9"/>
    <w:rsid w:val="005A7E16"/>
    <w:rsid w:val="005B214C"/>
    <w:rsid w:val="005B6E52"/>
    <w:rsid w:val="005B73DD"/>
    <w:rsid w:val="005C75FD"/>
    <w:rsid w:val="005C7751"/>
    <w:rsid w:val="005D092C"/>
    <w:rsid w:val="005D119B"/>
    <w:rsid w:val="005D3669"/>
    <w:rsid w:val="006010C2"/>
    <w:rsid w:val="00602D53"/>
    <w:rsid w:val="00605947"/>
    <w:rsid w:val="006075DA"/>
    <w:rsid w:val="0061271D"/>
    <w:rsid w:val="0061330B"/>
    <w:rsid w:val="00614963"/>
    <w:rsid w:val="006177D3"/>
    <w:rsid w:val="00623261"/>
    <w:rsid w:val="00623CFB"/>
    <w:rsid w:val="0062624D"/>
    <w:rsid w:val="00626A9C"/>
    <w:rsid w:val="00627334"/>
    <w:rsid w:val="0063727D"/>
    <w:rsid w:val="0064226E"/>
    <w:rsid w:val="00643E00"/>
    <w:rsid w:val="00643E81"/>
    <w:rsid w:val="0064766B"/>
    <w:rsid w:val="00647755"/>
    <w:rsid w:val="00650B2A"/>
    <w:rsid w:val="00651777"/>
    <w:rsid w:val="00652732"/>
    <w:rsid w:val="00660ACC"/>
    <w:rsid w:val="00660D08"/>
    <w:rsid w:val="00663689"/>
    <w:rsid w:val="00670529"/>
    <w:rsid w:val="00672566"/>
    <w:rsid w:val="0067395C"/>
    <w:rsid w:val="00677529"/>
    <w:rsid w:val="006812DA"/>
    <w:rsid w:val="00682FBD"/>
    <w:rsid w:val="00686F50"/>
    <w:rsid w:val="00691B31"/>
    <w:rsid w:val="00694C71"/>
    <w:rsid w:val="00695757"/>
    <w:rsid w:val="006A0289"/>
    <w:rsid w:val="006A0E96"/>
    <w:rsid w:val="006A21EE"/>
    <w:rsid w:val="006A247F"/>
    <w:rsid w:val="006A518B"/>
    <w:rsid w:val="006A78A1"/>
    <w:rsid w:val="006B0590"/>
    <w:rsid w:val="006B327F"/>
    <w:rsid w:val="006B49DA"/>
    <w:rsid w:val="006C3796"/>
    <w:rsid w:val="006C7CDE"/>
    <w:rsid w:val="006E36F5"/>
    <w:rsid w:val="006F0FCB"/>
    <w:rsid w:val="006F4873"/>
    <w:rsid w:val="006F4961"/>
    <w:rsid w:val="006F6C87"/>
    <w:rsid w:val="0070152A"/>
    <w:rsid w:val="007078F0"/>
    <w:rsid w:val="00711C98"/>
    <w:rsid w:val="00713A54"/>
    <w:rsid w:val="00715E79"/>
    <w:rsid w:val="007178FB"/>
    <w:rsid w:val="00717F2C"/>
    <w:rsid w:val="00722334"/>
    <w:rsid w:val="007234B1"/>
    <w:rsid w:val="007254CC"/>
    <w:rsid w:val="0072624D"/>
    <w:rsid w:val="00726CC6"/>
    <w:rsid w:val="007276E7"/>
    <w:rsid w:val="00727816"/>
    <w:rsid w:val="00730B9A"/>
    <w:rsid w:val="00735926"/>
    <w:rsid w:val="0074000B"/>
    <w:rsid w:val="00741B8B"/>
    <w:rsid w:val="00742E3B"/>
    <w:rsid w:val="00750CFA"/>
    <w:rsid w:val="00755235"/>
    <w:rsid w:val="007553DA"/>
    <w:rsid w:val="00757675"/>
    <w:rsid w:val="007730D0"/>
    <w:rsid w:val="00774AB5"/>
    <w:rsid w:val="00775193"/>
    <w:rsid w:val="0077753F"/>
    <w:rsid w:val="007813BD"/>
    <w:rsid w:val="007838E3"/>
    <w:rsid w:val="007921A7"/>
    <w:rsid w:val="00792797"/>
    <w:rsid w:val="007A2F78"/>
    <w:rsid w:val="007A35B8"/>
    <w:rsid w:val="007A558F"/>
    <w:rsid w:val="007B124D"/>
    <w:rsid w:val="007B3DB1"/>
    <w:rsid w:val="007B5EE6"/>
    <w:rsid w:val="007C0978"/>
    <w:rsid w:val="007C4F84"/>
    <w:rsid w:val="007D183E"/>
    <w:rsid w:val="007D5E87"/>
    <w:rsid w:val="007D5FB5"/>
    <w:rsid w:val="007D68A3"/>
    <w:rsid w:val="007E1781"/>
    <w:rsid w:val="007E1833"/>
    <w:rsid w:val="007E3D0D"/>
    <w:rsid w:val="007E3F13"/>
    <w:rsid w:val="007E4A80"/>
    <w:rsid w:val="007E64B3"/>
    <w:rsid w:val="007E6FAB"/>
    <w:rsid w:val="007F02DB"/>
    <w:rsid w:val="007F4AC8"/>
    <w:rsid w:val="007F535A"/>
    <w:rsid w:val="007F686B"/>
    <w:rsid w:val="007F751A"/>
    <w:rsid w:val="00800012"/>
    <w:rsid w:val="00801E03"/>
    <w:rsid w:val="00802150"/>
    <w:rsid w:val="008038F9"/>
    <w:rsid w:val="00805CFD"/>
    <w:rsid w:val="008062B1"/>
    <w:rsid w:val="0081035D"/>
    <w:rsid w:val="00814980"/>
    <w:rsid w:val="0081513E"/>
    <w:rsid w:val="00827CDD"/>
    <w:rsid w:val="0083274A"/>
    <w:rsid w:val="00833DF3"/>
    <w:rsid w:val="008408D1"/>
    <w:rsid w:val="008508BE"/>
    <w:rsid w:val="008514E1"/>
    <w:rsid w:val="0085302D"/>
    <w:rsid w:val="00853839"/>
    <w:rsid w:val="00854131"/>
    <w:rsid w:val="0085652D"/>
    <w:rsid w:val="00863401"/>
    <w:rsid w:val="0086344C"/>
    <w:rsid w:val="0087694B"/>
    <w:rsid w:val="0088563D"/>
    <w:rsid w:val="00895CEB"/>
    <w:rsid w:val="008A1BA1"/>
    <w:rsid w:val="008A661E"/>
    <w:rsid w:val="008B1D97"/>
    <w:rsid w:val="008B6D64"/>
    <w:rsid w:val="008C2E74"/>
    <w:rsid w:val="008C2F69"/>
    <w:rsid w:val="008D2882"/>
    <w:rsid w:val="008D465C"/>
    <w:rsid w:val="008E2AB3"/>
    <w:rsid w:val="008E542A"/>
    <w:rsid w:val="008E55E0"/>
    <w:rsid w:val="008F0B0A"/>
    <w:rsid w:val="008F2C51"/>
    <w:rsid w:val="008F3B0E"/>
    <w:rsid w:val="008F4F21"/>
    <w:rsid w:val="008F6BC3"/>
    <w:rsid w:val="008F749C"/>
    <w:rsid w:val="00904D4A"/>
    <w:rsid w:val="00906F02"/>
    <w:rsid w:val="00907878"/>
    <w:rsid w:val="009078AE"/>
    <w:rsid w:val="009128DE"/>
    <w:rsid w:val="009151BA"/>
    <w:rsid w:val="00915575"/>
    <w:rsid w:val="00921A33"/>
    <w:rsid w:val="0092249F"/>
    <w:rsid w:val="00925023"/>
    <w:rsid w:val="009277BC"/>
    <w:rsid w:val="00927D57"/>
    <w:rsid w:val="00931A51"/>
    <w:rsid w:val="00932A80"/>
    <w:rsid w:val="00933190"/>
    <w:rsid w:val="0093628D"/>
    <w:rsid w:val="00937AE0"/>
    <w:rsid w:val="00937FCE"/>
    <w:rsid w:val="0094068E"/>
    <w:rsid w:val="00944222"/>
    <w:rsid w:val="00947185"/>
    <w:rsid w:val="00947353"/>
    <w:rsid w:val="00947903"/>
    <w:rsid w:val="0095403A"/>
    <w:rsid w:val="009566F7"/>
    <w:rsid w:val="00957FC3"/>
    <w:rsid w:val="00960FDA"/>
    <w:rsid w:val="00963CF4"/>
    <w:rsid w:val="00963D9D"/>
    <w:rsid w:val="00964B02"/>
    <w:rsid w:val="009716CC"/>
    <w:rsid w:val="0097220D"/>
    <w:rsid w:val="0098013E"/>
    <w:rsid w:val="00981B54"/>
    <w:rsid w:val="009842C3"/>
    <w:rsid w:val="00991C86"/>
    <w:rsid w:val="00993353"/>
    <w:rsid w:val="009A009A"/>
    <w:rsid w:val="009A0E59"/>
    <w:rsid w:val="009A5B07"/>
    <w:rsid w:val="009A6BB6"/>
    <w:rsid w:val="009B0AEB"/>
    <w:rsid w:val="009B2AD5"/>
    <w:rsid w:val="009B2E8B"/>
    <w:rsid w:val="009B3472"/>
    <w:rsid w:val="009B4F6D"/>
    <w:rsid w:val="009C0D9E"/>
    <w:rsid w:val="009C161F"/>
    <w:rsid w:val="009C4CAA"/>
    <w:rsid w:val="009C56B4"/>
    <w:rsid w:val="009C7AC5"/>
    <w:rsid w:val="009C7F3F"/>
    <w:rsid w:val="009D50E4"/>
    <w:rsid w:val="009D60E4"/>
    <w:rsid w:val="009D69C1"/>
    <w:rsid w:val="009E1556"/>
    <w:rsid w:val="009E3EE8"/>
    <w:rsid w:val="009E4AEC"/>
    <w:rsid w:val="009E5BD8"/>
    <w:rsid w:val="009E681E"/>
    <w:rsid w:val="009E7784"/>
    <w:rsid w:val="009F78E3"/>
    <w:rsid w:val="00A025B0"/>
    <w:rsid w:val="00A030EF"/>
    <w:rsid w:val="00A03504"/>
    <w:rsid w:val="00A03942"/>
    <w:rsid w:val="00A051CB"/>
    <w:rsid w:val="00A07778"/>
    <w:rsid w:val="00A12D36"/>
    <w:rsid w:val="00A1361D"/>
    <w:rsid w:val="00A13C6F"/>
    <w:rsid w:val="00A211F1"/>
    <w:rsid w:val="00A231E5"/>
    <w:rsid w:val="00A23730"/>
    <w:rsid w:val="00A24C20"/>
    <w:rsid w:val="00A2547E"/>
    <w:rsid w:val="00A32C52"/>
    <w:rsid w:val="00A33E5F"/>
    <w:rsid w:val="00A34D6F"/>
    <w:rsid w:val="00A41632"/>
    <w:rsid w:val="00A41F91"/>
    <w:rsid w:val="00A44165"/>
    <w:rsid w:val="00A44E4C"/>
    <w:rsid w:val="00A50AC9"/>
    <w:rsid w:val="00A51129"/>
    <w:rsid w:val="00A56D83"/>
    <w:rsid w:val="00A63626"/>
    <w:rsid w:val="00A637C7"/>
    <w:rsid w:val="00A641B8"/>
    <w:rsid w:val="00A64274"/>
    <w:rsid w:val="00A64F3B"/>
    <w:rsid w:val="00A760D3"/>
    <w:rsid w:val="00A80198"/>
    <w:rsid w:val="00A83B90"/>
    <w:rsid w:val="00A84D25"/>
    <w:rsid w:val="00A93D2F"/>
    <w:rsid w:val="00A942FD"/>
    <w:rsid w:val="00A963DF"/>
    <w:rsid w:val="00AA3BBA"/>
    <w:rsid w:val="00AA7C6B"/>
    <w:rsid w:val="00AB04EE"/>
    <w:rsid w:val="00AB0EAA"/>
    <w:rsid w:val="00AB3DA0"/>
    <w:rsid w:val="00AB79CE"/>
    <w:rsid w:val="00AC0CEA"/>
    <w:rsid w:val="00AC3896"/>
    <w:rsid w:val="00AC4D0A"/>
    <w:rsid w:val="00AC4E02"/>
    <w:rsid w:val="00AD1022"/>
    <w:rsid w:val="00AD4EC3"/>
    <w:rsid w:val="00AE4EA0"/>
    <w:rsid w:val="00AF073B"/>
    <w:rsid w:val="00AF3325"/>
    <w:rsid w:val="00AF4270"/>
    <w:rsid w:val="00AF4E58"/>
    <w:rsid w:val="00AF6D8B"/>
    <w:rsid w:val="00B019D3"/>
    <w:rsid w:val="00B13EEF"/>
    <w:rsid w:val="00B22625"/>
    <w:rsid w:val="00B23E85"/>
    <w:rsid w:val="00B257A9"/>
    <w:rsid w:val="00B32C59"/>
    <w:rsid w:val="00B34CF9"/>
    <w:rsid w:val="00B34D0D"/>
    <w:rsid w:val="00B50D8C"/>
    <w:rsid w:val="00B614D6"/>
    <w:rsid w:val="00B63C0E"/>
    <w:rsid w:val="00B7603E"/>
    <w:rsid w:val="00B806C6"/>
    <w:rsid w:val="00B820AD"/>
    <w:rsid w:val="00B82CD7"/>
    <w:rsid w:val="00B82FDA"/>
    <w:rsid w:val="00B85D96"/>
    <w:rsid w:val="00B90C45"/>
    <w:rsid w:val="00B9211C"/>
    <w:rsid w:val="00B933BE"/>
    <w:rsid w:val="00B95485"/>
    <w:rsid w:val="00B969F0"/>
    <w:rsid w:val="00BB1A9C"/>
    <w:rsid w:val="00BB4970"/>
    <w:rsid w:val="00BB59FE"/>
    <w:rsid w:val="00BC0785"/>
    <w:rsid w:val="00BC342B"/>
    <w:rsid w:val="00BC3C6D"/>
    <w:rsid w:val="00BC47B3"/>
    <w:rsid w:val="00BD558A"/>
    <w:rsid w:val="00BD55C7"/>
    <w:rsid w:val="00BD6738"/>
    <w:rsid w:val="00BD6ADA"/>
    <w:rsid w:val="00BD7E5E"/>
    <w:rsid w:val="00BE0AF9"/>
    <w:rsid w:val="00BE1516"/>
    <w:rsid w:val="00BE4101"/>
    <w:rsid w:val="00BE6574"/>
    <w:rsid w:val="00BF708A"/>
    <w:rsid w:val="00C076B0"/>
    <w:rsid w:val="00C1099B"/>
    <w:rsid w:val="00C1349A"/>
    <w:rsid w:val="00C14004"/>
    <w:rsid w:val="00C14D98"/>
    <w:rsid w:val="00C16FD2"/>
    <w:rsid w:val="00C2005B"/>
    <w:rsid w:val="00C20E14"/>
    <w:rsid w:val="00C21807"/>
    <w:rsid w:val="00C237DD"/>
    <w:rsid w:val="00C24BF8"/>
    <w:rsid w:val="00C318DE"/>
    <w:rsid w:val="00C31C7A"/>
    <w:rsid w:val="00C35807"/>
    <w:rsid w:val="00C37978"/>
    <w:rsid w:val="00C40D33"/>
    <w:rsid w:val="00C420E1"/>
    <w:rsid w:val="00C4213A"/>
    <w:rsid w:val="00C42B24"/>
    <w:rsid w:val="00C43517"/>
    <w:rsid w:val="00C47120"/>
    <w:rsid w:val="00C5404A"/>
    <w:rsid w:val="00C546AD"/>
    <w:rsid w:val="00C57E2C"/>
    <w:rsid w:val="00C608B7"/>
    <w:rsid w:val="00C6254B"/>
    <w:rsid w:val="00C6338E"/>
    <w:rsid w:val="00C66F24"/>
    <w:rsid w:val="00C74965"/>
    <w:rsid w:val="00C7779D"/>
    <w:rsid w:val="00C813AA"/>
    <w:rsid w:val="00C85CE5"/>
    <w:rsid w:val="00C87954"/>
    <w:rsid w:val="00C87CBA"/>
    <w:rsid w:val="00C907B0"/>
    <w:rsid w:val="00C9084B"/>
    <w:rsid w:val="00C915E1"/>
    <w:rsid w:val="00C9291E"/>
    <w:rsid w:val="00CA1BF5"/>
    <w:rsid w:val="00CA3F03"/>
    <w:rsid w:val="00CA3F44"/>
    <w:rsid w:val="00CA422D"/>
    <w:rsid w:val="00CA4E58"/>
    <w:rsid w:val="00CB29DE"/>
    <w:rsid w:val="00CB3771"/>
    <w:rsid w:val="00CB5153"/>
    <w:rsid w:val="00CC42A8"/>
    <w:rsid w:val="00CC4D52"/>
    <w:rsid w:val="00CC52CA"/>
    <w:rsid w:val="00CC64B5"/>
    <w:rsid w:val="00CD6B95"/>
    <w:rsid w:val="00CE076A"/>
    <w:rsid w:val="00CF25C6"/>
    <w:rsid w:val="00CF7C07"/>
    <w:rsid w:val="00D00B69"/>
    <w:rsid w:val="00D0250A"/>
    <w:rsid w:val="00D1032C"/>
    <w:rsid w:val="00D10BA0"/>
    <w:rsid w:val="00D11D7C"/>
    <w:rsid w:val="00D16C57"/>
    <w:rsid w:val="00D2493A"/>
    <w:rsid w:val="00D24EB5"/>
    <w:rsid w:val="00D256E0"/>
    <w:rsid w:val="00D311FD"/>
    <w:rsid w:val="00D31B70"/>
    <w:rsid w:val="00D32FC7"/>
    <w:rsid w:val="00D3353B"/>
    <w:rsid w:val="00D33E65"/>
    <w:rsid w:val="00D35710"/>
    <w:rsid w:val="00D3617E"/>
    <w:rsid w:val="00D37D05"/>
    <w:rsid w:val="00D41571"/>
    <w:rsid w:val="00D416A0"/>
    <w:rsid w:val="00D418CA"/>
    <w:rsid w:val="00D47672"/>
    <w:rsid w:val="00D5123C"/>
    <w:rsid w:val="00D55560"/>
    <w:rsid w:val="00D5714F"/>
    <w:rsid w:val="00D61C5A"/>
    <w:rsid w:val="00D62BDC"/>
    <w:rsid w:val="00D63CF3"/>
    <w:rsid w:val="00D662E0"/>
    <w:rsid w:val="00D76689"/>
    <w:rsid w:val="00D82BA7"/>
    <w:rsid w:val="00D835BF"/>
    <w:rsid w:val="00D86B62"/>
    <w:rsid w:val="00D87E20"/>
    <w:rsid w:val="00D9004A"/>
    <w:rsid w:val="00D91B45"/>
    <w:rsid w:val="00D9216F"/>
    <w:rsid w:val="00D9542E"/>
    <w:rsid w:val="00D96C8B"/>
    <w:rsid w:val="00DA6FE4"/>
    <w:rsid w:val="00DA783D"/>
    <w:rsid w:val="00DB02AB"/>
    <w:rsid w:val="00DC2B8C"/>
    <w:rsid w:val="00DC38F7"/>
    <w:rsid w:val="00DC7B0B"/>
    <w:rsid w:val="00DD48C6"/>
    <w:rsid w:val="00DD593F"/>
    <w:rsid w:val="00DE075A"/>
    <w:rsid w:val="00DE10A3"/>
    <w:rsid w:val="00DE66A5"/>
    <w:rsid w:val="00DE6A53"/>
    <w:rsid w:val="00DE6D7D"/>
    <w:rsid w:val="00DF2B50"/>
    <w:rsid w:val="00DF3EF7"/>
    <w:rsid w:val="00E00540"/>
    <w:rsid w:val="00E01B84"/>
    <w:rsid w:val="00E04C86"/>
    <w:rsid w:val="00E04CAF"/>
    <w:rsid w:val="00E126B4"/>
    <w:rsid w:val="00E131F4"/>
    <w:rsid w:val="00E132E8"/>
    <w:rsid w:val="00E133FC"/>
    <w:rsid w:val="00E15493"/>
    <w:rsid w:val="00E15ED5"/>
    <w:rsid w:val="00E20F30"/>
    <w:rsid w:val="00E2189C"/>
    <w:rsid w:val="00E21D93"/>
    <w:rsid w:val="00E252C7"/>
    <w:rsid w:val="00E25BB1"/>
    <w:rsid w:val="00E27BBA"/>
    <w:rsid w:val="00E35E8F"/>
    <w:rsid w:val="00E37AB7"/>
    <w:rsid w:val="00E37DDD"/>
    <w:rsid w:val="00E428AB"/>
    <w:rsid w:val="00E430D7"/>
    <w:rsid w:val="00E438E8"/>
    <w:rsid w:val="00E46AB3"/>
    <w:rsid w:val="00E520E2"/>
    <w:rsid w:val="00E5320B"/>
    <w:rsid w:val="00E56227"/>
    <w:rsid w:val="00E61A12"/>
    <w:rsid w:val="00E64254"/>
    <w:rsid w:val="00E713F8"/>
    <w:rsid w:val="00E821E7"/>
    <w:rsid w:val="00E844A5"/>
    <w:rsid w:val="00E92C14"/>
    <w:rsid w:val="00E94C18"/>
    <w:rsid w:val="00E951F7"/>
    <w:rsid w:val="00EA0E7A"/>
    <w:rsid w:val="00EA15B3"/>
    <w:rsid w:val="00EA42E0"/>
    <w:rsid w:val="00EA4B6E"/>
    <w:rsid w:val="00EB2358"/>
    <w:rsid w:val="00EB3EB8"/>
    <w:rsid w:val="00EB7F0C"/>
    <w:rsid w:val="00EC0081"/>
    <w:rsid w:val="00EC12CD"/>
    <w:rsid w:val="00ED14EC"/>
    <w:rsid w:val="00ED5A66"/>
    <w:rsid w:val="00EE1A7A"/>
    <w:rsid w:val="00EE1E54"/>
    <w:rsid w:val="00EE307A"/>
    <w:rsid w:val="00EE41CD"/>
    <w:rsid w:val="00EE74BC"/>
    <w:rsid w:val="00EE7F13"/>
    <w:rsid w:val="00EF4162"/>
    <w:rsid w:val="00EF500E"/>
    <w:rsid w:val="00F04521"/>
    <w:rsid w:val="00F23C01"/>
    <w:rsid w:val="00F254FE"/>
    <w:rsid w:val="00F2626D"/>
    <w:rsid w:val="00F2682C"/>
    <w:rsid w:val="00F26E4B"/>
    <w:rsid w:val="00F34DAB"/>
    <w:rsid w:val="00F45AD0"/>
    <w:rsid w:val="00F468C5"/>
    <w:rsid w:val="00F51F3F"/>
    <w:rsid w:val="00F525E2"/>
    <w:rsid w:val="00F52F39"/>
    <w:rsid w:val="00F56CAF"/>
    <w:rsid w:val="00F6078C"/>
    <w:rsid w:val="00F60A90"/>
    <w:rsid w:val="00F640A6"/>
    <w:rsid w:val="00F641F5"/>
    <w:rsid w:val="00F75C0C"/>
    <w:rsid w:val="00F82F07"/>
    <w:rsid w:val="00F9081E"/>
    <w:rsid w:val="00F914DD"/>
    <w:rsid w:val="00F94441"/>
    <w:rsid w:val="00FA2358"/>
    <w:rsid w:val="00FA2381"/>
    <w:rsid w:val="00FA238F"/>
    <w:rsid w:val="00FA3A3C"/>
    <w:rsid w:val="00FA3E42"/>
    <w:rsid w:val="00FA621E"/>
    <w:rsid w:val="00FB1BB8"/>
    <w:rsid w:val="00FB2592"/>
    <w:rsid w:val="00FB2810"/>
    <w:rsid w:val="00FB3828"/>
    <w:rsid w:val="00FB5A51"/>
    <w:rsid w:val="00FC1F2D"/>
    <w:rsid w:val="00FC2947"/>
    <w:rsid w:val="00FC2E7A"/>
    <w:rsid w:val="00FD1AE9"/>
    <w:rsid w:val="00FE0818"/>
    <w:rsid w:val="00FE5528"/>
    <w:rsid w:val="00FE7A18"/>
    <w:rsid w:val="00FF04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050D"/>
  <w15:docId w15:val="{66EAD5B1-99DE-4353-8365-F2E6CE8C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footer odd,fo,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Normalaftertitle0">
    <w:name w:val="Normal after title"/>
    <w:basedOn w:val="Normal"/>
    <w:next w:val="Normal"/>
    <w:rsid w:val="006075DA"/>
    <w:pPr>
      <w:overflowPunct/>
      <w:autoSpaceDE/>
      <w:autoSpaceDN/>
      <w:adjustRightInd/>
      <w:spacing w:before="320" w:line="240" w:lineRule="auto"/>
      <w:jc w:val="left"/>
      <w:textAlignment w:val="auto"/>
    </w:pPr>
    <w:rPr>
      <w:rFonts w:ascii="Times New Roman" w:eastAsia="Times New Roman" w:hAnsi="Times New Roman" w:cs="Times New Roman"/>
      <w:sz w:val="24"/>
      <w:szCs w:val="20"/>
      <w:lang w:val="en-GB"/>
    </w:rPr>
  </w:style>
  <w:style w:type="paragraph" w:customStyle="1" w:styleId="headingi0">
    <w:name w:val="heading_i"/>
    <w:basedOn w:val="Heading3"/>
    <w:next w:val="Normal"/>
    <w:rsid w:val="006075DA"/>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Times New Roman" w:hAnsi="Times New Roman" w:cs="Times New Roman"/>
      <w:b w:val="0"/>
      <w:i/>
      <w:szCs w:val="20"/>
      <w:lang w:val="en-GB"/>
    </w:rPr>
  </w:style>
  <w:style w:type="paragraph" w:customStyle="1" w:styleId="CharCharCharCharCharChar">
    <w:name w:val="Char Char Char Char Char Char"/>
    <w:basedOn w:val="Normal"/>
    <w:rsid w:val="006075DA"/>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cs="Times New Roman"/>
      <w:kern w:val="2"/>
      <w:sz w:val="24"/>
      <w:szCs w:val="20"/>
      <w:lang w:eastAsia="zh-CN"/>
    </w:rPr>
  </w:style>
  <w:style w:type="paragraph" w:customStyle="1" w:styleId="TableTitle">
    <w:name w:val="Table_Title"/>
    <w:basedOn w:val="Normal"/>
    <w:next w:val="Normal"/>
    <w:rsid w:val="006075DA"/>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 w:val="24"/>
      <w:szCs w:val="20"/>
      <w:lang w:val="en-GB"/>
    </w:rPr>
  </w:style>
  <w:style w:type="paragraph" w:styleId="Subtitle">
    <w:name w:val="Subtitle"/>
    <w:basedOn w:val="Normal"/>
    <w:link w:val="SubtitleChar"/>
    <w:qFormat/>
    <w:rsid w:val="006075DA"/>
    <w:pPr>
      <w:tabs>
        <w:tab w:val="clear" w:pos="794"/>
        <w:tab w:val="clear" w:pos="1191"/>
        <w:tab w:val="clear" w:pos="1588"/>
        <w:tab w:val="clear" w:pos="1985"/>
      </w:tabs>
      <w:overflowPunct/>
      <w:autoSpaceDE/>
      <w:autoSpaceDN/>
      <w:adjustRightInd/>
      <w:spacing w:before="0" w:line="240" w:lineRule="auto"/>
      <w:jc w:val="center"/>
      <w:textAlignment w:val="auto"/>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6075DA"/>
    <w:rPr>
      <w:rFonts w:ascii="Times New Roman" w:eastAsia="Times New Roman" w:hAnsi="Times New Roman" w:cs="Times New Roman"/>
      <w:b/>
      <w:bCs/>
      <w:sz w:val="28"/>
      <w:szCs w:val="24"/>
      <w:lang w:val="en-US" w:eastAsia="en-US"/>
    </w:rPr>
  </w:style>
  <w:style w:type="paragraph" w:styleId="BodyTextIndent3">
    <w:name w:val="Body Text Indent 3"/>
    <w:basedOn w:val="Normal"/>
    <w:link w:val="BodyTextIndent3Char"/>
    <w:rsid w:val="006075DA"/>
    <w:pPr>
      <w:overflowPunct/>
      <w:autoSpaceDE/>
      <w:autoSpaceDN/>
      <w:adjustRightInd/>
      <w:spacing w:before="120" w:line="240" w:lineRule="auto"/>
      <w:ind w:left="284"/>
      <w:jc w:val="left"/>
      <w:textAlignment w:val="auto"/>
    </w:pPr>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rsid w:val="006075DA"/>
    <w:rPr>
      <w:rFonts w:ascii="Times New Roman" w:eastAsia="Times New Roman" w:hAnsi="Times New Roman" w:cs="Times New Roman"/>
      <w:sz w:val="24"/>
      <w:lang w:val="en-GB" w:eastAsia="en-US"/>
    </w:rPr>
  </w:style>
  <w:style w:type="character" w:styleId="PlaceholderText">
    <w:name w:val="Placeholder Text"/>
    <w:basedOn w:val="DefaultParagraphFont"/>
    <w:uiPriority w:val="99"/>
    <w:semiHidden/>
    <w:rsid w:val="00113E8A"/>
    <w:rPr>
      <w:color w:val="808080"/>
    </w:rPr>
  </w:style>
  <w:style w:type="character" w:styleId="FollowedHyperlink">
    <w:name w:val="FollowedHyperlink"/>
    <w:basedOn w:val="DefaultParagraphFont"/>
    <w:rsid w:val="00113E8A"/>
    <w:rPr>
      <w:color w:val="800080" w:themeColor="followedHyperlink"/>
      <w:u w:val="single"/>
    </w:rPr>
  </w:style>
  <w:style w:type="paragraph" w:styleId="ListParagraph">
    <w:name w:val="List Paragraph"/>
    <w:basedOn w:val="Normal"/>
    <w:uiPriority w:val="34"/>
    <w:qFormat/>
    <w:rsid w:val="005659F4"/>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eastAsia="Times New Roman" w:cs="Times New Roman"/>
      <w:sz w:val="24"/>
      <w:szCs w:val="20"/>
      <w:lang w:val="en-GB"/>
    </w:rPr>
  </w:style>
  <w:style w:type="paragraph" w:customStyle="1" w:styleId="AnnexNo">
    <w:name w:val="Annex_No"/>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eastAsia="Times New Roman" w:cs="Times New Roman"/>
      <w:caps/>
      <w:sz w:val="28"/>
      <w:szCs w:val="20"/>
      <w:lang w:val="en-GB"/>
    </w:rPr>
  </w:style>
  <w:style w:type="paragraph" w:customStyle="1" w:styleId="Annextitle">
    <w:name w:val="Annex_title"/>
    <w:basedOn w:val="Normal"/>
    <w:next w:val="Normal"/>
    <w:rsid w:val="005659F4"/>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eastAsia="Times New Roman" w:cs="Times New Roman"/>
      <w:b/>
      <w:sz w:val="28"/>
      <w:szCs w:val="20"/>
      <w:lang w:val="en-GB"/>
    </w:rPr>
  </w:style>
  <w:style w:type="character" w:customStyle="1" w:styleId="FooterChar">
    <w:name w:val="Footer Char"/>
    <w:aliases w:val="footer odd Char,fo Char,footer Char"/>
    <w:basedOn w:val="DefaultParagraphFont"/>
    <w:link w:val="Footer"/>
    <w:uiPriority w:val="99"/>
    <w:rsid w:val="00726CC6"/>
    <w:rPr>
      <w:sz w:val="22"/>
      <w:szCs w:val="22"/>
      <w:lang w:val="en-US"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locked/>
    <w:rsid w:val="006A78A1"/>
    <w:rPr>
      <w:szCs w:val="22"/>
      <w:lang w:val="en-US" w:eastAsia="en-US"/>
    </w:rPr>
  </w:style>
  <w:style w:type="table" w:styleId="TableGrid">
    <w:name w:val="Table Grid"/>
    <w:basedOn w:val="TableNormal"/>
    <w:uiPriority w:val="39"/>
    <w:rsid w:val="00EA0E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F23C01"/>
    <w:rPr>
      <w:szCs w:val="22"/>
      <w:lang w:val="en-US" w:eastAsia="en-US"/>
    </w:rPr>
  </w:style>
  <w:style w:type="character" w:styleId="UnresolvedMention">
    <w:name w:val="Unresolved Mention"/>
    <w:basedOn w:val="DefaultParagraphFont"/>
    <w:uiPriority w:val="99"/>
    <w:semiHidden/>
    <w:unhideWhenUsed/>
    <w:rsid w:val="00D256E0"/>
    <w:rPr>
      <w:color w:val="605E5C"/>
      <w:shd w:val="clear" w:color="auto" w:fill="E1DFDD"/>
    </w:rPr>
  </w:style>
  <w:style w:type="paragraph" w:styleId="EndnoteText">
    <w:name w:val="endnote text"/>
    <w:basedOn w:val="Normal"/>
    <w:link w:val="EndnoteTextChar"/>
    <w:uiPriority w:val="99"/>
    <w:semiHidden/>
    <w:unhideWhenUsed/>
    <w:rsid w:val="00AB3DA0"/>
    <w:pPr>
      <w:tabs>
        <w:tab w:val="clear" w:pos="794"/>
        <w:tab w:val="clear" w:pos="1191"/>
        <w:tab w:val="clear" w:pos="1588"/>
        <w:tab w:val="clear" w:pos="1985"/>
      </w:tabs>
      <w:overflowPunct/>
      <w:autoSpaceDE/>
      <w:autoSpaceDN/>
      <w:adjustRightInd/>
      <w:spacing w:before="0" w:line="240" w:lineRule="auto"/>
      <w:jc w:val="left"/>
      <w:textAlignment w:val="auto"/>
    </w:pPr>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AB3DA0"/>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AB3DA0"/>
    <w:rPr>
      <w:vertAlign w:val="superscript"/>
    </w:rPr>
  </w:style>
  <w:style w:type="paragraph" w:styleId="CommentSubject">
    <w:name w:val="annotation subject"/>
    <w:basedOn w:val="CommentText"/>
    <w:next w:val="CommentText"/>
    <w:link w:val="CommentSubjectChar"/>
    <w:semiHidden/>
    <w:unhideWhenUsed/>
    <w:rsid w:val="00426AB5"/>
    <w:pPr>
      <w:spacing w:line="240" w:lineRule="auto"/>
    </w:pPr>
    <w:rPr>
      <w:b/>
      <w:bCs/>
      <w:szCs w:val="20"/>
    </w:rPr>
  </w:style>
  <w:style w:type="character" w:customStyle="1" w:styleId="CommentSubjectChar">
    <w:name w:val="Comment Subject Char"/>
    <w:basedOn w:val="CommentTextChar"/>
    <w:link w:val="CommentSubject"/>
    <w:semiHidden/>
    <w:rsid w:val="00426AB5"/>
    <w:rPr>
      <w:b/>
      <w:bCs/>
      <w:szCs w:val="22"/>
      <w:lang w:val="en-US" w:eastAsia="en-US"/>
    </w:rPr>
  </w:style>
  <w:style w:type="paragraph" w:styleId="Revision">
    <w:name w:val="Revision"/>
    <w:hidden/>
    <w:uiPriority w:val="99"/>
    <w:semiHidden/>
    <w:rsid w:val="00833DF3"/>
    <w:rPr>
      <w:sz w:val="22"/>
      <w:szCs w:val="22"/>
      <w:lang w:val="en-US" w:eastAsia="en-US"/>
    </w:rPr>
  </w:style>
  <w:style w:type="paragraph" w:customStyle="1" w:styleId="Message">
    <w:name w:val="Message"/>
    <w:rsid w:val="008F6BC3"/>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character" w:customStyle="1" w:styleId="enumlev1Char">
    <w:name w:val="enumlev1 Char"/>
    <w:basedOn w:val="DefaultParagraphFont"/>
    <w:link w:val="enumlev1"/>
    <w:rsid w:val="00A03504"/>
    <w:rPr>
      <w:sz w:val="22"/>
      <w:szCs w:val="22"/>
      <w:lang w:val="en-US" w:eastAsia="en-US"/>
    </w:rPr>
  </w:style>
  <w:style w:type="character" w:customStyle="1" w:styleId="HeaderChar">
    <w:name w:val="Header Char"/>
    <w:aliases w:val="encabezado Char,he Char,encabezad Char"/>
    <w:basedOn w:val="DefaultParagraphFont"/>
    <w:link w:val="Header"/>
    <w:uiPriority w:val="99"/>
    <w:rsid w:val="00E126B4"/>
    <w:rPr>
      <w:sz w:val="22"/>
      <w:szCs w:val="22"/>
      <w:lang w:val="en-US" w:eastAsia="en-US"/>
    </w:rPr>
  </w:style>
  <w:style w:type="paragraph" w:customStyle="1" w:styleId="TextA">
    <w:name w:val="Text A"/>
    <w:rsid w:val="00E126B4"/>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olor w:val="000000"/>
      <w:sz w:val="24"/>
      <w:szCs w:val="24"/>
      <w:u w:color="000000"/>
      <w:bdr w:val="nil"/>
      <w:lang w:val="en-US"/>
    </w:rPr>
  </w:style>
  <w:style w:type="character" w:customStyle="1" w:styleId="Hyperlink0">
    <w:name w:val="Hyperlink.0"/>
    <w:basedOn w:val="DefaultParagraphFont"/>
    <w:rsid w:val="00E126B4"/>
    <w:rPr>
      <w:color w:val="0000FF"/>
      <w:u w:val="single" w:color="0000FF"/>
    </w:rPr>
  </w:style>
  <w:style w:type="paragraph" w:customStyle="1" w:styleId="call0">
    <w:name w:val="call"/>
    <w:basedOn w:val="Normal"/>
    <w:next w:val="Normal"/>
    <w:rsid w:val="008E542A"/>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eastAsia="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635438">
      <w:bodyDiv w:val="1"/>
      <w:marLeft w:val="0"/>
      <w:marRight w:val="0"/>
      <w:marTop w:val="0"/>
      <w:marBottom w:val="0"/>
      <w:divBdr>
        <w:top w:val="none" w:sz="0" w:space="0" w:color="auto"/>
        <w:left w:val="none" w:sz="0" w:space="0" w:color="auto"/>
        <w:bottom w:val="none" w:sz="0" w:space="0" w:color="auto"/>
        <w:right w:val="none" w:sz="0" w:space="0" w:color="auto"/>
      </w:divBdr>
      <w:divsChild>
        <w:div w:id="2019309087">
          <w:marLeft w:val="0"/>
          <w:marRight w:val="0"/>
          <w:marTop w:val="0"/>
          <w:marBottom w:val="0"/>
          <w:divBdr>
            <w:top w:val="none" w:sz="0" w:space="0" w:color="auto"/>
            <w:left w:val="none" w:sz="0" w:space="0" w:color="auto"/>
            <w:bottom w:val="none" w:sz="0" w:space="0" w:color="auto"/>
            <w:right w:val="none" w:sz="0" w:space="0" w:color="auto"/>
          </w:divBdr>
        </w:div>
        <w:div w:id="1304314712">
          <w:marLeft w:val="0"/>
          <w:marRight w:val="0"/>
          <w:marTop w:val="0"/>
          <w:marBottom w:val="0"/>
          <w:divBdr>
            <w:top w:val="none" w:sz="0" w:space="0" w:color="auto"/>
            <w:left w:val="none" w:sz="0" w:space="0" w:color="auto"/>
            <w:bottom w:val="none" w:sz="0" w:space="0" w:color="auto"/>
            <w:right w:val="none" w:sz="0" w:space="0" w:color="auto"/>
          </w:divBdr>
        </w:div>
        <w:div w:id="791675321">
          <w:marLeft w:val="0"/>
          <w:marRight w:val="0"/>
          <w:marTop w:val="0"/>
          <w:marBottom w:val="0"/>
          <w:divBdr>
            <w:top w:val="none" w:sz="0" w:space="0" w:color="auto"/>
            <w:left w:val="none" w:sz="0" w:space="0" w:color="auto"/>
            <w:bottom w:val="none" w:sz="0" w:space="0" w:color="auto"/>
            <w:right w:val="none" w:sz="0" w:space="0" w:color="auto"/>
          </w:divBdr>
        </w:div>
        <w:div w:id="821506167">
          <w:marLeft w:val="0"/>
          <w:marRight w:val="0"/>
          <w:marTop w:val="0"/>
          <w:marBottom w:val="0"/>
          <w:divBdr>
            <w:top w:val="none" w:sz="0" w:space="0" w:color="auto"/>
            <w:left w:val="none" w:sz="0" w:space="0" w:color="auto"/>
            <w:bottom w:val="none" w:sz="0" w:space="0" w:color="auto"/>
            <w:right w:val="none" w:sz="0" w:space="0" w:color="auto"/>
          </w:divBdr>
        </w:div>
        <w:div w:id="1323849218">
          <w:marLeft w:val="0"/>
          <w:marRight w:val="0"/>
          <w:marTop w:val="0"/>
          <w:marBottom w:val="0"/>
          <w:divBdr>
            <w:top w:val="none" w:sz="0" w:space="0" w:color="auto"/>
            <w:left w:val="none" w:sz="0" w:space="0" w:color="auto"/>
            <w:bottom w:val="none" w:sz="0" w:space="0" w:color="auto"/>
            <w:right w:val="none" w:sz="0" w:space="0" w:color="auto"/>
          </w:divBdr>
        </w:div>
      </w:divsChild>
    </w:div>
    <w:div w:id="570505232">
      <w:bodyDiv w:val="1"/>
      <w:marLeft w:val="0"/>
      <w:marRight w:val="0"/>
      <w:marTop w:val="0"/>
      <w:marBottom w:val="0"/>
      <w:divBdr>
        <w:top w:val="none" w:sz="0" w:space="0" w:color="auto"/>
        <w:left w:val="none" w:sz="0" w:space="0" w:color="auto"/>
        <w:bottom w:val="none" w:sz="0" w:space="0" w:color="auto"/>
        <w:right w:val="none" w:sz="0" w:space="0" w:color="auto"/>
      </w:divBdr>
    </w:div>
    <w:div w:id="9539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VC-C-0009/en" TargetMode="External"/><Relationship Id="rId18" Type="http://schemas.openxmlformats.org/officeDocument/2006/relationships/header" Target="header3.xml"/><Relationship Id="rId26" Type="http://schemas.openxmlformats.org/officeDocument/2006/relationships/hyperlink" Target="https://www.itu.int/md/S20-CLVC-C-0011/en" TargetMode="External"/><Relationship Id="rId39" Type="http://schemas.openxmlformats.org/officeDocument/2006/relationships/header" Target="header6.xml"/><Relationship Id="rId21" Type="http://schemas.openxmlformats.org/officeDocument/2006/relationships/hyperlink" Target="https://www.itu.int/md/S20-CLVC-C-0005/en" TargetMode="External"/><Relationship Id="rId34" Type="http://schemas.openxmlformats.org/officeDocument/2006/relationships/hyperlink" Target="http://www.itu.int/itudoc/gs/council/c99/docs/docs1/068.html" TargetMode="External"/><Relationship Id="rId42" Type="http://schemas.openxmlformats.org/officeDocument/2006/relationships/hyperlink" Target="https://www.itu.int/md/S20-CL-C-0002/e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itu.int/md/S20-CL-C-002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bs@itu.int" TargetMode="External"/><Relationship Id="rId24" Type="http://schemas.openxmlformats.org/officeDocument/2006/relationships/hyperlink" Target="https://www.itu.int/md/S20-CLVC-200609-TD-0002/en" TargetMode="External"/><Relationship Id="rId32" Type="http://schemas.openxmlformats.org/officeDocument/2006/relationships/hyperlink" Target="https://www.itu.int/md/S20-CL-C-0055/en" TargetMode="Externa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mberstates@itu.int" TargetMode="External"/><Relationship Id="rId23" Type="http://schemas.openxmlformats.org/officeDocument/2006/relationships/hyperlink" Target="http://www.itu.int/md/S20-CL-C-0016/en" TargetMode="External"/><Relationship Id="rId28" Type="http://schemas.openxmlformats.org/officeDocument/2006/relationships/hyperlink" Target="http://www.itu.int/md/S20-CL-C-0002/en" TargetMode="External"/><Relationship Id="rId36" Type="http://schemas.openxmlformats.org/officeDocument/2006/relationships/hyperlink" Target="http://www.itu.int/md/S05-CL-C-0029/en"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4.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VC-C-0011/en" TargetMode="External"/><Relationship Id="rId22" Type="http://schemas.openxmlformats.org/officeDocument/2006/relationships/hyperlink" Target="http://www.itu.int/md/S20-CL-C-0055/en" TargetMode="External"/><Relationship Id="rId27" Type="http://schemas.openxmlformats.org/officeDocument/2006/relationships/hyperlink" Target="https://www.itu.int/md/S20-CLVC-C-0009/en" TargetMode="External"/><Relationship Id="rId30" Type="http://schemas.openxmlformats.org/officeDocument/2006/relationships/hyperlink" Target="mailto:memberstates@itu.int" TargetMode="External"/><Relationship Id="rId35" Type="http://schemas.openxmlformats.org/officeDocument/2006/relationships/hyperlink" Target="http://www.itu.int/itudoc/gs/council/c99/docs/docs1/047.html" TargetMode="External"/><Relationship Id="rId43"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0-CLVC-200609-TD-0001/en" TargetMode="External"/><Relationship Id="rId17" Type="http://schemas.openxmlformats.org/officeDocument/2006/relationships/header" Target="header2.xml"/><Relationship Id="rId25" Type="http://schemas.openxmlformats.org/officeDocument/2006/relationships/hyperlink" Target="http://www.itu.int/md/S20-CL-C-0027/en" TargetMode="External"/><Relationship Id="rId33" Type="http://schemas.openxmlformats.org/officeDocument/2006/relationships/hyperlink" Target="https://www.itu.int/md/S20-CLVC-200609-TD-0002/en" TargetMode="External"/><Relationship Id="rId38" Type="http://schemas.openxmlformats.org/officeDocument/2006/relationships/footer" Target="footer2.xml"/><Relationship Id="rId46" Type="http://schemas.openxmlformats.org/officeDocument/2006/relationships/glossaryDocument" Target="glossary/document.xml"/><Relationship Id="rId20" Type="http://schemas.openxmlformats.org/officeDocument/2006/relationships/hyperlink" Target="https://www.itu.int/md/S20-CL-C-0024/en" TargetMode="External"/><Relationship Id="rId41"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1705CDD49044E0AE2C9D9CB691DEEA"/>
        <w:category>
          <w:name w:val="General"/>
          <w:gallery w:val="placeholder"/>
        </w:category>
        <w:types>
          <w:type w:val="bbPlcHdr"/>
        </w:types>
        <w:behaviors>
          <w:behavior w:val="content"/>
        </w:behaviors>
        <w:guid w:val="{66478F55-D11E-48FC-88B4-D7BD0EC64642}"/>
      </w:docPartPr>
      <w:docPartBody>
        <w:p w:rsidR="004656EC" w:rsidRDefault="00F478A8">
          <w:pPr>
            <w:pStyle w:val="831705CDD49044E0AE2C9D9CB691DEE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78A8"/>
    <w:rsid w:val="00036E5D"/>
    <w:rsid w:val="000868DC"/>
    <w:rsid w:val="000F2201"/>
    <w:rsid w:val="0012328E"/>
    <w:rsid w:val="00132F58"/>
    <w:rsid w:val="00187B85"/>
    <w:rsid w:val="002942A2"/>
    <w:rsid w:val="002C5470"/>
    <w:rsid w:val="0042202C"/>
    <w:rsid w:val="00457FC9"/>
    <w:rsid w:val="004656EC"/>
    <w:rsid w:val="00467446"/>
    <w:rsid w:val="00481B6A"/>
    <w:rsid w:val="00582CD3"/>
    <w:rsid w:val="006E61A6"/>
    <w:rsid w:val="007B5392"/>
    <w:rsid w:val="007F7FF0"/>
    <w:rsid w:val="008A00EE"/>
    <w:rsid w:val="008B7B72"/>
    <w:rsid w:val="008F306C"/>
    <w:rsid w:val="00964949"/>
    <w:rsid w:val="00993DC8"/>
    <w:rsid w:val="009A684D"/>
    <w:rsid w:val="009A6B72"/>
    <w:rsid w:val="009B1C38"/>
    <w:rsid w:val="00A7690B"/>
    <w:rsid w:val="00AA79D3"/>
    <w:rsid w:val="00AB3FD5"/>
    <w:rsid w:val="00B05BBD"/>
    <w:rsid w:val="00B2488F"/>
    <w:rsid w:val="00BF73EF"/>
    <w:rsid w:val="00C505D5"/>
    <w:rsid w:val="00C57DB7"/>
    <w:rsid w:val="00C71A4A"/>
    <w:rsid w:val="00C86BAA"/>
    <w:rsid w:val="00CB3892"/>
    <w:rsid w:val="00DF3EB1"/>
    <w:rsid w:val="00E64C1C"/>
    <w:rsid w:val="00E80459"/>
    <w:rsid w:val="00E90B47"/>
    <w:rsid w:val="00EB17B0"/>
    <w:rsid w:val="00EB4B12"/>
    <w:rsid w:val="00EC2AF5"/>
    <w:rsid w:val="00F26907"/>
    <w:rsid w:val="00F405A5"/>
    <w:rsid w:val="00F478A8"/>
    <w:rsid w:val="00F74802"/>
    <w:rsid w:val="00FA6E1F"/>
    <w:rsid w:val="00FD21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C"/>
    <w:rPr>
      <w:color w:val="808080"/>
    </w:rPr>
  </w:style>
  <w:style w:type="paragraph" w:customStyle="1" w:styleId="831705CDD49044E0AE2C9D9CB691DEEA">
    <w:name w:val="831705CDD49044E0AE2C9D9CB691DEEA"/>
    <w:rsid w:val="00465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c8f8420c7c7674408d35863d246b8d47">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106be1268a42acf2222ebaf64573516b"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51FE0-E905-41A6-BD22-7E73314AC712}">
  <ds:schemaRefs>
    <ds:schemaRef ds:uri="http://schemas.openxmlformats.org/officeDocument/2006/bibliography"/>
  </ds:schemaRefs>
</ds:datastoreItem>
</file>

<file path=customXml/itemProps2.xml><?xml version="1.0" encoding="utf-8"?>
<ds:datastoreItem xmlns:ds="http://schemas.openxmlformats.org/officeDocument/2006/customXml" ds:itemID="{44F2E575-E07A-4601-A80A-03ACE09D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7277C-C62B-4838-A365-6338ADB5EB8A}">
  <ds:schemaRefs>
    <ds:schemaRef ds:uri="http://schemas.microsoft.com/sharepoint/v3/contenttype/forms"/>
  </ds:schemaRefs>
</ds:datastoreItem>
</file>

<file path=customXml/itemProps4.xml><?xml version="1.0" encoding="utf-8"?>
<ds:datastoreItem xmlns:ds="http://schemas.openxmlformats.org/officeDocument/2006/customXml" ds:itemID="{08E10606-4D5C-482B-AF49-105ADD3612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15</Pages>
  <Words>6518</Words>
  <Characters>35855</Characters>
  <Application>Microsoft Office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2020 Session of the Council</vt:lpstr>
      <vt:lpstr>ITU-T Rec. Book 1 Resolutions ITU-T Series A Recommendations:</vt:lpstr>
    </vt:vector>
  </TitlesOfParts>
  <Company>ITU</Company>
  <LinksUpToDate>false</LinksUpToDate>
  <CharactersWithSpaces>42289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Session of the Council</dc:title>
  <dc:subject/>
  <dc:creator>Janin</dc:creator>
  <cp:keywords>C20</cp:keywords>
  <dc:description/>
  <cp:lastModifiedBy>Diallo, Maywenn</cp:lastModifiedBy>
  <cp:revision>2</cp:revision>
  <cp:lastPrinted>2020-06-19T09:08:00Z</cp:lastPrinted>
  <dcterms:created xsi:type="dcterms:W3CDTF">2020-06-26T07:45:00Z</dcterms:created>
  <dcterms:modified xsi:type="dcterms:W3CDTF">2020-06-26T07:45:00Z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0x010100B638F4433E584047A097BE66491F0F20</vt:lpwstr>
  </property>
</Properties>
</file>