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3F54CC" w14:paraId="357514C5" w14:textId="77777777">
        <w:trPr>
          <w:cantSplit/>
        </w:trPr>
        <w:tc>
          <w:tcPr>
            <w:tcW w:w="6912" w:type="dxa"/>
          </w:tcPr>
          <w:p w14:paraId="764C1E3E" w14:textId="77777777" w:rsidR="00093EEB" w:rsidRPr="003F54CC" w:rsidRDefault="00D92832" w:rsidP="00D92832">
            <w:pPr>
              <w:spacing w:before="240"/>
              <w:rPr>
                <w:szCs w:val="24"/>
                <w:lang w:val="es-ES"/>
              </w:rPr>
            </w:pPr>
            <w:bookmarkStart w:id="0" w:name="dbluepink" w:colFirst="0" w:colLast="0"/>
            <w:r w:rsidRPr="003F54CC">
              <w:rPr>
                <w:b/>
                <w:bCs/>
                <w:position w:val="6"/>
                <w:sz w:val="30"/>
                <w:szCs w:val="30"/>
                <w:lang w:val="es-ES"/>
              </w:rPr>
              <w:t xml:space="preserve">Grupo de Expertos sobre el Reglamento de las </w:t>
            </w:r>
            <w:r w:rsidRPr="003F54CC">
              <w:rPr>
                <w:b/>
                <w:bCs/>
                <w:position w:val="6"/>
                <w:sz w:val="30"/>
                <w:szCs w:val="30"/>
                <w:lang w:val="es-ES"/>
              </w:rPr>
              <w:br/>
              <w:t>Telecomunicaciones Internacionales (GE-RTI)</w:t>
            </w:r>
          </w:p>
        </w:tc>
        <w:tc>
          <w:tcPr>
            <w:tcW w:w="3261" w:type="dxa"/>
          </w:tcPr>
          <w:p w14:paraId="61312569" w14:textId="77777777" w:rsidR="00093EEB" w:rsidRPr="003F54CC" w:rsidRDefault="00012E27" w:rsidP="00C85B97">
            <w:pPr>
              <w:spacing w:before="0"/>
              <w:rPr>
                <w:szCs w:val="24"/>
                <w:lang w:val="es-ES"/>
              </w:rPr>
            </w:pPr>
            <w:bookmarkStart w:id="1" w:name="ditulogo"/>
            <w:bookmarkEnd w:id="1"/>
            <w:r w:rsidRPr="003F54CC">
              <w:rPr>
                <w:noProof/>
                <w:lang w:val="es-ES"/>
              </w:rPr>
              <w:drawing>
                <wp:inline distT="0" distB="0" distL="0" distR="0" wp14:anchorId="30DAAEA4" wp14:editId="506A955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093EEB" w:rsidRPr="003F54CC" w14:paraId="197F309E" w14:textId="77777777">
        <w:trPr>
          <w:cantSplit/>
          <w:trHeight w:val="20"/>
        </w:trPr>
        <w:tc>
          <w:tcPr>
            <w:tcW w:w="10173" w:type="dxa"/>
            <w:gridSpan w:val="2"/>
            <w:tcBorders>
              <w:bottom w:val="single" w:sz="12" w:space="0" w:color="auto"/>
            </w:tcBorders>
          </w:tcPr>
          <w:p w14:paraId="67AAAB6C" w14:textId="77777777" w:rsidR="00093EEB" w:rsidRPr="003F54CC" w:rsidRDefault="00C85B97" w:rsidP="00012E27">
            <w:pPr>
              <w:spacing w:before="0"/>
              <w:rPr>
                <w:b/>
                <w:bCs/>
                <w:szCs w:val="24"/>
                <w:lang w:val="es-ES"/>
              </w:rPr>
            </w:pPr>
            <w:r w:rsidRPr="003F54CC">
              <w:rPr>
                <w:rFonts w:eastAsia="Calibri" w:cs="Calibri"/>
                <w:b/>
                <w:color w:val="000000"/>
                <w:szCs w:val="24"/>
                <w:lang w:val="es-ES"/>
              </w:rPr>
              <w:t>Segunda</w:t>
            </w:r>
            <w:r w:rsidR="00012E27" w:rsidRPr="003F54CC">
              <w:rPr>
                <w:rFonts w:eastAsia="Calibri" w:cs="Calibri"/>
                <w:b/>
                <w:color w:val="000000"/>
                <w:szCs w:val="24"/>
                <w:lang w:val="es-ES"/>
              </w:rPr>
              <w:t xml:space="preserve"> reunión </w:t>
            </w:r>
            <w:r w:rsidR="00D92832" w:rsidRPr="003F54CC">
              <w:rPr>
                <w:b/>
                <w:bCs/>
                <w:lang w:val="es-ES"/>
              </w:rPr>
              <w:t>– Ginebra, 1</w:t>
            </w:r>
            <w:r w:rsidRPr="003F54CC">
              <w:rPr>
                <w:b/>
                <w:bCs/>
                <w:lang w:val="es-ES"/>
              </w:rPr>
              <w:t>2</w:t>
            </w:r>
            <w:r w:rsidR="00D92832" w:rsidRPr="003F54CC">
              <w:rPr>
                <w:b/>
                <w:bCs/>
                <w:lang w:val="es-ES"/>
              </w:rPr>
              <w:t>-1</w:t>
            </w:r>
            <w:r w:rsidRPr="003F54CC">
              <w:rPr>
                <w:b/>
                <w:bCs/>
                <w:lang w:val="es-ES"/>
              </w:rPr>
              <w:t>3</w:t>
            </w:r>
            <w:r w:rsidR="00D92832" w:rsidRPr="003F54CC">
              <w:rPr>
                <w:b/>
                <w:bCs/>
                <w:lang w:val="es-ES"/>
              </w:rPr>
              <w:t xml:space="preserve"> de </w:t>
            </w:r>
            <w:r w:rsidRPr="003F54CC">
              <w:rPr>
                <w:b/>
                <w:bCs/>
                <w:lang w:val="es-ES"/>
              </w:rPr>
              <w:t>febrero</w:t>
            </w:r>
            <w:r w:rsidR="00D92832" w:rsidRPr="003F54CC">
              <w:rPr>
                <w:b/>
                <w:bCs/>
                <w:lang w:val="es-ES"/>
              </w:rPr>
              <w:t xml:space="preserve"> de 20</w:t>
            </w:r>
            <w:r w:rsidRPr="003F54CC">
              <w:rPr>
                <w:b/>
                <w:bCs/>
                <w:lang w:val="es-ES"/>
              </w:rPr>
              <w:t>20</w:t>
            </w:r>
          </w:p>
        </w:tc>
      </w:tr>
      <w:tr w:rsidR="00093EEB" w:rsidRPr="003F54CC" w14:paraId="109C9317" w14:textId="77777777">
        <w:trPr>
          <w:cantSplit/>
          <w:trHeight w:val="20"/>
        </w:trPr>
        <w:tc>
          <w:tcPr>
            <w:tcW w:w="6912" w:type="dxa"/>
            <w:tcBorders>
              <w:top w:val="single" w:sz="12" w:space="0" w:color="auto"/>
            </w:tcBorders>
          </w:tcPr>
          <w:p w14:paraId="3F78E3D5" w14:textId="77777777" w:rsidR="00093EEB" w:rsidRPr="003F54CC"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1BC93254" w14:textId="77777777" w:rsidR="00093EEB" w:rsidRPr="003F54CC" w:rsidRDefault="00093EEB">
            <w:pPr>
              <w:spacing w:before="0"/>
              <w:rPr>
                <w:b/>
                <w:bCs/>
                <w:szCs w:val="24"/>
                <w:lang w:val="es-ES"/>
              </w:rPr>
            </w:pPr>
          </w:p>
        </w:tc>
      </w:tr>
      <w:tr w:rsidR="00093EEB" w:rsidRPr="003F54CC" w14:paraId="3EE9F3B6" w14:textId="77777777">
        <w:trPr>
          <w:cantSplit/>
          <w:trHeight w:val="20"/>
        </w:trPr>
        <w:tc>
          <w:tcPr>
            <w:tcW w:w="6912" w:type="dxa"/>
            <w:shd w:val="clear" w:color="auto" w:fill="auto"/>
          </w:tcPr>
          <w:p w14:paraId="61C39346" w14:textId="77777777" w:rsidR="00093EEB" w:rsidRPr="003F54CC"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26F5CDEE" w14:textId="77777777" w:rsidR="00093EEB" w:rsidRPr="003F54CC" w:rsidRDefault="00093EEB" w:rsidP="001F60AD">
            <w:pPr>
              <w:spacing w:before="0"/>
              <w:rPr>
                <w:b/>
                <w:bCs/>
                <w:szCs w:val="24"/>
                <w:lang w:val="es-ES"/>
              </w:rPr>
            </w:pPr>
            <w:r w:rsidRPr="003F54CC">
              <w:rPr>
                <w:b/>
                <w:bCs/>
                <w:szCs w:val="24"/>
                <w:lang w:val="es-ES"/>
              </w:rPr>
              <w:t xml:space="preserve">Documento </w:t>
            </w:r>
            <w:r w:rsidR="00D92832" w:rsidRPr="003F54CC">
              <w:rPr>
                <w:rFonts w:asciiTheme="minorHAnsi" w:hAnsiTheme="minorHAnsi" w:cs="Times New Roman Bold"/>
                <w:b/>
                <w:spacing w:val="-4"/>
                <w:lang w:val="es-ES"/>
              </w:rPr>
              <w:t>EG-ITRs-</w:t>
            </w:r>
            <w:r w:rsidR="00C85B97" w:rsidRPr="003F54CC">
              <w:rPr>
                <w:rFonts w:asciiTheme="minorHAnsi" w:hAnsiTheme="minorHAnsi" w:cs="Times New Roman Bold"/>
                <w:b/>
                <w:spacing w:val="-4"/>
                <w:lang w:val="es-ES"/>
              </w:rPr>
              <w:t>2</w:t>
            </w:r>
            <w:r w:rsidR="00D92832" w:rsidRPr="003F54CC">
              <w:rPr>
                <w:rFonts w:asciiTheme="minorHAnsi" w:hAnsiTheme="minorHAnsi" w:cs="Times New Roman Bold"/>
                <w:b/>
                <w:spacing w:val="-4"/>
                <w:lang w:val="es-ES"/>
              </w:rPr>
              <w:t>/</w:t>
            </w:r>
            <w:r w:rsidR="00AE6A66" w:rsidRPr="003F54CC">
              <w:rPr>
                <w:rFonts w:asciiTheme="minorHAnsi" w:hAnsiTheme="minorHAnsi" w:cs="Times New Roman Bold"/>
                <w:b/>
                <w:spacing w:val="-4"/>
                <w:lang w:val="es-ES"/>
              </w:rPr>
              <w:t>2</w:t>
            </w:r>
            <w:r w:rsidR="00D92832" w:rsidRPr="003F54CC">
              <w:rPr>
                <w:rFonts w:asciiTheme="minorHAnsi" w:hAnsiTheme="minorHAnsi" w:cs="Times New Roman Bold"/>
                <w:b/>
                <w:spacing w:val="-4"/>
                <w:lang w:val="es-ES"/>
              </w:rPr>
              <w:t>-S</w:t>
            </w:r>
          </w:p>
        </w:tc>
      </w:tr>
      <w:tr w:rsidR="00093EEB" w:rsidRPr="003F54CC" w14:paraId="1AF23C27" w14:textId="77777777">
        <w:trPr>
          <w:cantSplit/>
          <w:trHeight w:val="20"/>
        </w:trPr>
        <w:tc>
          <w:tcPr>
            <w:tcW w:w="6912" w:type="dxa"/>
            <w:shd w:val="clear" w:color="auto" w:fill="auto"/>
          </w:tcPr>
          <w:p w14:paraId="30375533" w14:textId="77777777" w:rsidR="00093EEB" w:rsidRPr="003F54CC"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55CC5553" w14:textId="5203BE4F" w:rsidR="00093EEB" w:rsidRPr="003F54CC" w:rsidRDefault="00AE6A66" w:rsidP="001F60AD">
            <w:pPr>
              <w:spacing w:before="0"/>
              <w:rPr>
                <w:b/>
                <w:bCs/>
                <w:szCs w:val="24"/>
                <w:lang w:val="es-ES"/>
              </w:rPr>
            </w:pPr>
            <w:r w:rsidRPr="003F54CC">
              <w:rPr>
                <w:b/>
                <w:bCs/>
                <w:szCs w:val="24"/>
                <w:lang w:val="es-ES"/>
              </w:rPr>
              <w:t>16</w:t>
            </w:r>
            <w:r w:rsidR="0077252D" w:rsidRPr="003F54CC">
              <w:rPr>
                <w:b/>
                <w:bCs/>
                <w:szCs w:val="24"/>
                <w:lang w:val="es-ES"/>
              </w:rPr>
              <w:t xml:space="preserve"> </w:t>
            </w:r>
            <w:r w:rsidR="00D92832" w:rsidRPr="003F54CC">
              <w:rPr>
                <w:b/>
                <w:bCs/>
                <w:szCs w:val="24"/>
                <w:lang w:val="es-ES"/>
              </w:rPr>
              <w:t xml:space="preserve">de </w:t>
            </w:r>
            <w:r w:rsidRPr="003F54CC">
              <w:rPr>
                <w:b/>
                <w:bCs/>
                <w:szCs w:val="24"/>
                <w:lang w:val="es-ES"/>
              </w:rPr>
              <w:t>enero</w:t>
            </w:r>
            <w:r w:rsidR="00093EEB" w:rsidRPr="003F54CC">
              <w:rPr>
                <w:b/>
                <w:bCs/>
                <w:szCs w:val="24"/>
                <w:lang w:val="es-ES"/>
              </w:rPr>
              <w:t xml:space="preserve"> de 20</w:t>
            </w:r>
            <w:r w:rsidR="00C85B97" w:rsidRPr="003F54CC">
              <w:rPr>
                <w:b/>
                <w:bCs/>
                <w:szCs w:val="24"/>
                <w:lang w:val="es-ES"/>
              </w:rPr>
              <w:t>20</w:t>
            </w:r>
          </w:p>
        </w:tc>
      </w:tr>
      <w:tr w:rsidR="00093EEB" w:rsidRPr="003F54CC" w14:paraId="591C40FE" w14:textId="77777777">
        <w:trPr>
          <w:cantSplit/>
          <w:trHeight w:val="20"/>
        </w:trPr>
        <w:tc>
          <w:tcPr>
            <w:tcW w:w="6912" w:type="dxa"/>
            <w:shd w:val="clear" w:color="auto" w:fill="auto"/>
          </w:tcPr>
          <w:p w14:paraId="59FA6654" w14:textId="77777777" w:rsidR="00093EEB" w:rsidRPr="003F54CC" w:rsidRDefault="00093EEB">
            <w:pPr>
              <w:shd w:val="solid" w:color="FFFFFF" w:fill="FFFFFF"/>
              <w:spacing w:before="0"/>
              <w:rPr>
                <w:smallCaps/>
                <w:szCs w:val="24"/>
                <w:lang w:val="es-ES"/>
              </w:rPr>
            </w:pPr>
            <w:bookmarkStart w:id="5" w:name="dorlang" w:colFirst="1" w:colLast="1"/>
            <w:bookmarkEnd w:id="4"/>
          </w:p>
        </w:tc>
        <w:tc>
          <w:tcPr>
            <w:tcW w:w="3261" w:type="dxa"/>
          </w:tcPr>
          <w:p w14:paraId="76348D43" w14:textId="37DC76D9" w:rsidR="00093EEB" w:rsidRPr="003F54CC" w:rsidRDefault="00093EEB" w:rsidP="00093EEB">
            <w:pPr>
              <w:spacing w:before="0"/>
              <w:rPr>
                <w:b/>
                <w:bCs/>
                <w:szCs w:val="24"/>
                <w:lang w:val="es-ES"/>
              </w:rPr>
            </w:pPr>
            <w:r w:rsidRPr="003F54CC">
              <w:rPr>
                <w:b/>
                <w:bCs/>
                <w:szCs w:val="24"/>
                <w:lang w:val="es-ES"/>
              </w:rPr>
              <w:t xml:space="preserve">Original: </w:t>
            </w:r>
            <w:r w:rsidR="00AE6A66" w:rsidRPr="003F54CC">
              <w:rPr>
                <w:b/>
                <w:bCs/>
                <w:szCs w:val="24"/>
                <w:lang w:val="es-ES"/>
              </w:rPr>
              <w:t>ruso</w:t>
            </w:r>
          </w:p>
        </w:tc>
      </w:tr>
      <w:tr w:rsidR="00093EEB" w:rsidRPr="003F54CC" w14:paraId="2141039A" w14:textId="77777777">
        <w:trPr>
          <w:cantSplit/>
        </w:trPr>
        <w:tc>
          <w:tcPr>
            <w:tcW w:w="10173" w:type="dxa"/>
            <w:gridSpan w:val="2"/>
          </w:tcPr>
          <w:p w14:paraId="2BF641A4" w14:textId="65FE681F" w:rsidR="00093EEB" w:rsidRPr="003F54CC" w:rsidRDefault="00AE6A66">
            <w:pPr>
              <w:pStyle w:val="Source"/>
              <w:rPr>
                <w:lang w:val="es-ES"/>
              </w:rPr>
            </w:pPr>
            <w:bookmarkStart w:id="6" w:name="dsource" w:colFirst="0" w:colLast="0"/>
            <w:bookmarkEnd w:id="0"/>
            <w:bookmarkEnd w:id="5"/>
            <w:r w:rsidRPr="003F54CC">
              <w:rPr>
                <w:lang w:val="es-ES"/>
              </w:rPr>
              <w:t>Federación de Rusia</w:t>
            </w:r>
          </w:p>
        </w:tc>
      </w:tr>
      <w:tr w:rsidR="00093EEB" w:rsidRPr="003F54CC" w14:paraId="206415D6" w14:textId="77777777">
        <w:trPr>
          <w:cantSplit/>
        </w:trPr>
        <w:tc>
          <w:tcPr>
            <w:tcW w:w="10173" w:type="dxa"/>
            <w:gridSpan w:val="2"/>
          </w:tcPr>
          <w:p w14:paraId="5633E850" w14:textId="67F0603B" w:rsidR="00093EEB" w:rsidRPr="003F54CC" w:rsidRDefault="003F54CC">
            <w:pPr>
              <w:pStyle w:val="Title1"/>
              <w:rPr>
                <w:lang w:val="es-ES"/>
              </w:rPr>
            </w:pPr>
            <w:bookmarkStart w:id="7" w:name="dtitle1" w:colFirst="0" w:colLast="0"/>
            <w:bookmarkEnd w:id="6"/>
            <w:r w:rsidRPr="003F54CC">
              <w:rPr>
                <w:bCs/>
                <w:lang w:val="es-ES"/>
              </w:rPr>
              <w:t xml:space="preserve">examen disposición por disposición de secciones del </w:t>
            </w:r>
            <w:r>
              <w:rPr>
                <w:bCs/>
                <w:lang w:val="es-ES"/>
              </w:rPr>
              <w:t xml:space="preserve">Reglamento de las Telecomunicaciones Internacionales en la segunda reunión del ge-rti </w:t>
            </w:r>
            <w:r w:rsidR="00D378F1">
              <w:rPr>
                <w:bCs/>
                <w:lang w:val="es-ES"/>
              </w:rPr>
              <w:br/>
            </w:r>
            <w:r>
              <w:rPr>
                <w:bCs/>
                <w:lang w:val="es-ES"/>
              </w:rPr>
              <w:t>con arreglo al plan de trabajo adoptado en la primera reunión</w:t>
            </w:r>
          </w:p>
        </w:tc>
      </w:tr>
    </w:tbl>
    <w:bookmarkEnd w:id="7"/>
    <w:p w14:paraId="3EAF3F5C" w14:textId="18BC7A66" w:rsidR="00AE6A66" w:rsidRPr="003F54CC" w:rsidRDefault="00AE6A66" w:rsidP="00AE6A66">
      <w:pPr>
        <w:pStyle w:val="Heading1"/>
        <w:rPr>
          <w:lang w:val="es-ES"/>
        </w:rPr>
      </w:pPr>
      <w:r w:rsidRPr="003F54CC">
        <w:rPr>
          <w:lang w:val="es-ES"/>
        </w:rPr>
        <w:t>1</w:t>
      </w:r>
      <w:r w:rsidRPr="003F54CC">
        <w:rPr>
          <w:lang w:val="es-ES"/>
        </w:rPr>
        <w:tab/>
      </w:r>
      <w:r w:rsidR="003F54CC" w:rsidRPr="003F54CC">
        <w:rPr>
          <w:lang w:val="es-ES"/>
        </w:rPr>
        <w:t>Introducción</w:t>
      </w:r>
    </w:p>
    <w:p w14:paraId="641E8955" w14:textId="38556CBC" w:rsidR="00AE6A66" w:rsidRPr="003F54CC" w:rsidRDefault="003F54CC" w:rsidP="00AE6A66">
      <w:pPr>
        <w:rPr>
          <w:lang w:val="es-ES"/>
        </w:rPr>
      </w:pPr>
      <w:r>
        <w:rPr>
          <w:lang w:val="es-ES"/>
        </w:rPr>
        <w:t>La primera reunión del GE-RTI, tras examinar y discutir propuestas sobre las actividades del Grupo, acordó un plan de trabajo para el Grupo de Expertos y aprobó una plantilla para el examen del RTI disposición por disposición</w:t>
      </w:r>
      <w:r w:rsidR="00AE6A66" w:rsidRPr="003F54CC">
        <w:rPr>
          <w:lang w:val="es-ES"/>
        </w:rPr>
        <w:t>.</w:t>
      </w:r>
    </w:p>
    <w:p w14:paraId="028764B7" w14:textId="6CC2435B" w:rsidR="00AE6A66" w:rsidRPr="003F54CC" w:rsidRDefault="003F54CC" w:rsidP="00AE6A66">
      <w:pPr>
        <w:rPr>
          <w:lang w:val="es-ES"/>
        </w:rPr>
      </w:pPr>
      <w:r>
        <w:rPr>
          <w:lang w:val="es-ES"/>
        </w:rPr>
        <w:t>De acuerdo con el plan de trabajo adoptado, la segunda reunión del GE-RTI debe realizar un estudio de las siguientes secciones del RTI:</w:t>
      </w:r>
    </w:p>
    <w:p w14:paraId="1F2F6400" w14:textId="77DBACE8" w:rsidR="00AE6A66" w:rsidRPr="003F54CC" w:rsidRDefault="00AE6A66" w:rsidP="00AE6A66">
      <w:pPr>
        <w:pStyle w:val="enumlev1"/>
        <w:rPr>
          <w:lang w:val="es-ES"/>
        </w:rPr>
      </w:pPr>
      <w:r w:rsidRPr="003F54CC">
        <w:rPr>
          <w:lang w:val="es-ES"/>
        </w:rPr>
        <w:t>–</w:t>
      </w:r>
      <w:r w:rsidRPr="003F54CC">
        <w:rPr>
          <w:lang w:val="es-ES"/>
        </w:rPr>
        <w:tab/>
      </w:r>
      <w:r w:rsidR="00F13C7F" w:rsidRPr="003F54CC">
        <w:rPr>
          <w:lang w:val="es-ES"/>
        </w:rPr>
        <w:t>Preámbulo</w:t>
      </w:r>
    </w:p>
    <w:p w14:paraId="781C0B39" w14:textId="2D658371" w:rsidR="00AE6A66" w:rsidRPr="003F54CC" w:rsidRDefault="00AE6A66" w:rsidP="00AE6A66">
      <w:pPr>
        <w:pStyle w:val="enumlev1"/>
        <w:rPr>
          <w:lang w:val="es-ES"/>
        </w:rPr>
      </w:pPr>
      <w:r w:rsidRPr="003F54CC">
        <w:rPr>
          <w:lang w:val="es-ES"/>
        </w:rPr>
        <w:t>–</w:t>
      </w:r>
      <w:r w:rsidRPr="003F54CC">
        <w:rPr>
          <w:lang w:val="es-ES"/>
        </w:rPr>
        <w:tab/>
      </w:r>
      <w:r w:rsidR="00F13C7F" w:rsidRPr="003F54CC">
        <w:rPr>
          <w:lang w:val="es-ES"/>
        </w:rPr>
        <w:t>Artículo 1</w:t>
      </w:r>
      <w:r w:rsidR="00F13C7F" w:rsidRPr="003F54CC">
        <w:rPr>
          <w:lang w:val="es-ES"/>
        </w:rPr>
        <w:tab/>
        <w:t>Finalidad y alcance del Reglamento</w:t>
      </w:r>
    </w:p>
    <w:p w14:paraId="66E77587" w14:textId="3158F576" w:rsidR="00AE6A66" w:rsidRPr="003F54CC" w:rsidRDefault="00AE6A66" w:rsidP="00AE6A66">
      <w:pPr>
        <w:pStyle w:val="enumlev1"/>
        <w:rPr>
          <w:lang w:val="es-ES"/>
        </w:rPr>
      </w:pPr>
      <w:r w:rsidRPr="003F54CC">
        <w:rPr>
          <w:lang w:val="es-ES"/>
        </w:rPr>
        <w:t>–</w:t>
      </w:r>
      <w:r w:rsidRPr="003F54CC">
        <w:rPr>
          <w:lang w:val="es-ES"/>
        </w:rPr>
        <w:tab/>
      </w:r>
      <w:r w:rsidR="00F13C7F" w:rsidRPr="003F54CC">
        <w:rPr>
          <w:lang w:val="es-ES"/>
        </w:rPr>
        <w:t>Artículo 2</w:t>
      </w:r>
      <w:r w:rsidR="00F13C7F" w:rsidRPr="003F54CC">
        <w:rPr>
          <w:lang w:val="es-ES"/>
        </w:rPr>
        <w:tab/>
        <w:t>Definiciones</w:t>
      </w:r>
    </w:p>
    <w:p w14:paraId="5894A491" w14:textId="0F60BF80" w:rsidR="00AE6A66" w:rsidRPr="003F54CC" w:rsidRDefault="00AE6A66" w:rsidP="00AE6A66">
      <w:pPr>
        <w:pStyle w:val="enumlev1"/>
        <w:rPr>
          <w:lang w:val="es-ES"/>
        </w:rPr>
      </w:pPr>
      <w:r w:rsidRPr="003F54CC">
        <w:rPr>
          <w:lang w:val="es-ES"/>
        </w:rPr>
        <w:t>–</w:t>
      </w:r>
      <w:r w:rsidRPr="003F54CC">
        <w:rPr>
          <w:lang w:val="es-ES"/>
        </w:rPr>
        <w:tab/>
      </w:r>
      <w:r w:rsidR="00F13C7F" w:rsidRPr="003F54CC">
        <w:rPr>
          <w:lang w:val="es-ES"/>
        </w:rPr>
        <w:t>Artículo 3</w:t>
      </w:r>
      <w:r w:rsidR="00F13C7F" w:rsidRPr="003F54CC">
        <w:rPr>
          <w:lang w:val="es-ES"/>
        </w:rPr>
        <w:tab/>
        <w:t>Red internacional</w:t>
      </w:r>
    </w:p>
    <w:p w14:paraId="597A376D" w14:textId="5DB5895E" w:rsidR="00AE6A66" w:rsidRPr="003F54CC" w:rsidRDefault="00AE6A66" w:rsidP="00AE6A66">
      <w:pPr>
        <w:pStyle w:val="enumlev1"/>
        <w:rPr>
          <w:lang w:val="es-ES"/>
        </w:rPr>
      </w:pPr>
      <w:r w:rsidRPr="003F54CC">
        <w:rPr>
          <w:lang w:val="es-ES"/>
        </w:rPr>
        <w:t>–</w:t>
      </w:r>
      <w:r w:rsidRPr="003F54CC">
        <w:rPr>
          <w:lang w:val="es-ES"/>
        </w:rPr>
        <w:tab/>
      </w:r>
      <w:r w:rsidR="00F13C7F" w:rsidRPr="003F54CC">
        <w:rPr>
          <w:lang w:val="es-ES"/>
        </w:rPr>
        <w:t>Artículo 4</w:t>
      </w:r>
      <w:r w:rsidR="00F13C7F" w:rsidRPr="003F54CC">
        <w:rPr>
          <w:lang w:val="es-ES"/>
        </w:rPr>
        <w:tab/>
        <w:t>Servicios internacionales de telecomunicación</w:t>
      </w:r>
    </w:p>
    <w:p w14:paraId="40AD27E4" w14:textId="739EE295" w:rsidR="00AE6A66" w:rsidRPr="003F54CC" w:rsidRDefault="00AE6A66" w:rsidP="00AE6A66">
      <w:pPr>
        <w:pStyle w:val="Heading1"/>
        <w:rPr>
          <w:lang w:val="es-ES"/>
        </w:rPr>
      </w:pPr>
      <w:r w:rsidRPr="003F54CC">
        <w:rPr>
          <w:lang w:val="es-ES"/>
        </w:rPr>
        <w:t>2</w:t>
      </w:r>
      <w:r w:rsidRPr="003F54CC">
        <w:rPr>
          <w:lang w:val="es-ES"/>
        </w:rPr>
        <w:tab/>
      </w:r>
      <w:r w:rsidR="003F54CC">
        <w:rPr>
          <w:lang w:val="es-ES"/>
        </w:rPr>
        <w:t>E</w:t>
      </w:r>
      <w:r w:rsidR="003F54CC" w:rsidRPr="003F54CC">
        <w:rPr>
          <w:lang w:val="es-ES"/>
        </w:rPr>
        <w:t xml:space="preserve">xamen del RTI disposición por disposición </w:t>
      </w:r>
      <w:r w:rsidR="003F54CC">
        <w:rPr>
          <w:lang w:val="es-ES"/>
        </w:rPr>
        <w:t>de las secciones del RTI arriba mencionadas</w:t>
      </w:r>
    </w:p>
    <w:p w14:paraId="4DE020C2" w14:textId="316756F4" w:rsidR="00AE6A66" w:rsidRPr="003F54CC" w:rsidRDefault="003F54CC" w:rsidP="00AE6A66">
      <w:pPr>
        <w:rPr>
          <w:lang w:val="es-ES"/>
        </w:rPr>
      </w:pPr>
      <w:r>
        <w:rPr>
          <w:lang w:val="es-ES"/>
        </w:rPr>
        <w:t>La posición de la Federación de Rusia respecto de las disposiciones del RTI que han de examinarse en la segunda reunión del GE-RTI se detalla en el Cuadro 1 que se presenta más abajo.</w:t>
      </w:r>
    </w:p>
    <w:p w14:paraId="2A557E88" w14:textId="73DCC5A4" w:rsidR="00AE6A66" w:rsidRPr="003F54CC" w:rsidRDefault="003F54CC" w:rsidP="00AE6A66">
      <w:pPr>
        <w:rPr>
          <w:lang w:val="es-ES"/>
        </w:rPr>
      </w:pPr>
      <w:r>
        <w:rPr>
          <w:lang w:val="es-ES"/>
        </w:rPr>
        <w:t>Cabe señalar que, en mucho</w:t>
      </w:r>
      <w:r w:rsidR="00FA7D0A">
        <w:rPr>
          <w:lang w:val="es-ES"/>
        </w:rPr>
        <w:t>s</w:t>
      </w:r>
      <w:r>
        <w:rPr>
          <w:lang w:val="es-ES"/>
        </w:rPr>
        <w:t xml:space="preserve"> casos, el RTI de 1988 no ha permitido </w:t>
      </w:r>
      <w:r w:rsidR="00FA7D0A">
        <w:rPr>
          <w:lang w:val="es-ES"/>
        </w:rPr>
        <w:t xml:space="preserve">responder a </w:t>
      </w:r>
      <w:r>
        <w:rPr>
          <w:lang w:val="es-ES"/>
        </w:rPr>
        <w:t xml:space="preserve">los cambios que se han producido en el ecosistema de las telecomunicaciones/TIC desde 1988, en particular la gama significativamente mayor de </w:t>
      </w:r>
      <w:r w:rsidR="00FA7D0A">
        <w:rPr>
          <w:lang w:val="es-ES"/>
        </w:rPr>
        <w:t xml:space="preserve">las </w:t>
      </w:r>
      <w:r>
        <w:rPr>
          <w:lang w:val="es-ES"/>
        </w:rPr>
        <w:t xml:space="preserve">entidades que prestan servicios de telecomunicaciones internacionales, que va mucho más allá de las </w:t>
      </w:r>
      <w:r w:rsidR="003916DF">
        <w:rPr>
          <w:lang w:val="es-ES"/>
        </w:rPr>
        <w:t>"</w:t>
      </w:r>
      <w:r w:rsidRPr="003F54CC">
        <w:rPr>
          <w:lang w:val="es-ES"/>
        </w:rPr>
        <w:t>empresas privadas de explotación reconocidas</w:t>
      </w:r>
      <w:r w:rsidR="003916DF">
        <w:rPr>
          <w:lang w:val="es-ES"/>
        </w:rPr>
        <w:t>"</w:t>
      </w:r>
      <w:r>
        <w:rPr>
          <w:lang w:val="es-ES"/>
        </w:rPr>
        <w:t xml:space="preserve">. Además, el RTI de 1988 utiliza </w:t>
      </w:r>
      <w:r w:rsidR="00FA7D0A">
        <w:rPr>
          <w:lang w:val="es-ES"/>
        </w:rPr>
        <w:t xml:space="preserve">una </w:t>
      </w:r>
      <w:r>
        <w:rPr>
          <w:lang w:val="es-ES"/>
        </w:rPr>
        <w:t xml:space="preserve">terminología </w:t>
      </w:r>
      <w:r w:rsidR="00FA7D0A">
        <w:rPr>
          <w:lang w:val="es-ES"/>
        </w:rPr>
        <w:t>que no responde a la de la Constitución y el Convenio de la UIT, y términos anticuados que dan lugar a equivocaciones y errores en la aplicación del Reglamento.</w:t>
      </w:r>
      <w:bookmarkStart w:id="8" w:name="_GoBack"/>
      <w:bookmarkEnd w:id="8"/>
    </w:p>
    <w:p w14:paraId="328809EF" w14:textId="07C771AB" w:rsidR="00AE6A66" w:rsidRDefault="00FA7D0A" w:rsidP="00AE6A66">
      <w:pPr>
        <w:rPr>
          <w:lang w:val="es-ES"/>
        </w:rPr>
      </w:pPr>
      <w:r>
        <w:rPr>
          <w:lang w:val="es-ES"/>
        </w:rPr>
        <w:t>Con el fin de perfeccionar aún más el RTI, sería útil incluir en el texto del Reglamento términos y/o disposiciones relativas al servicio universal, la itinerancia, las comunicaciones no solicitadas y las principales disposiciones de las Resoluciones 20, 29, 52, 61, 65 y 91 de la AMNT.</w:t>
      </w:r>
    </w:p>
    <w:p w14:paraId="09605091" w14:textId="77777777" w:rsidR="00D378F1" w:rsidRPr="00D378F1" w:rsidRDefault="00D378F1" w:rsidP="00D378F1">
      <w:pPr>
        <w:spacing w:before="0"/>
        <w:rPr>
          <w:sz w:val="18"/>
          <w:szCs w:val="14"/>
          <w:lang w:val="es-ES"/>
        </w:rPr>
      </w:pPr>
    </w:p>
    <w:p w14:paraId="3E091DBF" w14:textId="77777777" w:rsidR="00AE6A66" w:rsidRPr="003F54CC" w:rsidRDefault="00AE6A66" w:rsidP="00D92832">
      <w:pPr>
        <w:rPr>
          <w:lang w:val="es-ES"/>
        </w:rPr>
        <w:sectPr w:rsidR="00AE6A66" w:rsidRPr="003F54CC"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14:paraId="4B25BF04" w14:textId="54B735EB" w:rsidR="00AE6A66" w:rsidRPr="003F54CC" w:rsidRDefault="00057E10" w:rsidP="00181FE6">
      <w:pPr>
        <w:pStyle w:val="TableNo"/>
        <w:rPr>
          <w:lang w:val="es-ES"/>
        </w:rPr>
      </w:pPr>
      <w:bookmarkStart w:id="9" w:name="lt_pId025"/>
      <w:r w:rsidRPr="003F54CC">
        <w:rPr>
          <w:lang w:val="es-ES"/>
        </w:rPr>
        <w:lastRenderedPageBreak/>
        <w:t>Cuadro</w:t>
      </w:r>
      <w:r w:rsidR="00AE6A66" w:rsidRPr="003F54CC">
        <w:rPr>
          <w:lang w:val="es-ES"/>
        </w:rPr>
        <w:t xml:space="preserve"> 1</w:t>
      </w:r>
      <w:bookmarkEnd w:id="9"/>
    </w:p>
    <w:tbl>
      <w:tblPr>
        <w:tblStyle w:val="TableGrid"/>
        <w:tblW w:w="14454" w:type="dxa"/>
        <w:tblLayout w:type="fixed"/>
        <w:tblLook w:val="04A0" w:firstRow="1" w:lastRow="0" w:firstColumn="1" w:lastColumn="0" w:noHBand="0" w:noVBand="1"/>
      </w:tblPr>
      <w:tblGrid>
        <w:gridCol w:w="1129"/>
        <w:gridCol w:w="3546"/>
        <w:gridCol w:w="3551"/>
        <w:gridCol w:w="2226"/>
        <w:gridCol w:w="1917"/>
        <w:gridCol w:w="2085"/>
      </w:tblGrid>
      <w:tr w:rsidR="00AE6A66" w:rsidRPr="003F54CC" w14:paraId="0A3BC0D2" w14:textId="77777777" w:rsidTr="000F761E">
        <w:trPr>
          <w:tblHeader/>
        </w:trPr>
        <w:tc>
          <w:tcPr>
            <w:tcW w:w="1129" w:type="dxa"/>
            <w:tcBorders>
              <w:top w:val="single" w:sz="4" w:space="0" w:color="auto"/>
              <w:left w:val="single" w:sz="4" w:space="0" w:color="auto"/>
              <w:bottom w:val="single" w:sz="4" w:space="0" w:color="auto"/>
              <w:right w:val="single" w:sz="4" w:space="0" w:color="auto"/>
            </w:tcBorders>
            <w:vAlign w:val="center"/>
            <w:hideMark/>
          </w:tcPr>
          <w:p w14:paraId="021DDCAA" w14:textId="5D82DA02" w:rsidR="00AE6A66" w:rsidRPr="003F54CC" w:rsidRDefault="00057E10" w:rsidP="00057E10">
            <w:pPr>
              <w:pStyle w:val="Tablehead"/>
              <w:rPr>
                <w:lang w:val="es-ES"/>
              </w:rPr>
            </w:pPr>
            <w:bookmarkStart w:id="10" w:name="_Hlk30149919"/>
            <w:r w:rsidRPr="003F54CC">
              <w:rPr>
                <w:lang w:val="es-ES"/>
              </w:rPr>
              <w:t>Artículo de 2012</w:t>
            </w:r>
          </w:p>
        </w:tc>
        <w:tc>
          <w:tcPr>
            <w:tcW w:w="3546" w:type="dxa"/>
            <w:tcBorders>
              <w:top w:val="single" w:sz="4" w:space="0" w:color="auto"/>
              <w:left w:val="single" w:sz="4" w:space="0" w:color="auto"/>
              <w:bottom w:val="single" w:sz="4" w:space="0" w:color="auto"/>
              <w:right w:val="single" w:sz="4" w:space="0" w:color="auto"/>
            </w:tcBorders>
            <w:vAlign w:val="center"/>
            <w:hideMark/>
          </w:tcPr>
          <w:p w14:paraId="4EA721ED" w14:textId="65610978" w:rsidR="00AE6A66" w:rsidRPr="003F54CC" w:rsidRDefault="00057E10" w:rsidP="00057E10">
            <w:pPr>
              <w:pStyle w:val="Tablehead"/>
              <w:rPr>
                <w:lang w:val="es-ES"/>
              </w:rPr>
            </w:pPr>
            <w:r w:rsidRPr="003F54CC">
              <w:rPr>
                <w:lang w:val="es-ES"/>
              </w:rPr>
              <w:t>Párrafo y disposición</w:t>
            </w:r>
          </w:p>
        </w:tc>
        <w:tc>
          <w:tcPr>
            <w:tcW w:w="3551" w:type="dxa"/>
            <w:tcBorders>
              <w:top w:val="single" w:sz="4" w:space="0" w:color="auto"/>
              <w:left w:val="single" w:sz="4" w:space="0" w:color="auto"/>
              <w:bottom w:val="single" w:sz="4" w:space="0" w:color="auto"/>
              <w:right w:val="single" w:sz="4" w:space="0" w:color="auto"/>
            </w:tcBorders>
            <w:vAlign w:val="center"/>
            <w:hideMark/>
          </w:tcPr>
          <w:p w14:paraId="7CCD5577" w14:textId="64372817" w:rsidR="00AE6A66" w:rsidRPr="003F54CC" w:rsidRDefault="00057E10" w:rsidP="00057E10">
            <w:pPr>
              <w:pStyle w:val="Tablehead"/>
              <w:rPr>
                <w:lang w:val="es-ES"/>
              </w:rPr>
            </w:pPr>
            <w:r w:rsidRPr="003F54CC">
              <w:rPr>
                <w:lang w:val="es-ES"/>
              </w:rPr>
              <w:t xml:space="preserve">Párrafo y disposición </w:t>
            </w:r>
            <w:r w:rsidR="00181FE6">
              <w:rPr>
                <w:lang w:val="es-ES"/>
              </w:rPr>
              <w:br/>
            </w:r>
            <w:r w:rsidRPr="003F54CC">
              <w:rPr>
                <w:lang w:val="es-ES"/>
              </w:rPr>
              <w:t>conexos de 1988</w:t>
            </w:r>
          </w:p>
        </w:tc>
        <w:tc>
          <w:tcPr>
            <w:tcW w:w="2226" w:type="dxa"/>
            <w:tcBorders>
              <w:top w:val="single" w:sz="4" w:space="0" w:color="auto"/>
              <w:left w:val="single" w:sz="4" w:space="0" w:color="auto"/>
              <w:bottom w:val="single" w:sz="4" w:space="0" w:color="auto"/>
              <w:right w:val="single" w:sz="4" w:space="0" w:color="auto"/>
            </w:tcBorders>
            <w:vAlign w:val="center"/>
            <w:hideMark/>
          </w:tcPr>
          <w:p w14:paraId="6C54BB4D" w14:textId="7BC56E80" w:rsidR="00AE6A66" w:rsidRPr="003F54CC" w:rsidRDefault="00057E10" w:rsidP="00057E10">
            <w:pPr>
              <w:pStyle w:val="Tablehead"/>
              <w:rPr>
                <w:lang w:val="es-ES"/>
              </w:rPr>
            </w:pPr>
            <w:r w:rsidRPr="003F54CC">
              <w:rPr>
                <w:lang w:val="es-ES"/>
              </w:rPr>
              <w:t xml:space="preserve">Aplicabilidad </w:t>
            </w:r>
            <w:r w:rsidR="00DB74E7">
              <w:rPr>
                <w:lang w:val="es-ES"/>
              </w:rPr>
              <w:br/>
            </w:r>
            <w:r w:rsidRPr="003F54CC">
              <w:rPr>
                <w:lang w:val="es-ES"/>
              </w:rPr>
              <w:t xml:space="preserve">para fomentar </w:t>
            </w:r>
            <w:r w:rsidR="00DB74E7">
              <w:rPr>
                <w:lang w:val="es-ES"/>
              </w:rPr>
              <w:br/>
            </w:r>
            <w:r w:rsidRPr="003F54CC">
              <w:rPr>
                <w:lang w:val="es-ES"/>
              </w:rPr>
              <w:t xml:space="preserve">la prestación y el desarrollo de redes </w:t>
            </w:r>
            <w:r w:rsidR="00DB74E7">
              <w:rPr>
                <w:lang w:val="es-ES"/>
              </w:rPr>
              <w:br/>
            </w:r>
            <w:r w:rsidRPr="003F54CC">
              <w:rPr>
                <w:lang w:val="es-ES"/>
              </w:rPr>
              <w:t>y servicios</w:t>
            </w:r>
          </w:p>
        </w:tc>
        <w:tc>
          <w:tcPr>
            <w:tcW w:w="1917" w:type="dxa"/>
            <w:tcBorders>
              <w:top w:val="single" w:sz="4" w:space="0" w:color="auto"/>
              <w:left w:val="single" w:sz="4" w:space="0" w:color="auto"/>
              <w:bottom w:val="single" w:sz="4" w:space="0" w:color="auto"/>
              <w:right w:val="single" w:sz="4" w:space="0" w:color="auto"/>
            </w:tcBorders>
            <w:vAlign w:val="center"/>
            <w:hideMark/>
          </w:tcPr>
          <w:p w14:paraId="09A26998" w14:textId="63A441CE" w:rsidR="00AE6A66" w:rsidRPr="003F54CC" w:rsidRDefault="00057E10" w:rsidP="00057E10">
            <w:pPr>
              <w:pStyle w:val="Tablehead"/>
              <w:rPr>
                <w:lang w:val="es-ES"/>
              </w:rPr>
            </w:pPr>
            <w:r w:rsidRPr="003F54CC">
              <w:rPr>
                <w:lang w:val="es-ES"/>
              </w:rPr>
              <w:t>Flexibilidad para adaptarse a las nuevas tendencias y a los problemas emergentes</w:t>
            </w:r>
          </w:p>
        </w:tc>
        <w:tc>
          <w:tcPr>
            <w:tcW w:w="2085" w:type="dxa"/>
            <w:tcBorders>
              <w:top w:val="single" w:sz="4" w:space="0" w:color="auto"/>
              <w:left w:val="single" w:sz="4" w:space="0" w:color="auto"/>
              <w:bottom w:val="single" w:sz="4" w:space="0" w:color="auto"/>
              <w:right w:val="single" w:sz="4" w:space="0" w:color="auto"/>
            </w:tcBorders>
            <w:vAlign w:val="center"/>
            <w:hideMark/>
          </w:tcPr>
          <w:p w14:paraId="36B99FFF" w14:textId="3AEA0CC1" w:rsidR="00AE6A66" w:rsidRPr="003F54CC" w:rsidRDefault="00057E10" w:rsidP="00057E10">
            <w:pPr>
              <w:pStyle w:val="Tablehead"/>
              <w:rPr>
                <w:lang w:val="es-ES"/>
              </w:rPr>
            </w:pPr>
            <w:r w:rsidRPr="003F54CC">
              <w:rPr>
                <w:lang w:val="es-ES"/>
              </w:rPr>
              <w:t>Enmienda propuesta</w:t>
            </w:r>
          </w:p>
        </w:tc>
      </w:tr>
      <w:tr w:rsidR="00AE6A66" w:rsidRPr="003F54CC" w14:paraId="763F67D9" w14:textId="77777777" w:rsidTr="000F761E">
        <w:tc>
          <w:tcPr>
            <w:tcW w:w="1129" w:type="dxa"/>
            <w:vMerge w:val="restart"/>
            <w:tcBorders>
              <w:top w:val="single" w:sz="4" w:space="0" w:color="auto"/>
              <w:left w:val="single" w:sz="4" w:space="0" w:color="auto"/>
              <w:right w:val="single" w:sz="4" w:space="0" w:color="auto"/>
            </w:tcBorders>
            <w:textDirection w:val="btLr"/>
            <w:vAlign w:val="center"/>
          </w:tcPr>
          <w:p w14:paraId="31610132" w14:textId="3ED864A0" w:rsidR="00AE6A66" w:rsidRPr="00181FE6" w:rsidRDefault="00F13C7F" w:rsidP="00181FE6">
            <w:pPr>
              <w:pStyle w:val="Tabletext"/>
              <w:jc w:val="center"/>
              <w:rPr>
                <w:b/>
                <w:bCs/>
                <w:lang w:val="es-ES"/>
              </w:rPr>
            </w:pPr>
            <w:r w:rsidRPr="00181FE6">
              <w:rPr>
                <w:b/>
                <w:bCs/>
                <w:lang w:val="es-ES"/>
              </w:rPr>
              <w:t>Preámbulo</w:t>
            </w:r>
          </w:p>
        </w:tc>
        <w:tc>
          <w:tcPr>
            <w:tcW w:w="3546" w:type="dxa"/>
            <w:tcBorders>
              <w:top w:val="single" w:sz="4" w:space="0" w:color="auto"/>
              <w:left w:val="single" w:sz="4" w:space="0" w:color="auto"/>
              <w:bottom w:val="single" w:sz="4" w:space="0" w:color="auto"/>
              <w:right w:val="single" w:sz="4" w:space="0" w:color="auto"/>
            </w:tcBorders>
          </w:tcPr>
          <w:p w14:paraId="7177AAE3" w14:textId="1B3C7A11" w:rsidR="00AE6A66" w:rsidRPr="003F54CC" w:rsidRDefault="00AE6A66" w:rsidP="00654220">
            <w:pPr>
              <w:pStyle w:val="Tabletext"/>
              <w:tabs>
                <w:tab w:val="left" w:pos="457"/>
              </w:tabs>
              <w:rPr>
                <w:rFonts w:asciiTheme="minorHAnsi" w:hAnsiTheme="minorHAnsi" w:cstheme="minorHAnsi"/>
                <w:lang w:val="es-ES"/>
              </w:rPr>
            </w:pPr>
            <w:r w:rsidRPr="00E9121E">
              <w:rPr>
                <w:b/>
                <w:bCs/>
              </w:rPr>
              <w:t>1</w:t>
            </w:r>
            <w:r w:rsidRPr="003F54CC">
              <w:rPr>
                <w:rFonts w:asciiTheme="minorHAnsi" w:hAnsiTheme="minorHAnsi" w:cstheme="minorHAnsi"/>
                <w:lang w:val="es-ES"/>
              </w:rPr>
              <w:tab/>
            </w:r>
            <w:r w:rsidR="00F13C7F" w:rsidRPr="003F54CC">
              <w:rPr>
                <w:lang w:val="es-ES"/>
              </w:rPr>
              <w:t>Reconociendo en toda su plenitud a cada Estado el derecho soberano a reglamentar sus telecomunicaciones, las disposiciones contenidas en el presente Reglamento de las Telecomunicaciones Internacionales (denominado en adelante, el "Reglamento") complementan la Constitución y el Convenio de la Unión Internacional de Telecomunicaciones y tienen por objeto alcanzar los fines de la Unión Internacional de Telecomunicaciones favoreciendo el desarrollo de los servicios de telecomunicación y su más eficaz explotación, armonizando al mismo tiempo el desarrollo de los medios para las telecomunicaciones a escala mundial.</w:t>
            </w:r>
          </w:p>
        </w:tc>
        <w:tc>
          <w:tcPr>
            <w:tcW w:w="3551" w:type="dxa"/>
            <w:tcBorders>
              <w:top w:val="single" w:sz="4" w:space="0" w:color="auto"/>
              <w:left w:val="single" w:sz="4" w:space="0" w:color="auto"/>
              <w:bottom w:val="single" w:sz="4" w:space="0" w:color="auto"/>
              <w:right w:val="single" w:sz="4" w:space="0" w:color="auto"/>
            </w:tcBorders>
          </w:tcPr>
          <w:p w14:paraId="16E3AA7F" w14:textId="56E06DBC" w:rsidR="00AE6A66" w:rsidRPr="003F54CC" w:rsidRDefault="00AE6A66" w:rsidP="00181FE6">
            <w:pPr>
              <w:pStyle w:val="Tabletext"/>
              <w:tabs>
                <w:tab w:val="left" w:pos="457"/>
              </w:tabs>
              <w:rPr>
                <w:rFonts w:asciiTheme="minorHAnsi" w:hAnsiTheme="minorHAnsi" w:cstheme="minorHAnsi"/>
                <w:lang w:val="es-ES"/>
              </w:rPr>
            </w:pPr>
            <w:r w:rsidRPr="00E9121E">
              <w:rPr>
                <w:b/>
                <w:bCs/>
              </w:rPr>
              <w:t>1</w:t>
            </w:r>
            <w:r w:rsidRPr="003F54CC">
              <w:rPr>
                <w:rFonts w:asciiTheme="minorHAnsi" w:hAnsiTheme="minorHAnsi" w:cstheme="minorHAnsi"/>
                <w:lang w:val="es-ES"/>
              </w:rPr>
              <w:tab/>
            </w:r>
            <w:r w:rsidR="0085057C" w:rsidRPr="003F54CC">
              <w:rPr>
                <w:lang w:val="es-ES"/>
              </w:rPr>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tc>
        <w:tc>
          <w:tcPr>
            <w:tcW w:w="2226" w:type="dxa"/>
            <w:tcBorders>
              <w:top w:val="single" w:sz="4" w:space="0" w:color="auto"/>
              <w:left w:val="single" w:sz="4" w:space="0" w:color="auto"/>
              <w:bottom w:val="single" w:sz="4" w:space="0" w:color="auto"/>
              <w:right w:val="single" w:sz="4" w:space="0" w:color="auto"/>
            </w:tcBorders>
          </w:tcPr>
          <w:p w14:paraId="3710907F" w14:textId="49252768" w:rsidR="00AE6A66" w:rsidRPr="003F54CC" w:rsidRDefault="00FA7D0A" w:rsidP="00D378F1">
            <w:pPr>
              <w:pStyle w:val="Tabletext"/>
              <w:rPr>
                <w:lang w:val="es-ES"/>
              </w:rPr>
            </w:pPr>
            <w:bookmarkStart w:id="11" w:name="lt_pId038"/>
            <w:r>
              <w:rPr>
                <w:lang w:val="es-ES"/>
              </w:rPr>
              <w:t>Los núm</w:t>
            </w:r>
            <w:r w:rsidR="003916DF">
              <w:rPr>
                <w:lang w:val="es-ES"/>
              </w:rPr>
              <w:t>ero</w:t>
            </w:r>
            <w:r>
              <w:rPr>
                <w:lang w:val="es-ES"/>
              </w:rPr>
              <w:t>s 1 del RTI de 1988 y de 2012 no son idénticos pero son aplicables a redes y servicios.</w:t>
            </w:r>
            <w:bookmarkEnd w:id="11"/>
          </w:p>
          <w:p w14:paraId="14F75298" w14:textId="016BA66A" w:rsidR="00AE6A66" w:rsidRPr="003F54CC" w:rsidRDefault="00FA7D0A" w:rsidP="00D378F1">
            <w:pPr>
              <w:pStyle w:val="Tabletext"/>
              <w:rPr>
                <w:sz w:val="20"/>
                <w:lang w:val="es-ES"/>
              </w:rPr>
            </w:pPr>
            <w:bookmarkStart w:id="12" w:name="lt_pId039"/>
            <w:r>
              <w:rPr>
                <w:lang w:val="es-ES"/>
              </w:rPr>
              <w:t>La parte del núm</w:t>
            </w:r>
            <w:r w:rsidR="003916DF">
              <w:rPr>
                <w:lang w:val="es-ES"/>
              </w:rPr>
              <w:t>ero </w:t>
            </w:r>
            <w:r w:rsidR="00AE6A66" w:rsidRPr="003F54CC">
              <w:rPr>
                <w:lang w:val="es-ES"/>
              </w:rPr>
              <w:t xml:space="preserve">1 </w:t>
            </w:r>
            <w:r w:rsidR="00457218">
              <w:rPr>
                <w:lang w:val="es-ES"/>
              </w:rPr>
              <w:t xml:space="preserve">del RTI de </w:t>
            </w:r>
            <w:r w:rsidR="00AE6A66" w:rsidRPr="003F54CC">
              <w:rPr>
                <w:lang w:val="es-ES"/>
              </w:rPr>
              <w:t>1988</w:t>
            </w:r>
            <w:r w:rsidR="00457218">
              <w:rPr>
                <w:lang w:val="es-ES"/>
              </w:rPr>
              <w:t>, que afirma</w:t>
            </w:r>
            <w:r w:rsidR="00AE6A66" w:rsidRPr="003F54CC">
              <w:rPr>
                <w:lang w:val="es-ES"/>
              </w:rPr>
              <w:t xml:space="preserve"> </w:t>
            </w:r>
            <w:r w:rsidR="00AE6A66" w:rsidRPr="003F54CC">
              <w:rPr>
                <w:sz w:val="20"/>
                <w:lang w:val="es-ES"/>
              </w:rPr>
              <w:t>"</w:t>
            </w:r>
            <w:r w:rsidRPr="00FA7D0A">
              <w:rPr>
                <w:lang w:val="es-ES"/>
              </w:rPr>
              <w:t>completan el Convenio Internacional de Telecomunicaciones</w:t>
            </w:r>
            <w:r w:rsidR="00AE6A66" w:rsidRPr="003F54CC">
              <w:rPr>
                <w:sz w:val="20"/>
                <w:lang w:val="es-ES"/>
              </w:rPr>
              <w:t>"</w:t>
            </w:r>
            <w:r w:rsidR="00457218">
              <w:rPr>
                <w:sz w:val="20"/>
                <w:lang w:val="es-ES"/>
              </w:rPr>
              <w:t xml:space="preserve"> </w:t>
            </w:r>
            <w:r w:rsidR="00457218" w:rsidRPr="00457218">
              <w:rPr>
                <w:lang w:val="es-ES"/>
              </w:rPr>
              <w:t>no se ajusta al texto del número 31 de la Constitución.</w:t>
            </w:r>
            <w:bookmarkEnd w:id="12"/>
          </w:p>
        </w:tc>
        <w:tc>
          <w:tcPr>
            <w:tcW w:w="1917" w:type="dxa"/>
            <w:tcBorders>
              <w:top w:val="single" w:sz="4" w:space="0" w:color="auto"/>
              <w:left w:val="single" w:sz="4" w:space="0" w:color="auto"/>
              <w:bottom w:val="single" w:sz="4" w:space="0" w:color="auto"/>
              <w:right w:val="single" w:sz="4" w:space="0" w:color="auto"/>
            </w:tcBorders>
          </w:tcPr>
          <w:p w14:paraId="6F284AC3" w14:textId="364FBD83" w:rsidR="00AE6A66" w:rsidRPr="00D378F1" w:rsidRDefault="00FA7D0A" w:rsidP="00D378F1">
            <w:pPr>
              <w:pStyle w:val="Tabletext"/>
              <w:rPr>
                <w:lang w:val="es-ES"/>
              </w:rPr>
            </w:pPr>
            <w:bookmarkStart w:id="13" w:name="lt_pId040"/>
            <w:r w:rsidRPr="00D378F1">
              <w:rPr>
                <w:lang w:val="es-ES"/>
              </w:rPr>
              <w:t>Garantiza la flexibilidad</w:t>
            </w:r>
            <w:r w:rsidR="00AE6A66" w:rsidRPr="00D378F1">
              <w:rPr>
                <w:lang w:val="es-ES"/>
              </w:rPr>
              <w:t xml:space="preserve"> </w:t>
            </w:r>
            <w:r w:rsidR="00457218" w:rsidRPr="00D378F1">
              <w:rPr>
                <w:lang w:val="es-ES"/>
              </w:rPr>
              <w:t xml:space="preserve">para adaptarse a las nuevas tendencias y </w:t>
            </w:r>
            <w:r w:rsidR="00E67211" w:rsidRPr="00D378F1">
              <w:rPr>
                <w:lang w:val="es-ES"/>
              </w:rPr>
              <w:t xml:space="preserve">problemas </w:t>
            </w:r>
            <w:r w:rsidR="00457218" w:rsidRPr="00D378F1">
              <w:rPr>
                <w:lang w:val="es-ES"/>
              </w:rPr>
              <w:t xml:space="preserve">emergentes. </w:t>
            </w:r>
            <w:bookmarkEnd w:id="13"/>
          </w:p>
        </w:tc>
        <w:tc>
          <w:tcPr>
            <w:tcW w:w="2085" w:type="dxa"/>
            <w:tcBorders>
              <w:top w:val="single" w:sz="4" w:space="0" w:color="auto"/>
              <w:left w:val="single" w:sz="4" w:space="0" w:color="auto"/>
              <w:bottom w:val="single" w:sz="4" w:space="0" w:color="auto"/>
              <w:right w:val="single" w:sz="4" w:space="0" w:color="auto"/>
            </w:tcBorders>
          </w:tcPr>
          <w:p w14:paraId="77C907DC" w14:textId="2C7EB215" w:rsidR="00AE6A66" w:rsidRPr="00D378F1" w:rsidRDefault="00457218" w:rsidP="00D378F1">
            <w:pPr>
              <w:pStyle w:val="Tabletext"/>
              <w:rPr>
                <w:lang w:val="es-ES"/>
              </w:rPr>
            </w:pPr>
            <w:bookmarkStart w:id="14" w:name="lt_pId041"/>
            <w:r w:rsidRPr="00D378F1">
              <w:rPr>
                <w:lang w:val="es-ES"/>
              </w:rPr>
              <w:t>El número 1 del RTI de 2012 es pertinente para el desarrollo y la utilización de las telecomunicaciones/TIC.</w:t>
            </w:r>
            <w:bookmarkEnd w:id="14"/>
          </w:p>
        </w:tc>
      </w:tr>
      <w:tr w:rsidR="00AE6A66" w:rsidRPr="003F54CC" w14:paraId="666EC973" w14:textId="77777777" w:rsidTr="000F761E">
        <w:tc>
          <w:tcPr>
            <w:tcW w:w="1129" w:type="dxa"/>
            <w:vMerge/>
            <w:tcBorders>
              <w:left w:val="single" w:sz="4" w:space="0" w:color="auto"/>
              <w:right w:val="single" w:sz="4" w:space="0" w:color="auto"/>
            </w:tcBorders>
          </w:tcPr>
          <w:p w14:paraId="797FE371"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A4570BE" w14:textId="661FA59B" w:rsidR="00AE6A66" w:rsidRPr="00D378F1" w:rsidRDefault="00F13C7F" w:rsidP="00181FE6">
            <w:pPr>
              <w:pStyle w:val="Tabletext"/>
              <w:tabs>
                <w:tab w:val="left" w:pos="457"/>
              </w:tabs>
              <w:rPr>
                <w:lang w:val="es-ES"/>
              </w:rPr>
            </w:pPr>
            <w:r w:rsidRPr="00E9121E">
              <w:rPr>
                <w:b/>
                <w:bCs/>
              </w:rPr>
              <w:t>2</w:t>
            </w:r>
            <w:r w:rsidRPr="003F54CC">
              <w:rPr>
                <w:lang w:val="es-ES"/>
              </w:rPr>
              <w:tab/>
              <w:t>Los Estados Miembros reafirman su compromiso de aplicar el presente Reglamento en el respeto y el cumplimiento de sus obligaciones en materia de derechos humanos.</w:t>
            </w:r>
          </w:p>
        </w:tc>
        <w:tc>
          <w:tcPr>
            <w:tcW w:w="3551" w:type="dxa"/>
            <w:tcBorders>
              <w:top w:val="single" w:sz="4" w:space="0" w:color="auto"/>
              <w:left w:val="single" w:sz="4" w:space="0" w:color="auto"/>
              <w:bottom w:val="single" w:sz="4" w:space="0" w:color="auto"/>
              <w:right w:val="single" w:sz="4" w:space="0" w:color="auto"/>
            </w:tcBorders>
          </w:tcPr>
          <w:p w14:paraId="15030B42" w14:textId="77777777" w:rsidR="00AE6A66" w:rsidRPr="00D378F1" w:rsidRDefault="00AE6A66" w:rsidP="00D378F1">
            <w:pPr>
              <w:pStyle w:val="Tabletext"/>
              <w:rPr>
                <w:lang w:val="es-ES"/>
              </w:rPr>
            </w:pPr>
          </w:p>
        </w:tc>
        <w:tc>
          <w:tcPr>
            <w:tcW w:w="2226" w:type="dxa"/>
            <w:tcBorders>
              <w:top w:val="single" w:sz="4" w:space="0" w:color="auto"/>
              <w:left w:val="single" w:sz="4" w:space="0" w:color="auto"/>
              <w:bottom w:val="single" w:sz="4" w:space="0" w:color="auto"/>
              <w:right w:val="single" w:sz="4" w:space="0" w:color="auto"/>
            </w:tcBorders>
          </w:tcPr>
          <w:p w14:paraId="30D39B79" w14:textId="7B2C8C3D" w:rsidR="00AE6A66" w:rsidRPr="00D378F1" w:rsidRDefault="00FA7D0A" w:rsidP="00D378F1">
            <w:pPr>
              <w:pStyle w:val="Tabletext"/>
              <w:rPr>
                <w:lang w:val="es-ES"/>
              </w:rPr>
            </w:pPr>
            <w:r w:rsidRPr="00D378F1">
              <w:rPr>
                <w:lang w:val="es-ES"/>
              </w:rPr>
              <w:t>Aplicable a redes y servicios.</w:t>
            </w:r>
          </w:p>
        </w:tc>
        <w:tc>
          <w:tcPr>
            <w:tcW w:w="1917" w:type="dxa"/>
            <w:tcBorders>
              <w:top w:val="single" w:sz="4" w:space="0" w:color="auto"/>
              <w:left w:val="single" w:sz="4" w:space="0" w:color="auto"/>
              <w:bottom w:val="single" w:sz="4" w:space="0" w:color="auto"/>
              <w:right w:val="single" w:sz="4" w:space="0" w:color="auto"/>
            </w:tcBorders>
          </w:tcPr>
          <w:p w14:paraId="41004926" w14:textId="18F49EDB" w:rsidR="00AE6A66" w:rsidRPr="00D378F1" w:rsidRDefault="00FA7D0A" w:rsidP="00D378F1">
            <w:pPr>
              <w:pStyle w:val="Tabletext"/>
              <w:rPr>
                <w:lang w:val="es-ES"/>
              </w:rPr>
            </w:pPr>
            <w:bookmarkStart w:id="15" w:name="lt_pId046"/>
            <w:r w:rsidRPr="00D378F1">
              <w:rPr>
                <w:lang w:val="es-ES"/>
              </w:rPr>
              <w:t>Afecta a la flexibilidad</w:t>
            </w:r>
            <w:r w:rsidR="00AE6A66" w:rsidRPr="00D378F1">
              <w:rPr>
                <w:lang w:val="es-ES"/>
              </w:rPr>
              <w:t>.</w:t>
            </w:r>
            <w:bookmarkEnd w:id="15"/>
          </w:p>
        </w:tc>
        <w:tc>
          <w:tcPr>
            <w:tcW w:w="2085" w:type="dxa"/>
            <w:tcBorders>
              <w:top w:val="single" w:sz="4" w:space="0" w:color="auto"/>
              <w:left w:val="single" w:sz="4" w:space="0" w:color="auto"/>
              <w:right w:val="single" w:sz="4" w:space="0" w:color="auto"/>
            </w:tcBorders>
          </w:tcPr>
          <w:p w14:paraId="430308A0" w14:textId="77777777" w:rsidR="00AE6A66" w:rsidRPr="00D378F1" w:rsidRDefault="00AE6A66" w:rsidP="00D378F1">
            <w:pPr>
              <w:pStyle w:val="Tabletext"/>
              <w:rPr>
                <w:lang w:val="es-ES"/>
              </w:rPr>
            </w:pPr>
          </w:p>
        </w:tc>
      </w:tr>
      <w:tr w:rsidR="00AE6A66" w:rsidRPr="003F54CC" w14:paraId="3E8C67D4" w14:textId="77777777" w:rsidTr="000F761E">
        <w:tc>
          <w:tcPr>
            <w:tcW w:w="1129" w:type="dxa"/>
            <w:vMerge/>
            <w:tcBorders>
              <w:left w:val="single" w:sz="4" w:space="0" w:color="auto"/>
              <w:bottom w:val="single" w:sz="4" w:space="0" w:color="auto"/>
              <w:right w:val="single" w:sz="4" w:space="0" w:color="auto"/>
            </w:tcBorders>
          </w:tcPr>
          <w:p w14:paraId="43332D20"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D56F121" w14:textId="4E027FC8" w:rsidR="00AE6A66" w:rsidRPr="00D378F1" w:rsidRDefault="00AE6A66" w:rsidP="00181FE6">
            <w:pPr>
              <w:pStyle w:val="Tabletext"/>
              <w:tabs>
                <w:tab w:val="left" w:pos="457"/>
              </w:tabs>
              <w:rPr>
                <w:lang w:val="es-ES"/>
              </w:rPr>
            </w:pPr>
            <w:r w:rsidRPr="00E9121E">
              <w:rPr>
                <w:b/>
                <w:bCs/>
              </w:rPr>
              <w:t>3</w:t>
            </w:r>
            <w:r w:rsidRPr="00D378F1">
              <w:rPr>
                <w:lang w:val="es-ES"/>
              </w:rPr>
              <w:tab/>
            </w:r>
            <w:r w:rsidR="00F13C7F" w:rsidRPr="003F54CC">
              <w:rPr>
                <w:lang w:val="es-ES"/>
              </w:rPr>
              <w:t>El presente Reglamento reconoce el derecho de acceso de los Estados Miembros a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2B6D43ED" w14:textId="77777777" w:rsidR="00AE6A66" w:rsidRPr="00D378F1" w:rsidRDefault="00AE6A66" w:rsidP="00D378F1">
            <w:pPr>
              <w:pStyle w:val="Tabletext"/>
              <w:rPr>
                <w:lang w:val="es-ES"/>
              </w:rPr>
            </w:pPr>
          </w:p>
        </w:tc>
        <w:tc>
          <w:tcPr>
            <w:tcW w:w="2226" w:type="dxa"/>
            <w:tcBorders>
              <w:top w:val="single" w:sz="4" w:space="0" w:color="auto"/>
              <w:left w:val="single" w:sz="4" w:space="0" w:color="auto"/>
              <w:bottom w:val="single" w:sz="4" w:space="0" w:color="auto"/>
              <w:right w:val="single" w:sz="4" w:space="0" w:color="auto"/>
            </w:tcBorders>
          </w:tcPr>
          <w:p w14:paraId="19D392C6" w14:textId="4621E092" w:rsidR="00AE6A66" w:rsidRPr="00D378F1" w:rsidRDefault="00FA7D0A" w:rsidP="00D378F1">
            <w:pPr>
              <w:pStyle w:val="Tabletext"/>
              <w:rPr>
                <w:lang w:val="es-ES"/>
              </w:rPr>
            </w:pPr>
            <w:r w:rsidRPr="00D378F1">
              <w:rPr>
                <w:lang w:val="es-ES"/>
              </w:rPr>
              <w:t>Aplicable a redes y servicios.</w:t>
            </w:r>
          </w:p>
        </w:tc>
        <w:tc>
          <w:tcPr>
            <w:tcW w:w="1917" w:type="dxa"/>
            <w:tcBorders>
              <w:top w:val="single" w:sz="4" w:space="0" w:color="auto"/>
              <w:left w:val="single" w:sz="4" w:space="0" w:color="auto"/>
              <w:bottom w:val="single" w:sz="4" w:space="0" w:color="auto"/>
              <w:right w:val="single" w:sz="4" w:space="0" w:color="auto"/>
            </w:tcBorders>
          </w:tcPr>
          <w:p w14:paraId="64B267D4" w14:textId="0C6998DF" w:rsidR="00AE6A66" w:rsidRPr="00D378F1" w:rsidRDefault="00FA7D0A" w:rsidP="00D378F1">
            <w:pPr>
              <w:pStyle w:val="Tabletext"/>
              <w:rPr>
                <w:lang w:val="es-ES"/>
              </w:rPr>
            </w:pPr>
            <w:bookmarkStart w:id="16" w:name="lt_pId050"/>
            <w:r w:rsidRPr="00D378F1">
              <w:rPr>
                <w:lang w:val="es-ES"/>
              </w:rPr>
              <w:t>Afecta a la flexibilidad</w:t>
            </w:r>
            <w:r w:rsidR="00AE6A66" w:rsidRPr="00D378F1">
              <w:rPr>
                <w:lang w:val="es-ES"/>
              </w:rPr>
              <w:t>.</w:t>
            </w:r>
            <w:bookmarkEnd w:id="16"/>
          </w:p>
        </w:tc>
        <w:tc>
          <w:tcPr>
            <w:tcW w:w="2085" w:type="dxa"/>
            <w:tcBorders>
              <w:left w:val="single" w:sz="4" w:space="0" w:color="auto"/>
              <w:bottom w:val="single" w:sz="4" w:space="0" w:color="auto"/>
              <w:right w:val="single" w:sz="4" w:space="0" w:color="auto"/>
            </w:tcBorders>
          </w:tcPr>
          <w:p w14:paraId="2B462F2C" w14:textId="77777777" w:rsidR="00AE6A66" w:rsidRPr="00D378F1" w:rsidRDefault="00AE6A66" w:rsidP="00D378F1">
            <w:pPr>
              <w:pStyle w:val="Tabletext"/>
              <w:rPr>
                <w:lang w:val="es-ES"/>
              </w:rPr>
            </w:pPr>
          </w:p>
        </w:tc>
      </w:tr>
      <w:tr w:rsidR="00AE6A66" w:rsidRPr="003F54CC" w14:paraId="343389DB" w14:textId="77777777" w:rsidTr="000F761E">
        <w:tc>
          <w:tcPr>
            <w:tcW w:w="14454" w:type="dxa"/>
            <w:gridSpan w:val="6"/>
            <w:tcBorders>
              <w:left w:val="single" w:sz="4" w:space="0" w:color="auto"/>
              <w:bottom w:val="single" w:sz="4" w:space="0" w:color="auto"/>
              <w:right w:val="single" w:sz="4" w:space="0" w:color="auto"/>
            </w:tcBorders>
          </w:tcPr>
          <w:p w14:paraId="2B77F660" w14:textId="77777777" w:rsidR="00AE6A66" w:rsidRPr="003F54CC" w:rsidRDefault="00AE6A66" w:rsidP="00181FE6">
            <w:pPr>
              <w:pStyle w:val="Tabletext"/>
              <w:rPr>
                <w:lang w:val="es-ES"/>
              </w:rPr>
            </w:pPr>
          </w:p>
        </w:tc>
      </w:tr>
      <w:tr w:rsidR="00AE6A66" w:rsidRPr="003F54CC" w14:paraId="7450DF70" w14:textId="77777777" w:rsidTr="000F761E">
        <w:tc>
          <w:tcPr>
            <w:tcW w:w="1129" w:type="dxa"/>
            <w:vMerge w:val="restart"/>
            <w:tcBorders>
              <w:top w:val="single" w:sz="4" w:space="0" w:color="auto"/>
              <w:left w:val="single" w:sz="4" w:space="0" w:color="auto"/>
              <w:right w:val="single" w:sz="4" w:space="0" w:color="auto"/>
            </w:tcBorders>
            <w:textDirection w:val="btLr"/>
          </w:tcPr>
          <w:p w14:paraId="383C6D40" w14:textId="41616DDE" w:rsidR="00AE6A66" w:rsidRPr="00181FE6" w:rsidRDefault="00F13C7F" w:rsidP="00181FE6">
            <w:pPr>
              <w:pStyle w:val="Tabletext"/>
              <w:jc w:val="center"/>
              <w:rPr>
                <w:b/>
                <w:bCs/>
                <w:lang w:val="es-ES"/>
              </w:rPr>
            </w:pPr>
            <w:bookmarkStart w:id="17" w:name="lt_pId051"/>
            <w:r w:rsidRPr="00181FE6">
              <w:rPr>
                <w:b/>
                <w:bCs/>
                <w:lang w:val="es-ES"/>
              </w:rPr>
              <w:t xml:space="preserve">ARTÍCULO </w:t>
            </w:r>
            <w:r w:rsidR="00AE6A66" w:rsidRPr="00181FE6">
              <w:rPr>
                <w:b/>
                <w:bCs/>
                <w:lang w:val="es-ES"/>
              </w:rPr>
              <w:t>1</w:t>
            </w:r>
            <w:bookmarkEnd w:id="17"/>
          </w:p>
          <w:p w14:paraId="5ED0BB8D" w14:textId="62A1D474" w:rsidR="00AE6A66" w:rsidRPr="001F143F" w:rsidRDefault="00F13C7F" w:rsidP="001F143F">
            <w:pPr>
              <w:pStyle w:val="Tabletext"/>
              <w:jc w:val="center"/>
              <w:rPr>
                <w:b/>
                <w:bCs/>
                <w:lang w:val="es-ES"/>
              </w:rPr>
            </w:pPr>
            <w:r w:rsidRPr="00181FE6">
              <w:rPr>
                <w:b/>
                <w:bCs/>
                <w:lang w:val="es-ES"/>
              </w:rPr>
              <w:t>Finalidad y alcance del Reglamento</w:t>
            </w:r>
          </w:p>
        </w:tc>
        <w:tc>
          <w:tcPr>
            <w:tcW w:w="3546" w:type="dxa"/>
            <w:tcBorders>
              <w:top w:val="single" w:sz="4" w:space="0" w:color="auto"/>
              <w:left w:val="single" w:sz="4" w:space="0" w:color="auto"/>
              <w:bottom w:val="single" w:sz="4" w:space="0" w:color="auto"/>
              <w:right w:val="single" w:sz="4" w:space="0" w:color="auto"/>
            </w:tcBorders>
          </w:tcPr>
          <w:p w14:paraId="08B7F515" w14:textId="6916A18F" w:rsidR="00AE6A66" w:rsidRPr="003F54CC" w:rsidRDefault="00AE6A66" w:rsidP="00DB74E7">
            <w:pPr>
              <w:pStyle w:val="Tabletext"/>
              <w:tabs>
                <w:tab w:val="left" w:pos="457"/>
                <w:tab w:val="left" w:pos="1024"/>
              </w:tabs>
              <w:rPr>
                <w:rFonts w:asciiTheme="minorHAnsi" w:hAnsiTheme="minorHAnsi"/>
                <w:bCs/>
                <w:lang w:val="es-ES"/>
              </w:rPr>
            </w:pPr>
            <w:r w:rsidRPr="00E9121E">
              <w:rPr>
                <w:b/>
                <w:bCs/>
              </w:rPr>
              <w:t>4</w:t>
            </w:r>
            <w:r w:rsidRPr="003F54CC">
              <w:rPr>
                <w:rFonts w:asciiTheme="minorHAnsi" w:hAnsiTheme="minorHAnsi"/>
                <w:lang w:val="es-ES"/>
              </w:rPr>
              <w:tab/>
            </w:r>
            <w:r w:rsidRPr="003F54CC">
              <w:rPr>
                <w:lang w:val="es-ES"/>
              </w:rPr>
              <w:t>1.1</w:t>
            </w:r>
            <w:r w:rsidRPr="003F54CC">
              <w:rPr>
                <w:lang w:val="es-ES"/>
              </w:rPr>
              <w:tab/>
            </w:r>
            <w:r w:rsidRPr="003F54CC">
              <w:rPr>
                <w:i/>
                <w:iCs/>
                <w:lang w:val="es-ES"/>
              </w:rPr>
              <w:t>a)</w:t>
            </w:r>
            <w:r w:rsidRPr="003F54CC">
              <w:rPr>
                <w:lang w:val="es-ES"/>
              </w:rPr>
              <w:tab/>
            </w:r>
            <w:r w:rsidR="00F13C7F" w:rsidRPr="003F54CC">
              <w:rPr>
                <w:lang w:val="es-ES"/>
              </w:rPr>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El presente Reglamento no atañe a los aspectos de contenido de las telecomunicaciones.</w:t>
            </w:r>
          </w:p>
          <w:p w14:paraId="1441D1F1" w14:textId="4C38CE3B" w:rsidR="00AE6A66" w:rsidRPr="003F54CC" w:rsidRDefault="00AE6A66" w:rsidP="00DB74E7">
            <w:pPr>
              <w:pStyle w:val="Tabletext"/>
              <w:tabs>
                <w:tab w:val="left" w:pos="457"/>
                <w:tab w:val="left" w:pos="1024"/>
              </w:tabs>
              <w:rPr>
                <w:rFonts w:asciiTheme="minorHAnsi" w:hAnsiTheme="minorHAnsi"/>
                <w:bCs/>
                <w:lang w:val="es-ES"/>
              </w:rPr>
            </w:pPr>
            <w:r w:rsidRPr="00E9121E">
              <w:rPr>
                <w:b/>
                <w:bCs/>
              </w:rPr>
              <w:t>5</w:t>
            </w:r>
            <w:r w:rsidRPr="003F54CC">
              <w:rPr>
                <w:rFonts w:asciiTheme="minorHAnsi" w:hAnsiTheme="minorHAnsi"/>
                <w:lang w:val="es-ES"/>
              </w:rPr>
              <w:tab/>
            </w:r>
            <w:r w:rsidRPr="003F54CC">
              <w:rPr>
                <w:i/>
                <w:iCs/>
                <w:lang w:val="es-ES"/>
              </w:rPr>
              <w:t>b)</w:t>
            </w:r>
            <w:r w:rsidRPr="003F54CC">
              <w:rPr>
                <w:lang w:val="es-ES"/>
              </w:rPr>
              <w:tab/>
            </w:r>
            <w:r w:rsidR="00F13C7F" w:rsidRPr="003F54CC">
              <w:rPr>
                <w:lang w:val="es-ES"/>
              </w:rPr>
              <w:t>El presente Reglamento contiene asimismo disposiciones aplicables a las empresas de explotación, autorizadas o reconocidas por un Estado Miembro para establecer, explotar y prestar servicios internacionales de telecomunicación destinados al público, en adelante denominadas "empresas de explotación autorizadas".</w:t>
            </w:r>
          </w:p>
        </w:tc>
        <w:tc>
          <w:tcPr>
            <w:tcW w:w="3551" w:type="dxa"/>
            <w:tcBorders>
              <w:top w:val="single" w:sz="4" w:space="0" w:color="auto"/>
              <w:left w:val="single" w:sz="4" w:space="0" w:color="auto"/>
              <w:bottom w:val="single" w:sz="4" w:space="0" w:color="auto"/>
              <w:right w:val="single" w:sz="4" w:space="0" w:color="auto"/>
            </w:tcBorders>
          </w:tcPr>
          <w:p w14:paraId="3C1FBD94" w14:textId="7011058B" w:rsidR="00AE6A66" w:rsidRPr="003F54CC" w:rsidRDefault="00AE6A66" w:rsidP="00181FE6">
            <w:pPr>
              <w:pStyle w:val="Tabletext"/>
              <w:tabs>
                <w:tab w:val="left" w:pos="457"/>
                <w:tab w:val="left" w:pos="1024"/>
              </w:tabs>
              <w:rPr>
                <w:rFonts w:asciiTheme="minorHAnsi" w:hAnsiTheme="minorHAnsi"/>
                <w:lang w:val="es-ES"/>
              </w:rPr>
            </w:pPr>
            <w:r w:rsidRPr="00E9121E">
              <w:rPr>
                <w:b/>
                <w:bCs/>
              </w:rPr>
              <w:t>2</w:t>
            </w:r>
            <w:r w:rsidRPr="003F54CC">
              <w:rPr>
                <w:rFonts w:asciiTheme="minorHAnsi" w:hAnsiTheme="minorHAnsi"/>
                <w:lang w:val="es-ES"/>
              </w:rPr>
              <w:tab/>
            </w:r>
            <w:r w:rsidRPr="003F54CC">
              <w:rPr>
                <w:lang w:val="es-ES"/>
              </w:rPr>
              <w:t>1.1</w:t>
            </w:r>
            <w:r w:rsidRPr="003F54CC">
              <w:rPr>
                <w:lang w:val="es-ES"/>
              </w:rPr>
              <w:tab/>
            </w:r>
            <w:r w:rsidRPr="003F54CC">
              <w:rPr>
                <w:i/>
                <w:iCs/>
                <w:lang w:val="es-ES"/>
              </w:rPr>
              <w:t>a)</w:t>
            </w:r>
            <w:r w:rsidRPr="003F54CC">
              <w:rPr>
                <w:lang w:val="es-ES"/>
              </w:rPr>
              <w:tab/>
            </w:r>
            <w:r w:rsidR="0085057C" w:rsidRPr="003F54CC">
              <w:rPr>
                <w:lang w:val="es-ES"/>
              </w:rPr>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Fija también las reglas aplicables a las administraciones</w:t>
            </w:r>
            <w:r w:rsidR="00DB74E7" w:rsidRPr="00DB74E7">
              <w:rPr>
                <w:rStyle w:val="FootnoteReference"/>
              </w:rPr>
              <w:t>*</w:t>
            </w:r>
            <w:r w:rsidR="0085057C" w:rsidRPr="003F54CC">
              <w:rPr>
                <w:lang w:val="es-ES"/>
              </w:rPr>
              <w:t>.</w:t>
            </w:r>
          </w:p>
          <w:p w14:paraId="2F3C8886" w14:textId="663259EB" w:rsidR="00AE6A66" w:rsidRPr="003F54CC" w:rsidRDefault="00AE6A66" w:rsidP="001F143F">
            <w:pPr>
              <w:pStyle w:val="Tabletext"/>
              <w:tabs>
                <w:tab w:val="left" w:pos="457"/>
                <w:tab w:val="left" w:pos="1024"/>
              </w:tabs>
              <w:spacing w:before="360"/>
              <w:rPr>
                <w:bCs/>
                <w:highlight w:val="yellow"/>
                <w:lang w:val="es-ES"/>
              </w:rPr>
            </w:pPr>
            <w:r w:rsidRPr="00FC4FA1">
              <w:rPr>
                <w:rStyle w:val="FootnoteReference"/>
              </w:rPr>
              <w:t>*</w:t>
            </w:r>
            <w:r w:rsidR="001F143F">
              <w:rPr>
                <w:lang w:val="es-ES"/>
              </w:rPr>
              <w:tab/>
            </w:r>
            <w:r w:rsidR="0085057C" w:rsidRPr="003F54CC">
              <w:rPr>
                <w:lang w:val="es-ES"/>
              </w:rPr>
              <w:t>o empresa(s) privada(s) de explotación reconocida(s)</w:t>
            </w:r>
          </w:p>
        </w:tc>
        <w:tc>
          <w:tcPr>
            <w:tcW w:w="2226" w:type="dxa"/>
            <w:tcBorders>
              <w:top w:val="single" w:sz="4" w:space="0" w:color="auto"/>
              <w:left w:val="single" w:sz="4" w:space="0" w:color="auto"/>
              <w:bottom w:val="single" w:sz="4" w:space="0" w:color="auto"/>
              <w:right w:val="single" w:sz="4" w:space="0" w:color="auto"/>
            </w:tcBorders>
          </w:tcPr>
          <w:p w14:paraId="404E3733" w14:textId="05965A8C" w:rsidR="00AE6A66" w:rsidRPr="00D378F1" w:rsidRDefault="00457218" w:rsidP="00DB74E7">
            <w:pPr>
              <w:pStyle w:val="Tabletext"/>
              <w:rPr>
                <w:lang w:val="es-ES"/>
              </w:rPr>
            </w:pPr>
            <w:bookmarkStart w:id="18" w:name="lt_pId063"/>
            <w:r w:rsidRPr="00D378F1">
              <w:rPr>
                <w:lang w:val="es-ES"/>
              </w:rPr>
              <w:t>Los números</w:t>
            </w:r>
            <w:r w:rsidR="00AE6A66" w:rsidRPr="00D378F1">
              <w:rPr>
                <w:lang w:val="es-ES"/>
              </w:rPr>
              <w:t xml:space="preserve"> 4 </w:t>
            </w:r>
            <w:r w:rsidRPr="00D378F1">
              <w:rPr>
                <w:lang w:val="es-ES"/>
              </w:rPr>
              <w:t>y</w:t>
            </w:r>
            <w:r w:rsidR="00AE6A66" w:rsidRPr="00D378F1">
              <w:rPr>
                <w:lang w:val="es-ES"/>
              </w:rPr>
              <w:t xml:space="preserve"> 5 </w:t>
            </w:r>
            <w:r w:rsidRPr="00D378F1">
              <w:rPr>
                <w:lang w:val="es-ES"/>
              </w:rPr>
              <w:t>del</w:t>
            </w:r>
            <w:r w:rsidR="00DB74E7">
              <w:rPr>
                <w:lang w:val="es-ES"/>
              </w:rPr>
              <w:t> R</w:t>
            </w:r>
            <w:r w:rsidRPr="00D378F1">
              <w:rPr>
                <w:lang w:val="es-ES"/>
              </w:rPr>
              <w:t>TI de</w:t>
            </w:r>
            <w:r w:rsidR="00AE6A66" w:rsidRPr="00D378F1">
              <w:rPr>
                <w:lang w:val="es-ES"/>
              </w:rPr>
              <w:t xml:space="preserve"> 2012 </w:t>
            </w:r>
            <w:r w:rsidRPr="00D378F1">
              <w:rPr>
                <w:lang w:val="es-ES"/>
              </w:rPr>
              <w:t xml:space="preserve">son plenamente aplicables </w:t>
            </w:r>
            <w:r w:rsidR="00FA7D0A" w:rsidRPr="00D378F1">
              <w:rPr>
                <w:lang w:val="es-ES"/>
              </w:rPr>
              <w:t>al desarrollo de redes y servicios</w:t>
            </w:r>
            <w:r w:rsidR="00AE6A66" w:rsidRPr="00D378F1">
              <w:rPr>
                <w:lang w:val="es-ES"/>
              </w:rPr>
              <w:t>.</w:t>
            </w:r>
            <w:bookmarkEnd w:id="18"/>
            <w:r w:rsidR="00AE6A66" w:rsidRPr="00D378F1">
              <w:rPr>
                <w:lang w:val="es-ES"/>
              </w:rPr>
              <w:t xml:space="preserve"> </w:t>
            </w:r>
            <w:r w:rsidRPr="00D378F1">
              <w:rPr>
                <w:lang w:val="es-ES"/>
              </w:rPr>
              <w:t>Son válidos para todas las empresas de explotación que proporcionan servicios internacionales de telecomunicaciones</w:t>
            </w:r>
            <w:bookmarkStart w:id="19" w:name="lt_pId064"/>
            <w:r w:rsidR="00AE6A66" w:rsidRPr="00D378F1">
              <w:rPr>
                <w:lang w:val="es-ES"/>
              </w:rPr>
              <w:t xml:space="preserve">. </w:t>
            </w:r>
            <w:bookmarkEnd w:id="19"/>
            <w:r w:rsidRPr="00D378F1">
              <w:rPr>
                <w:lang w:val="es-ES"/>
              </w:rPr>
              <w:t>Cabe señalar que el número 2 del RTI de</w:t>
            </w:r>
            <w:r w:rsidR="001F143F">
              <w:rPr>
                <w:lang w:val="es-ES"/>
              </w:rPr>
              <w:t> </w:t>
            </w:r>
            <w:r w:rsidRPr="00D378F1">
              <w:rPr>
                <w:lang w:val="es-ES"/>
              </w:rPr>
              <w:t xml:space="preserve">1988 no se ajusta plenamente a las disposiciones de la Constitución y el Convenio de la UIT en lo que atañe a la terminología aplicable </w:t>
            </w:r>
            <w:r w:rsidR="003916DF">
              <w:rPr>
                <w:lang w:val="es-ES"/>
              </w:rPr>
              <w:t>"</w:t>
            </w:r>
            <w:r w:rsidRPr="00D378F1">
              <w:rPr>
                <w:lang w:val="es-ES"/>
              </w:rPr>
              <w:t>empresa(s) de explotación reconocida(s)</w:t>
            </w:r>
            <w:r w:rsidR="003916DF">
              <w:rPr>
                <w:lang w:val="es-ES"/>
              </w:rPr>
              <w:t>"</w:t>
            </w:r>
            <w:r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13A8740D" w14:textId="61224443" w:rsidR="00AE6A66" w:rsidRPr="00D378F1" w:rsidRDefault="00457218" w:rsidP="00D378F1">
            <w:pPr>
              <w:pStyle w:val="Tabletext"/>
              <w:rPr>
                <w:lang w:val="es-ES"/>
              </w:rPr>
            </w:pPr>
            <w:bookmarkStart w:id="20" w:name="lt_pId066"/>
            <w:r w:rsidRPr="00D378F1">
              <w:rPr>
                <w:lang w:val="es-ES"/>
              </w:rPr>
              <w:t xml:space="preserve">Los números 4 y 5 del RTI de 2012 pueden ofrecer la flexibilidad para adaptarse a nuevas tendencias y </w:t>
            </w:r>
            <w:r w:rsidR="00E67211" w:rsidRPr="00D378F1">
              <w:rPr>
                <w:lang w:val="es-ES"/>
              </w:rPr>
              <w:t>problemas</w:t>
            </w:r>
            <w:r w:rsidRPr="00D378F1">
              <w:rPr>
                <w:lang w:val="es-ES"/>
              </w:rPr>
              <w:t xml:space="preserve"> emergentes. </w:t>
            </w:r>
            <w:bookmarkEnd w:id="20"/>
          </w:p>
        </w:tc>
        <w:tc>
          <w:tcPr>
            <w:tcW w:w="2085" w:type="dxa"/>
            <w:tcBorders>
              <w:top w:val="single" w:sz="4" w:space="0" w:color="auto"/>
              <w:left w:val="single" w:sz="4" w:space="0" w:color="auto"/>
              <w:bottom w:val="single" w:sz="4" w:space="0" w:color="auto"/>
              <w:right w:val="single" w:sz="4" w:space="0" w:color="auto"/>
            </w:tcBorders>
          </w:tcPr>
          <w:p w14:paraId="4078C601" w14:textId="6CED30F1" w:rsidR="00AE6A66" w:rsidRPr="00D378F1" w:rsidRDefault="00457218" w:rsidP="001F143F">
            <w:pPr>
              <w:pStyle w:val="Tabletext"/>
              <w:ind w:right="-57"/>
              <w:rPr>
                <w:lang w:val="es-ES"/>
              </w:rPr>
            </w:pPr>
            <w:bookmarkStart w:id="21" w:name="lt_pId067"/>
            <w:r w:rsidRPr="00D378F1">
              <w:rPr>
                <w:lang w:val="es-ES"/>
              </w:rPr>
              <w:t xml:space="preserve">Los números 4 y 5 del RTI de 2012 tienen en cuenta los cambios objetivos en el ecosistema de las telecomunicaciones/TIC y la terminología de la Constitución y el Convenio de la UIT en vigor. </w:t>
            </w:r>
            <w:r w:rsidR="00E67211" w:rsidRPr="00D378F1">
              <w:rPr>
                <w:lang w:val="es-ES"/>
              </w:rPr>
              <w:t xml:space="preserve">Además, el número 5 del RTI de 2012 define un nuevo término, el de </w:t>
            </w:r>
            <w:r w:rsidR="003916DF">
              <w:rPr>
                <w:lang w:val="es-ES"/>
              </w:rPr>
              <w:t>"</w:t>
            </w:r>
            <w:r w:rsidR="00E67211" w:rsidRPr="00D378F1">
              <w:rPr>
                <w:lang w:val="es-ES"/>
              </w:rPr>
              <w:t>empresas de explotación autorizadas</w:t>
            </w:r>
            <w:r w:rsidR="003916DF">
              <w:rPr>
                <w:lang w:val="es-ES"/>
              </w:rPr>
              <w:t>"</w:t>
            </w:r>
            <w:r w:rsidR="00E67211" w:rsidRPr="00D378F1">
              <w:rPr>
                <w:lang w:val="es-ES"/>
              </w:rPr>
              <w:t>, sobre la base de la definición del número 1007 del Anexo a la Constitución.</w:t>
            </w:r>
            <w:bookmarkEnd w:id="21"/>
          </w:p>
        </w:tc>
      </w:tr>
      <w:tr w:rsidR="00AE6A66" w:rsidRPr="003F54CC" w14:paraId="516BF4BA" w14:textId="77777777" w:rsidTr="000F761E">
        <w:tc>
          <w:tcPr>
            <w:tcW w:w="1129" w:type="dxa"/>
            <w:vMerge/>
            <w:tcBorders>
              <w:left w:val="single" w:sz="4" w:space="0" w:color="auto"/>
              <w:right w:val="single" w:sz="4" w:space="0" w:color="auto"/>
            </w:tcBorders>
          </w:tcPr>
          <w:p w14:paraId="5D98CC0A"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49D87B51" w14:textId="607A0B2F"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6</w:t>
            </w:r>
            <w:r w:rsidRPr="003F54CC">
              <w:rPr>
                <w:rFonts w:asciiTheme="minorHAnsi" w:hAnsiTheme="minorHAnsi" w:cstheme="minorHAnsi"/>
                <w:lang w:val="es-ES"/>
              </w:rPr>
              <w:tab/>
            </w:r>
            <w:r w:rsidRPr="003F54CC">
              <w:rPr>
                <w:i/>
                <w:iCs/>
                <w:lang w:val="es-ES"/>
              </w:rPr>
              <w:t>c)</w:t>
            </w:r>
            <w:r w:rsidRPr="003F54CC">
              <w:rPr>
                <w:lang w:val="es-ES"/>
              </w:rPr>
              <w:tab/>
            </w:r>
            <w:r w:rsidR="00F13C7F" w:rsidRPr="003F54CC">
              <w:rPr>
                <w:lang w:val="es-ES"/>
              </w:rPr>
              <w:t xml:space="preserve">En el Artículo </w:t>
            </w:r>
            <w:r w:rsidR="00687355">
              <w:rPr>
                <w:lang w:val="es-ES"/>
              </w:rPr>
              <w:t>13</w:t>
            </w:r>
            <w:r w:rsidR="00F13C7F" w:rsidRPr="003F54CC">
              <w:rPr>
                <w:lang w:val="es-ES"/>
              </w:rPr>
              <w:t xml:space="preserve"> se reconoce a los Estados Miembros el derecho de permitir la concertación de acuerdos particulares.</w:t>
            </w:r>
          </w:p>
        </w:tc>
        <w:tc>
          <w:tcPr>
            <w:tcW w:w="3551" w:type="dxa"/>
            <w:tcBorders>
              <w:top w:val="single" w:sz="4" w:space="0" w:color="auto"/>
              <w:left w:val="single" w:sz="4" w:space="0" w:color="auto"/>
              <w:bottom w:val="single" w:sz="4" w:space="0" w:color="auto"/>
              <w:right w:val="single" w:sz="4" w:space="0" w:color="auto"/>
            </w:tcBorders>
          </w:tcPr>
          <w:p w14:paraId="10FFAA8B" w14:textId="75542E4C"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w:t>
            </w:r>
            <w:r w:rsidRPr="003F54CC">
              <w:rPr>
                <w:rFonts w:asciiTheme="minorHAnsi" w:hAnsiTheme="minorHAnsi" w:cstheme="minorHAnsi"/>
                <w:lang w:val="es-ES"/>
              </w:rPr>
              <w:tab/>
            </w:r>
            <w:r w:rsidRPr="003F54CC">
              <w:rPr>
                <w:i/>
                <w:iCs/>
                <w:lang w:val="es-ES"/>
              </w:rPr>
              <w:t>b)</w:t>
            </w:r>
            <w:r w:rsidRPr="003F54CC">
              <w:rPr>
                <w:lang w:val="es-ES"/>
              </w:rPr>
              <w:tab/>
            </w:r>
            <w:r w:rsidR="0085057C" w:rsidRPr="003F54CC">
              <w:rPr>
                <w:lang w:val="es-ES"/>
              </w:rPr>
              <w:t>En el Artículo 9 se reconoce a los Miembros el derecho de permitir la concertación de arreglos particulares.</w:t>
            </w:r>
          </w:p>
        </w:tc>
        <w:tc>
          <w:tcPr>
            <w:tcW w:w="2226" w:type="dxa"/>
            <w:tcBorders>
              <w:top w:val="single" w:sz="4" w:space="0" w:color="auto"/>
              <w:left w:val="single" w:sz="4" w:space="0" w:color="auto"/>
              <w:bottom w:val="single" w:sz="4" w:space="0" w:color="auto"/>
              <w:right w:val="single" w:sz="4" w:space="0" w:color="auto"/>
            </w:tcBorders>
          </w:tcPr>
          <w:p w14:paraId="3B3E615A" w14:textId="137F2267" w:rsidR="00AE6A66" w:rsidRPr="00D378F1" w:rsidRDefault="00E67211" w:rsidP="00D378F1">
            <w:pPr>
              <w:pStyle w:val="Tabletext"/>
              <w:rPr>
                <w:lang w:val="es-ES"/>
              </w:rPr>
            </w:pPr>
            <w:bookmarkStart w:id="22" w:name="lt_pId073"/>
            <w:r w:rsidRPr="00D378F1">
              <w:rPr>
                <w:lang w:val="es-ES"/>
              </w:rPr>
              <w:t>Este número es a</w:t>
            </w:r>
            <w:r w:rsidR="00FA7D0A" w:rsidRPr="00D378F1">
              <w:rPr>
                <w:lang w:val="es-ES"/>
              </w:rPr>
              <w:t>plicable a redes y servicios.</w:t>
            </w:r>
            <w:bookmarkEnd w:id="22"/>
          </w:p>
        </w:tc>
        <w:tc>
          <w:tcPr>
            <w:tcW w:w="1917" w:type="dxa"/>
            <w:tcBorders>
              <w:top w:val="single" w:sz="4" w:space="0" w:color="auto"/>
              <w:left w:val="single" w:sz="4" w:space="0" w:color="auto"/>
              <w:bottom w:val="single" w:sz="4" w:space="0" w:color="auto"/>
              <w:right w:val="single" w:sz="4" w:space="0" w:color="auto"/>
            </w:tcBorders>
          </w:tcPr>
          <w:p w14:paraId="63297EC7" w14:textId="187413D6" w:rsidR="00AE6A66" w:rsidRPr="00D378F1" w:rsidRDefault="00FA7D0A" w:rsidP="00D378F1">
            <w:pPr>
              <w:pStyle w:val="Tabletext"/>
              <w:rPr>
                <w:lang w:val="es-ES"/>
              </w:rPr>
            </w:pPr>
            <w:bookmarkStart w:id="23" w:name="lt_pId074"/>
            <w:r w:rsidRPr="00D378F1">
              <w:rPr>
                <w:lang w:val="es-ES"/>
              </w:rPr>
              <w:t>Garantiza la flexibilidad</w:t>
            </w:r>
            <w:r w:rsidR="00AE6A66" w:rsidRPr="00D378F1">
              <w:rPr>
                <w:lang w:val="es-ES"/>
              </w:rPr>
              <w:t xml:space="preserve"> </w:t>
            </w:r>
            <w:r w:rsidR="00E67211" w:rsidRPr="00D378F1">
              <w:rPr>
                <w:lang w:val="es-ES"/>
              </w:rPr>
              <w:t>para adaptarse a nuevas tendencias y problemas emergentes</w:t>
            </w:r>
            <w:r w:rsidR="00AE6A66" w:rsidRPr="00D378F1">
              <w:rPr>
                <w:lang w:val="es-ES"/>
              </w:rPr>
              <w:t>.</w:t>
            </w:r>
            <w:bookmarkEnd w:id="23"/>
          </w:p>
        </w:tc>
        <w:tc>
          <w:tcPr>
            <w:tcW w:w="2085" w:type="dxa"/>
            <w:tcBorders>
              <w:top w:val="single" w:sz="4" w:space="0" w:color="auto"/>
              <w:left w:val="single" w:sz="4" w:space="0" w:color="auto"/>
              <w:bottom w:val="single" w:sz="4" w:space="0" w:color="auto"/>
              <w:right w:val="single" w:sz="4" w:space="0" w:color="auto"/>
            </w:tcBorders>
          </w:tcPr>
          <w:p w14:paraId="49F18444" w14:textId="6494F076" w:rsidR="00AE6A66" w:rsidRPr="00D378F1" w:rsidRDefault="00E67211" w:rsidP="00D378F1">
            <w:pPr>
              <w:pStyle w:val="Tabletext"/>
              <w:rPr>
                <w:lang w:val="es-ES"/>
              </w:rPr>
            </w:pPr>
            <w:bookmarkStart w:id="24" w:name="lt_pId075"/>
            <w:r w:rsidRPr="00D378F1">
              <w:rPr>
                <w:lang w:val="es-ES"/>
              </w:rPr>
              <w:t>El número 6 del RTI de 2012 y el número</w:t>
            </w:r>
            <w:r w:rsidR="006F421F">
              <w:rPr>
                <w:lang w:val="es-ES"/>
              </w:rPr>
              <w:t> </w:t>
            </w:r>
            <w:r w:rsidRPr="00D378F1">
              <w:rPr>
                <w:lang w:val="es-ES"/>
              </w:rPr>
              <w:t>3 del RTI de</w:t>
            </w:r>
            <w:r w:rsidR="006F421F">
              <w:rPr>
                <w:lang w:val="es-ES"/>
              </w:rPr>
              <w:t> </w:t>
            </w:r>
            <w:r w:rsidRPr="00D378F1">
              <w:rPr>
                <w:lang w:val="es-ES"/>
              </w:rPr>
              <w:t>1988 tienen un significado análogo. El número</w:t>
            </w:r>
            <w:r w:rsidR="001F143F">
              <w:rPr>
                <w:lang w:val="es-ES"/>
              </w:rPr>
              <w:t> </w:t>
            </w:r>
            <w:r w:rsidRPr="00D378F1">
              <w:rPr>
                <w:lang w:val="es-ES"/>
              </w:rPr>
              <w:t>6 emplea terminología de la Constitución y el Convenio.</w:t>
            </w:r>
            <w:bookmarkEnd w:id="24"/>
          </w:p>
        </w:tc>
      </w:tr>
      <w:tr w:rsidR="00AE6A66" w:rsidRPr="003F54CC" w14:paraId="7AD376E1" w14:textId="77777777" w:rsidTr="000F761E">
        <w:trPr>
          <w:cantSplit/>
        </w:trPr>
        <w:tc>
          <w:tcPr>
            <w:tcW w:w="1129" w:type="dxa"/>
            <w:vMerge/>
            <w:tcBorders>
              <w:left w:val="single" w:sz="4" w:space="0" w:color="auto"/>
              <w:right w:val="single" w:sz="4" w:space="0" w:color="auto"/>
            </w:tcBorders>
          </w:tcPr>
          <w:p w14:paraId="35985D1C"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138D756" w14:textId="6DFD75DD"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7</w:t>
            </w:r>
            <w:r w:rsidRPr="003F54CC">
              <w:rPr>
                <w:rFonts w:asciiTheme="minorHAnsi" w:hAnsiTheme="minorHAnsi" w:cstheme="minorHAnsi"/>
                <w:lang w:val="es-ES"/>
              </w:rPr>
              <w:tab/>
            </w:r>
            <w:r w:rsidRPr="003F54CC">
              <w:rPr>
                <w:lang w:val="es-ES"/>
              </w:rPr>
              <w:t>1.2</w:t>
            </w:r>
            <w:r w:rsidRPr="003F54CC">
              <w:rPr>
                <w:lang w:val="es-ES"/>
              </w:rPr>
              <w:tab/>
            </w:r>
            <w:r w:rsidR="00F13C7F" w:rsidRPr="003F54CC">
              <w:rPr>
                <w:lang w:val="es-ES"/>
              </w:rPr>
              <w:t>En este Reglamento, la expresión "el público" se utiliza en el sentido de la población en general, e incluye las entidades gubernamentales y las personas jurídicas.</w:t>
            </w:r>
          </w:p>
        </w:tc>
        <w:tc>
          <w:tcPr>
            <w:tcW w:w="3551" w:type="dxa"/>
            <w:tcBorders>
              <w:top w:val="single" w:sz="4" w:space="0" w:color="auto"/>
              <w:left w:val="single" w:sz="4" w:space="0" w:color="auto"/>
              <w:bottom w:val="single" w:sz="4" w:space="0" w:color="auto"/>
              <w:right w:val="single" w:sz="4" w:space="0" w:color="auto"/>
            </w:tcBorders>
          </w:tcPr>
          <w:p w14:paraId="6CA9C1C0" w14:textId="3422B246"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4</w:t>
            </w:r>
            <w:r w:rsidRPr="003F54CC">
              <w:rPr>
                <w:rFonts w:asciiTheme="minorHAnsi" w:hAnsiTheme="minorHAnsi" w:cstheme="minorHAnsi"/>
                <w:lang w:val="es-ES"/>
              </w:rPr>
              <w:tab/>
              <w:t>1.2</w:t>
            </w:r>
            <w:r w:rsidRPr="003F54CC">
              <w:rPr>
                <w:rFonts w:asciiTheme="minorHAnsi" w:hAnsiTheme="minorHAnsi" w:cstheme="minorHAnsi"/>
                <w:lang w:val="es-ES"/>
              </w:rPr>
              <w:tab/>
            </w:r>
            <w:r w:rsidR="0085057C" w:rsidRPr="003F54CC">
              <w:rPr>
                <w:lang w:val="es-ES"/>
              </w:rPr>
              <w:t xml:space="preserve">En este Reglamento, la expresión </w:t>
            </w:r>
            <w:r w:rsidR="006F421F">
              <w:rPr>
                <w:lang w:val="es-ES"/>
              </w:rPr>
              <w:t>"</w:t>
            </w:r>
            <w:r w:rsidR="0085057C" w:rsidRPr="003F54CC">
              <w:rPr>
                <w:lang w:val="es-ES"/>
              </w:rPr>
              <w:t>el público</w:t>
            </w:r>
            <w:r w:rsidR="006F421F">
              <w:rPr>
                <w:lang w:val="es-ES"/>
              </w:rPr>
              <w:t>"</w:t>
            </w:r>
            <w:r w:rsidR="0085057C" w:rsidRPr="003F54CC">
              <w:rPr>
                <w:lang w:val="es-ES"/>
              </w:rPr>
              <w:t xml:space="preserve"> se utiliza en el sentido de la población en general, e incluye las entidades gubernamentales y las personas jurídicas.</w:t>
            </w:r>
          </w:p>
        </w:tc>
        <w:tc>
          <w:tcPr>
            <w:tcW w:w="2226" w:type="dxa"/>
            <w:tcBorders>
              <w:top w:val="single" w:sz="4" w:space="0" w:color="auto"/>
              <w:left w:val="single" w:sz="4" w:space="0" w:color="auto"/>
              <w:bottom w:val="single" w:sz="4" w:space="0" w:color="auto"/>
              <w:right w:val="single" w:sz="4" w:space="0" w:color="auto"/>
            </w:tcBorders>
          </w:tcPr>
          <w:p w14:paraId="477AD5D7" w14:textId="1C08270A" w:rsidR="00AE6A66" w:rsidRPr="00D378F1" w:rsidRDefault="00E67211" w:rsidP="00D378F1">
            <w:pPr>
              <w:pStyle w:val="Tabletext"/>
              <w:rPr>
                <w:lang w:val="es-ES"/>
              </w:rPr>
            </w:pPr>
            <w:bookmarkStart w:id="25" w:name="lt_pId085"/>
            <w:r w:rsidRPr="00D378F1">
              <w:rPr>
                <w:lang w:val="es-ES"/>
              </w:rPr>
              <w:t xml:space="preserve">Ambos números son aplicables </w:t>
            </w:r>
            <w:r w:rsidR="00FA7D0A" w:rsidRPr="00D378F1">
              <w:rPr>
                <w:lang w:val="es-ES"/>
              </w:rPr>
              <w:t>a redes y servicios.</w:t>
            </w:r>
            <w:bookmarkEnd w:id="25"/>
          </w:p>
        </w:tc>
        <w:tc>
          <w:tcPr>
            <w:tcW w:w="1917" w:type="dxa"/>
            <w:tcBorders>
              <w:top w:val="single" w:sz="4" w:space="0" w:color="auto"/>
              <w:left w:val="single" w:sz="4" w:space="0" w:color="auto"/>
              <w:bottom w:val="single" w:sz="4" w:space="0" w:color="auto"/>
              <w:right w:val="single" w:sz="4" w:space="0" w:color="auto"/>
            </w:tcBorders>
          </w:tcPr>
          <w:p w14:paraId="4E6A72F2" w14:textId="29073BD3" w:rsidR="00AE6A66" w:rsidRPr="00D378F1" w:rsidRDefault="00E67211" w:rsidP="00D378F1">
            <w:pPr>
              <w:pStyle w:val="Tabletext"/>
              <w:rPr>
                <w:lang w:val="es-ES"/>
              </w:rPr>
            </w:pPr>
            <w:r w:rsidRPr="00D378F1">
              <w:rPr>
                <w:lang w:val="es-ES"/>
              </w:rPr>
              <w:t>Ambos números garantizan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4C87F95" w14:textId="7B663139" w:rsidR="00AE6A66" w:rsidRPr="00D378F1" w:rsidRDefault="00E67211" w:rsidP="00D378F1">
            <w:pPr>
              <w:pStyle w:val="Tabletext"/>
              <w:rPr>
                <w:lang w:val="es-ES"/>
              </w:rPr>
            </w:pPr>
            <w:bookmarkStart w:id="26" w:name="lt_pId087"/>
            <w:r w:rsidRPr="00D378F1">
              <w:rPr>
                <w:lang w:val="es-ES"/>
              </w:rPr>
              <w:t>El número 7 del RTI de 2012 y el número</w:t>
            </w:r>
            <w:r w:rsidR="00DB74E7">
              <w:rPr>
                <w:lang w:val="es-ES"/>
              </w:rPr>
              <w:t> </w:t>
            </w:r>
            <w:r w:rsidRPr="00D378F1">
              <w:rPr>
                <w:lang w:val="es-ES"/>
              </w:rPr>
              <w:t>4 del RTI de</w:t>
            </w:r>
            <w:r w:rsidR="00DB74E7">
              <w:rPr>
                <w:lang w:val="es-ES"/>
              </w:rPr>
              <w:t> </w:t>
            </w:r>
            <w:r w:rsidRPr="00D378F1">
              <w:rPr>
                <w:lang w:val="es-ES"/>
              </w:rPr>
              <w:t>1988 tienen un significado análogo</w:t>
            </w:r>
            <w:r w:rsidR="00AE6A66" w:rsidRPr="00D378F1">
              <w:rPr>
                <w:lang w:val="es-ES"/>
              </w:rPr>
              <w:t xml:space="preserve">, </w:t>
            </w:r>
            <w:r w:rsidRPr="00D378F1">
              <w:rPr>
                <w:lang w:val="es-ES"/>
              </w:rPr>
              <w:t>pero el texto ruso del número 7 es más preciso.</w:t>
            </w:r>
            <w:bookmarkEnd w:id="26"/>
          </w:p>
        </w:tc>
      </w:tr>
      <w:tr w:rsidR="00AE6A66" w:rsidRPr="003F54CC" w14:paraId="5375331F" w14:textId="77777777" w:rsidTr="00FC4FA1">
        <w:trPr>
          <w:cantSplit/>
        </w:trPr>
        <w:tc>
          <w:tcPr>
            <w:tcW w:w="1129" w:type="dxa"/>
            <w:vMerge/>
            <w:tcBorders>
              <w:left w:val="single" w:sz="4" w:space="0" w:color="auto"/>
              <w:right w:val="single" w:sz="4" w:space="0" w:color="auto"/>
            </w:tcBorders>
          </w:tcPr>
          <w:p w14:paraId="1D848A54"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00BB8446" w14:textId="161BD2CA" w:rsidR="00AE6A66" w:rsidRPr="003F54CC" w:rsidRDefault="00AE6A66" w:rsidP="001F143F">
            <w:pPr>
              <w:pStyle w:val="Tabletext"/>
              <w:tabs>
                <w:tab w:val="left" w:pos="457"/>
                <w:tab w:val="left" w:pos="1024"/>
              </w:tabs>
              <w:ind w:right="-57"/>
              <w:rPr>
                <w:rFonts w:asciiTheme="minorHAnsi" w:hAnsiTheme="minorHAnsi" w:cstheme="minorHAnsi"/>
                <w:bCs/>
                <w:lang w:val="es-ES"/>
              </w:rPr>
            </w:pPr>
            <w:r w:rsidRPr="00E9121E">
              <w:rPr>
                <w:b/>
                <w:bCs/>
              </w:rPr>
              <w:t>8</w:t>
            </w:r>
            <w:r w:rsidRPr="003F54CC">
              <w:rPr>
                <w:rFonts w:asciiTheme="minorHAnsi" w:hAnsiTheme="minorHAnsi" w:cstheme="minorHAnsi"/>
                <w:lang w:val="es-ES"/>
              </w:rPr>
              <w:tab/>
            </w:r>
            <w:r w:rsidRPr="003F54CC">
              <w:rPr>
                <w:lang w:val="es-ES"/>
              </w:rPr>
              <w:t>1.3</w:t>
            </w:r>
            <w:r w:rsidRPr="003F54CC">
              <w:rPr>
                <w:lang w:val="es-ES"/>
              </w:rPr>
              <w:tab/>
            </w:r>
            <w:r w:rsidR="00F13C7F" w:rsidRPr="003F54CC">
              <w:rPr>
                <w:lang w:val="es-ES"/>
              </w:rPr>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34CE170B" w14:textId="2757EFDD" w:rsidR="00AE6A66" w:rsidRPr="003F54CC" w:rsidRDefault="00AE6A66" w:rsidP="001F143F">
            <w:pPr>
              <w:pStyle w:val="Tabletext"/>
              <w:tabs>
                <w:tab w:val="left" w:pos="457"/>
                <w:tab w:val="left" w:pos="1024"/>
              </w:tabs>
              <w:ind w:right="-57"/>
              <w:rPr>
                <w:rFonts w:asciiTheme="minorHAnsi" w:hAnsiTheme="minorHAnsi" w:cstheme="minorHAnsi"/>
                <w:bCs/>
                <w:lang w:val="es-ES"/>
              </w:rPr>
            </w:pPr>
            <w:r w:rsidRPr="00E9121E">
              <w:rPr>
                <w:b/>
                <w:bCs/>
              </w:rPr>
              <w:t>5</w:t>
            </w:r>
            <w:r w:rsidRPr="003F54CC">
              <w:rPr>
                <w:rFonts w:asciiTheme="minorHAnsi" w:hAnsiTheme="minorHAnsi" w:cstheme="minorHAnsi"/>
                <w:lang w:val="es-ES"/>
              </w:rPr>
              <w:tab/>
              <w:t>1.3</w:t>
            </w:r>
            <w:r w:rsidRPr="003F54CC">
              <w:rPr>
                <w:rFonts w:asciiTheme="minorHAnsi" w:hAnsiTheme="minorHAnsi" w:cstheme="minorHAnsi"/>
                <w:lang w:val="es-ES"/>
              </w:rPr>
              <w:tab/>
            </w:r>
            <w:r w:rsidR="0085057C" w:rsidRPr="003F54CC">
              <w:rPr>
                <w:lang w:val="es-ES"/>
              </w:rPr>
              <w:t>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6156E1E1" w14:textId="1D5D65C1" w:rsidR="00AE6A66" w:rsidRPr="00D378F1" w:rsidRDefault="00E67211" w:rsidP="00D378F1">
            <w:pPr>
              <w:pStyle w:val="Tabletext"/>
              <w:rPr>
                <w:lang w:val="es-ES"/>
              </w:rPr>
            </w:pPr>
            <w:r w:rsidRPr="00D378F1">
              <w:rPr>
                <w:lang w:val="es-ES"/>
              </w:rPr>
              <w:t xml:space="preserve">Ambos números son aplicables a </w:t>
            </w:r>
            <w:r w:rsidR="00FA7D0A" w:rsidRPr="00D378F1">
              <w:rPr>
                <w:lang w:val="es-ES"/>
              </w:rPr>
              <w:t>redes y servicios.</w:t>
            </w:r>
            <w:bookmarkStart w:id="27" w:name="lt_pId096"/>
            <w:r w:rsidR="00AE6A66" w:rsidRPr="00D378F1">
              <w:rPr>
                <w:lang w:val="es-ES"/>
              </w:rPr>
              <w:t xml:space="preserve"> </w:t>
            </w:r>
            <w:r w:rsidRPr="00D378F1">
              <w:rPr>
                <w:lang w:val="es-ES"/>
              </w:rPr>
              <w:t>Sin embargo, el texto ruso del número 5 del</w:t>
            </w:r>
            <w:r w:rsidR="003C63A2">
              <w:rPr>
                <w:lang w:val="es-ES"/>
              </w:rPr>
              <w:t> </w:t>
            </w:r>
            <w:r w:rsidRPr="00D378F1">
              <w:rPr>
                <w:lang w:val="es-ES"/>
              </w:rPr>
              <w:t>RTI de 1988</w:t>
            </w:r>
            <w:r w:rsidR="00121365" w:rsidRPr="00D378F1">
              <w:rPr>
                <w:lang w:val="es-ES"/>
              </w:rPr>
              <w:t xml:space="preserve"> no tiene en cuenta la necesidad de interoperabilidad</w:t>
            </w:r>
            <w:r w:rsidR="00AE6A66" w:rsidRPr="00D378F1">
              <w:rPr>
                <w:lang w:val="es-ES"/>
              </w:rPr>
              <w:t>.</w:t>
            </w:r>
            <w:bookmarkEnd w:id="27"/>
          </w:p>
        </w:tc>
        <w:tc>
          <w:tcPr>
            <w:tcW w:w="1917" w:type="dxa"/>
            <w:tcBorders>
              <w:top w:val="single" w:sz="4" w:space="0" w:color="auto"/>
              <w:left w:val="single" w:sz="4" w:space="0" w:color="auto"/>
              <w:bottom w:val="single" w:sz="4" w:space="0" w:color="auto"/>
              <w:right w:val="single" w:sz="4" w:space="0" w:color="auto"/>
            </w:tcBorders>
          </w:tcPr>
          <w:p w14:paraId="5D2454C2" w14:textId="5487628F" w:rsidR="00AE6A66" w:rsidRPr="00D378F1" w:rsidRDefault="00121365" w:rsidP="00D378F1">
            <w:pPr>
              <w:pStyle w:val="Tabletext"/>
              <w:rPr>
                <w:lang w:val="es-ES"/>
              </w:rPr>
            </w:pPr>
            <w:bookmarkStart w:id="28" w:name="lt_pId097"/>
            <w:r w:rsidRPr="00D378F1">
              <w:rPr>
                <w:lang w:val="es-ES"/>
              </w:rPr>
              <w:t>Ambos números garantizan la flexibilidad</w:t>
            </w:r>
            <w:r w:rsidR="00AE6A66" w:rsidRPr="00D378F1">
              <w:rPr>
                <w:lang w:val="es-ES"/>
              </w:rPr>
              <w:t>.</w:t>
            </w:r>
            <w:bookmarkEnd w:id="28"/>
            <w:r w:rsidR="00AE6A66" w:rsidRPr="00D378F1">
              <w:rPr>
                <w:lang w:val="es-ES"/>
              </w:rPr>
              <w:t xml:space="preserve"> </w:t>
            </w:r>
            <w:bookmarkStart w:id="29" w:name="lt_pId098"/>
            <w:r w:rsidRPr="00D378F1">
              <w:rPr>
                <w:lang w:val="es-ES"/>
              </w:rPr>
              <w:t>El RTI de</w:t>
            </w:r>
            <w:r w:rsidR="00AE6A66" w:rsidRPr="00D378F1">
              <w:rPr>
                <w:lang w:val="es-ES"/>
              </w:rPr>
              <w:t xml:space="preserve"> 1988 </w:t>
            </w:r>
            <w:r w:rsidRPr="00D378F1">
              <w:rPr>
                <w:lang w:val="es-ES"/>
              </w:rPr>
              <w:t>no ayuda a resolver los problemas de interoperabilidad</w:t>
            </w:r>
            <w:r w:rsidR="00AE6A66" w:rsidRPr="00D378F1">
              <w:rPr>
                <w:lang w:val="es-ES"/>
              </w:rPr>
              <w:t>.</w:t>
            </w:r>
            <w:bookmarkEnd w:id="29"/>
          </w:p>
        </w:tc>
        <w:tc>
          <w:tcPr>
            <w:tcW w:w="2085" w:type="dxa"/>
            <w:tcBorders>
              <w:top w:val="single" w:sz="4" w:space="0" w:color="auto"/>
              <w:left w:val="single" w:sz="4" w:space="0" w:color="auto"/>
              <w:bottom w:val="single" w:sz="4" w:space="0" w:color="auto"/>
              <w:right w:val="single" w:sz="4" w:space="0" w:color="auto"/>
            </w:tcBorders>
          </w:tcPr>
          <w:p w14:paraId="55D47ABB" w14:textId="02B428A1" w:rsidR="00AE6A66" w:rsidRPr="00D378F1" w:rsidRDefault="00121365" w:rsidP="00D378F1">
            <w:pPr>
              <w:pStyle w:val="Tabletext"/>
              <w:rPr>
                <w:lang w:val="es-ES"/>
              </w:rPr>
            </w:pPr>
            <w:bookmarkStart w:id="30" w:name="lt_pId099"/>
            <w:r w:rsidRPr="00D378F1">
              <w:rPr>
                <w:lang w:val="es-ES"/>
              </w:rPr>
              <w:t>El número</w:t>
            </w:r>
            <w:r w:rsidR="00AE6A66" w:rsidRPr="00D378F1">
              <w:rPr>
                <w:lang w:val="es-ES"/>
              </w:rPr>
              <w:t xml:space="preserve"> 8 </w:t>
            </w:r>
            <w:r w:rsidRPr="00D378F1">
              <w:rPr>
                <w:lang w:val="es-ES"/>
              </w:rPr>
              <w:t>del RTI de</w:t>
            </w:r>
            <w:r w:rsidR="00AE6A66" w:rsidRPr="00D378F1">
              <w:rPr>
                <w:lang w:val="es-ES"/>
              </w:rPr>
              <w:t xml:space="preserve"> 2012 </w:t>
            </w:r>
            <w:r w:rsidRPr="00D378F1">
              <w:rPr>
                <w:lang w:val="es-ES"/>
              </w:rPr>
              <w:t xml:space="preserve">cumple en gran medida los requisitos actuales para el desarrollo de las telecomunicaciones/TIC. </w:t>
            </w:r>
            <w:bookmarkEnd w:id="30"/>
          </w:p>
        </w:tc>
      </w:tr>
      <w:tr w:rsidR="00AE6A66" w:rsidRPr="003F54CC" w14:paraId="3D038544" w14:textId="77777777" w:rsidTr="000F761E">
        <w:tc>
          <w:tcPr>
            <w:tcW w:w="1129" w:type="dxa"/>
            <w:vMerge/>
            <w:tcBorders>
              <w:left w:val="single" w:sz="4" w:space="0" w:color="auto"/>
              <w:right w:val="single" w:sz="4" w:space="0" w:color="auto"/>
            </w:tcBorders>
          </w:tcPr>
          <w:p w14:paraId="52370846"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2445415E" w14:textId="6C1F925C" w:rsidR="00AE6A66" w:rsidRPr="003F54CC" w:rsidRDefault="00AE6A66" w:rsidP="001F143F">
            <w:pPr>
              <w:pStyle w:val="Tabletext"/>
              <w:tabs>
                <w:tab w:val="left" w:pos="457"/>
                <w:tab w:val="left" w:pos="1024"/>
              </w:tabs>
              <w:ind w:right="-57"/>
              <w:rPr>
                <w:rFonts w:asciiTheme="minorHAnsi" w:hAnsiTheme="minorHAnsi" w:cstheme="minorHAnsi"/>
                <w:bCs/>
                <w:lang w:val="es-ES"/>
              </w:rPr>
            </w:pPr>
            <w:r w:rsidRPr="00E9121E">
              <w:rPr>
                <w:b/>
                <w:bCs/>
              </w:rPr>
              <w:t>9</w:t>
            </w:r>
            <w:r w:rsidRPr="003F54CC">
              <w:rPr>
                <w:rFonts w:asciiTheme="minorHAnsi" w:hAnsiTheme="minorHAnsi" w:cstheme="minorHAnsi"/>
                <w:lang w:val="es-ES"/>
              </w:rPr>
              <w:tab/>
            </w:r>
            <w:r w:rsidRPr="003F54CC">
              <w:rPr>
                <w:lang w:val="es-ES"/>
              </w:rPr>
              <w:t>1.4</w:t>
            </w:r>
            <w:r w:rsidRPr="003F54CC">
              <w:rPr>
                <w:lang w:val="es-ES"/>
              </w:rPr>
              <w:tab/>
            </w:r>
            <w:r w:rsidR="00F13C7F" w:rsidRPr="003F54CC">
              <w:rPr>
                <w:lang w:val="es-ES"/>
              </w:rPr>
              <w:t>Ninguna referencia a las Recomendaciones del Sector de Normalización de las Telecomunicaciones de la UIT (UIT-T) contenida en el presente Reglamento se interpretará en el sentido de que confiere a tales Recomendaciones la misma condición jurídica que tiene el Reglamento.</w:t>
            </w:r>
          </w:p>
        </w:tc>
        <w:tc>
          <w:tcPr>
            <w:tcW w:w="3551" w:type="dxa"/>
            <w:tcBorders>
              <w:top w:val="single" w:sz="4" w:space="0" w:color="auto"/>
              <w:left w:val="single" w:sz="4" w:space="0" w:color="auto"/>
              <w:bottom w:val="single" w:sz="4" w:space="0" w:color="auto"/>
              <w:right w:val="single" w:sz="4" w:space="0" w:color="auto"/>
            </w:tcBorders>
          </w:tcPr>
          <w:p w14:paraId="0FE9881F" w14:textId="5341FFAF"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6</w:t>
            </w:r>
            <w:r w:rsidRPr="003F54CC">
              <w:rPr>
                <w:rFonts w:asciiTheme="minorHAnsi" w:hAnsiTheme="minorHAnsi"/>
                <w:lang w:val="es-ES"/>
              </w:rPr>
              <w:tab/>
              <w:t>1.4</w:t>
            </w:r>
            <w:r w:rsidRPr="003F54CC">
              <w:rPr>
                <w:rFonts w:asciiTheme="minorHAnsi" w:hAnsiTheme="minorHAnsi"/>
                <w:lang w:val="es-ES"/>
              </w:rPr>
              <w:tab/>
            </w:r>
            <w:r w:rsidR="0085057C" w:rsidRPr="003F54CC">
              <w:rPr>
                <w:lang w:val="es-ES"/>
              </w:rPr>
              <w:t>Ninguna referencia a las Recomendaciones del CCITT y a las Instrucciones contenida en el presente Reglamento se interpretará en el sentido de que confiere a tales Recomendaciones o Instrucciones la misma condición jurídica que tiene el Reglamento.</w:t>
            </w:r>
          </w:p>
        </w:tc>
        <w:tc>
          <w:tcPr>
            <w:tcW w:w="2226" w:type="dxa"/>
            <w:tcBorders>
              <w:top w:val="single" w:sz="4" w:space="0" w:color="auto"/>
              <w:left w:val="single" w:sz="4" w:space="0" w:color="auto"/>
              <w:bottom w:val="single" w:sz="4" w:space="0" w:color="auto"/>
              <w:right w:val="single" w:sz="4" w:space="0" w:color="auto"/>
            </w:tcBorders>
          </w:tcPr>
          <w:p w14:paraId="0D17BFFE" w14:textId="3932ABFC" w:rsidR="00AE6A66" w:rsidRPr="00D378F1" w:rsidRDefault="00E67211" w:rsidP="00D378F1">
            <w:pPr>
              <w:pStyle w:val="Tabletext"/>
              <w:rPr>
                <w:lang w:val="es-ES"/>
              </w:rPr>
            </w:pPr>
            <w:r w:rsidRPr="00D378F1">
              <w:rPr>
                <w:lang w:val="es-ES"/>
              </w:rPr>
              <w:t xml:space="preserve">Ambos números son aplicables </w:t>
            </w:r>
            <w:r w:rsidR="00FA7D0A" w:rsidRPr="00D378F1">
              <w:rPr>
                <w:lang w:val="es-ES"/>
              </w:rPr>
              <w:t>a redes y servicios.</w:t>
            </w:r>
          </w:p>
        </w:tc>
        <w:tc>
          <w:tcPr>
            <w:tcW w:w="1917" w:type="dxa"/>
            <w:tcBorders>
              <w:top w:val="single" w:sz="4" w:space="0" w:color="auto"/>
              <w:left w:val="single" w:sz="4" w:space="0" w:color="auto"/>
              <w:bottom w:val="single" w:sz="4" w:space="0" w:color="auto"/>
              <w:right w:val="single" w:sz="4" w:space="0" w:color="auto"/>
            </w:tcBorders>
          </w:tcPr>
          <w:p w14:paraId="632D25A0" w14:textId="1E1E6629" w:rsidR="00AE6A66" w:rsidRPr="00D378F1" w:rsidRDefault="00121365" w:rsidP="00D378F1">
            <w:pPr>
              <w:pStyle w:val="Tabletext"/>
              <w:rPr>
                <w:lang w:val="es-ES"/>
              </w:rPr>
            </w:pPr>
            <w:bookmarkStart w:id="31" w:name="lt_pId108"/>
            <w:r w:rsidRPr="00D378F1">
              <w:rPr>
                <w:lang w:val="es-ES"/>
              </w:rPr>
              <w:t xml:space="preserve">No impide la aplicación de enfoques flexibles. </w:t>
            </w:r>
            <w:bookmarkEnd w:id="31"/>
          </w:p>
        </w:tc>
        <w:tc>
          <w:tcPr>
            <w:tcW w:w="2085" w:type="dxa"/>
            <w:tcBorders>
              <w:top w:val="single" w:sz="4" w:space="0" w:color="auto"/>
              <w:left w:val="single" w:sz="4" w:space="0" w:color="auto"/>
              <w:bottom w:val="single" w:sz="4" w:space="0" w:color="auto"/>
              <w:right w:val="single" w:sz="4" w:space="0" w:color="auto"/>
            </w:tcBorders>
          </w:tcPr>
          <w:p w14:paraId="5609475C" w14:textId="744597FD" w:rsidR="00AE6A66" w:rsidRPr="00D378F1" w:rsidRDefault="00121365" w:rsidP="00D378F1">
            <w:pPr>
              <w:pStyle w:val="Tabletext"/>
              <w:rPr>
                <w:lang w:val="es-ES"/>
              </w:rPr>
            </w:pPr>
            <w:bookmarkStart w:id="32" w:name="lt_pId109"/>
            <w:r w:rsidRPr="00D378F1">
              <w:rPr>
                <w:lang w:val="es-ES"/>
              </w:rPr>
              <w:t>A diferencia del texto del RTI de</w:t>
            </w:r>
            <w:r w:rsidR="001F143F">
              <w:rPr>
                <w:lang w:val="es-ES"/>
              </w:rPr>
              <w:t> </w:t>
            </w:r>
            <w:r w:rsidRPr="00D378F1">
              <w:rPr>
                <w:lang w:val="es-ES"/>
              </w:rPr>
              <w:t>1988, el del RTI de 2012 hace referencia a la actual estructura de la UIT</w:t>
            </w:r>
            <w:r w:rsidR="00AE6A66" w:rsidRPr="00D378F1">
              <w:rPr>
                <w:lang w:val="es-ES"/>
              </w:rPr>
              <w:t>.</w:t>
            </w:r>
            <w:bookmarkEnd w:id="32"/>
          </w:p>
        </w:tc>
      </w:tr>
      <w:tr w:rsidR="00AE6A66" w:rsidRPr="003F54CC" w14:paraId="6046798B" w14:textId="77777777" w:rsidTr="00FC4FA1">
        <w:trPr>
          <w:cantSplit/>
        </w:trPr>
        <w:tc>
          <w:tcPr>
            <w:tcW w:w="1129" w:type="dxa"/>
            <w:vMerge/>
            <w:tcBorders>
              <w:left w:val="single" w:sz="4" w:space="0" w:color="auto"/>
              <w:right w:val="single" w:sz="4" w:space="0" w:color="auto"/>
            </w:tcBorders>
          </w:tcPr>
          <w:p w14:paraId="4B1C4A4F"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75B92EA" w14:textId="5AC33CE9"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10</w:t>
            </w:r>
            <w:r w:rsidRPr="003F54CC">
              <w:rPr>
                <w:rFonts w:asciiTheme="minorHAnsi" w:hAnsiTheme="minorHAnsi" w:cstheme="minorHAnsi"/>
                <w:lang w:val="es-ES"/>
              </w:rPr>
              <w:tab/>
              <w:t>1.5</w:t>
            </w:r>
            <w:r w:rsidRPr="003F54CC">
              <w:rPr>
                <w:rFonts w:asciiTheme="minorHAnsi" w:hAnsiTheme="minorHAnsi" w:cstheme="minorHAnsi"/>
                <w:lang w:val="es-ES"/>
              </w:rPr>
              <w:tab/>
            </w:r>
            <w:r w:rsidR="00F13C7F" w:rsidRPr="003F54CC">
              <w:rPr>
                <w:lang w:val="es-ES"/>
              </w:rPr>
              <w:t>En el ámbito del presente Reglamento, la prestación y explotación de los servicios internacionales de telecomunicación en cada relación se efectuarán mediante acuerdos mutuos entre las empresas de explotación autorizadas.</w:t>
            </w:r>
          </w:p>
        </w:tc>
        <w:tc>
          <w:tcPr>
            <w:tcW w:w="3551" w:type="dxa"/>
            <w:tcBorders>
              <w:top w:val="single" w:sz="4" w:space="0" w:color="auto"/>
              <w:left w:val="single" w:sz="4" w:space="0" w:color="auto"/>
              <w:bottom w:val="single" w:sz="4" w:space="0" w:color="auto"/>
              <w:right w:val="single" w:sz="4" w:space="0" w:color="auto"/>
            </w:tcBorders>
          </w:tcPr>
          <w:p w14:paraId="2F1FE929" w14:textId="26F98FC2" w:rsidR="00AE6A66" w:rsidRPr="003F54CC" w:rsidRDefault="00AE6A66" w:rsidP="00181FE6">
            <w:pPr>
              <w:pStyle w:val="Tabletext"/>
              <w:tabs>
                <w:tab w:val="left" w:pos="457"/>
                <w:tab w:val="left" w:pos="1024"/>
              </w:tabs>
              <w:rPr>
                <w:rFonts w:asciiTheme="minorHAnsi" w:hAnsiTheme="minorHAnsi"/>
                <w:highlight w:val="yellow"/>
                <w:lang w:val="es-ES"/>
              </w:rPr>
            </w:pPr>
            <w:r w:rsidRPr="00E9121E">
              <w:rPr>
                <w:b/>
                <w:bCs/>
              </w:rPr>
              <w:t>7</w:t>
            </w:r>
            <w:r w:rsidRPr="003F54CC">
              <w:rPr>
                <w:rFonts w:asciiTheme="minorHAnsi" w:hAnsiTheme="minorHAnsi"/>
                <w:lang w:val="es-ES"/>
              </w:rPr>
              <w:tab/>
              <w:t>1.5</w:t>
            </w:r>
            <w:r w:rsidRPr="003F54CC">
              <w:rPr>
                <w:rFonts w:asciiTheme="minorHAnsi" w:hAnsiTheme="minorHAnsi"/>
                <w:lang w:val="es-ES"/>
              </w:rPr>
              <w:tab/>
            </w:r>
            <w:r w:rsidR="008D0F84" w:rsidRPr="003F54CC">
              <w:rPr>
                <w:lang w:val="es-ES"/>
              </w:rPr>
              <w:t>En el ámbito del presente Reglamento, la prestación y explotación de los servicios internacionales de telecomunicación en cada relación se efectuarán mediante acuerdos mutuos entre las administraciones</w:t>
            </w:r>
            <w:r w:rsidR="00654220" w:rsidRPr="00654220">
              <w:rPr>
                <w:rStyle w:val="FootnoteReference"/>
              </w:rPr>
              <w:t>*</w:t>
            </w:r>
            <w:r w:rsidR="008D0F84" w:rsidRPr="003F54CC">
              <w:rPr>
                <w:lang w:val="es-ES"/>
              </w:rPr>
              <w:t>.</w:t>
            </w:r>
          </w:p>
          <w:p w14:paraId="25AE7950" w14:textId="7773B347" w:rsidR="00AE6A66" w:rsidRPr="003F54CC" w:rsidRDefault="00654220" w:rsidP="001F143F">
            <w:pPr>
              <w:pStyle w:val="Tabletext"/>
              <w:tabs>
                <w:tab w:val="left" w:pos="457"/>
                <w:tab w:val="left" w:pos="1024"/>
              </w:tabs>
              <w:spacing w:before="360"/>
              <w:rPr>
                <w:rFonts w:asciiTheme="minorHAnsi" w:hAnsiTheme="minorHAnsi" w:cstheme="minorHAnsi"/>
                <w:bCs/>
                <w:highlight w:val="yellow"/>
                <w:lang w:val="es-ES"/>
              </w:rPr>
            </w:pPr>
            <w:r w:rsidRPr="00654220">
              <w:rPr>
                <w:rStyle w:val="FootnoteReference"/>
              </w:rPr>
              <w:t>*</w:t>
            </w:r>
            <w:r w:rsidR="001F143F">
              <w:rPr>
                <w:lang w:val="es-ES"/>
              </w:rPr>
              <w:tab/>
            </w:r>
            <w:r w:rsidR="008D0F84" w:rsidRPr="003F54CC">
              <w:rPr>
                <w:lang w:val="es-ES"/>
              </w:rPr>
              <w:t>o empresa(s) privada(s) de explotación reconocida(s)</w:t>
            </w:r>
          </w:p>
        </w:tc>
        <w:tc>
          <w:tcPr>
            <w:tcW w:w="2226" w:type="dxa"/>
            <w:tcBorders>
              <w:top w:val="single" w:sz="4" w:space="0" w:color="auto"/>
              <w:left w:val="single" w:sz="4" w:space="0" w:color="auto"/>
              <w:bottom w:val="single" w:sz="4" w:space="0" w:color="auto"/>
              <w:right w:val="single" w:sz="4" w:space="0" w:color="auto"/>
            </w:tcBorders>
          </w:tcPr>
          <w:p w14:paraId="3170AC48" w14:textId="4D4351B1" w:rsidR="00AE6A66" w:rsidRPr="00D378F1" w:rsidRDefault="002249E4" w:rsidP="00D378F1">
            <w:pPr>
              <w:pStyle w:val="Tabletext"/>
              <w:rPr>
                <w:lang w:val="es-ES"/>
              </w:rPr>
            </w:pPr>
            <w:bookmarkStart w:id="33" w:name="lt_pId117"/>
            <w:r w:rsidRPr="00D378F1">
              <w:rPr>
                <w:lang w:val="es-ES"/>
              </w:rPr>
              <w:t>El número 10 del RTI de 2012 tiene en cuenta los cambios que se han producido desde 1988 y es plenamente a</w:t>
            </w:r>
            <w:r w:rsidR="00FA7D0A" w:rsidRPr="00D378F1">
              <w:rPr>
                <w:lang w:val="es-ES"/>
              </w:rPr>
              <w:t>plicable al desarrollo de redes y servicios</w:t>
            </w:r>
            <w:bookmarkStart w:id="34" w:name="lt_pId118"/>
            <w:bookmarkEnd w:id="33"/>
            <w:r w:rsidR="00AE6A66" w:rsidRPr="00D378F1">
              <w:rPr>
                <w:lang w:val="es-ES"/>
              </w:rPr>
              <w:t>.</w:t>
            </w:r>
            <w:bookmarkEnd w:id="34"/>
          </w:p>
        </w:tc>
        <w:tc>
          <w:tcPr>
            <w:tcW w:w="1917" w:type="dxa"/>
            <w:tcBorders>
              <w:top w:val="single" w:sz="4" w:space="0" w:color="auto"/>
              <w:left w:val="single" w:sz="4" w:space="0" w:color="auto"/>
              <w:bottom w:val="single" w:sz="4" w:space="0" w:color="auto"/>
              <w:right w:val="single" w:sz="4" w:space="0" w:color="auto"/>
            </w:tcBorders>
          </w:tcPr>
          <w:p w14:paraId="4A8E252A" w14:textId="7FC36952" w:rsidR="00AE6A66" w:rsidRPr="00D378F1" w:rsidRDefault="002249E4" w:rsidP="00D378F1">
            <w:pPr>
              <w:pStyle w:val="Tabletext"/>
              <w:rPr>
                <w:lang w:val="es-ES"/>
              </w:rPr>
            </w:pPr>
            <w:bookmarkStart w:id="35" w:name="lt_pId119"/>
            <w:r w:rsidRPr="00D378F1">
              <w:rPr>
                <w:lang w:val="es-ES"/>
              </w:rPr>
              <w:t>El número 10 del RTI de 2012 permite la aplicación de enfoques flexibles</w:t>
            </w:r>
            <w:bookmarkStart w:id="36" w:name="lt_pId120"/>
            <w:bookmarkEnd w:id="35"/>
            <w:r w:rsidR="00AE6A66" w:rsidRPr="00D378F1">
              <w:rPr>
                <w:lang w:val="es-ES"/>
              </w:rPr>
              <w:t>.</w:t>
            </w:r>
            <w:bookmarkEnd w:id="36"/>
          </w:p>
        </w:tc>
        <w:tc>
          <w:tcPr>
            <w:tcW w:w="2085" w:type="dxa"/>
            <w:tcBorders>
              <w:top w:val="single" w:sz="4" w:space="0" w:color="auto"/>
              <w:left w:val="single" w:sz="4" w:space="0" w:color="auto"/>
              <w:bottom w:val="single" w:sz="4" w:space="0" w:color="auto"/>
              <w:right w:val="single" w:sz="4" w:space="0" w:color="auto"/>
            </w:tcBorders>
          </w:tcPr>
          <w:p w14:paraId="4A34A263" w14:textId="35BB76DB" w:rsidR="00AE6A66" w:rsidRPr="00D378F1" w:rsidRDefault="002249E4" w:rsidP="00D378F1">
            <w:pPr>
              <w:pStyle w:val="Tabletext"/>
              <w:rPr>
                <w:lang w:val="es-ES"/>
              </w:rPr>
            </w:pPr>
            <w:bookmarkStart w:id="37" w:name="lt_pId121"/>
            <w:r w:rsidRPr="00D378F1">
              <w:rPr>
                <w:lang w:val="es-ES"/>
              </w:rPr>
              <w:t>Refleja en la actualidad la necesidad de colaboración entre los organismos</w:t>
            </w:r>
            <w:r w:rsidR="00AE6A66" w:rsidRPr="00D378F1">
              <w:rPr>
                <w:lang w:val="es-ES"/>
              </w:rPr>
              <w:t>.</w:t>
            </w:r>
            <w:bookmarkEnd w:id="37"/>
          </w:p>
        </w:tc>
      </w:tr>
      <w:tr w:rsidR="00AE6A66" w:rsidRPr="003F54CC" w14:paraId="54B7EB4D" w14:textId="77777777" w:rsidTr="000F761E">
        <w:tc>
          <w:tcPr>
            <w:tcW w:w="1129" w:type="dxa"/>
            <w:vMerge/>
            <w:tcBorders>
              <w:left w:val="single" w:sz="4" w:space="0" w:color="auto"/>
              <w:right w:val="single" w:sz="4" w:space="0" w:color="auto"/>
            </w:tcBorders>
          </w:tcPr>
          <w:p w14:paraId="0AB1B193"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5DF61357" w14:textId="6ACF4E87"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11</w:t>
            </w:r>
            <w:r w:rsidRPr="003F54CC">
              <w:rPr>
                <w:rFonts w:asciiTheme="minorHAnsi" w:hAnsiTheme="minorHAnsi" w:cstheme="minorHAnsi"/>
                <w:lang w:val="es-ES"/>
              </w:rPr>
              <w:tab/>
              <w:t>1.6</w:t>
            </w:r>
            <w:r w:rsidRPr="003F54CC">
              <w:rPr>
                <w:rFonts w:asciiTheme="minorHAnsi" w:hAnsiTheme="minorHAnsi" w:cstheme="minorHAnsi"/>
                <w:lang w:val="es-ES"/>
              </w:rPr>
              <w:tab/>
            </w:r>
            <w:r w:rsidR="00F13C7F" w:rsidRPr="003F54CC">
              <w:rPr>
                <w:lang w:val="es-ES" w:eastAsia="zh-CN"/>
              </w:rPr>
              <w:t>Al aplicar los principios de este Reglamento, las empresas de explotación autorizadas deben ajustarse en la mayor medida posible a las Recomendaciones UIT-T pertinentes.</w:t>
            </w:r>
          </w:p>
        </w:tc>
        <w:tc>
          <w:tcPr>
            <w:tcW w:w="3551" w:type="dxa"/>
            <w:tcBorders>
              <w:top w:val="single" w:sz="4" w:space="0" w:color="auto"/>
              <w:left w:val="single" w:sz="4" w:space="0" w:color="auto"/>
              <w:bottom w:val="single" w:sz="4" w:space="0" w:color="auto"/>
              <w:right w:val="single" w:sz="4" w:space="0" w:color="auto"/>
            </w:tcBorders>
          </w:tcPr>
          <w:p w14:paraId="4450E0A0" w14:textId="1545E613" w:rsidR="00AE6A66" w:rsidRPr="003F54CC" w:rsidRDefault="00AE6A66" w:rsidP="00181FE6">
            <w:pPr>
              <w:pStyle w:val="Tabletext"/>
              <w:tabs>
                <w:tab w:val="left" w:pos="457"/>
                <w:tab w:val="left" w:pos="1024"/>
              </w:tabs>
              <w:rPr>
                <w:rFonts w:asciiTheme="minorHAnsi" w:hAnsiTheme="minorHAnsi"/>
                <w:lang w:val="es-ES"/>
              </w:rPr>
            </w:pPr>
            <w:r w:rsidRPr="00E9121E">
              <w:rPr>
                <w:b/>
                <w:bCs/>
              </w:rPr>
              <w:t>8</w:t>
            </w:r>
            <w:r w:rsidRPr="003F54CC">
              <w:rPr>
                <w:rFonts w:asciiTheme="minorHAnsi" w:hAnsiTheme="minorHAnsi"/>
                <w:lang w:val="es-ES"/>
              </w:rPr>
              <w:tab/>
              <w:t>1.6</w:t>
            </w:r>
            <w:r w:rsidRPr="003F54CC">
              <w:rPr>
                <w:rFonts w:asciiTheme="minorHAnsi" w:hAnsiTheme="minorHAnsi"/>
                <w:lang w:val="es-ES"/>
              </w:rPr>
              <w:tab/>
            </w:r>
            <w:r w:rsidR="008D0F84" w:rsidRPr="003F54CC">
              <w:rPr>
                <w:lang w:val="es-ES"/>
              </w:rPr>
              <w:t>Al aplicar los principios de este Reglamento, las administraciones</w:t>
            </w:r>
            <w:r w:rsidR="00654220" w:rsidRPr="00654220">
              <w:rPr>
                <w:rStyle w:val="FootnoteReference"/>
              </w:rPr>
              <w:t>*</w:t>
            </w:r>
            <w:r w:rsidR="008D0F84" w:rsidRPr="003F54CC">
              <w:rPr>
                <w:lang w:val="es-ES"/>
              </w:rPr>
              <w:t xml:space="preserve"> deberían ajustarse en la mayor medida posible a las Recomendaciones pertinentes del CCITT, así como a las Instrucciones que formen parte o se deriven de dichas Recomendaciones.</w:t>
            </w:r>
          </w:p>
          <w:p w14:paraId="65321A04" w14:textId="3825A309" w:rsidR="00AE6A66" w:rsidRPr="003F54CC" w:rsidRDefault="00654220" w:rsidP="001F143F">
            <w:pPr>
              <w:pStyle w:val="Tabletext"/>
              <w:tabs>
                <w:tab w:val="left" w:pos="457"/>
                <w:tab w:val="left" w:pos="1024"/>
              </w:tabs>
              <w:spacing w:before="360"/>
              <w:rPr>
                <w:rFonts w:cstheme="minorHAnsi"/>
                <w:bCs/>
                <w:highlight w:val="yellow"/>
                <w:lang w:val="es-ES"/>
              </w:rPr>
            </w:pPr>
            <w:r>
              <w:rPr>
                <w:rStyle w:val="FootnoteReference"/>
                <w:lang w:val="es-ES"/>
              </w:rPr>
              <w:t>*</w:t>
            </w:r>
            <w:r w:rsidR="001F143F">
              <w:rPr>
                <w:lang w:val="es-ES"/>
              </w:rPr>
              <w:tab/>
            </w:r>
            <w:r w:rsidR="008D0F84" w:rsidRPr="003F54CC">
              <w:rPr>
                <w:lang w:val="es-ES"/>
              </w:rPr>
              <w:t>o empresa(s) privada(s) de explotación reconocida(s)</w:t>
            </w:r>
          </w:p>
        </w:tc>
        <w:tc>
          <w:tcPr>
            <w:tcW w:w="2226" w:type="dxa"/>
            <w:tcBorders>
              <w:top w:val="single" w:sz="4" w:space="0" w:color="auto"/>
              <w:left w:val="single" w:sz="4" w:space="0" w:color="auto"/>
              <w:bottom w:val="single" w:sz="4" w:space="0" w:color="auto"/>
              <w:right w:val="single" w:sz="4" w:space="0" w:color="auto"/>
            </w:tcBorders>
          </w:tcPr>
          <w:p w14:paraId="4E1CFBEC" w14:textId="7AEC619C" w:rsidR="00AE6A66" w:rsidRPr="00D378F1" w:rsidRDefault="002249E4" w:rsidP="00D378F1">
            <w:pPr>
              <w:pStyle w:val="Tabletext"/>
              <w:rPr>
                <w:lang w:val="es-ES"/>
              </w:rPr>
            </w:pPr>
            <w:r w:rsidRPr="00D378F1">
              <w:rPr>
                <w:lang w:val="es-ES"/>
              </w:rPr>
              <w:t>El número 11 del RTI de 2012 tiene en cuenta los cambios que se han producido desde 1988 y es aplicable al desarrollo de redes y servicios.</w:t>
            </w:r>
          </w:p>
        </w:tc>
        <w:tc>
          <w:tcPr>
            <w:tcW w:w="1917" w:type="dxa"/>
            <w:tcBorders>
              <w:top w:val="single" w:sz="4" w:space="0" w:color="auto"/>
              <w:left w:val="single" w:sz="4" w:space="0" w:color="auto"/>
              <w:bottom w:val="single" w:sz="4" w:space="0" w:color="auto"/>
              <w:right w:val="single" w:sz="4" w:space="0" w:color="auto"/>
            </w:tcBorders>
          </w:tcPr>
          <w:p w14:paraId="48F958DC" w14:textId="06AC5B5D" w:rsidR="00AE6A66" w:rsidRPr="00D378F1" w:rsidRDefault="002249E4" w:rsidP="001F143F">
            <w:pPr>
              <w:pStyle w:val="Tabletext"/>
              <w:ind w:right="-57"/>
              <w:rPr>
                <w:lang w:val="es-ES"/>
              </w:rPr>
            </w:pPr>
            <w:bookmarkStart w:id="38" w:name="lt_pId131"/>
            <w:r w:rsidRPr="00D378F1">
              <w:rPr>
                <w:lang w:val="es-ES"/>
              </w:rPr>
              <w:t xml:space="preserve">No es incompatible con la aplicación de enfoques flexibles. Puede garantizarse una flexibilidad considerable </w:t>
            </w:r>
            <w:bookmarkStart w:id="39" w:name="lt_pId132"/>
            <w:bookmarkEnd w:id="38"/>
            <w:r w:rsidRPr="00D378F1">
              <w:rPr>
                <w:lang w:val="es-ES"/>
              </w:rPr>
              <w:t>ampliando la gama de Recomendaciones utilizadas (incluidas las de los demás Sectores) y reflejando el papel de las administraciones</w:t>
            </w:r>
            <w:bookmarkEnd w:id="39"/>
            <w:r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20D2DEBE" w14:textId="09593C23" w:rsidR="00AE6A66" w:rsidRPr="00D378F1" w:rsidRDefault="002249E4" w:rsidP="00654220">
            <w:pPr>
              <w:pStyle w:val="Tabletext"/>
              <w:ind w:right="-57"/>
              <w:rPr>
                <w:lang w:val="es-ES"/>
              </w:rPr>
            </w:pPr>
            <w:bookmarkStart w:id="40" w:name="lt_pId133"/>
            <w:r w:rsidRPr="00D378F1">
              <w:rPr>
                <w:lang w:val="es-ES"/>
              </w:rPr>
              <w:t>Puede ser necesario aclarar el papel de las administraciones, ya que el Reglamento contiene normas de carácter reglamentario que abarcan a las administraciones que, a su vez, desarrollan y adoptan las correspondientes Recomendaciones UIT-T</w:t>
            </w:r>
            <w:bookmarkEnd w:id="40"/>
            <w:r w:rsidR="00AE6A66" w:rsidRPr="00D378F1">
              <w:rPr>
                <w:lang w:val="es-ES"/>
              </w:rPr>
              <w:t>.</w:t>
            </w:r>
          </w:p>
        </w:tc>
      </w:tr>
      <w:tr w:rsidR="00AE6A66" w:rsidRPr="003F54CC" w14:paraId="543E8774" w14:textId="77777777" w:rsidTr="000F761E">
        <w:trPr>
          <w:cantSplit/>
        </w:trPr>
        <w:tc>
          <w:tcPr>
            <w:tcW w:w="1129" w:type="dxa"/>
            <w:vMerge/>
            <w:tcBorders>
              <w:left w:val="single" w:sz="4" w:space="0" w:color="auto"/>
              <w:right w:val="single" w:sz="4" w:space="0" w:color="auto"/>
            </w:tcBorders>
          </w:tcPr>
          <w:p w14:paraId="2ECABF5E"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31C3D2F" w14:textId="49C54F7F"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12</w:t>
            </w:r>
            <w:r w:rsidRPr="003F54CC">
              <w:rPr>
                <w:rFonts w:asciiTheme="minorHAnsi" w:hAnsiTheme="minorHAnsi" w:cstheme="minorHAnsi"/>
                <w:lang w:val="es-ES"/>
              </w:rPr>
              <w:tab/>
              <w:t>1.7</w:t>
            </w:r>
            <w:r w:rsidRPr="003F54CC">
              <w:rPr>
                <w:rFonts w:asciiTheme="minorHAnsi" w:hAnsiTheme="minorHAnsi" w:cstheme="minorHAnsi"/>
                <w:lang w:val="es-ES"/>
              </w:rPr>
              <w:tab/>
            </w:r>
            <w:r w:rsidRPr="003F54CC">
              <w:rPr>
                <w:i/>
                <w:iCs/>
                <w:lang w:val="es-ES"/>
              </w:rPr>
              <w:t>a)</w:t>
            </w:r>
            <w:r w:rsidRPr="003F54CC">
              <w:rPr>
                <w:lang w:val="es-ES"/>
              </w:rPr>
              <w:tab/>
            </w:r>
            <w:r w:rsidR="00F13C7F" w:rsidRPr="003F54CC">
              <w:rPr>
                <w:lang w:val="es-ES"/>
              </w:rPr>
              <w:t>En el presente Reglamento se reconoce a todo Estado Miembro el derecho a exigir, en aplicación de su legislación nacional y si así lo decide, que las empresas de explotación autorizadas que funcionen en su territorio y presten un servicio internacional de telecomunicación al público estén autorizadas por ese Estado Miembro.</w:t>
            </w:r>
          </w:p>
        </w:tc>
        <w:tc>
          <w:tcPr>
            <w:tcW w:w="3551" w:type="dxa"/>
            <w:tcBorders>
              <w:top w:val="single" w:sz="4" w:space="0" w:color="auto"/>
              <w:left w:val="single" w:sz="4" w:space="0" w:color="auto"/>
              <w:bottom w:val="single" w:sz="4" w:space="0" w:color="auto"/>
              <w:right w:val="single" w:sz="4" w:space="0" w:color="auto"/>
            </w:tcBorders>
          </w:tcPr>
          <w:p w14:paraId="5D640B37" w14:textId="7FB2025C"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9</w:t>
            </w:r>
            <w:r w:rsidRPr="003F54CC">
              <w:rPr>
                <w:rFonts w:asciiTheme="minorHAnsi" w:hAnsiTheme="minorHAnsi"/>
                <w:lang w:val="es-ES"/>
              </w:rPr>
              <w:tab/>
              <w:t>1.7</w:t>
            </w:r>
            <w:r w:rsidRPr="003F54CC">
              <w:rPr>
                <w:rFonts w:asciiTheme="minorHAnsi" w:hAnsiTheme="minorHAnsi"/>
                <w:lang w:val="es-ES"/>
              </w:rPr>
              <w:tab/>
            </w:r>
            <w:r w:rsidRPr="003F54CC">
              <w:rPr>
                <w:i/>
                <w:iCs/>
                <w:lang w:val="es-ES"/>
              </w:rPr>
              <w:t>a)</w:t>
            </w:r>
            <w:r w:rsidRPr="003F54CC">
              <w:rPr>
                <w:lang w:val="es-ES"/>
              </w:rPr>
              <w:tab/>
            </w:r>
            <w:r w:rsidR="008D0F84" w:rsidRPr="003F54CC">
              <w:rPr>
                <w:lang w:val="es-ES"/>
              </w:rPr>
              <w:t>En el presente Reglamento se reconoce a todo Miembro el derecho a exigir, en aplicación de su legislación nacional y si así lo decide, que las administraciones y empresas privadas de explotación que funcionen en su territorio y presten un servicio internacional de telecomunicación al público estén autorizadas por ese Miembro.</w:t>
            </w:r>
          </w:p>
        </w:tc>
        <w:tc>
          <w:tcPr>
            <w:tcW w:w="2226" w:type="dxa"/>
            <w:tcBorders>
              <w:top w:val="single" w:sz="4" w:space="0" w:color="auto"/>
              <w:left w:val="single" w:sz="4" w:space="0" w:color="auto"/>
              <w:bottom w:val="single" w:sz="4" w:space="0" w:color="auto"/>
              <w:right w:val="single" w:sz="4" w:space="0" w:color="auto"/>
            </w:tcBorders>
          </w:tcPr>
          <w:p w14:paraId="620F2055" w14:textId="078B7735" w:rsidR="00AE6A66" w:rsidRPr="00D378F1" w:rsidRDefault="00FA7D0A" w:rsidP="00D378F1">
            <w:pPr>
              <w:pStyle w:val="Tabletext"/>
              <w:rPr>
                <w:lang w:val="es-ES"/>
              </w:rPr>
            </w:pPr>
            <w:bookmarkStart w:id="41" w:name="lt_pId142"/>
            <w:r w:rsidRPr="00D378F1">
              <w:rPr>
                <w:lang w:val="es-ES"/>
              </w:rPr>
              <w:t>Aplicable al desarrollo de redes y servicios</w:t>
            </w:r>
            <w:r w:rsidR="00AE6A66" w:rsidRPr="00D378F1">
              <w:rPr>
                <w:lang w:val="es-ES"/>
              </w:rPr>
              <w:t xml:space="preserve">, </w:t>
            </w:r>
            <w:r w:rsidR="002249E4" w:rsidRPr="00D378F1">
              <w:rPr>
                <w:lang w:val="es-ES"/>
              </w:rPr>
              <w:t xml:space="preserve">teniendo en cuenta las circunstancias nacionales. </w:t>
            </w:r>
            <w:bookmarkEnd w:id="41"/>
          </w:p>
        </w:tc>
        <w:tc>
          <w:tcPr>
            <w:tcW w:w="1917" w:type="dxa"/>
            <w:tcBorders>
              <w:top w:val="single" w:sz="4" w:space="0" w:color="auto"/>
              <w:left w:val="single" w:sz="4" w:space="0" w:color="auto"/>
              <w:bottom w:val="single" w:sz="4" w:space="0" w:color="auto"/>
              <w:right w:val="single" w:sz="4" w:space="0" w:color="auto"/>
            </w:tcBorders>
          </w:tcPr>
          <w:p w14:paraId="79585789" w14:textId="7B9EC949" w:rsidR="00AE6A66" w:rsidRPr="00D378F1" w:rsidRDefault="00FA7D0A" w:rsidP="00D378F1">
            <w:pPr>
              <w:pStyle w:val="Tabletext"/>
              <w:rPr>
                <w:lang w:val="es-ES"/>
              </w:rPr>
            </w:pPr>
            <w:bookmarkStart w:id="42" w:name="lt_pId143"/>
            <w:r w:rsidRPr="00D378F1">
              <w:rPr>
                <w:lang w:val="es-ES"/>
              </w:rPr>
              <w:t>Garantiza la flexibilidad</w:t>
            </w:r>
            <w:r w:rsidR="00AE6A66" w:rsidRPr="00D378F1">
              <w:rPr>
                <w:lang w:val="es-ES"/>
              </w:rPr>
              <w:t>.</w:t>
            </w:r>
            <w:bookmarkEnd w:id="42"/>
          </w:p>
        </w:tc>
        <w:tc>
          <w:tcPr>
            <w:tcW w:w="2085" w:type="dxa"/>
            <w:tcBorders>
              <w:top w:val="single" w:sz="4" w:space="0" w:color="auto"/>
              <w:left w:val="single" w:sz="4" w:space="0" w:color="auto"/>
              <w:bottom w:val="single" w:sz="4" w:space="0" w:color="auto"/>
              <w:right w:val="single" w:sz="4" w:space="0" w:color="auto"/>
            </w:tcBorders>
          </w:tcPr>
          <w:p w14:paraId="4D2309DF" w14:textId="78616CA7" w:rsidR="00AE6A66" w:rsidRPr="00D378F1" w:rsidRDefault="002249E4" w:rsidP="00D378F1">
            <w:pPr>
              <w:pStyle w:val="Tabletext"/>
              <w:rPr>
                <w:lang w:val="es-ES"/>
              </w:rPr>
            </w:pPr>
            <w:bookmarkStart w:id="43" w:name="lt_pId144"/>
            <w:r w:rsidRPr="00D378F1">
              <w:rPr>
                <w:lang w:val="es-ES"/>
              </w:rPr>
              <w:t>El número 12 del RTI de 2012 y el número</w:t>
            </w:r>
            <w:r w:rsidR="003C63A2">
              <w:rPr>
                <w:lang w:val="es-ES"/>
              </w:rPr>
              <w:t> </w:t>
            </w:r>
            <w:r w:rsidRPr="00D378F1">
              <w:rPr>
                <w:lang w:val="es-ES"/>
              </w:rPr>
              <w:t>9 del RTI de 1988 tienen un significado análogo.</w:t>
            </w:r>
            <w:bookmarkEnd w:id="43"/>
          </w:p>
        </w:tc>
      </w:tr>
      <w:tr w:rsidR="00AE6A66" w:rsidRPr="003F54CC" w14:paraId="0E934C53" w14:textId="77777777" w:rsidTr="000F761E">
        <w:tc>
          <w:tcPr>
            <w:tcW w:w="1129" w:type="dxa"/>
            <w:vMerge/>
            <w:tcBorders>
              <w:left w:val="single" w:sz="4" w:space="0" w:color="auto"/>
              <w:right w:val="single" w:sz="4" w:space="0" w:color="auto"/>
            </w:tcBorders>
          </w:tcPr>
          <w:p w14:paraId="7DDF4601"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798D7E89" w14:textId="14F7953C"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13</w:t>
            </w:r>
            <w:r w:rsidRPr="003F54CC">
              <w:rPr>
                <w:rFonts w:asciiTheme="minorHAnsi" w:hAnsiTheme="minorHAnsi" w:cstheme="minorHAnsi"/>
                <w:lang w:val="es-ES"/>
              </w:rPr>
              <w:tab/>
            </w:r>
            <w:r w:rsidRPr="003F54CC">
              <w:rPr>
                <w:rFonts w:asciiTheme="minorHAnsi" w:hAnsiTheme="minorHAnsi" w:cstheme="minorHAnsi"/>
                <w:lang w:val="es-ES"/>
              </w:rPr>
              <w:tab/>
            </w:r>
            <w:r w:rsidRPr="003F54CC">
              <w:rPr>
                <w:i/>
                <w:iCs/>
                <w:lang w:val="es-ES"/>
              </w:rPr>
              <w:t>b)</w:t>
            </w:r>
            <w:r w:rsidRPr="003F54CC">
              <w:rPr>
                <w:lang w:val="es-ES"/>
              </w:rPr>
              <w:tab/>
            </w:r>
            <w:r w:rsidR="00F13C7F" w:rsidRPr="003F54CC">
              <w:rPr>
                <w:lang w:val="es-ES"/>
              </w:rPr>
              <w:t>El Estado Miembro interesado promoverá, en su caso, la aplicación de las Recomendaciones UIT-T pertinentes por tales proveedores de servicios.</w:t>
            </w:r>
          </w:p>
        </w:tc>
        <w:tc>
          <w:tcPr>
            <w:tcW w:w="3551" w:type="dxa"/>
            <w:tcBorders>
              <w:top w:val="single" w:sz="4" w:space="0" w:color="auto"/>
              <w:left w:val="single" w:sz="4" w:space="0" w:color="auto"/>
              <w:bottom w:val="single" w:sz="4" w:space="0" w:color="auto"/>
              <w:right w:val="single" w:sz="4" w:space="0" w:color="auto"/>
            </w:tcBorders>
          </w:tcPr>
          <w:p w14:paraId="443C3672" w14:textId="29158D7E" w:rsidR="00AE6A66" w:rsidRPr="003F54CC" w:rsidRDefault="00AE6A66" w:rsidP="003916DF">
            <w:pPr>
              <w:pStyle w:val="Tabletext"/>
              <w:tabs>
                <w:tab w:val="left" w:pos="457"/>
                <w:tab w:val="left" w:pos="1024"/>
              </w:tabs>
              <w:rPr>
                <w:rFonts w:asciiTheme="minorHAnsi" w:hAnsiTheme="minorHAnsi" w:cstheme="minorHAnsi"/>
                <w:bCs/>
                <w:lang w:val="es-ES"/>
              </w:rPr>
            </w:pPr>
            <w:r w:rsidRPr="00E9121E">
              <w:rPr>
                <w:b/>
                <w:bCs/>
              </w:rPr>
              <w:t>10</w:t>
            </w:r>
            <w:r w:rsidRPr="003F54CC">
              <w:rPr>
                <w:rFonts w:asciiTheme="minorHAnsi" w:hAnsiTheme="minorHAnsi"/>
                <w:lang w:val="es-ES"/>
              </w:rPr>
              <w:tab/>
            </w:r>
            <w:r w:rsidRPr="003F54CC">
              <w:rPr>
                <w:rFonts w:asciiTheme="minorHAnsi" w:hAnsiTheme="minorHAnsi"/>
                <w:lang w:val="es-ES"/>
              </w:rPr>
              <w:tab/>
            </w:r>
            <w:r w:rsidRPr="003F54CC">
              <w:rPr>
                <w:i/>
                <w:iCs/>
                <w:lang w:val="es-ES"/>
              </w:rPr>
              <w:t>b)</w:t>
            </w:r>
            <w:r w:rsidRPr="003F54CC">
              <w:rPr>
                <w:lang w:val="es-ES"/>
              </w:rPr>
              <w:tab/>
            </w:r>
            <w:r w:rsidR="008D0F84" w:rsidRPr="003F54CC">
              <w:rPr>
                <w:lang w:val="es-ES"/>
              </w:rPr>
              <w:t>El Miembro interesado promoverá, según proceda, la aplicación de las Recomendaciones pertinentes del CCITT por tales proveedores de servicios.</w:t>
            </w:r>
          </w:p>
        </w:tc>
        <w:tc>
          <w:tcPr>
            <w:tcW w:w="2226" w:type="dxa"/>
            <w:tcBorders>
              <w:top w:val="single" w:sz="4" w:space="0" w:color="auto"/>
              <w:left w:val="single" w:sz="4" w:space="0" w:color="auto"/>
              <w:bottom w:val="single" w:sz="4" w:space="0" w:color="auto"/>
              <w:right w:val="single" w:sz="4" w:space="0" w:color="auto"/>
            </w:tcBorders>
          </w:tcPr>
          <w:p w14:paraId="550183D0" w14:textId="33A1BF2E" w:rsidR="00AE6A66" w:rsidRPr="00D378F1" w:rsidRDefault="00FA7D0A" w:rsidP="00D378F1">
            <w:pPr>
              <w:pStyle w:val="Tabletext"/>
              <w:rPr>
                <w:lang w:val="es-ES"/>
              </w:rPr>
            </w:pPr>
            <w:r w:rsidRPr="00D378F1">
              <w:rPr>
                <w:lang w:val="es-ES"/>
              </w:rPr>
              <w:t>Aplicable al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362A9895" w14:textId="2F28417F" w:rsidR="00AE6A66" w:rsidRPr="00D378F1" w:rsidRDefault="002249E4" w:rsidP="00654220">
            <w:pPr>
              <w:pStyle w:val="Tabletext"/>
              <w:ind w:right="-57"/>
              <w:rPr>
                <w:lang w:val="es-ES"/>
              </w:rPr>
            </w:pPr>
            <w:bookmarkStart w:id="44" w:name="lt_pId153"/>
            <w:r w:rsidRPr="00D378F1">
              <w:rPr>
                <w:lang w:val="es-ES"/>
              </w:rPr>
              <w:t>Permite la aplicación de enfoques flexibles</w:t>
            </w:r>
            <w:r w:rsidR="00AE6A66" w:rsidRPr="00D378F1">
              <w:rPr>
                <w:lang w:val="es-ES"/>
              </w:rPr>
              <w:t>.</w:t>
            </w:r>
            <w:bookmarkStart w:id="45" w:name="lt_pId154"/>
            <w:bookmarkEnd w:id="44"/>
            <w:r w:rsidR="00654220">
              <w:rPr>
                <w:lang w:val="es-ES"/>
              </w:rPr>
              <w:t xml:space="preserve"> </w:t>
            </w:r>
            <w:r w:rsidRPr="00D378F1">
              <w:rPr>
                <w:lang w:val="es-ES"/>
              </w:rPr>
              <w:t>Puede garantizarse una flexibilidad considerable ampliando la gama de Recomendaciones utilizadas (incluidas las de los demás Sectores)</w:t>
            </w:r>
            <w:r w:rsidR="00AE6A66" w:rsidRPr="00D378F1">
              <w:rPr>
                <w:lang w:val="es-ES"/>
              </w:rPr>
              <w:t>.</w:t>
            </w:r>
            <w:bookmarkEnd w:id="45"/>
          </w:p>
        </w:tc>
        <w:tc>
          <w:tcPr>
            <w:tcW w:w="2085" w:type="dxa"/>
            <w:tcBorders>
              <w:top w:val="single" w:sz="4" w:space="0" w:color="auto"/>
              <w:left w:val="single" w:sz="4" w:space="0" w:color="auto"/>
              <w:bottom w:val="single" w:sz="4" w:space="0" w:color="auto"/>
              <w:right w:val="single" w:sz="4" w:space="0" w:color="auto"/>
            </w:tcBorders>
          </w:tcPr>
          <w:p w14:paraId="1B2C53B0" w14:textId="21B1DB9F" w:rsidR="00AE6A66" w:rsidRPr="00D378F1" w:rsidRDefault="002249E4" w:rsidP="00D378F1">
            <w:pPr>
              <w:pStyle w:val="Tabletext"/>
              <w:rPr>
                <w:lang w:val="es-ES"/>
              </w:rPr>
            </w:pPr>
            <w:bookmarkStart w:id="46" w:name="lt_pId155"/>
            <w:r w:rsidRPr="00D378F1">
              <w:rPr>
                <w:lang w:val="es-ES"/>
              </w:rPr>
              <w:t>Los textos de estos números de los RTI de 2012 y de 1988 tienen un significado análogo. El número</w:t>
            </w:r>
            <w:r w:rsidR="003C63A2">
              <w:rPr>
                <w:lang w:val="es-ES"/>
              </w:rPr>
              <w:t> </w:t>
            </w:r>
            <w:r w:rsidRPr="00D378F1">
              <w:rPr>
                <w:lang w:val="es-ES"/>
              </w:rPr>
              <w:t>13 tiene en cuenta los cambios en la estructura de la UIT.</w:t>
            </w:r>
            <w:bookmarkEnd w:id="46"/>
          </w:p>
        </w:tc>
      </w:tr>
      <w:tr w:rsidR="00AE6A66" w:rsidRPr="003F54CC" w14:paraId="3DAD1EB9" w14:textId="77777777" w:rsidTr="000F761E">
        <w:trPr>
          <w:cantSplit/>
        </w:trPr>
        <w:tc>
          <w:tcPr>
            <w:tcW w:w="1129" w:type="dxa"/>
            <w:vMerge/>
            <w:tcBorders>
              <w:left w:val="single" w:sz="4" w:space="0" w:color="auto"/>
              <w:right w:val="single" w:sz="4" w:space="0" w:color="auto"/>
            </w:tcBorders>
          </w:tcPr>
          <w:p w14:paraId="43E3C745"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46087F9" w14:textId="1A96835B"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14</w:t>
            </w:r>
            <w:r w:rsidRPr="003F54CC">
              <w:rPr>
                <w:rFonts w:asciiTheme="minorHAnsi" w:hAnsiTheme="minorHAnsi" w:cstheme="minorHAnsi"/>
                <w:lang w:val="es-ES"/>
              </w:rPr>
              <w:tab/>
            </w:r>
            <w:r w:rsidRPr="003F54CC">
              <w:rPr>
                <w:rFonts w:asciiTheme="minorHAnsi" w:hAnsiTheme="minorHAnsi" w:cstheme="minorHAnsi"/>
                <w:lang w:val="es-ES"/>
              </w:rPr>
              <w:tab/>
            </w:r>
            <w:r w:rsidRPr="003F54CC">
              <w:rPr>
                <w:i/>
                <w:iCs/>
                <w:lang w:val="es-ES"/>
              </w:rPr>
              <w:t>c)</w:t>
            </w:r>
            <w:r w:rsidRPr="003F54CC">
              <w:rPr>
                <w:lang w:val="es-ES"/>
              </w:rPr>
              <w:tab/>
            </w:r>
            <w:r w:rsidR="00F13C7F" w:rsidRPr="003F54CC">
              <w:rPr>
                <w:lang w:val="es-ES"/>
              </w:rPr>
              <w:t>Los Estados Miembros cooperarán, en su caso, en la aplicación del presente Reglamento.</w:t>
            </w:r>
          </w:p>
        </w:tc>
        <w:tc>
          <w:tcPr>
            <w:tcW w:w="3551" w:type="dxa"/>
            <w:tcBorders>
              <w:top w:val="single" w:sz="4" w:space="0" w:color="auto"/>
              <w:left w:val="single" w:sz="4" w:space="0" w:color="auto"/>
              <w:bottom w:val="single" w:sz="4" w:space="0" w:color="auto"/>
              <w:right w:val="single" w:sz="4" w:space="0" w:color="auto"/>
            </w:tcBorders>
          </w:tcPr>
          <w:p w14:paraId="564D1021" w14:textId="557D4439" w:rsidR="00AE6A66" w:rsidRPr="003F54CC" w:rsidRDefault="00AE6A66" w:rsidP="003916DF">
            <w:pPr>
              <w:pStyle w:val="Tabletext"/>
              <w:tabs>
                <w:tab w:val="left" w:pos="457"/>
                <w:tab w:val="left" w:pos="1024"/>
              </w:tabs>
              <w:rPr>
                <w:rFonts w:asciiTheme="minorHAnsi" w:hAnsiTheme="minorHAnsi" w:cstheme="minorHAnsi"/>
                <w:bCs/>
                <w:lang w:val="es-ES"/>
              </w:rPr>
            </w:pPr>
            <w:r w:rsidRPr="00E9121E">
              <w:rPr>
                <w:b/>
                <w:bCs/>
              </w:rPr>
              <w:t>11</w:t>
            </w:r>
            <w:r w:rsidRPr="003F54CC">
              <w:rPr>
                <w:rFonts w:asciiTheme="minorHAnsi" w:hAnsiTheme="minorHAnsi"/>
                <w:lang w:val="es-ES"/>
              </w:rPr>
              <w:tab/>
            </w:r>
            <w:r w:rsidRPr="003F54CC">
              <w:rPr>
                <w:rFonts w:asciiTheme="minorHAnsi" w:hAnsiTheme="minorHAnsi"/>
                <w:lang w:val="es-ES"/>
              </w:rPr>
              <w:tab/>
            </w:r>
            <w:r w:rsidRPr="003F54CC">
              <w:rPr>
                <w:i/>
                <w:iCs/>
                <w:lang w:val="es-ES"/>
              </w:rPr>
              <w:t>c)</w:t>
            </w:r>
            <w:r w:rsidRPr="003F54CC">
              <w:rPr>
                <w:lang w:val="es-ES"/>
              </w:rPr>
              <w:tab/>
            </w:r>
            <w:r w:rsidR="008D0F84" w:rsidRPr="003F54CC">
              <w:rPr>
                <w:lang w:val="es-ES"/>
              </w:rPr>
              <w:t>Los Miembros cooperarán, en su caso, en la aplicación del Reglamento de las Telecomunicaciones Internacionales (véase también, a efectos de interpretación, la Resolución N.º 2).</w:t>
            </w:r>
          </w:p>
        </w:tc>
        <w:tc>
          <w:tcPr>
            <w:tcW w:w="2226" w:type="dxa"/>
            <w:tcBorders>
              <w:top w:val="single" w:sz="4" w:space="0" w:color="auto"/>
              <w:left w:val="single" w:sz="4" w:space="0" w:color="auto"/>
              <w:bottom w:val="single" w:sz="4" w:space="0" w:color="auto"/>
              <w:right w:val="single" w:sz="4" w:space="0" w:color="auto"/>
            </w:tcBorders>
          </w:tcPr>
          <w:p w14:paraId="6570B66D" w14:textId="5205CC9B" w:rsidR="00AE6A66" w:rsidRPr="00D378F1" w:rsidRDefault="00FA7D0A" w:rsidP="00D378F1">
            <w:pPr>
              <w:pStyle w:val="Tabletext"/>
              <w:rPr>
                <w:lang w:val="es-ES"/>
              </w:rPr>
            </w:pPr>
            <w:r w:rsidRPr="00D378F1">
              <w:rPr>
                <w:lang w:val="es-ES"/>
              </w:rPr>
              <w:t>Aplicable al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301357C7" w14:textId="40077D57"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711B4182" w14:textId="07F7FCDB" w:rsidR="00AE6A66" w:rsidRPr="00D378F1" w:rsidRDefault="00930A2B" w:rsidP="00D378F1">
            <w:pPr>
              <w:pStyle w:val="Tabletext"/>
              <w:rPr>
                <w:lang w:val="es-ES"/>
              </w:rPr>
            </w:pPr>
            <w:r w:rsidRPr="00D378F1">
              <w:rPr>
                <w:lang w:val="es-ES"/>
              </w:rPr>
              <w:t>Los textos de estos números de los RTI de 2012 y de 1988 tienen un significado análogo</w:t>
            </w:r>
            <w:r w:rsidR="00AE6A66" w:rsidRPr="00D378F1">
              <w:rPr>
                <w:lang w:val="es-ES"/>
              </w:rPr>
              <w:t xml:space="preserve">. </w:t>
            </w:r>
            <w:bookmarkStart w:id="47" w:name="lt_pId166"/>
            <w:r w:rsidRPr="00D378F1">
              <w:rPr>
                <w:lang w:val="es-ES"/>
              </w:rPr>
              <w:t>El número</w:t>
            </w:r>
            <w:r w:rsidR="005D52EA">
              <w:rPr>
                <w:lang w:val="es-ES"/>
              </w:rPr>
              <w:t> </w:t>
            </w:r>
            <w:r w:rsidR="00AE6A66" w:rsidRPr="00D378F1">
              <w:rPr>
                <w:lang w:val="es-ES"/>
              </w:rPr>
              <w:t>14 refle</w:t>
            </w:r>
            <w:r w:rsidRPr="00D378F1">
              <w:rPr>
                <w:lang w:val="es-ES"/>
              </w:rPr>
              <w:t xml:space="preserve">ja las disposiciones de la Constitución y del Convenio. </w:t>
            </w:r>
            <w:bookmarkEnd w:id="47"/>
          </w:p>
        </w:tc>
      </w:tr>
      <w:tr w:rsidR="00AE6A66" w:rsidRPr="003F54CC" w14:paraId="44E69E20" w14:textId="77777777" w:rsidTr="005D52EA">
        <w:trPr>
          <w:cantSplit/>
        </w:trPr>
        <w:tc>
          <w:tcPr>
            <w:tcW w:w="1129" w:type="dxa"/>
            <w:vMerge/>
            <w:tcBorders>
              <w:left w:val="single" w:sz="4" w:space="0" w:color="auto"/>
              <w:bottom w:val="single" w:sz="4" w:space="0" w:color="auto"/>
              <w:right w:val="single" w:sz="4" w:space="0" w:color="auto"/>
            </w:tcBorders>
          </w:tcPr>
          <w:p w14:paraId="35807AD8"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CF58FEE" w14:textId="0E95D1EE" w:rsidR="00AE6A66" w:rsidRPr="003F54CC" w:rsidRDefault="00AE6A66" w:rsidP="00654220">
            <w:pPr>
              <w:pStyle w:val="Tabletext"/>
              <w:tabs>
                <w:tab w:val="left" w:pos="457"/>
                <w:tab w:val="left" w:pos="1024"/>
              </w:tabs>
              <w:rPr>
                <w:rFonts w:asciiTheme="minorHAnsi" w:hAnsiTheme="minorHAnsi" w:cstheme="minorHAnsi"/>
                <w:bCs/>
                <w:lang w:val="es-ES"/>
              </w:rPr>
            </w:pPr>
            <w:r w:rsidRPr="00E9121E">
              <w:rPr>
                <w:b/>
                <w:bCs/>
              </w:rPr>
              <w:t>15</w:t>
            </w:r>
            <w:r w:rsidRPr="003F54CC">
              <w:rPr>
                <w:rFonts w:asciiTheme="minorHAnsi" w:hAnsiTheme="minorHAnsi" w:cstheme="minorHAnsi"/>
                <w:lang w:val="es-ES"/>
              </w:rPr>
              <w:tab/>
            </w:r>
            <w:r w:rsidRPr="003F54CC">
              <w:rPr>
                <w:lang w:val="es-ES"/>
              </w:rPr>
              <w:t>1.8</w:t>
            </w:r>
            <w:r w:rsidRPr="003F54CC">
              <w:rPr>
                <w:lang w:val="es-ES"/>
              </w:rPr>
              <w:tab/>
            </w:r>
            <w:r w:rsidR="00F13C7F" w:rsidRPr="003F54CC">
              <w:rPr>
                <w:lang w:val="es-ES"/>
              </w:rPr>
              <w:t>Las disposiciones del presente Reglamento serán aplicables, independientemente del medio de transmisión utilizado, siempre que en el Reglamento de Radiocomunicaciones no se disponga lo contrario.</w:t>
            </w:r>
          </w:p>
        </w:tc>
        <w:tc>
          <w:tcPr>
            <w:tcW w:w="3551" w:type="dxa"/>
            <w:tcBorders>
              <w:top w:val="single" w:sz="4" w:space="0" w:color="auto"/>
              <w:left w:val="single" w:sz="4" w:space="0" w:color="auto"/>
              <w:bottom w:val="single" w:sz="4" w:space="0" w:color="auto"/>
              <w:right w:val="single" w:sz="4" w:space="0" w:color="auto"/>
            </w:tcBorders>
          </w:tcPr>
          <w:p w14:paraId="139F60AD" w14:textId="38CB1C45" w:rsidR="00AE6A66" w:rsidRPr="003F54CC" w:rsidRDefault="00AE6A66" w:rsidP="00654220">
            <w:pPr>
              <w:pStyle w:val="Tabletext"/>
              <w:tabs>
                <w:tab w:val="left" w:pos="457"/>
                <w:tab w:val="left" w:pos="1024"/>
              </w:tabs>
              <w:rPr>
                <w:rFonts w:asciiTheme="minorHAnsi" w:hAnsiTheme="minorHAnsi" w:cstheme="minorHAnsi"/>
                <w:bCs/>
                <w:lang w:val="es-ES"/>
              </w:rPr>
            </w:pPr>
            <w:r w:rsidRPr="00E9121E">
              <w:rPr>
                <w:b/>
                <w:bCs/>
              </w:rPr>
              <w:t>12</w:t>
            </w:r>
            <w:r w:rsidRPr="003F54CC">
              <w:rPr>
                <w:rFonts w:asciiTheme="minorHAnsi" w:hAnsiTheme="minorHAnsi"/>
                <w:lang w:val="es-ES"/>
              </w:rPr>
              <w:tab/>
              <w:t>1.8</w:t>
            </w:r>
            <w:r w:rsidRPr="003F54CC">
              <w:rPr>
                <w:rFonts w:asciiTheme="minorHAnsi" w:hAnsiTheme="minorHAnsi"/>
                <w:lang w:val="es-ES"/>
              </w:rPr>
              <w:tab/>
            </w:r>
            <w:r w:rsidR="008D0F84" w:rsidRPr="003F54CC">
              <w:rPr>
                <w:lang w:val="es-ES"/>
              </w:rPr>
              <w:t>Las disposiciones del presente Reglamento serán aplicables, independientemente del medio de transmisión utilizado, siempre que en el Reglamento de Radiocomunicaciones no se disponga lo contrario.</w:t>
            </w:r>
          </w:p>
        </w:tc>
        <w:tc>
          <w:tcPr>
            <w:tcW w:w="2226" w:type="dxa"/>
            <w:tcBorders>
              <w:top w:val="single" w:sz="4" w:space="0" w:color="auto"/>
              <w:left w:val="single" w:sz="4" w:space="0" w:color="auto"/>
              <w:bottom w:val="single" w:sz="4" w:space="0" w:color="auto"/>
              <w:right w:val="single" w:sz="4" w:space="0" w:color="auto"/>
            </w:tcBorders>
          </w:tcPr>
          <w:p w14:paraId="644C7DB3" w14:textId="49983681" w:rsidR="00AE6A66" w:rsidRPr="00D378F1" w:rsidRDefault="00FA7D0A" w:rsidP="00D378F1">
            <w:pPr>
              <w:pStyle w:val="Tabletext"/>
              <w:rPr>
                <w:lang w:val="es-ES"/>
              </w:rPr>
            </w:pPr>
            <w:r w:rsidRPr="00D378F1">
              <w:rPr>
                <w:lang w:val="es-ES"/>
              </w:rPr>
              <w:t>Aplicable al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657F2659" w14:textId="27B68B50"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59EF1ADE" w14:textId="7938CA17" w:rsidR="00AE6A66" w:rsidRPr="00D378F1" w:rsidRDefault="00930A2B" w:rsidP="00654220">
            <w:pPr>
              <w:pStyle w:val="Tabletext"/>
              <w:rPr>
                <w:lang w:val="es-ES"/>
              </w:rPr>
            </w:pPr>
            <w:bookmarkStart w:id="48" w:name="lt_pId176"/>
            <w:r w:rsidRPr="00D378F1">
              <w:rPr>
                <w:lang w:val="es-ES"/>
              </w:rPr>
              <w:t>Los textos de estos números de los RTI de 2012 y 1988 no son exactamente idénticos.</w:t>
            </w:r>
            <w:bookmarkEnd w:id="48"/>
          </w:p>
        </w:tc>
      </w:tr>
      <w:tr w:rsidR="00AE6A66" w:rsidRPr="003F54CC" w14:paraId="4BDA901E" w14:textId="77777777" w:rsidTr="000F761E">
        <w:tc>
          <w:tcPr>
            <w:tcW w:w="14454" w:type="dxa"/>
            <w:gridSpan w:val="6"/>
            <w:tcBorders>
              <w:top w:val="single" w:sz="4" w:space="0" w:color="auto"/>
              <w:left w:val="single" w:sz="4" w:space="0" w:color="auto"/>
              <w:bottom w:val="single" w:sz="4" w:space="0" w:color="auto"/>
              <w:right w:val="single" w:sz="4" w:space="0" w:color="auto"/>
            </w:tcBorders>
          </w:tcPr>
          <w:p w14:paraId="5E4D058B" w14:textId="77777777" w:rsidR="00AE6A66" w:rsidRPr="003F54CC" w:rsidRDefault="00AE6A66" w:rsidP="00D378F1">
            <w:pPr>
              <w:pStyle w:val="Tabletext"/>
              <w:rPr>
                <w:lang w:val="es-ES"/>
              </w:rPr>
            </w:pPr>
          </w:p>
        </w:tc>
      </w:tr>
      <w:tr w:rsidR="00AE6A66" w:rsidRPr="003F54CC" w14:paraId="72EE7C28" w14:textId="77777777" w:rsidTr="000F761E">
        <w:tc>
          <w:tcPr>
            <w:tcW w:w="1129" w:type="dxa"/>
            <w:vMerge w:val="restart"/>
            <w:tcBorders>
              <w:top w:val="single" w:sz="4" w:space="0" w:color="auto"/>
              <w:left w:val="single" w:sz="4" w:space="0" w:color="auto"/>
              <w:right w:val="single" w:sz="4" w:space="0" w:color="auto"/>
            </w:tcBorders>
            <w:textDirection w:val="btLr"/>
            <w:vAlign w:val="center"/>
          </w:tcPr>
          <w:p w14:paraId="1AD7BAF3" w14:textId="7496E7FF" w:rsidR="00AE6A66" w:rsidRPr="00181FE6" w:rsidRDefault="00644509" w:rsidP="001F143F">
            <w:pPr>
              <w:pStyle w:val="Tabletext"/>
              <w:keepNext/>
              <w:keepLines/>
              <w:jc w:val="center"/>
              <w:rPr>
                <w:b/>
                <w:bCs/>
                <w:lang w:val="es-ES"/>
              </w:rPr>
            </w:pPr>
            <w:bookmarkStart w:id="49" w:name="lt_pId177"/>
            <w:bookmarkStart w:id="50" w:name="_Toc351752231"/>
            <w:bookmarkStart w:id="51" w:name="_Toc351752802"/>
            <w:r w:rsidRPr="00181FE6">
              <w:rPr>
                <w:b/>
                <w:bCs/>
                <w:lang w:val="es-ES"/>
              </w:rPr>
              <w:t xml:space="preserve">ARTÍCULO </w:t>
            </w:r>
            <w:r w:rsidR="00AE6A66" w:rsidRPr="00181FE6">
              <w:rPr>
                <w:b/>
                <w:bCs/>
                <w:lang w:val="es-ES"/>
              </w:rPr>
              <w:t>2</w:t>
            </w:r>
            <w:bookmarkEnd w:id="49"/>
            <w:bookmarkEnd w:id="50"/>
            <w:bookmarkEnd w:id="51"/>
          </w:p>
          <w:p w14:paraId="639515B3" w14:textId="03A2A223" w:rsidR="00AE6A66" w:rsidRPr="00181FE6" w:rsidRDefault="00644509" w:rsidP="00181FE6">
            <w:pPr>
              <w:pStyle w:val="Tabletext"/>
              <w:jc w:val="center"/>
              <w:rPr>
                <w:lang w:val="es-ES"/>
              </w:rPr>
            </w:pPr>
            <w:r w:rsidRPr="00181FE6">
              <w:rPr>
                <w:b/>
                <w:bCs/>
                <w:lang w:val="es-ES"/>
              </w:rPr>
              <w:t>Definiciones</w:t>
            </w:r>
          </w:p>
        </w:tc>
        <w:tc>
          <w:tcPr>
            <w:tcW w:w="3546" w:type="dxa"/>
            <w:tcBorders>
              <w:top w:val="single" w:sz="4" w:space="0" w:color="auto"/>
              <w:left w:val="single" w:sz="4" w:space="0" w:color="auto"/>
              <w:bottom w:val="single" w:sz="4" w:space="0" w:color="auto"/>
              <w:right w:val="single" w:sz="4" w:space="0" w:color="auto"/>
            </w:tcBorders>
          </w:tcPr>
          <w:p w14:paraId="696E5090" w14:textId="3076ACD9"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16</w:t>
            </w:r>
            <w:r w:rsidRPr="003F54CC">
              <w:rPr>
                <w:rFonts w:asciiTheme="minorHAnsi" w:hAnsiTheme="minorHAnsi"/>
                <w:lang w:val="es-ES"/>
              </w:rPr>
              <w:tab/>
            </w:r>
            <w:r w:rsidRPr="003F54CC">
              <w:rPr>
                <w:lang w:val="es-ES"/>
              </w:rPr>
              <w:t>2.1</w:t>
            </w:r>
            <w:r w:rsidRPr="003F54CC">
              <w:rPr>
                <w:lang w:val="es-ES"/>
              </w:rPr>
              <w:tab/>
            </w:r>
            <w:r w:rsidR="00644509" w:rsidRPr="003F54CC">
              <w:rPr>
                <w:lang w:val="es-ES"/>
              </w:rPr>
              <w:t>A los efectos del presente Reglamento serán aplicables las definiciones siguientes. Estos términos y definiciones, sin embargo, no tienen que ser necesariamente aplicables a otros fines.</w:t>
            </w:r>
          </w:p>
        </w:tc>
        <w:tc>
          <w:tcPr>
            <w:tcW w:w="3551" w:type="dxa"/>
            <w:tcBorders>
              <w:top w:val="single" w:sz="4" w:space="0" w:color="auto"/>
              <w:left w:val="single" w:sz="4" w:space="0" w:color="auto"/>
              <w:bottom w:val="single" w:sz="4" w:space="0" w:color="auto"/>
              <w:right w:val="single" w:sz="4" w:space="0" w:color="auto"/>
            </w:tcBorders>
          </w:tcPr>
          <w:p w14:paraId="48158AAA" w14:textId="5792AA0B" w:rsidR="00AE6A66" w:rsidRPr="003F54CC" w:rsidRDefault="00AE6A66" w:rsidP="003916DF">
            <w:pPr>
              <w:pStyle w:val="Tabletext"/>
              <w:tabs>
                <w:tab w:val="left" w:pos="457"/>
                <w:tab w:val="left" w:pos="1024"/>
              </w:tabs>
              <w:rPr>
                <w:rFonts w:asciiTheme="minorHAnsi" w:hAnsiTheme="minorHAnsi" w:cstheme="minorHAnsi"/>
                <w:bCs/>
                <w:lang w:val="es-ES"/>
              </w:rPr>
            </w:pPr>
            <w:r w:rsidRPr="00E9121E">
              <w:rPr>
                <w:b/>
                <w:bCs/>
              </w:rPr>
              <w:t>13</w:t>
            </w:r>
            <w:r w:rsidRPr="003F54CC">
              <w:rPr>
                <w:rFonts w:asciiTheme="minorHAnsi" w:hAnsiTheme="minorHAnsi"/>
                <w:lang w:val="es-ES"/>
              </w:rPr>
              <w:tab/>
            </w:r>
            <w:r w:rsidRPr="003F54CC">
              <w:rPr>
                <w:rFonts w:asciiTheme="minorHAnsi" w:hAnsiTheme="minorHAnsi"/>
                <w:lang w:val="es-ES"/>
              </w:rPr>
              <w:tab/>
            </w:r>
            <w:r w:rsidR="008D0F84" w:rsidRPr="003F54CC">
              <w:rPr>
                <w:lang w:val="es-ES"/>
              </w:rPr>
              <w:t>A los efectos del presente Reglamento serán aplicables las definiciones siguientes. Estos términos y definiciones, sin embargo, no tienen que ser necesariamente aplicables a otros fines.</w:t>
            </w:r>
          </w:p>
        </w:tc>
        <w:tc>
          <w:tcPr>
            <w:tcW w:w="2226" w:type="dxa"/>
            <w:tcBorders>
              <w:top w:val="single" w:sz="4" w:space="0" w:color="auto"/>
              <w:left w:val="single" w:sz="4" w:space="0" w:color="auto"/>
              <w:bottom w:val="single" w:sz="4" w:space="0" w:color="auto"/>
              <w:right w:val="single" w:sz="4" w:space="0" w:color="auto"/>
            </w:tcBorders>
          </w:tcPr>
          <w:p w14:paraId="7D757A3D" w14:textId="7A4CFE7E" w:rsidR="00AE6A66" w:rsidRPr="00D378F1" w:rsidRDefault="00FA7D0A" w:rsidP="00D378F1">
            <w:pPr>
              <w:pStyle w:val="Tabletext"/>
              <w:rPr>
                <w:lang w:val="es-ES"/>
              </w:rPr>
            </w:pPr>
            <w:bookmarkStart w:id="52" w:name="lt_pId186"/>
            <w:r w:rsidRPr="00D378F1">
              <w:rPr>
                <w:lang w:val="es-ES"/>
              </w:rPr>
              <w:t>No afecta a la aplicabilidad</w:t>
            </w:r>
            <w:r w:rsidR="00AE6A66" w:rsidRPr="00D378F1">
              <w:rPr>
                <w:lang w:val="es-ES"/>
              </w:rPr>
              <w:t>.</w:t>
            </w:r>
            <w:bookmarkEnd w:id="52"/>
          </w:p>
        </w:tc>
        <w:tc>
          <w:tcPr>
            <w:tcW w:w="1917" w:type="dxa"/>
            <w:tcBorders>
              <w:top w:val="single" w:sz="4" w:space="0" w:color="auto"/>
              <w:left w:val="single" w:sz="4" w:space="0" w:color="auto"/>
              <w:bottom w:val="single" w:sz="4" w:space="0" w:color="auto"/>
              <w:right w:val="single" w:sz="4" w:space="0" w:color="auto"/>
            </w:tcBorders>
          </w:tcPr>
          <w:p w14:paraId="1EDF783D" w14:textId="71166882" w:rsidR="00AE6A66" w:rsidRPr="00D378F1" w:rsidRDefault="00FA7D0A" w:rsidP="00D378F1">
            <w:pPr>
              <w:pStyle w:val="Tabletext"/>
              <w:rPr>
                <w:lang w:val="es-ES"/>
              </w:rPr>
            </w:pPr>
            <w:bookmarkStart w:id="53" w:name="lt_pId187"/>
            <w:r w:rsidRPr="00D378F1">
              <w:rPr>
                <w:lang w:val="es-ES"/>
              </w:rPr>
              <w:t>No afecta a la flexibilidad</w:t>
            </w:r>
            <w:r w:rsidR="00AE6A66" w:rsidRPr="00D378F1">
              <w:rPr>
                <w:lang w:val="es-ES"/>
              </w:rPr>
              <w:t>.</w:t>
            </w:r>
            <w:bookmarkEnd w:id="53"/>
          </w:p>
        </w:tc>
        <w:tc>
          <w:tcPr>
            <w:tcW w:w="2085" w:type="dxa"/>
            <w:tcBorders>
              <w:top w:val="single" w:sz="4" w:space="0" w:color="auto"/>
              <w:left w:val="single" w:sz="4" w:space="0" w:color="auto"/>
              <w:bottom w:val="single" w:sz="4" w:space="0" w:color="auto"/>
              <w:right w:val="single" w:sz="4" w:space="0" w:color="auto"/>
            </w:tcBorders>
          </w:tcPr>
          <w:p w14:paraId="7E147C38" w14:textId="77777777" w:rsidR="00AE6A66" w:rsidRPr="00D378F1" w:rsidRDefault="00AE6A66" w:rsidP="00D378F1">
            <w:pPr>
              <w:pStyle w:val="Tabletext"/>
              <w:rPr>
                <w:lang w:val="es-ES"/>
              </w:rPr>
            </w:pPr>
          </w:p>
        </w:tc>
      </w:tr>
      <w:tr w:rsidR="00AE6A66" w:rsidRPr="003F54CC" w14:paraId="3F481330" w14:textId="77777777" w:rsidTr="000F761E">
        <w:trPr>
          <w:cantSplit/>
        </w:trPr>
        <w:tc>
          <w:tcPr>
            <w:tcW w:w="1129" w:type="dxa"/>
            <w:vMerge/>
            <w:tcBorders>
              <w:left w:val="single" w:sz="4" w:space="0" w:color="auto"/>
              <w:right w:val="single" w:sz="4" w:space="0" w:color="auto"/>
            </w:tcBorders>
          </w:tcPr>
          <w:p w14:paraId="421E08A3"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53E23AB" w14:textId="34AC8149"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17</w:t>
            </w:r>
            <w:r w:rsidRPr="003F54CC">
              <w:rPr>
                <w:rFonts w:asciiTheme="minorHAnsi" w:hAnsiTheme="minorHAnsi"/>
                <w:lang w:val="es-ES"/>
              </w:rPr>
              <w:tab/>
            </w:r>
            <w:r w:rsidRPr="003F54CC">
              <w:rPr>
                <w:lang w:val="es-ES"/>
              </w:rPr>
              <w:t>2.2</w:t>
            </w:r>
            <w:r w:rsidRPr="003F54CC">
              <w:rPr>
                <w:lang w:val="es-ES"/>
              </w:rPr>
              <w:tab/>
            </w:r>
            <w:r w:rsidR="00644509" w:rsidRPr="003F54CC">
              <w:rPr>
                <w:i/>
                <w:iCs/>
                <w:lang w:val="es-ES"/>
              </w:rPr>
              <w:t>Telecomunicación:</w:t>
            </w:r>
            <w:r w:rsidR="00644509" w:rsidRPr="003F54CC">
              <w:rPr>
                <w:lang w:val="es-ES"/>
              </w:rPr>
              <w:t xml:space="preserve"> Toda transmisión, emisión o recepción de signos, señales, escritos, imágenes, sonidos o informaciones de cualquier naturaleza por hilo, radioelectricidad, medio ópticos u otros sistemas electromagnéticos.</w:t>
            </w:r>
          </w:p>
        </w:tc>
        <w:tc>
          <w:tcPr>
            <w:tcW w:w="3551" w:type="dxa"/>
            <w:tcBorders>
              <w:top w:val="single" w:sz="4" w:space="0" w:color="auto"/>
              <w:left w:val="single" w:sz="4" w:space="0" w:color="auto"/>
              <w:bottom w:val="single" w:sz="4" w:space="0" w:color="auto"/>
              <w:right w:val="single" w:sz="4" w:space="0" w:color="auto"/>
            </w:tcBorders>
          </w:tcPr>
          <w:p w14:paraId="0BEB116B" w14:textId="5D6EFA5B" w:rsidR="00AE6A66" w:rsidRPr="003F54CC" w:rsidRDefault="00AE6A66" w:rsidP="003916DF">
            <w:pPr>
              <w:pStyle w:val="Tabletext"/>
              <w:tabs>
                <w:tab w:val="left" w:pos="457"/>
                <w:tab w:val="left" w:pos="1024"/>
              </w:tabs>
              <w:rPr>
                <w:rFonts w:asciiTheme="minorHAnsi" w:hAnsiTheme="minorHAnsi" w:cstheme="minorHAnsi"/>
                <w:bCs/>
                <w:lang w:val="es-ES"/>
              </w:rPr>
            </w:pPr>
            <w:r w:rsidRPr="00E9121E">
              <w:rPr>
                <w:b/>
                <w:bCs/>
              </w:rPr>
              <w:t>14</w:t>
            </w:r>
            <w:r w:rsidRPr="003F54CC">
              <w:rPr>
                <w:rFonts w:asciiTheme="minorHAnsi" w:hAnsiTheme="minorHAnsi"/>
                <w:lang w:val="es-ES"/>
              </w:rPr>
              <w:tab/>
              <w:t>2.1</w:t>
            </w:r>
            <w:r w:rsidRPr="003F54CC">
              <w:rPr>
                <w:rFonts w:asciiTheme="minorHAnsi" w:hAnsiTheme="minorHAnsi"/>
                <w:lang w:val="es-ES"/>
              </w:rPr>
              <w:tab/>
            </w:r>
            <w:r w:rsidR="008D0F84" w:rsidRPr="003F54CC">
              <w:rPr>
                <w:i/>
                <w:iCs/>
                <w:lang w:val="es-ES"/>
              </w:rPr>
              <w:t>Telecomunicación:</w:t>
            </w:r>
            <w:r w:rsidR="008D0F84" w:rsidRPr="003F54CC">
              <w:rPr>
                <w:lang w:val="es-ES"/>
              </w:rPr>
              <w:t xml:space="preserve"> Toda transmisión, emisión o recepción de signos, señales, escritos, imágenes, sonidos o informaciones de cualquier naturaleza por hilo, radioelectricidad, medio ópticos u otros sistemas electromagnéticos.</w:t>
            </w:r>
          </w:p>
        </w:tc>
        <w:tc>
          <w:tcPr>
            <w:tcW w:w="2226" w:type="dxa"/>
            <w:tcBorders>
              <w:top w:val="single" w:sz="4" w:space="0" w:color="auto"/>
              <w:left w:val="single" w:sz="4" w:space="0" w:color="auto"/>
              <w:bottom w:val="single" w:sz="4" w:space="0" w:color="auto"/>
              <w:right w:val="single" w:sz="4" w:space="0" w:color="auto"/>
            </w:tcBorders>
          </w:tcPr>
          <w:p w14:paraId="5407F57C" w14:textId="10549D16"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5061780D" w14:textId="35B9A2A4"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46477B0A" w14:textId="2288A0E1" w:rsidR="00AE6A66" w:rsidRPr="00D378F1" w:rsidRDefault="00930A2B" w:rsidP="00D378F1">
            <w:pPr>
              <w:pStyle w:val="Tabletext"/>
              <w:rPr>
                <w:lang w:val="es-ES"/>
              </w:rPr>
            </w:pPr>
            <w:bookmarkStart w:id="54" w:name="lt_pId196"/>
            <w:r w:rsidRPr="00D378F1">
              <w:rPr>
                <w:lang w:val="es-ES"/>
              </w:rPr>
              <w:t>El número 17 del RTI de</w:t>
            </w:r>
            <w:r w:rsidR="00AE6A66" w:rsidRPr="00D378F1">
              <w:rPr>
                <w:lang w:val="es-ES"/>
              </w:rPr>
              <w:t xml:space="preserve"> 2012 </w:t>
            </w:r>
            <w:r w:rsidRPr="00D378F1">
              <w:rPr>
                <w:lang w:val="es-ES"/>
              </w:rPr>
              <w:t xml:space="preserve">puede reemplazarse con una referencia al número </w:t>
            </w:r>
            <w:r w:rsidR="00AE6A66" w:rsidRPr="00D378F1">
              <w:rPr>
                <w:lang w:val="es-ES"/>
              </w:rPr>
              <w:t xml:space="preserve">1012 </w:t>
            </w:r>
            <w:r w:rsidRPr="00D378F1">
              <w:rPr>
                <w:lang w:val="es-ES"/>
              </w:rPr>
              <w:t>del Anexo a la Constitución de la</w:t>
            </w:r>
            <w:r w:rsidR="001F143F">
              <w:rPr>
                <w:lang w:val="es-ES"/>
              </w:rPr>
              <w:t> </w:t>
            </w:r>
            <w:r w:rsidRPr="00D378F1">
              <w:rPr>
                <w:lang w:val="es-ES"/>
              </w:rPr>
              <w:t>UIT</w:t>
            </w:r>
            <w:r w:rsidR="00AE6A66" w:rsidRPr="00D378F1">
              <w:rPr>
                <w:lang w:val="es-ES"/>
              </w:rPr>
              <w:t>.</w:t>
            </w:r>
            <w:bookmarkEnd w:id="54"/>
          </w:p>
        </w:tc>
      </w:tr>
      <w:tr w:rsidR="00AE6A66" w:rsidRPr="003F54CC" w14:paraId="54041E8A" w14:textId="77777777" w:rsidTr="005D52EA">
        <w:trPr>
          <w:cantSplit/>
        </w:trPr>
        <w:tc>
          <w:tcPr>
            <w:tcW w:w="1129" w:type="dxa"/>
            <w:vMerge/>
            <w:tcBorders>
              <w:left w:val="single" w:sz="4" w:space="0" w:color="auto"/>
              <w:right w:val="single" w:sz="4" w:space="0" w:color="auto"/>
            </w:tcBorders>
          </w:tcPr>
          <w:p w14:paraId="4B14E923"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7C40AF3D" w14:textId="1B8C44DD"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18</w:t>
            </w:r>
            <w:r w:rsidRPr="003F54CC">
              <w:rPr>
                <w:rFonts w:asciiTheme="minorHAnsi" w:hAnsiTheme="minorHAnsi"/>
                <w:lang w:val="es-ES"/>
              </w:rPr>
              <w:tab/>
            </w:r>
            <w:r w:rsidRPr="003F54CC">
              <w:rPr>
                <w:lang w:val="es-ES"/>
              </w:rPr>
              <w:t>2.3</w:t>
            </w:r>
            <w:r w:rsidRPr="003F54CC">
              <w:rPr>
                <w:lang w:val="es-ES"/>
              </w:rPr>
              <w:tab/>
            </w:r>
            <w:r w:rsidR="00644509" w:rsidRPr="003F54CC">
              <w:rPr>
                <w:i/>
                <w:iCs/>
                <w:lang w:val="es-ES"/>
              </w:rPr>
              <w:t>Servicio internacional de telecomunicación:</w:t>
            </w:r>
            <w:r w:rsidR="00644509" w:rsidRPr="003F54CC">
              <w:rPr>
                <w:lang w:val="es-ES"/>
              </w:rPr>
              <w:t xml:space="preserve"> Prestación de telecomunicación entre oficinas o estaciones de telecomunicación de cualquier naturaleza, situadas en países distintos o pertenecientes a países distintos.</w:t>
            </w:r>
          </w:p>
        </w:tc>
        <w:tc>
          <w:tcPr>
            <w:tcW w:w="3551" w:type="dxa"/>
            <w:tcBorders>
              <w:top w:val="single" w:sz="4" w:space="0" w:color="auto"/>
              <w:left w:val="single" w:sz="4" w:space="0" w:color="auto"/>
              <w:bottom w:val="single" w:sz="4" w:space="0" w:color="auto"/>
              <w:right w:val="single" w:sz="4" w:space="0" w:color="auto"/>
            </w:tcBorders>
          </w:tcPr>
          <w:p w14:paraId="588FBAF5" w14:textId="766D02BB" w:rsidR="00AE6A66" w:rsidRPr="003F54CC" w:rsidRDefault="00AE6A66" w:rsidP="003916DF">
            <w:pPr>
              <w:pStyle w:val="Tabletext"/>
              <w:tabs>
                <w:tab w:val="left" w:pos="457"/>
                <w:tab w:val="left" w:pos="1024"/>
              </w:tabs>
              <w:rPr>
                <w:rFonts w:asciiTheme="minorHAnsi" w:hAnsiTheme="minorHAnsi" w:cstheme="minorHAnsi"/>
                <w:bCs/>
                <w:lang w:val="es-ES"/>
              </w:rPr>
            </w:pPr>
            <w:r w:rsidRPr="00E9121E">
              <w:rPr>
                <w:b/>
                <w:bCs/>
              </w:rPr>
              <w:t>15</w:t>
            </w:r>
            <w:r w:rsidRPr="003F54CC">
              <w:rPr>
                <w:rFonts w:asciiTheme="minorHAnsi" w:hAnsiTheme="minorHAnsi"/>
                <w:lang w:val="es-ES"/>
              </w:rPr>
              <w:tab/>
              <w:t>2.2</w:t>
            </w:r>
            <w:r w:rsidRPr="003F54CC">
              <w:rPr>
                <w:rFonts w:asciiTheme="minorHAnsi" w:hAnsiTheme="minorHAnsi"/>
                <w:lang w:val="es-ES"/>
              </w:rPr>
              <w:tab/>
            </w:r>
            <w:r w:rsidR="008D0F84" w:rsidRPr="003F54CC">
              <w:rPr>
                <w:i/>
                <w:iCs/>
                <w:lang w:val="es-ES"/>
              </w:rPr>
              <w:t>Servicio internacional de telecomunicación:</w:t>
            </w:r>
            <w:r w:rsidR="008D0F84" w:rsidRPr="003F54CC">
              <w:rPr>
                <w:lang w:val="es-ES"/>
              </w:rPr>
              <w:t xml:space="preserve"> Prestación de telecomunicación entre oficinas o estaciones de telecomunicación de cualquier naturaleza, situadas en países distintos o pertenecientes a países distintos.</w:t>
            </w:r>
          </w:p>
        </w:tc>
        <w:tc>
          <w:tcPr>
            <w:tcW w:w="2226" w:type="dxa"/>
            <w:tcBorders>
              <w:top w:val="single" w:sz="4" w:space="0" w:color="auto"/>
              <w:left w:val="single" w:sz="4" w:space="0" w:color="auto"/>
              <w:bottom w:val="single" w:sz="4" w:space="0" w:color="auto"/>
              <w:right w:val="single" w:sz="4" w:space="0" w:color="auto"/>
            </w:tcBorders>
          </w:tcPr>
          <w:p w14:paraId="1D043654" w14:textId="3E402855"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45A4E884" w14:textId="1C15E9E3"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278EC0A" w14:textId="066BE566" w:rsidR="00AE6A66" w:rsidRPr="00D378F1" w:rsidRDefault="00930A2B" w:rsidP="00D378F1">
            <w:pPr>
              <w:pStyle w:val="Tabletext"/>
              <w:rPr>
                <w:lang w:val="es-ES"/>
              </w:rPr>
            </w:pPr>
            <w:bookmarkStart w:id="55" w:name="lt_pId206"/>
            <w:r w:rsidRPr="00D378F1">
              <w:rPr>
                <w:lang w:val="es-ES"/>
              </w:rPr>
              <w:t>Los textos de estos números de los RTI de 2012 y de 1988 tienen un significado análogo</w:t>
            </w:r>
            <w:r w:rsidR="00AE6A66" w:rsidRPr="00D378F1">
              <w:rPr>
                <w:lang w:val="es-ES"/>
              </w:rPr>
              <w:t>.</w:t>
            </w:r>
            <w:bookmarkEnd w:id="55"/>
          </w:p>
        </w:tc>
      </w:tr>
      <w:tr w:rsidR="00AE6A66" w:rsidRPr="003F54CC" w14:paraId="18CF0308" w14:textId="77777777" w:rsidTr="000F761E">
        <w:trPr>
          <w:cantSplit/>
        </w:trPr>
        <w:tc>
          <w:tcPr>
            <w:tcW w:w="1129" w:type="dxa"/>
            <w:vMerge/>
            <w:tcBorders>
              <w:left w:val="single" w:sz="4" w:space="0" w:color="auto"/>
              <w:right w:val="single" w:sz="4" w:space="0" w:color="auto"/>
            </w:tcBorders>
          </w:tcPr>
          <w:p w14:paraId="3D1464FB"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5272CAA6" w14:textId="73DE3937" w:rsidR="00AE6A66" w:rsidRPr="003F54CC" w:rsidRDefault="00AE6A66" w:rsidP="00181FE6">
            <w:pPr>
              <w:pStyle w:val="Tabletext"/>
              <w:tabs>
                <w:tab w:val="left" w:pos="457"/>
                <w:tab w:val="left" w:pos="1024"/>
              </w:tabs>
              <w:rPr>
                <w:rFonts w:asciiTheme="minorHAnsi" w:hAnsiTheme="minorHAnsi" w:cstheme="minorHAnsi"/>
                <w:bCs/>
                <w:highlight w:val="yellow"/>
                <w:lang w:val="es-ES"/>
              </w:rPr>
            </w:pPr>
            <w:r w:rsidRPr="00E9121E">
              <w:rPr>
                <w:b/>
                <w:bCs/>
              </w:rPr>
              <w:t>19</w:t>
            </w:r>
            <w:r w:rsidRPr="003F54CC">
              <w:rPr>
                <w:rFonts w:asciiTheme="minorHAnsi" w:hAnsiTheme="minorHAnsi"/>
                <w:lang w:val="es-ES"/>
              </w:rPr>
              <w:tab/>
              <w:t>2.</w:t>
            </w:r>
            <w:bookmarkStart w:id="56" w:name="lt_pId209"/>
            <w:r w:rsidRPr="003F54CC">
              <w:rPr>
                <w:lang w:val="es-ES"/>
              </w:rPr>
              <w:t>4</w:t>
            </w:r>
            <w:r w:rsidRPr="003F54CC">
              <w:rPr>
                <w:lang w:val="es-ES"/>
              </w:rPr>
              <w:tab/>
            </w:r>
            <w:r w:rsidR="00644509" w:rsidRPr="003F54CC">
              <w:rPr>
                <w:i/>
                <w:iCs/>
                <w:lang w:val="es-ES"/>
              </w:rPr>
              <w:t>Telecomunicación de Estado:</w:t>
            </w:r>
            <w:r w:rsidR="00644509" w:rsidRPr="003F54CC">
              <w:rPr>
                <w:lang w:val="es-ES"/>
              </w:rPr>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las respuestas a las citadas telecomunicaciones de Estado.</w:t>
            </w:r>
            <w:bookmarkEnd w:id="56"/>
          </w:p>
        </w:tc>
        <w:tc>
          <w:tcPr>
            <w:tcW w:w="3551" w:type="dxa"/>
            <w:tcBorders>
              <w:top w:val="single" w:sz="4" w:space="0" w:color="auto"/>
              <w:left w:val="single" w:sz="4" w:space="0" w:color="auto"/>
              <w:bottom w:val="single" w:sz="4" w:space="0" w:color="auto"/>
              <w:right w:val="single" w:sz="4" w:space="0" w:color="auto"/>
            </w:tcBorders>
          </w:tcPr>
          <w:p w14:paraId="18D51780" w14:textId="32263A73" w:rsidR="00AE6A66" w:rsidRPr="003F54CC" w:rsidRDefault="00AE6A66" w:rsidP="003916DF">
            <w:pPr>
              <w:pStyle w:val="Tabletext"/>
              <w:tabs>
                <w:tab w:val="left" w:pos="457"/>
                <w:tab w:val="left" w:pos="1024"/>
              </w:tabs>
              <w:rPr>
                <w:rFonts w:asciiTheme="minorHAnsi" w:hAnsiTheme="minorHAnsi" w:cstheme="minorHAnsi"/>
                <w:bCs/>
                <w:lang w:val="es-ES"/>
              </w:rPr>
            </w:pPr>
            <w:r w:rsidRPr="00E9121E">
              <w:rPr>
                <w:b/>
                <w:bCs/>
              </w:rPr>
              <w:t>16</w:t>
            </w:r>
            <w:r w:rsidRPr="003F54CC">
              <w:rPr>
                <w:rFonts w:asciiTheme="minorHAnsi" w:hAnsiTheme="minorHAnsi"/>
                <w:lang w:val="es-ES"/>
              </w:rPr>
              <w:tab/>
              <w:t>2.3</w:t>
            </w:r>
            <w:r w:rsidRPr="003F54CC">
              <w:rPr>
                <w:rFonts w:asciiTheme="minorHAnsi" w:hAnsiTheme="minorHAnsi"/>
                <w:lang w:val="es-ES"/>
              </w:rPr>
              <w:tab/>
            </w:r>
            <w:r w:rsidR="008D0F84" w:rsidRPr="003F54CC">
              <w:rPr>
                <w:i/>
                <w:iCs/>
                <w:lang w:val="es-ES"/>
              </w:rPr>
              <w:t>Telecomunicación de Estado:</w:t>
            </w:r>
            <w:r w:rsidR="008D0F84" w:rsidRPr="003F54CC">
              <w:rPr>
                <w:lang w:val="es-ES"/>
              </w:rPr>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tc>
        <w:tc>
          <w:tcPr>
            <w:tcW w:w="2226" w:type="dxa"/>
            <w:tcBorders>
              <w:top w:val="single" w:sz="4" w:space="0" w:color="auto"/>
              <w:left w:val="single" w:sz="4" w:space="0" w:color="auto"/>
              <w:bottom w:val="single" w:sz="4" w:space="0" w:color="auto"/>
              <w:right w:val="single" w:sz="4" w:space="0" w:color="auto"/>
            </w:tcBorders>
          </w:tcPr>
          <w:p w14:paraId="41F35122" w14:textId="353F1582"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2E7C51B4" w14:textId="57097A38"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725743C0" w14:textId="36657769" w:rsidR="00AE6A66" w:rsidRPr="00D378F1" w:rsidRDefault="00930A2B" w:rsidP="00D378F1">
            <w:pPr>
              <w:pStyle w:val="Tabletext"/>
              <w:rPr>
                <w:lang w:val="es-ES"/>
              </w:rPr>
            </w:pPr>
            <w:bookmarkStart w:id="57" w:name="lt_pId215"/>
            <w:r w:rsidRPr="00D378F1">
              <w:rPr>
                <w:lang w:val="es-ES"/>
              </w:rPr>
              <w:t>La definición del número 19 del RTI de 2012 se ajusta a la definición del Anexo a la Constitución de la UIT (número 1014</w:t>
            </w:r>
            <w:r w:rsidR="00AE6A66" w:rsidRPr="00D378F1">
              <w:rPr>
                <w:lang w:val="es-ES"/>
              </w:rPr>
              <w:t xml:space="preserve">), </w:t>
            </w:r>
            <w:r w:rsidRPr="00D378F1">
              <w:rPr>
                <w:lang w:val="es-ES"/>
              </w:rPr>
              <w:t>mientras que el texto del número 16 del RTI de 1988 no se ajusta plenamente a la definición del Anexo a la Constitución de la UIT.</w:t>
            </w:r>
            <w:r w:rsidR="00AE6A66" w:rsidRPr="00D378F1">
              <w:rPr>
                <w:lang w:val="es-ES"/>
              </w:rPr>
              <w:t xml:space="preserve"> </w:t>
            </w:r>
            <w:r w:rsidRPr="00D378F1">
              <w:rPr>
                <w:lang w:val="es-ES"/>
              </w:rPr>
              <w:t>El número 19 del RTI de 2012 puede sustituirse con una referencia apropiada a la Constitución.</w:t>
            </w:r>
            <w:bookmarkEnd w:id="57"/>
          </w:p>
        </w:tc>
      </w:tr>
      <w:tr w:rsidR="00AE6A66" w:rsidRPr="003F54CC" w14:paraId="430EF0C0" w14:textId="77777777" w:rsidTr="000F761E">
        <w:tc>
          <w:tcPr>
            <w:tcW w:w="1129" w:type="dxa"/>
            <w:vMerge/>
            <w:tcBorders>
              <w:left w:val="single" w:sz="4" w:space="0" w:color="auto"/>
              <w:right w:val="single" w:sz="4" w:space="0" w:color="auto"/>
            </w:tcBorders>
          </w:tcPr>
          <w:p w14:paraId="58B3FB22"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6B1C944" w14:textId="77777777" w:rsidR="003916DF" w:rsidRDefault="00AE6A66" w:rsidP="00181FE6">
            <w:pPr>
              <w:pStyle w:val="Tabletext"/>
              <w:tabs>
                <w:tab w:val="left" w:pos="457"/>
                <w:tab w:val="left" w:pos="1024"/>
              </w:tabs>
              <w:rPr>
                <w:lang w:val="es-ES"/>
              </w:rPr>
            </w:pPr>
            <w:r w:rsidRPr="00E9121E">
              <w:rPr>
                <w:b/>
                <w:bCs/>
              </w:rPr>
              <w:t>20</w:t>
            </w:r>
            <w:r w:rsidRPr="003F54CC">
              <w:rPr>
                <w:rFonts w:asciiTheme="minorHAnsi" w:hAnsiTheme="minorHAnsi"/>
                <w:lang w:val="es-ES"/>
              </w:rPr>
              <w:tab/>
            </w:r>
            <w:r w:rsidRPr="003F54CC">
              <w:rPr>
                <w:lang w:val="es-ES"/>
              </w:rPr>
              <w:t>2.5</w:t>
            </w:r>
            <w:r w:rsidRPr="003F54CC">
              <w:rPr>
                <w:lang w:val="es-ES"/>
              </w:rPr>
              <w:tab/>
            </w:r>
            <w:r w:rsidR="00644509" w:rsidRPr="003F54CC">
              <w:rPr>
                <w:bCs/>
                <w:i/>
                <w:iCs/>
                <w:lang w:val="es-ES"/>
              </w:rPr>
              <w:t>Telecomunicación de servicio:</w:t>
            </w:r>
            <w:r w:rsidR="00644509" w:rsidRPr="00D378F1">
              <w:rPr>
                <w:lang w:val="es-ES"/>
              </w:rPr>
              <w:t xml:space="preserve"> </w:t>
            </w:r>
            <w:r w:rsidR="00644509" w:rsidRPr="003F54CC">
              <w:rPr>
                <w:bCs/>
                <w:lang w:val="es-ES"/>
              </w:rPr>
              <w:t xml:space="preserve">Telecomunicación relativa a las </w:t>
            </w:r>
            <w:r w:rsidR="00644509" w:rsidRPr="003F54CC">
              <w:rPr>
                <w:lang w:val="es-ES"/>
              </w:rPr>
              <w:t>telecomunicaciones públicas internacionales y cursada entre las personas o entidades</w:t>
            </w:r>
            <w:r w:rsidR="00644509" w:rsidRPr="003F54CC">
              <w:rPr>
                <w:bCs/>
                <w:lang w:val="es-ES"/>
              </w:rPr>
              <w:t xml:space="preserve"> siguientes</w:t>
            </w:r>
            <w:r w:rsidRPr="003F54CC">
              <w:rPr>
                <w:lang w:val="es-ES"/>
              </w:rPr>
              <w:t>:</w:t>
            </w:r>
          </w:p>
          <w:p w14:paraId="360D6D64" w14:textId="24C0E22E" w:rsidR="00DC47DA" w:rsidRPr="003F54CC" w:rsidRDefault="00AE6A66" w:rsidP="00181FE6">
            <w:pPr>
              <w:pStyle w:val="Tabletext"/>
              <w:tabs>
                <w:tab w:val="left" w:pos="457"/>
                <w:tab w:val="left" w:pos="1024"/>
              </w:tabs>
              <w:rPr>
                <w:lang w:val="es-ES"/>
              </w:rPr>
            </w:pPr>
            <w:r w:rsidRPr="003F54CC">
              <w:rPr>
                <w:lang w:val="es-ES"/>
              </w:rPr>
              <w:t>–</w:t>
            </w:r>
            <w:r w:rsidRPr="003F54CC">
              <w:rPr>
                <w:lang w:val="es-ES"/>
              </w:rPr>
              <w:tab/>
            </w:r>
            <w:r w:rsidR="00644509" w:rsidRPr="003F54CC">
              <w:rPr>
                <w:lang w:val="es-ES"/>
              </w:rPr>
              <w:t>Estados Miembros</w:t>
            </w:r>
            <w:r w:rsidRPr="003F54CC">
              <w:rPr>
                <w:lang w:val="es-ES"/>
              </w:rPr>
              <w:t>;</w:t>
            </w:r>
          </w:p>
          <w:p w14:paraId="0C1AE839" w14:textId="6E9098B3" w:rsidR="00DC47DA" w:rsidRPr="003F54CC" w:rsidRDefault="00AE6A66" w:rsidP="003916DF">
            <w:pPr>
              <w:pStyle w:val="Tabletext"/>
              <w:tabs>
                <w:tab w:val="left" w:pos="457"/>
                <w:tab w:val="left" w:pos="1024"/>
              </w:tabs>
              <w:ind w:left="457" w:hanging="457"/>
              <w:rPr>
                <w:lang w:val="es-ES"/>
              </w:rPr>
            </w:pPr>
            <w:r w:rsidRPr="003F54CC">
              <w:rPr>
                <w:lang w:val="es-ES"/>
              </w:rPr>
              <w:t>–</w:t>
            </w:r>
            <w:r w:rsidRPr="003F54CC">
              <w:rPr>
                <w:lang w:val="es-ES"/>
              </w:rPr>
              <w:tab/>
            </w:r>
            <w:r w:rsidR="00644509" w:rsidRPr="003F54CC">
              <w:rPr>
                <w:lang w:val="es-ES"/>
              </w:rPr>
              <w:t>empresas de explotación autorizadas</w:t>
            </w:r>
            <w:r w:rsidRPr="003F54CC">
              <w:rPr>
                <w:lang w:val="es-ES"/>
              </w:rPr>
              <w:t>;</w:t>
            </w:r>
          </w:p>
          <w:p w14:paraId="0BB62E28" w14:textId="694EB8F8" w:rsidR="00AE6A66" w:rsidRPr="003F54CC" w:rsidRDefault="00AE6A66" w:rsidP="003916DF">
            <w:pPr>
              <w:pStyle w:val="Tabletext"/>
              <w:tabs>
                <w:tab w:val="left" w:pos="457"/>
                <w:tab w:val="left" w:pos="1024"/>
              </w:tabs>
              <w:ind w:left="457" w:hanging="457"/>
              <w:rPr>
                <w:rFonts w:asciiTheme="minorHAnsi" w:hAnsiTheme="minorHAnsi" w:cstheme="minorHAnsi"/>
                <w:bCs/>
                <w:lang w:val="es-ES"/>
              </w:rPr>
            </w:pPr>
            <w:r w:rsidRPr="003F54CC">
              <w:rPr>
                <w:lang w:val="es-ES"/>
              </w:rPr>
              <w:br w:type="page"/>
              <w:t>–</w:t>
            </w:r>
            <w:r w:rsidRPr="003F54CC">
              <w:rPr>
                <w:lang w:val="es-ES"/>
              </w:rPr>
              <w:tab/>
            </w:r>
            <w:r w:rsidR="00DC47DA" w:rsidRPr="003F54CC">
              <w:rPr>
                <w:lang w:val="es-ES"/>
              </w:rPr>
              <w:t>el Presidente del Consejo, el Secretario General, el Vicesecretario General, los Directores de las Oficinas, los miembros de la Junta del Reglamento de Radiocomunicaciones, cualquier otro representante o funcionario autorizado de la Unión, incluidos los que se ocupan de asuntos oficiales fuera de la Sede de la Unión.</w:t>
            </w:r>
          </w:p>
        </w:tc>
        <w:tc>
          <w:tcPr>
            <w:tcW w:w="3551" w:type="dxa"/>
            <w:tcBorders>
              <w:top w:val="single" w:sz="4" w:space="0" w:color="auto"/>
              <w:left w:val="single" w:sz="4" w:space="0" w:color="auto"/>
              <w:bottom w:val="single" w:sz="4" w:space="0" w:color="auto"/>
              <w:right w:val="single" w:sz="4" w:space="0" w:color="auto"/>
            </w:tcBorders>
          </w:tcPr>
          <w:p w14:paraId="67157019" w14:textId="2425411B" w:rsidR="00AE6A66" w:rsidRPr="003700C5" w:rsidRDefault="00AE6A66" w:rsidP="003916DF">
            <w:pPr>
              <w:pStyle w:val="Tabletext"/>
              <w:tabs>
                <w:tab w:val="left" w:pos="457"/>
                <w:tab w:val="left" w:pos="1024"/>
              </w:tabs>
              <w:rPr>
                <w:rFonts w:asciiTheme="minorHAnsi" w:hAnsiTheme="minorHAnsi"/>
                <w:b/>
                <w:bCs/>
                <w:lang w:val="es-ES"/>
              </w:rPr>
            </w:pPr>
            <w:r w:rsidRPr="00E9121E">
              <w:rPr>
                <w:b/>
                <w:bCs/>
              </w:rPr>
              <w:t>17</w:t>
            </w:r>
            <w:r w:rsidRPr="003700C5">
              <w:rPr>
                <w:rFonts w:asciiTheme="minorHAnsi" w:hAnsiTheme="minorHAnsi"/>
                <w:b/>
                <w:bCs/>
                <w:lang w:val="es-ES"/>
              </w:rPr>
              <w:tab/>
              <w:t>2.4</w:t>
            </w:r>
            <w:r w:rsidRPr="003700C5">
              <w:rPr>
                <w:rFonts w:asciiTheme="minorHAnsi" w:hAnsiTheme="minorHAnsi"/>
                <w:b/>
                <w:bCs/>
                <w:lang w:val="es-ES"/>
              </w:rPr>
              <w:tab/>
            </w:r>
            <w:r w:rsidR="008D0F84" w:rsidRPr="003700C5">
              <w:rPr>
                <w:b/>
                <w:bCs/>
                <w:lang w:val="es-ES"/>
              </w:rPr>
              <w:t>Telecomunicación de servicio</w:t>
            </w:r>
          </w:p>
          <w:p w14:paraId="4030717F" w14:textId="77777777" w:rsidR="003700C5" w:rsidRDefault="008D0F84" w:rsidP="00D378F1">
            <w:pPr>
              <w:pStyle w:val="Tabletext"/>
              <w:rPr>
                <w:lang w:val="es-ES"/>
              </w:rPr>
            </w:pPr>
            <w:r w:rsidRPr="003F54CC">
              <w:rPr>
                <w:lang w:val="es-ES"/>
              </w:rPr>
              <w:t>Telecomunicación relativa a las telecomunicaciones públicas internacionales y cursada entre las personas o entidades siguientes:</w:t>
            </w:r>
          </w:p>
          <w:p w14:paraId="2890E71D" w14:textId="77777777" w:rsidR="003700C5" w:rsidRDefault="00AE6A66" w:rsidP="003916DF">
            <w:pPr>
              <w:pStyle w:val="Tabletext"/>
              <w:tabs>
                <w:tab w:val="left" w:pos="457"/>
                <w:tab w:val="left" w:pos="1024"/>
              </w:tabs>
            </w:pPr>
            <w:r w:rsidRPr="003F54CC">
              <w:rPr>
                <w:lang w:val="es-ES"/>
              </w:rPr>
              <w:t>–</w:t>
            </w:r>
            <w:r w:rsidRPr="003700C5">
              <w:tab/>
            </w:r>
            <w:r w:rsidR="008D0F84" w:rsidRPr="003700C5">
              <w:t>las administraciones;</w:t>
            </w:r>
          </w:p>
          <w:p w14:paraId="5DEF7D4D" w14:textId="77777777" w:rsidR="003700C5" w:rsidRDefault="00AE6A66" w:rsidP="003916DF">
            <w:pPr>
              <w:pStyle w:val="Tabletext"/>
              <w:tabs>
                <w:tab w:val="left" w:pos="457"/>
                <w:tab w:val="left" w:pos="1024"/>
              </w:tabs>
              <w:ind w:left="457" w:hanging="457"/>
            </w:pPr>
            <w:r w:rsidRPr="003700C5">
              <w:t>–</w:t>
            </w:r>
            <w:r w:rsidRPr="003700C5">
              <w:tab/>
            </w:r>
            <w:r w:rsidR="008D0F84" w:rsidRPr="003700C5">
              <w:t>las empresas privadas de explotación reconocidas;</w:t>
            </w:r>
          </w:p>
          <w:p w14:paraId="3C7A586F" w14:textId="289E5A00" w:rsidR="00AE6A66" w:rsidRPr="003F54CC" w:rsidRDefault="00AE6A66" w:rsidP="003916DF">
            <w:pPr>
              <w:pStyle w:val="Tabletext"/>
              <w:tabs>
                <w:tab w:val="left" w:pos="457"/>
                <w:tab w:val="left" w:pos="1024"/>
              </w:tabs>
              <w:ind w:left="457" w:hanging="457"/>
              <w:rPr>
                <w:rFonts w:asciiTheme="minorHAnsi" w:hAnsiTheme="minorHAnsi" w:cstheme="minorHAnsi"/>
                <w:bCs/>
                <w:lang w:val="es-ES"/>
              </w:rPr>
            </w:pPr>
            <w:r w:rsidRPr="003700C5">
              <w:t>–</w:t>
            </w:r>
            <w:r w:rsidRPr="003700C5">
              <w:tab/>
            </w:r>
            <w:r w:rsidR="008D0F84" w:rsidRPr="003700C5">
              <w: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t>
            </w:r>
          </w:p>
        </w:tc>
        <w:tc>
          <w:tcPr>
            <w:tcW w:w="2226" w:type="dxa"/>
            <w:tcBorders>
              <w:top w:val="single" w:sz="4" w:space="0" w:color="auto"/>
              <w:left w:val="single" w:sz="4" w:space="0" w:color="auto"/>
              <w:bottom w:val="single" w:sz="4" w:space="0" w:color="auto"/>
              <w:right w:val="single" w:sz="4" w:space="0" w:color="auto"/>
            </w:tcBorders>
          </w:tcPr>
          <w:p w14:paraId="3C9F5CA3" w14:textId="4C32F5D7"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48B1A98A" w14:textId="771D0EBD"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2C1E22E" w14:textId="6DA2BB8D" w:rsidR="00AE6A66" w:rsidRPr="00D378F1" w:rsidRDefault="00930A2B" w:rsidP="00D378F1">
            <w:pPr>
              <w:pStyle w:val="Tabletext"/>
              <w:rPr>
                <w:lang w:val="es-ES"/>
              </w:rPr>
            </w:pPr>
            <w:bookmarkStart w:id="58" w:name="lt_pId235"/>
            <w:r w:rsidRPr="00D378F1">
              <w:rPr>
                <w:lang w:val="es-ES"/>
              </w:rPr>
              <w:t>La definición del número 20 del RTI de 2012 se ajusta a la definición del Anexo a la Constitución de la UIT (número 1006), mientras que el texto del número 17 del RTI de 1988 no se ajusta plenamente a la definición del Anexo a la Constitución de la UIT. El número 20 del RTI de 2012 puede sustituirse con una referencia apropiada a la Constitución.</w:t>
            </w:r>
            <w:bookmarkEnd w:id="58"/>
          </w:p>
        </w:tc>
      </w:tr>
      <w:tr w:rsidR="00AE6A66" w:rsidRPr="003F54CC" w14:paraId="1152CDE3" w14:textId="77777777" w:rsidTr="00654220">
        <w:trPr>
          <w:cantSplit/>
        </w:trPr>
        <w:tc>
          <w:tcPr>
            <w:tcW w:w="1129" w:type="dxa"/>
            <w:vMerge/>
            <w:tcBorders>
              <w:left w:val="single" w:sz="4" w:space="0" w:color="auto"/>
              <w:right w:val="single" w:sz="4" w:space="0" w:color="auto"/>
            </w:tcBorders>
          </w:tcPr>
          <w:p w14:paraId="2F36E120"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67674743" w14:textId="77777777" w:rsidR="00AE6A66" w:rsidRPr="003F54CC" w:rsidRDefault="00AE6A66" w:rsidP="00457218">
            <w:pPr>
              <w:tabs>
                <w:tab w:val="clear" w:pos="567"/>
                <w:tab w:val="clear" w:pos="1134"/>
                <w:tab w:val="clear" w:pos="1701"/>
                <w:tab w:val="clear" w:pos="2268"/>
                <w:tab w:val="clear" w:pos="2835"/>
              </w:tabs>
              <w:spacing w:before="0"/>
              <w:ind w:right="130"/>
              <w:jc w:val="both"/>
              <w:rPr>
                <w:rFonts w:asciiTheme="minorHAnsi" w:hAnsiTheme="minorHAnsi" w:cstheme="minorHAnsi"/>
                <w:bCs/>
                <w:sz w:val="22"/>
                <w:lang w:val="es-ES"/>
              </w:rPr>
            </w:pPr>
          </w:p>
        </w:tc>
        <w:tc>
          <w:tcPr>
            <w:tcW w:w="3551" w:type="dxa"/>
            <w:tcBorders>
              <w:top w:val="single" w:sz="4" w:space="0" w:color="auto"/>
              <w:left w:val="single" w:sz="4" w:space="0" w:color="auto"/>
              <w:bottom w:val="single" w:sz="4" w:space="0" w:color="auto"/>
              <w:right w:val="single" w:sz="4" w:space="0" w:color="auto"/>
            </w:tcBorders>
          </w:tcPr>
          <w:p w14:paraId="0025CFDA" w14:textId="532D1032" w:rsidR="00AE6A66" w:rsidRPr="003700C5" w:rsidRDefault="00AE6A66" w:rsidP="003916DF">
            <w:pPr>
              <w:pStyle w:val="Tabletext"/>
              <w:tabs>
                <w:tab w:val="left" w:pos="457"/>
                <w:tab w:val="left" w:pos="1024"/>
              </w:tabs>
              <w:rPr>
                <w:b/>
                <w:bCs/>
                <w:lang w:val="es-ES"/>
              </w:rPr>
            </w:pPr>
            <w:r w:rsidRPr="003700C5">
              <w:rPr>
                <w:b/>
                <w:bCs/>
                <w:lang w:val="es-ES"/>
              </w:rPr>
              <w:t>18</w:t>
            </w:r>
            <w:r w:rsidRPr="003700C5">
              <w:rPr>
                <w:b/>
                <w:bCs/>
                <w:lang w:val="es-ES"/>
              </w:rPr>
              <w:tab/>
              <w:t>2.5</w:t>
            </w:r>
            <w:r w:rsidRPr="003700C5">
              <w:rPr>
                <w:b/>
                <w:bCs/>
                <w:lang w:val="es-ES"/>
              </w:rPr>
              <w:tab/>
            </w:r>
            <w:r w:rsidR="008D0F84" w:rsidRPr="003700C5">
              <w:rPr>
                <w:b/>
                <w:bCs/>
                <w:lang w:val="es-ES"/>
              </w:rPr>
              <w:t>Telecomunicación privilegiada</w:t>
            </w:r>
          </w:p>
          <w:p w14:paraId="45A390FF" w14:textId="3DA99E07" w:rsidR="00AE6A66" w:rsidRPr="003F54CC" w:rsidRDefault="00AE6A66" w:rsidP="00181FE6">
            <w:pPr>
              <w:pStyle w:val="Tabletext"/>
              <w:tabs>
                <w:tab w:val="left" w:pos="457"/>
                <w:tab w:val="left" w:pos="1024"/>
              </w:tabs>
              <w:rPr>
                <w:lang w:val="es-ES"/>
              </w:rPr>
            </w:pPr>
            <w:r w:rsidRPr="00E9121E">
              <w:rPr>
                <w:b/>
                <w:bCs/>
              </w:rPr>
              <w:t>19</w:t>
            </w:r>
            <w:r w:rsidRPr="003F54CC">
              <w:rPr>
                <w:lang w:val="es-ES"/>
              </w:rPr>
              <w:tab/>
              <w:t>2.5.1</w:t>
            </w:r>
            <w:r w:rsidRPr="003F54CC">
              <w:rPr>
                <w:lang w:val="es-ES"/>
              </w:rPr>
              <w:tab/>
            </w:r>
            <w:r w:rsidR="008D0F84" w:rsidRPr="003F54CC">
              <w:rPr>
                <w:lang w:val="es-ES"/>
              </w:rPr>
              <w:t>Telecomunicación que puede intercambiarse durante:</w:t>
            </w:r>
          </w:p>
          <w:p w14:paraId="48CE5285" w14:textId="77777777" w:rsidR="003700C5" w:rsidRDefault="00AE6A66" w:rsidP="003916DF">
            <w:pPr>
              <w:pStyle w:val="Tabletext"/>
              <w:tabs>
                <w:tab w:val="left" w:pos="457"/>
                <w:tab w:val="left" w:pos="1024"/>
              </w:tabs>
              <w:ind w:left="457" w:hanging="457"/>
              <w:rPr>
                <w:lang w:val="es-ES"/>
              </w:rPr>
            </w:pPr>
            <w:r w:rsidRPr="003F54CC">
              <w:rPr>
                <w:lang w:val="es-ES"/>
              </w:rPr>
              <w:t>–</w:t>
            </w:r>
            <w:r w:rsidRPr="003F54CC">
              <w:rPr>
                <w:lang w:val="es-ES"/>
              </w:rPr>
              <w:tab/>
            </w:r>
            <w:r w:rsidR="008D0F84" w:rsidRPr="003F54CC">
              <w:rPr>
                <w:lang w:val="es-ES"/>
              </w:rPr>
              <w:t>las reuniones del Consejo de Administración de la UIT;</w:t>
            </w:r>
          </w:p>
          <w:p w14:paraId="625ACB70" w14:textId="77777777" w:rsidR="003700C5" w:rsidRDefault="00AE6A66" w:rsidP="003916DF">
            <w:pPr>
              <w:pStyle w:val="Tabletext"/>
              <w:tabs>
                <w:tab w:val="left" w:pos="457"/>
                <w:tab w:val="left" w:pos="1024"/>
              </w:tabs>
              <w:ind w:left="457" w:hanging="457"/>
              <w:rPr>
                <w:lang w:val="es-ES"/>
              </w:rPr>
            </w:pPr>
            <w:r w:rsidRPr="003F54CC">
              <w:rPr>
                <w:lang w:val="es-ES"/>
              </w:rPr>
              <w:t>–</w:t>
            </w:r>
            <w:r w:rsidRPr="003F54CC">
              <w:rPr>
                <w:lang w:val="es-ES"/>
              </w:rPr>
              <w:tab/>
            </w:r>
            <w:r w:rsidR="008D0F84" w:rsidRPr="003F54CC">
              <w:rPr>
                <w:lang w:val="es-ES"/>
              </w:rPr>
              <w:t>las conferencias y reuniones de la UIT</w:t>
            </w:r>
          </w:p>
          <w:p w14:paraId="2EFE6653" w14:textId="48182BF2" w:rsidR="00AE6A66" w:rsidRPr="003F54CC" w:rsidRDefault="008D0F84" w:rsidP="003700C5">
            <w:pPr>
              <w:pStyle w:val="Tabletext"/>
              <w:rPr>
                <w:lang w:val="es-ES"/>
              </w:rPr>
            </w:pPr>
            <w:r w:rsidRPr="003F54CC">
              <w:rPr>
                <w:lang w:val="es-ES"/>
              </w:rPr>
              <w: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t>
            </w:r>
          </w:p>
        </w:tc>
        <w:tc>
          <w:tcPr>
            <w:tcW w:w="2226" w:type="dxa"/>
            <w:tcBorders>
              <w:top w:val="single" w:sz="4" w:space="0" w:color="auto"/>
              <w:left w:val="single" w:sz="4" w:space="0" w:color="auto"/>
              <w:bottom w:val="single" w:sz="4" w:space="0" w:color="auto"/>
              <w:right w:val="single" w:sz="4" w:space="0" w:color="auto"/>
            </w:tcBorders>
          </w:tcPr>
          <w:p w14:paraId="70A83E4A" w14:textId="77777777" w:rsidR="00AE6A66" w:rsidRPr="00D378F1" w:rsidRDefault="00AE6A66" w:rsidP="00D378F1">
            <w:pPr>
              <w:pStyle w:val="Tabletext"/>
              <w:rPr>
                <w:lang w:val="es-ES"/>
              </w:rPr>
            </w:pPr>
          </w:p>
        </w:tc>
        <w:tc>
          <w:tcPr>
            <w:tcW w:w="1917" w:type="dxa"/>
            <w:tcBorders>
              <w:top w:val="single" w:sz="4" w:space="0" w:color="auto"/>
              <w:left w:val="single" w:sz="4" w:space="0" w:color="auto"/>
              <w:bottom w:val="single" w:sz="4" w:space="0" w:color="auto"/>
              <w:right w:val="single" w:sz="4" w:space="0" w:color="auto"/>
            </w:tcBorders>
          </w:tcPr>
          <w:p w14:paraId="016A894F" w14:textId="77777777" w:rsidR="00AE6A66" w:rsidRPr="00D378F1" w:rsidRDefault="00AE6A66" w:rsidP="00D378F1">
            <w:pPr>
              <w:pStyle w:val="Tabletext"/>
              <w:rPr>
                <w:lang w:val="es-ES"/>
              </w:rPr>
            </w:pPr>
          </w:p>
        </w:tc>
        <w:tc>
          <w:tcPr>
            <w:tcW w:w="2085" w:type="dxa"/>
            <w:tcBorders>
              <w:top w:val="single" w:sz="4" w:space="0" w:color="auto"/>
              <w:left w:val="single" w:sz="4" w:space="0" w:color="auto"/>
              <w:bottom w:val="single" w:sz="4" w:space="0" w:color="auto"/>
              <w:right w:val="single" w:sz="4" w:space="0" w:color="auto"/>
            </w:tcBorders>
          </w:tcPr>
          <w:p w14:paraId="6F2248E1" w14:textId="1FC82B54" w:rsidR="00AE6A66" w:rsidRPr="00D378F1" w:rsidRDefault="00930A2B" w:rsidP="00D378F1">
            <w:pPr>
              <w:pStyle w:val="Tabletext"/>
              <w:rPr>
                <w:lang w:val="es-ES"/>
              </w:rPr>
            </w:pPr>
            <w:bookmarkStart w:id="59" w:name="lt_pId246"/>
            <w:r w:rsidRPr="00D378F1">
              <w:rPr>
                <w:lang w:val="es-ES"/>
              </w:rPr>
              <w:t>Este número del RTI de 1988 ya no es pertinente y no se utiliza en el RTI de 2012.</w:t>
            </w:r>
            <w:bookmarkEnd w:id="59"/>
          </w:p>
        </w:tc>
      </w:tr>
      <w:tr w:rsidR="00AE6A66" w:rsidRPr="003F54CC" w14:paraId="4B11B8A5" w14:textId="77777777" w:rsidTr="00654220">
        <w:trPr>
          <w:cantSplit/>
        </w:trPr>
        <w:tc>
          <w:tcPr>
            <w:tcW w:w="1129" w:type="dxa"/>
            <w:vMerge/>
            <w:tcBorders>
              <w:left w:val="single" w:sz="4" w:space="0" w:color="auto"/>
              <w:right w:val="single" w:sz="4" w:space="0" w:color="auto"/>
            </w:tcBorders>
          </w:tcPr>
          <w:p w14:paraId="30B13CEE"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1A7B4A88" w14:textId="77777777" w:rsidR="00AE6A66" w:rsidRPr="003F54CC" w:rsidRDefault="00AE6A66" w:rsidP="003700C5">
            <w:pPr>
              <w:pStyle w:val="Tabletext"/>
              <w:rPr>
                <w:lang w:val="es-ES"/>
              </w:rPr>
            </w:pPr>
          </w:p>
        </w:tc>
        <w:tc>
          <w:tcPr>
            <w:tcW w:w="3551" w:type="dxa"/>
            <w:tcBorders>
              <w:top w:val="single" w:sz="4" w:space="0" w:color="auto"/>
              <w:left w:val="single" w:sz="4" w:space="0" w:color="auto"/>
              <w:bottom w:val="single" w:sz="4" w:space="0" w:color="auto"/>
              <w:right w:val="single" w:sz="4" w:space="0" w:color="auto"/>
            </w:tcBorders>
          </w:tcPr>
          <w:p w14:paraId="06E7159B" w14:textId="1C5AFE7D"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20</w:t>
            </w:r>
            <w:r w:rsidRPr="003F54CC">
              <w:rPr>
                <w:rFonts w:asciiTheme="minorHAnsi" w:hAnsiTheme="minorHAnsi"/>
                <w:lang w:val="es-ES"/>
              </w:rPr>
              <w:tab/>
              <w:t>2.5.2</w:t>
            </w:r>
            <w:r w:rsidRPr="003F54CC">
              <w:rPr>
                <w:rFonts w:asciiTheme="minorHAnsi" w:hAnsiTheme="minorHAnsi"/>
                <w:lang w:val="es-ES"/>
              </w:rPr>
              <w:tab/>
            </w:r>
            <w:r w:rsidR="008D0F84" w:rsidRPr="003F54CC">
              <w:rPr>
                <w:lang w:val="es-ES"/>
              </w:rPr>
              <w:t>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w:t>
            </w:r>
            <w:r w:rsidR="000F761E">
              <w:rPr>
                <w:lang w:val="es-ES"/>
              </w:rPr>
              <w:t> </w:t>
            </w:r>
            <w:r w:rsidR="008D0F84" w:rsidRPr="003F54CC">
              <w:rPr>
                <w:lang w:val="es-ES"/>
              </w:rPr>
              <w:t>UIT para ponerse en comunicación con su país de residencia.</w:t>
            </w:r>
          </w:p>
        </w:tc>
        <w:tc>
          <w:tcPr>
            <w:tcW w:w="2226" w:type="dxa"/>
            <w:tcBorders>
              <w:top w:val="single" w:sz="4" w:space="0" w:color="auto"/>
              <w:left w:val="single" w:sz="4" w:space="0" w:color="auto"/>
              <w:bottom w:val="single" w:sz="4" w:space="0" w:color="auto"/>
              <w:right w:val="single" w:sz="4" w:space="0" w:color="auto"/>
            </w:tcBorders>
          </w:tcPr>
          <w:p w14:paraId="6A3498BF" w14:textId="77777777" w:rsidR="00AE6A66" w:rsidRPr="00D378F1" w:rsidRDefault="00AE6A66" w:rsidP="00D378F1">
            <w:pPr>
              <w:pStyle w:val="Tabletext"/>
              <w:rPr>
                <w:lang w:val="es-ES"/>
              </w:rPr>
            </w:pPr>
          </w:p>
        </w:tc>
        <w:tc>
          <w:tcPr>
            <w:tcW w:w="1917" w:type="dxa"/>
            <w:tcBorders>
              <w:top w:val="single" w:sz="4" w:space="0" w:color="auto"/>
              <w:left w:val="single" w:sz="4" w:space="0" w:color="auto"/>
              <w:bottom w:val="single" w:sz="4" w:space="0" w:color="auto"/>
              <w:right w:val="single" w:sz="4" w:space="0" w:color="auto"/>
            </w:tcBorders>
          </w:tcPr>
          <w:p w14:paraId="7ED4D57D" w14:textId="77777777" w:rsidR="00AE6A66" w:rsidRPr="00D378F1" w:rsidRDefault="00AE6A66" w:rsidP="00D378F1">
            <w:pPr>
              <w:pStyle w:val="Tabletext"/>
              <w:rPr>
                <w:lang w:val="es-ES"/>
              </w:rPr>
            </w:pPr>
          </w:p>
        </w:tc>
        <w:tc>
          <w:tcPr>
            <w:tcW w:w="2085" w:type="dxa"/>
            <w:tcBorders>
              <w:top w:val="single" w:sz="4" w:space="0" w:color="auto"/>
              <w:left w:val="single" w:sz="4" w:space="0" w:color="auto"/>
              <w:bottom w:val="single" w:sz="4" w:space="0" w:color="auto"/>
              <w:right w:val="single" w:sz="4" w:space="0" w:color="auto"/>
            </w:tcBorders>
          </w:tcPr>
          <w:p w14:paraId="460F1126" w14:textId="167A30E2" w:rsidR="00AE6A66" w:rsidRPr="00D378F1" w:rsidRDefault="00930A2B" w:rsidP="00D378F1">
            <w:pPr>
              <w:pStyle w:val="Tabletext"/>
              <w:rPr>
                <w:lang w:val="es-ES"/>
              </w:rPr>
            </w:pPr>
            <w:r w:rsidRPr="00D378F1">
              <w:rPr>
                <w:lang w:val="es-ES"/>
              </w:rPr>
              <w:t>Este número del RTI de 1988 ya no es pertinente y no se utiliza en el RTI de</w:t>
            </w:r>
            <w:r w:rsidR="000F761E">
              <w:rPr>
                <w:lang w:val="es-ES"/>
              </w:rPr>
              <w:t> </w:t>
            </w:r>
            <w:r w:rsidRPr="00D378F1">
              <w:rPr>
                <w:lang w:val="es-ES"/>
              </w:rPr>
              <w:t>2012.</w:t>
            </w:r>
          </w:p>
        </w:tc>
      </w:tr>
      <w:tr w:rsidR="00AE6A66" w:rsidRPr="003F54CC" w14:paraId="2E636C31" w14:textId="77777777" w:rsidTr="000F761E">
        <w:tc>
          <w:tcPr>
            <w:tcW w:w="1129" w:type="dxa"/>
            <w:vMerge/>
            <w:tcBorders>
              <w:left w:val="single" w:sz="4" w:space="0" w:color="auto"/>
              <w:right w:val="single" w:sz="4" w:space="0" w:color="auto"/>
            </w:tcBorders>
          </w:tcPr>
          <w:p w14:paraId="01E5639E"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582B576C" w14:textId="6D2BDE34"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21</w:t>
            </w:r>
            <w:r w:rsidRPr="003F54CC">
              <w:rPr>
                <w:rFonts w:asciiTheme="minorHAnsi" w:hAnsiTheme="minorHAnsi"/>
                <w:lang w:val="es-ES"/>
              </w:rPr>
              <w:tab/>
              <w:t>2.6</w:t>
            </w:r>
            <w:r w:rsidRPr="003F54CC">
              <w:rPr>
                <w:rFonts w:asciiTheme="minorHAnsi" w:hAnsiTheme="minorHAnsi"/>
                <w:lang w:val="es-ES"/>
              </w:rPr>
              <w:tab/>
            </w:r>
            <w:r w:rsidR="00DC47DA" w:rsidRPr="003F54CC">
              <w:rPr>
                <w:i/>
                <w:iCs/>
                <w:lang w:val="es-ES"/>
              </w:rPr>
              <w:t xml:space="preserve">Ruta internacional: </w:t>
            </w:r>
            <w:r w:rsidR="00DC47DA" w:rsidRPr="003F54CC">
              <w:rPr>
                <w:lang w:val="es-ES"/>
              </w:rPr>
              <w:t>Medios e instalaciones técnicos situados en diferentes países y utilizados para el tráfico de telecomunicaciones, entre dos centrales u oficinas terminales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11C5BED4" w14:textId="2812C126"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21</w:t>
            </w:r>
            <w:r w:rsidRPr="003F54CC">
              <w:rPr>
                <w:rFonts w:asciiTheme="minorHAnsi" w:hAnsiTheme="minorHAnsi"/>
                <w:lang w:val="es-ES"/>
              </w:rPr>
              <w:tab/>
              <w:t>2.6</w:t>
            </w:r>
            <w:r w:rsidRPr="003F54CC">
              <w:rPr>
                <w:rFonts w:asciiTheme="minorHAnsi" w:hAnsiTheme="minorHAnsi"/>
                <w:lang w:val="es-ES"/>
              </w:rPr>
              <w:tab/>
            </w:r>
            <w:r w:rsidR="008D0F84" w:rsidRPr="003F54CC">
              <w:rPr>
                <w:i/>
                <w:iCs/>
                <w:lang w:val="es-ES"/>
              </w:rPr>
              <w:t xml:space="preserve">Ruta internacional: </w:t>
            </w:r>
            <w:r w:rsidR="008D0F84" w:rsidRPr="003F54CC">
              <w:rPr>
                <w:lang w:val="es-ES"/>
              </w:rPr>
              <w:t>Conjunto de medios técnicos situados en diferentes países y utilizados para el tráfico de telecomunicaciones, entre dos centrales u oficinas terminales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6A368768" w14:textId="6C4F592C"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48F58A0E" w14:textId="06E473A3"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0EBE1CCC" w14:textId="04F68994" w:rsidR="00AE6A66" w:rsidRPr="00D378F1" w:rsidRDefault="00930A2B" w:rsidP="00D378F1">
            <w:pPr>
              <w:pStyle w:val="Tabletext"/>
              <w:rPr>
                <w:lang w:val="es-ES"/>
              </w:rPr>
            </w:pPr>
            <w:bookmarkStart w:id="60" w:name="lt_pId259"/>
            <w:r w:rsidRPr="00D378F1">
              <w:rPr>
                <w:lang w:val="es-ES"/>
              </w:rPr>
              <w:t>El número</w:t>
            </w:r>
            <w:r w:rsidR="00AE6A66" w:rsidRPr="00D378F1">
              <w:rPr>
                <w:lang w:val="es-ES"/>
              </w:rPr>
              <w:t xml:space="preserve"> 21 </w:t>
            </w:r>
            <w:r w:rsidRPr="00D378F1">
              <w:rPr>
                <w:lang w:val="es-ES"/>
              </w:rPr>
              <w:t>del RTI de</w:t>
            </w:r>
            <w:r w:rsidR="00AE6A66" w:rsidRPr="00D378F1">
              <w:rPr>
                <w:lang w:val="es-ES"/>
              </w:rPr>
              <w:t xml:space="preserve"> 2012 </w:t>
            </w:r>
            <w:r w:rsidR="00687355" w:rsidRPr="00D378F1">
              <w:rPr>
                <w:lang w:val="es-ES"/>
              </w:rPr>
              <w:t>es pertinente</w:t>
            </w:r>
            <w:r w:rsidR="00687355" w:rsidRPr="00D378F1">
              <w:rPr>
                <w:lang w:val="es-ES"/>
              </w:rPr>
              <w:t xml:space="preserve"> </w:t>
            </w:r>
            <w:r w:rsidRPr="00D378F1">
              <w:rPr>
                <w:lang w:val="es-ES"/>
              </w:rPr>
              <w:t>y utiliza terminología actualizada.</w:t>
            </w:r>
            <w:bookmarkEnd w:id="60"/>
          </w:p>
        </w:tc>
      </w:tr>
      <w:tr w:rsidR="00AE6A66" w:rsidRPr="003F54CC" w14:paraId="0CBD2640" w14:textId="77777777" w:rsidTr="000F761E">
        <w:trPr>
          <w:cantSplit/>
        </w:trPr>
        <w:tc>
          <w:tcPr>
            <w:tcW w:w="1129" w:type="dxa"/>
            <w:vMerge/>
            <w:tcBorders>
              <w:left w:val="single" w:sz="4" w:space="0" w:color="auto"/>
              <w:right w:val="single" w:sz="4" w:space="0" w:color="auto"/>
            </w:tcBorders>
          </w:tcPr>
          <w:p w14:paraId="373A627A"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55E0B185" w14:textId="627B8076"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22</w:t>
            </w:r>
            <w:r w:rsidRPr="003F54CC">
              <w:rPr>
                <w:rFonts w:asciiTheme="minorHAnsi" w:hAnsiTheme="minorHAnsi"/>
                <w:lang w:val="es-ES"/>
              </w:rPr>
              <w:tab/>
              <w:t>2.7</w:t>
            </w:r>
            <w:r w:rsidRPr="003F54CC">
              <w:rPr>
                <w:rFonts w:asciiTheme="minorHAnsi" w:hAnsiTheme="minorHAnsi"/>
                <w:lang w:val="es-ES"/>
              </w:rPr>
              <w:tab/>
            </w:r>
            <w:r w:rsidR="00DC47DA" w:rsidRPr="003F54CC">
              <w:rPr>
                <w:i/>
                <w:iCs/>
                <w:lang w:val="es-ES"/>
              </w:rPr>
              <w:t xml:space="preserve">Relación: </w:t>
            </w:r>
            <w:r w:rsidR="00DC47DA" w:rsidRPr="003F54CC">
              <w:rPr>
                <w:lang w:val="es-ES"/>
              </w:rPr>
              <w:t xml:space="preserve">Intercambio de tráfico entre dos países terminales, asociado siempre a un servicio específico cuando existe entre sus </w:t>
            </w:r>
            <w:r w:rsidR="00DC47DA" w:rsidRPr="003F54CC">
              <w:rPr>
                <w:iCs/>
                <w:lang w:val="es-ES"/>
              </w:rPr>
              <w:t>empresas de explotación autorizadas</w:t>
            </w:r>
            <w:r w:rsidR="00DC47DA" w:rsidRPr="003F54CC">
              <w:rPr>
                <w:lang w:val="es-ES"/>
              </w:rPr>
              <w:t>:</w:t>
            </w:r>
          </w:p>
        </w:tc>
        <w:tc>
          <w:tcPr>
            <w:tcW w:w="3551" w:type="dxa"/>
            <w:tcBorders>
              <w:top w:val="single" w:sz="4" w:space="0" w:color="auto"/>
              <w:left w:val="single" w:sz="4" w:space="0" w:color="auto"/>
              <w:bottom w:val="single" w:sz="4" w:space="0" w:color="auto"/>
              <w:right w:val="single" w:sz="4" w:space="0" w:color="auto"/>
            </w:tcBorders>
          </w:tcPr>
          <w:p w14:paraId="280714EF" w14:textId="46368A47"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22</w:t>
            </w:r>
            <w:r w:rsidRPr="003F54CC">
              <w:rPr>
                <w:rFonts w:asciiTheme="minorHAnsi" w:hAnsiTheme="minorHAnsi"/>
                <w:lang w:val="es-ES"/>
              </w:rPr>
              <w:tab/>
              <w:t>2.7</w:t>
            </w:r>
            <w:r w:rsidRPr="003F54CC">
              <w:rPr>
                <w:rFonts w:asciiTheme="minorHAnsi" w:hAnsiTheme="minorHAnsi"/>
                <w:lang w:val="es-ES"/>
              </w:rPr>
              <w:tab/>
            </w:r>
            <w:r w:rsidR="008D0F84" w:rsidRPr="003F54CC">
              <w:rPr>
                <w:i/>
                <w:iCs/>
                <w:lang w:val="es-ES"/>
              </w:rPr>
              <w:t xml:space="preserve">Relación: </w:t>
            </w:r>
            <w:r w:rsidR="008D0F84" w:rsidRPr="003F54CC">
              <w:rPr>
                <w:lang w:val="es-ES"/>
              </w:rPr>
              <w:t>Intercambio de tráfico entre dos países terminales, asociado siempre a un servicio específico cuando existe entre sus administraciones</w:t>
            </w:r>
            <w:r w:rsidR="00654220" w:rsidRPr="00654220">
              <w:rPr>
                <w:rStyle w:val="FootnoteReference"/>
              </w:rPr>
              <w:t>*</w:t>
            </w:r>
            <w:r w:rsidR="008D0F84" w:rsidRPr="003F54CC">
              <w:rPr>
                <w:lang w:val="es-ES"/>
              </w:rPr>
              <w:t>:</w:t>
            </w:r>
          </w:p>
        </w:tc>
        <w:tc>
          <w:tcPr>
            <w:tcW w:w="2226" w:type="dxa"/>
            <w:tcBorders>
              <w:top w:val="single" w:sz="4" w:space="0" w:color="auto"/>
              <w:left w:val="single" w:sz="4" w:space="0" w:color="auto"/>
              <w:bottom w:val="single" w:sz="4" w:space="0" w:color="auto"/>
              <w:right w:val="single" w:sz="4" w:space="0" w:color="auto"/>
            </w:tcBorders>
          </w:tcPr>
          <w:p w14:paraId="32BAD198" w14:textId="603FB6B2"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4407739C" w14:textId="5CA300B3"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CEAF4C5" w14:textId="2EF931DB" w:rsidR="00AE6A66" w:rsidRPr="00D378F1" w:rsidRDefault="00930A2B" w:rsidP="00D378F1">
            <w:pPr>
              <w:pStyle w:val="Tabletext"/>
              <w:rPr>
                <w:lang w:val="es-ES"/>
              </w:rPr>
            </w:pPr>
            <w:r w:rsidRPr="00D378F1">
              <w:rPr>
                <w:lang w:val="es-ES"/>
              </w:rPr>
              <w:t xml:space="preserve">El número 22 del RTI de 2012 </w:t>
            </w:r>
            <w:r w:rsidR="00687355">
              <w:rPr>
                <w:lang w:val="es-ES"/>
              </w:rPr>
              <w:t xml:space="preserve">es pertinente </w:t>
            </w:r>
            <w:r w:rsidRPr="00D378F1">
              <w:rPr>
                <w:lang w:val="es-ES"/>
              </w:rPr>
              <w:t>y utiliza terminología actualizada.</w:t>
            </w:r>
          </w:p>
        </w:tc>
      </w:tr>
      <w:tr w:rsidR="00AE6A66" w:rsidRPr="003F54CC" w14:paraId="217177CE" w14:textId="77777777" w:rsidTr="000F761E">
        <w:tc>
          <w:tcPr>
            <w:tcW w:w="1129" w:type="dxa"/>
            <w:vMerge/>
            <w:tcBorders>
              <w:left w:val="single" w:sz="4" w:space="0" w:color="auto"/>
              <w:right w:val="single" w:sz="4" w:space="0" w:color="auto"/>
            </w:tcBorders>
          </w:tcPr>
          <w:p w14:paraId="4F712251"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2D219D2B" w14:textId="77777777" w:rsidR="00E9121E" w:rsidRDefault="00AE6A66" w:rsidP="00181FE6">
            <w:pPr>
              <w:pStyle w:val="Tabletext"/>
              <w:tabs>
                <w:tab w:val="left" w:pos="457"/>
                <w:tab w:val="left" w:pos="1024"/>
              </w:tabs>
              <w:rPr>
                <w:lang w:val="es-ES"/>
              </w:rPr>
            </w:pPr>
            <w:bookmarkStart w:id="61" w:name="lt_pId272"/>
            <w:r w:rsidRPr="00E9121E">
              <w:rPr>
                <w:b/>
                <w:bCs/>
              </w:rPr>
              <w:t>23</w:t>
            </w:r>
            <w:r w:rsidRPr="003F54CC">
              <w:rPr>
                <w:lang w:val="es-ES"/>
              </w:rPr>
              <w:tab/>
            </w:r>
            <w:bookmarkEnd w:id="61"/>
            <w:r w:rsidRPr="003F54CC">
              <w:rPr>
                <w:i/>
                <w:lang w:val="es-ES"/>
              </w:rPr>
              <w:t>a)</w:t>
            </w:r>
            <w:r w:rsidRPr="003F54CC">
              <w:rPr>
                <w:lang w:val="es-ES"/>
              </w:rPr>
              <w:tab/>
            </w:r>
            <w:r w:rsidR="00DC47DA" w:rsidRPr="003F54CC">
              <w:rPr>
                <w:bCs/>
                <w:lang w:val="es-ES"/>
              </w:rPr>
              <w:t>un medio de intercambiar el tráfico de este servicio específico</w:t>
            </w:r>
          </w:p>
          <w:p w14:paraId="61EE0E59" w14:textId="77777777" w:rsidR="00E9121E" w:rsidRDefault="00AE6A66" w:rsidP="003916DF">
            <w:pPr>
              <w:pStyle w:val="Tabletext"/>
              <w:tabs>
                <w:tab w:val="left" w:pos="457"/>
                <w:tab w:val="left" w:pos="1024"/>
              </w:tabs>
              <w:ind w:left="457" w:hanging="457"/>
              <w:rPr>
                <w:lang w:val="es-ES"/>
              </w:rPr>
            </w:pPr>
            <w:r w:rsidRPr="003F54CC">
              <w:rPr>
                <w:lang w:val="es-ES"/>
              </w:rPr>
              <w:t>–</w:t>
            </w:r>
            <w:r w:rsidRPr="003F54CC">
              <w:rPr>
                <w:lang w:val="es-ES"/>
              </w:rPr>
              <w:tab/>
            </w:r>
            <w:r w:rsidR="00DC47DA" w:rsidRPr="003F54CC">
              <w:rPr>
                <w:lang w:val="es-ES"/>
              </w:rPr>
              <w:t>por circuitos directos (relación directa), o</w:t>
            </w:r>
          </w:p>
          <w:p w14:paraId="423E58B0" w14:textId="2ED2A419" w:rsidR="00AE6A66" w:rsidRPr="003F54CC" w:rsidRDefault="00AE6A66" w:rsidP="003916DF">
            <w:pPr>
              <w:pStyle w:val="Tabletext"/>
              <w:tabs>
                <w:tab w:val="left" w:pos="457"/>
                <w:tab w:val="left" w:pos="1024"/>
              </w:tabs>
              <w:ind w:left="457" w:hanging="457"/>
              <w:rPr>
                <w:lang w:val="es-ES"/>
              </w:rPr>
            </w:pPr>
            <w:r w:rsidRPr="003F54CC">
              <w:rPr>
                <w:lang w:val="es-ES"/>
              </w:rPr>
              <w:t>–</w:t>
            </w:r>
            <w:r w:rsidRPr="003F54CC">
              <w:rPr>
                <w:lang w:val="es-ES"/>
              </w:rPr>
              <w:tab/>
            </w:r>
            <w:r w:rsidR="00DC47DA" w:rsidRPr="003F54CC">
              <w:rPr>
                <w:lang w:val="es-ES"/>
              </w:rPr>
              <w:t>por un punto de tránsito en un tercer país (relación indirecta), y</w:t>
            </w:r>
          </w:p>
        </w:tc>
        <w:tc>
          <w:tcPr>
            <w:tcW w:w="3551" w:type="dxa"/>
            <w:tcBorders>
              <w:top w:val="single" w:sz="4" w:space="0" w:color="auto"/>
              <w:left w:val="single" w:sz="4" w:space="0" w:color="auto"/>
              <w:bottom w:val="single" w:sz="4" w:space="0" w:color="auto"/>
              <w:right w:val="single" w:sz="4" w:space="0" w:color="auto"/>
            </w:tcBorders>
          </w:tcPr>
          <w:p w14:paraId="6CDD3AEA" w14:textId="5E4F4C21" w:rsidR="00AE6A66" w:rsidRPr="003F54CC" w:rsidRDefault="00AE6A66" w:rsidP="00181FE6">
            <w:pPr>
              <w:pStyle w:val="Tabletext"/>
              <w:tabs>
                <w:tab w:val="left" w:pos="457"/>
                <w:tab w:val="left" w:pos="1024"/>
              </w:tabs>
              <w:rPr>
                <w:rFonts w:asciiTheme="minorHAnsi" w:hAnsiTheme="minorHAnsi"/>
                <w:lang w:val="es-ES"/>
              </w:rPr>
            </w:pPr>
            <w:bookmarkStart w:id="62" w:name="lt_pId275"/>
            <w:r w:rsidRPr="006D077E">
              <w:rPr>
                <w:b/>
                <w:bCs/>
              </w:rPr>
              <w:t>23</w:t>
            </w:r>
            <w:r w:rsidRPr="003F54CC">
              <w:rPr>
                <w:rFonts w:asciiTheme="minorHAnsi" w:eastAsia="SimSun" w:hAnsiTheme="minorHAnsi" w:cs="Times New Roman Bold"/>
                <w:b/>
                <w:bCs/>
                <w:iCs/>
                <w:color w:val="000000"/>
                <w:lang w:val="es-ES"/>
              </w:rPr>
              <w:tab/>
            </w:r>
            <w:r w:rsidRPr="003F54CC">
              <w:rPr>
                <w:rFonts w:asciiTheme="minorHAnsi" w:hAnsiTheme="minorHAnsi"/>
                <w:i/>
                <w:iCs/>
                <w:lang w:val="es-ES"/>
              </w:rPr>
              <w:t>a)</w:t>
            </w:r>
            <w:r w:rsidRPr="003F54CC">
              <w:rPr>
                <w:lang w:val="es-ES"/>
              </w:rPr>
              <w:tab/>
            </w:r>
            <w:r w:rsidR="008D0F84" w:rsidRPr="003F54CC">
              <w:rPr>
                <w:lang w:val="es-ES"/>
              </w:rPr>
              <w:t>un medio de intercambiar el tráfico de este servicio específico</w:t>
            </w:r>
            <w:bookmarkEnd w:id="62"/>
          </w:p>
          <w:p w14:paraId="7E2A212F" w14:textId="336FDB57" w:rsidR="00AE6A66" w:rsidRPr="003F54CC" w:rsidRDefault="00AE6A66" w:rsidP="003916DF">
            <w:pPr>
              <w:pStyle w:val="Tabletext"/>
              <w:tabs>
                <w:tab w:val="left" w:pos="457"/>
                <w:tab w:val="left" w:pos="1024"/>
              </w:tabs>
              <w:ind w:left="457" w:hanging="457"/>
              <w:rPr>
                <w:rFonts w:asciiTheme="minorHAnsi" w:hAnsiTheme="minorHAnsi"/>
                <w:lang w:val="es-ES"/>
              </w:rPr>
            </w:pPr>
            <w:bookmarkStart w:id="63" w:name="lt_pId276"/>
            <w:r w:rsidRPr="003F54CC">
              <w:rPr>
                <w:rFonts w:asciiTheme="minorHAnsi" w:hAnsiTheme="minorHAnsi"/>
                <w:lang w:val="es-ES"/>
              </w:rPr>
              <w:t>–</w:t>
            </w:r>
            <w:r w:rsidRPr="003F54CC">
              <w:rPr>
                <w:rFonts w:asciiTheme="minorHAnsi" w:hAnsiTheme="minorHAnsi"/>
                <w:lang w:val="es-ES"/>
              </w:rPr>
              <w:tab/>
            </w:r>
            <w:r w:rsidR="008D0F84" w:rsidRPr="003F54CC">
              <w:rPr>
                <w:lang w:val="es-ES"/>
              </w:rPr>
              <w:t>por circuitos directos (relación directa), o</w:t>
            </w:r>
            <w:bookmarkEnd w:id="63"/>
          </w:p>
          <w:p w14:paraId="314803C8" w14:textId="06944623" w:rsidR="00AE6A66" w:rsidRPr="003F54CC" w:rsidRDefault="00AE6A66" w:rsidP="003916DF">
            <w:pPr>
              <w:pStyle w:val="Tabletext"/>
              <w:tabs>
                <w:tab w:val="left" w:pos="457"/>
                <w:tab w:val="left" w:pos="1024"/>
              </w:tabs>
              <w:ind w:left="457" w:hanging="457"/>
              <w:rPr>
                <w:rFonts w:asciiTheme="minorHAnsi" w:eastAsia="SimSun" w:hAnsiTheme="minorHAnsi" w:cs="Times New Roman Bold"/>
                <w:b/>
                <w:bCs/>
                <w:iCs/>
                <w:color w:val="000000"/>
                <w:lang w:val="es-ES"/>
              </w:rPr>
            </w:pPr>
            <w:bookmarkStart w:id="64" w:name="lt_pId277"/>
            <w:r w:rsidRPr="003F54CC">
              <w:rPr>
                <w:rFonts w:asciiTheme="minorHAnsi" w:hAnsiTheme="minorHAnsi"/>
                <w:lang w:val="es-ES"/>
              </w:rPr>
              <w:t>–</w:t>
            </w:r>
            <w:r w:rsidRPr="003F54CC">
              <w:rPr>
                <w:rFonts w:asciiTheme="minorHAnsi" w:hAnsiTheme="minorHAnsi"/>
                <w:lang w:val="es-ES"/>
              </w:rPr>
              <w:tab/>
            </w:r>
            <w:r w:rsidR="008D0F84" w:rsidRPr="003F54CC">
              <w:rPr>
                <w:lang w:val="es-ES"/>
              </w:rPr>
              <w:t>por un punto de tránsito en un tercer país (relación indirecta), y</w:t>
            </w:r>
            <w:bookmarkEnd w:id="64"/>
          </w:p>
        </w:tc>
        <w:tc>
          <w:tcPr>
            <w:tcW w:w="2226" w:type="dxa"/>
            <w:tcBorders>
              <w:top w:val="single" w:sz="4" w:space="0" w:color="auto"/>
              <w:left w:val="single" w:sz="4" w:space="0" w:color="auto"/>
              <w:bottom w:val="single" w:sz="4" w:space="0" w:color="auto"/>
              <w:right w:val="single" w:sz="4" w:space="0" w:color="auto"/>
            </w:tcBorders>
          </w:tcPr>
          <w:p w14:paraId="32C5E54D" w14:textId="3FF9AA0A"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6CFA860C" w14:textId="721A0FCA"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1F57AB6" w14:textId="42BEF721" w:rsidR="00AE6A66" w:rsidRPr="00D378F1" w:rsidRDefault="00930A2B" w:rsidP="00D378F1">
            <w:pPr>
              <w:pStyle w:val="Tabletext"/>
              <w:rPr>
                <w:lang w:val="es-ES"/>
              </w:rPr>
            </w:pPr>
            <w:r w:rsidRPr="00D378F1">
              <w:rPr>
                <w:lang w:val="es-ES"/>
              </w:rPr>
              <w:t xml:space="preserve">El número 23 del RTI de 2012 </w:t>
            </w:r>
            <w:r w:rsidR="00687355" w:rsidRPr="00D378F1">
              <w:rPr>
                <w:lang w:val="es-ES"/>
              </w:rPr>
              <w:t>es pertinente</w:t>
            </w:r>
            <w:r w:rsidR="00687355" w:rsidRPr="00D378F1">
              <w:rPr>
                <w:lang w:val="es-ES"/>
              </w:rPr>
              <w:t xml:space="preserve"> </w:t>
            </w:r>
            <w:r w:rsidRPr="00D378F1">
              <w:rPr>
                <w:lang w:val="es-ES"/>
              </w:rPr>
              <w:t>y utiliza terminología actualizada.</w:t>
            </w:r>
          </w:p>
        </w:tc>
      </w:tr>
      <w:tr w:rsidR="00AE6A66" w:rsidRPr="003F54CC" w14:paraId="30AFD182" w14:textId="77777777" w:rsidTr="000F761E">
        <w:tc>
          <w:tcPr>
            <w:tcW w:w="1129" w:type="dxa"/>
            <w:vMerge/>
            <w:tcBorders>
              <w:left w:val="single" w:sz="4" w:space="0" w:color="auto"/>
              <w:right w:val="single" w:sz="4" w:space="0" w:color="auto"/>
            </w:tcBorders>
          </w:tcPr>
          <w:p w14:paraId="190DCB97"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41482AB6" w14:textId="0ECC4901"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24</w:t>
            </w:r>
            <w:r w:rsidRPr="003F54CC">
              <w:rPr>
                <w:rFonts w:asciiTheme="minorHAnsi" w:hAnsiTheme="minorHAnsi"/>
                <w:lang w:val="es-ES"/>
              </w:rPr>
              <w:tab/>
            </w:r>
            <w:bookmarkStart w:id="65" w:name="lt_pId283"/>
            <w:r w:rsidRPr="003F54CC">
              <w:rPr>
                <w:i/>
                <w:iCs/>
                <w:lang w:val="es-ES"/>
              </w:rPr>
              <w:t>b)</w:t>
            </w:r>
            <w:r w:rsidRPr="003F54CC">
              <w:rPr>
                <w:lang w:val="es-ES"/>
              </w:rPr>
              <w:tab/>
            </w:r>
            <w:r w:rsidR="00DC47DA" w:rsidRPr="003F54CC">
              <w:rPr>
                <w:lang w:val="es-ES"/>
              </w:rPr>
              <w:t>normalmente, liquidación de cuentas.</w:t>
            </w:r>
            <w:bookmarkEnd w:id="65"/>
          </w:p>
        </w:tc>
        <w:tc>
          <w:tcPr>
            <w:tcW w:w="3551" w:type="dxa"/>
            <w:tcBorders>
              <w:top w:val="single" w:sz="4" w:space="0" w:color="auto"/>
              <w:left w:val="single" w:sz="4" w:space="0" w:color="auto"/>
              <w:bottom w:val="single" w:sz="4" w:space="0" w:color="auto"/>
              <w:right w:val="single" w:sz="4" w:space="0" w:color="auto"/>
            </w:tcBorders>
          </w:tcPr>
          <w:p w14:paraId="089B4D34" w14:textId="1A5C0323"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24</w:t>
            </w:r>
            <w:r w:rsidRPr="003F54CC">
              <w:rPr>
                <w:rFonts w:asciiTheme="minorHAnsi" w:hAnsiTheme="minorHAnsi"/>
                <w:lang w:val="es-ES"/>
              </w:rPr>
              <w:tab/>
            </w:r>
            <w:bookmarkStart w:id="66" w:name="lt_pId285"/>
            <w:r w:rsidRPr="003F54CC">
              <w:rPr>
                <w:rFonts w:asciiTheme="minorHAnsi" w:hAnsiTheme="minorHAnsi"/>
                <w:i/>
                <w:iCs/>
                <w:lang w:val="es-ES"/>
              </w:rPr>
              <w:t>b)</w:t>
            </w:r>
            <w:bookmarkEnd w:id="66"/>
            <w:r w:rsidRPr="003F54CC">
              <w:rPr>
                <w:rFonts w:asciiTheme="minorHAnsi" w:hAnsiTheme="minorHAnsi"/>
                <w:lang w:val="es-ES"/>
              </w:rPr>
              <w:tab/>
            </w:r>
            <w:r w:rsidR="008D0F84" w:rsidRPr="003F54CC">
              <w:rPr>
                <w:lang w:val="es-ES"/>
              </w:rPr>
              <w:t>normalmente, liquidación de cuentas.</w:t>
            </w:r>
          </w:p>
        </w:tc>
        <w:tc>
          <w:tcPr>
            <w:tcW w:w="2226" w:type="dxa"/>
            <w:tcBorders>
              <w:top w:val="single" w:sz="4" w:space="0" w:color="auto"/>
              <w:left w:val="single" w:sz="4" w:space="0" w:color="auto"/>
              <w:bottom w:val="single" w:sz="4" w:space="0" w:color="auto"/>
              <w:right w:val="single" w:sz="4" w:space="0" w:color="auto"/>
            </w:tcBorders>
          </w:tcPr>
          <w:p w14:paraId="48ED8980" w14:textId="7261B628" w:rsidR="00AE6A66" w:rsidRPr="00D378F1" w:rsidRDefault="00FA7D0A" w:rsidP="00D378F1">
            <w:pPr>
              <w:pStyle w:val="Tabletext"/>
              <w:rPr>
                <w:lang w:val="es-ES"/>
              </w:rPr>
            </w:pPr>
            <w:r w:rsidRPr="00D378F1">
              <w:rPr>
                <w:lang w:val="es-ES"/>
              </w:rPr>
              <w:t>No afecta a la aplicabilidad</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5BC0C386" w14:textId="66A89205" w:rsidR="00AE6A66" w:rsidRPr="00D378F1" w:rsidRDefault="00FA7D0A" w:rsidP="00D378F1">
            <w:pPr>
              <w:pStyle w:val="Tabletext"/>
              <w:rPr>
                <w:lang w:val="es-ES"/>
              </w:rPr>
            </w:pPr>
            <w:r w:rsidRPr="00D378F1">
              <w:rPr>
                <w:lang w:val="es-ES"/>
              </w:rPr>
              <w:t>No afecta 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0D19C539" w14:textId="4083A200" w:rsidR="00AE6A66" w:rsidRPr="00D378F1" w:rsidRDefault="00930A2B" w:rsidP="00D378F1">
            <w:pPr>
              <w:pStyle w:val="Tabletext"/>
              <w:rPr>
                <w:lang w:val="es-ES"/>
              </w:rPr>
            </w:pPr>
            <w:r w:rsidRPr="00D378F1">
              <w:rPr>
                <w:lang w:val="es-ES"/>
              </w:rPr>
              <w:t xml:space="preserve">El número 24 del RTI de 2012 </w:t>
            </w:r>
            <w:r w:rsidR="00687355" w:rsidRPr="00D378F1">
              <w:rPr>
                <w:lang w:val="es-ES"/>
              </w:rPr>
              <w:t>es pertinente</w:t>
            </w:r>
            <w:r w:rsidR="00687355" w:rsidRPr="00D378F1">
              <w:rPr>
                <w:lang w:val="es-ES"/>
              </w:rPr>
              <w:t xml:space="preserve"> </w:t>
            </w:r>
            <w:r w:rsidRPr="00D378F1">
              <w:rPr>
                <w:lang w:val="es-ES"/>
              </w:rPr>
              <w:t>y utiliza terminología actualizada.</w:t>
            </w:r>
          </w:p>
        </w:tc>
      </w:tr>
      <w:tr w:rsidR="00AE6A66" w:rsidRPr="003F54CC" w14:paraId="50696A17" w14:textId="77777777" w:rsidTr="000F761E">
        <w:tc>
          <w:tcPr>
            <w:tcW w:w="1129" w:type="dxa"/>
            <w:vMerge/>
            <w:tcBorders>
              <w:left w:val="single" w:sz="4" w:space="0" w:color="auto"/>
              <w:right w:val="single" w:sz="4" w:space="0" w:color="auto"/>
            </w:tcBorders>
          </w:tcPr>
          <w:p w14:paraId="64052BBC"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56BBE63" w14:textId="7D0AF655"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25</w:t>
            </w:r>
            <w:r w:rsidRPr="003F54CC">
              <w:rPr>
                <w:rFonts w:asciiTheme="minorHAnsi" w:hAnsiTheme="minorHAnsi"/>
                <w:lang w:val="es-ES"/>
              </w:rPr>
              <w:tab/>
              <w:t>2.8</w:t>
            </w:r>
            <w:r w:rsidRPr="003F54CC">
              <w:rPr>
                <w:rFonts w:asciiTheme="minorHAnsi" w:hAnsiTheme="minorHAnsi"/>
                <w:lang w:val="es-ES"/>
              </w:rPr>
              <w:tab/>
            </w:r>
            <w:r w:rsidR="00DC47DA" w:rsidRPr="003F54CC">
              <w:rPr>
                <w:i/>
                <w:iCs/>
                <w:lang w:val="es-ES"/>
              </w:rPr>
              <w:t>Tasa de distribución:</w:t>
            </w:r>
            <w:r w:rsidR="00DC47DA" w:rsidRPr="003F54CC">
              <w:rPr>
                <w:lang w:val="es-ES"/>
              </w:rPr>
              <w:t xml:space="preserve"> Tasa fijada por acuerdo entre empresas de explotación autorizadas en una relación dada y que sirve para el establecimiento de las cuentas internacionales.</w:t>
            </w:r>
          </w:p>
        </w:tc>
        <w:tc>
          <w:tcPr>
            <w:tcW w:w="3551" w:type="dxa"/>
            <w:tcBorders>
              <w:top w:val="single" w:sz="4" w:space="0" w:color="auto"/>
              <w:left w:val="single" w:sz="4" w:space="0" w:color="auto"/>
              <w:bottom w:val="single" w:sz="4" w:space="0" w:color="auto"/>
              <w:right w:val="single" w:sz="4" w:space="0" w:color="auto"/>
            </w:tcBorders>
          </w:tcPr>
          <w:p w14:paraId="0173B5CF" w14:textId="343E7B63"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25</w:t>
            </w:r>
            <w:r w:rsidRPr="003F54CC">
              <w:rPr>
                <w:rFonts w:asciiTheme="minorHAnsi" w:hAnsiTheme="minorHAnsi"/>
                <w:lang w:val="es-ES"/>
              </w:rPr>
              <w:tab/>
              <w:t>2.8</w:t>
            </w:r>
            <w:r w:rsidRPr="003F54CC">
              <w:rPr>
                <w:rFonts w:asciiTheme="minorHAnsi" w:hAnsiTheme="minorHAnsi"/>
                <w:lang w:val="es-ES"/>
              </w:rPr>
              <w:tab/>
            </w:r>
            <w:r w:rsidR="008D0F84" w:rsidRPr="003F54CC">
              <w:rPr>
                <w:i/>
                <w:iCs/>
                <w:lang w:val="es-ES"/>
              </w:rPr>
              <w:t>Tasa de distribución:</w:t>
            </w:r>
            <w:r w:rsidR="008D0F84" w:rsidRPr="003F54CC">
              <w:rPr>
                <w:lang w:val="es-ES"/>
              </w:rPr>
              <w:t xml:space="preserve"> Tasa fijada por acuerdo entre administraciones</w:t>
            </w:r>
            <w:r w:rsidR="00654220" w:rsidRPr="00654220">
              <w:rPr>
                <w:rStyle w:val="FootnoteReference"/>
              </w:rPr>
              <w:t>*</w:t>
            </w:r>
            <w:r w:rsidR="008D0F84" w:rsidRPr="003F54CC">
              <w:rPr>
                <w:lang w:val="es-ES"/>
              </w:rPr>
              <w:t xml:space="preserve"> en una relación dada y que sirve para el establecimiento de las cuentas internacionales.</w:t>
            </w:r>
          </w:p>
        </w:tc>
        <w:tc>
          <w:tcPr>
            <w:tcW w:w="2226" w:type="dxa"/>
            <w:tcBorders>
              <w:top w:val="single" w:sz="4" w:space="0" w:color="auto"/>
              <w:left w:val="single" w:sz="4" w:space="0" w:color="auto"/>
              <w:bottom w:val="single" w:sz="4" w:space="0" w:color="auto"/>
              <w:right w:val="single" w:sz="4" w:space="0" w:color="auto"/>
            </w:tcBorders>
          </w:tcPr>
          <w:p w14:paraId="4F127182" w14:textId="6DA0F89E" w:rsidR="00AE6A66" w:rsidRPr="00D378F1" w:rsidRDefault="00E67211" w:rsidP="00D378F1">
            <w:pPr>
              <w:pStyle w:val="Tabletext"/>
              <w:rPr>
                <w:lang w:val="es-ES"/>
              </w:rPr>
            </w:pPr>
            <w:bookmarkStart w:id="67" w:name="lt_pId297"/>
            <w:r w:rsidRPr="00D378F1">
              <w:rPr>
                <w:lang w:val="es-ES"/>
              </w:rPr>
              <w:t>Promueve el desarrollo de redes y servicios</w:t>
            </w:r>
            <w:r w:rsidR="00AE6A66" w:rsidRPr="00D378F1">
              <w:rPr>
                <w:lang w:val="es-ES"/>
              </w:rPr>
              <w:t>.</w:t>
            </w:r>
            <w:bookmarkEnd w:id="67"/>
          </w:p>
        </w:tc>
        <w:tc>
          <w:tcPr>
            <w:tcW w:w="1917" w:type="dxa"/>
            <w:tcBorders>
              <w:top w:val="single" w:sz="4" w:space="0" w:color="auto"/>
              <w:left w:val="single" w:sz="4" w:space="0" w:color="auto"/>
              <w:bottom w:val="single" w:sz="4" w:space="0" w:color="auto"/>
              <w:right w:val="single" w:sz="4" w:space="0" w:color="auto"/>
            </w:tcBorders>
          </w:tcPr>
          <w:p w14:paraId="1199619F" w14:textId="47257C0B" w:rsidR="00AE6A66" w:rsidRPr="00D378F1" w:rsidRDefault="00FA7D0A" w:rsidP="00D378F1">
            <w:pPr>
              <w:pStyle w:val="Tabletext"/>
              <w:rPr>
                <w:lang w:val="es-ES"/>
              </w:rPr>
            </w:pPr>
            <w:bookmarkStart w:id="68" w:name="lt_pId298"/>
            <w:r w:rsidRPr="00D378F1">
              <w:rPr>
                <w:lang w:val="es-ES"/>
              </w:rPr>
              <w:t>Garantiza la flexibilidad</w:t>
            </w:r>
            <w:r w:rsidR="00AE6A66" w:rsidRPr="00D378F1">
              <w:rPr>
                <w:lang w:val="es-ES"/>
              </w:rPr>
              <w:t>.</w:t>
            </w:r>
            <w:bookmarkEnd w:id="68"/>
          </w:p>
        </w:tc>
        <w:tc>
          <w:tcPr>
            <w:tcW w:w="2085" w:type="dxa"/>
            <w:tcBorders>
              <w:top w:val="single" w:sz="4" w:space="0" w:color="auto"/>
              <w:left w:val="single" w:sz="4" w:space="0" w:color="auto"/>
              <w:bottom w:val="single" w:sz="4" w:space="0" w:color="auto"/>
              <w:right w:val="single" w:sz="4" w:space="0" w:color="auto"/>
            </w:tcBorders>
          </w:tcPr>
          <w:p w14:paraId="4442C416" w14:textId="08BA8B09" w:rsidR="00AE6A66" w:rsidRPr="00D378F1" w:rsidRDefault="00930A2B" w:rsidP="00D378F1">
            <w:pPr>
              <w:pStyle w:val="Tabletext"/>
              <w:rPr>
                <w:lang w:val="es-ES"/>
              </w:rPr>
            </w:pPr>
            <w:r w:rsidRPr="00D378F1">
              <w:rPr>
                <w:lang w:val="es-ES"/>
              </w:rPr>
              <w:t xml:space="preserve">El número 25 del RTI de 2012 </w:t>
            </w:r>
            <w:r w:rsidR="00687355" w:rsidRPr="00D378F1">
              <w:rPr>
                <w:lang w:val="es-ES"/>
              </w:rPr>
              <w:t>es pertinente</w:t>
            </w:r>
            <w:r w:rsidR="00687355" w:rsidRPr="00D378F1">
              <w:rPr>
                <w:lang w:val="es-ES"/>
              </w:rPr>
              <w:t xml:space="preserve"> </w:t>
            </w:r>
            <w:r w:rsidRPr="00D378F1">
              <w:rPr>
                <w:lang w:val="es-ES"/>
              </w:rPr>
              <w:t>y utiliza terminología actualizada.</w:t>
            </w:r>
          </w:p>
        </w:tc>
      </w:tr>
      <w:tr w:rsidR="00AE6A66" w:rsidRPr="003F54CC" w14:paraId="2A5889EE" w14:textId="77777777" w:rsidTr="000F761E">
        <w:tc>
          <w:tcPr>
            <w:tcW w:w="1129" w:type="dxa"/>
            <w:vMerge/>
            <w:tcBorders>
              <w:left w:val="single" w:sz="4" w:space="0" w:color="auto"/>
              <w:right w:val="single" w:sz="4" w:space="0" w:color="auto"/>
            </w:tcBorders>
          </w:tcPr>
          <w:p w14:paraId="7717D5FC"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68791862" w14:textId="45795AD3"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26</w:t>
            </w:r>
            <w:r w:rsidRPr="003F54CC">
              <w:rPr>
                <w:rFonts w:asciiTheme="minorHAnsi" w:hAnsiTheme="minorHAnsi"/>
                <w:lang w:val="es-ES"/>
              </w:rPr>
              <w:tab/>
              <w:t>2.9</w:t>
            </w:r>
            <w:r w:rsidRPr="003F54CC">
              <w:rPr>
                <w:rFonts w:asciiTheme="minorHAnsi" w:hAnsiTheme="minorHAnsi"/>
                <w:lang w:val="es-ES"/>
              </w:rPr>
              <w:tab/>
            </w:r>
            <w:r w:rsidR="00DC47DA" w:rsidRPr="003F54CC">
              <w:rPr>
                <w:i/>
                <w:iCs/>
                <w:lang w:val="es-ES"/>
              </w:rPr>
              <w:t>Tasa de percepción:</w:t>
            </w:r>
            <w:r w:rsidR="00DC47DA" w:rsidRPr="003F54CC">
              <w:rPr>
                <w:lang w:val="es-ES"/>
              </w:rPr>
              <w:t xml:space="preserve"> Tasa que las empresas de explotación autorizadas establecen y perciben de sus clientes por la utilización de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08A960EA" w14:textId="4C83A71C"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26</w:t>
            </w:r>
            <w:r w:rsidRPr="003F54CC">
              <w:rPr>
                <w:rFonts w:asciiTheme="minorHAnsi" w:hAnsiTheme="minorHAnsi"/>
                <w:lang w:val="es-ES"/>
              </w:rPr>
              <w:tab/>
              <w:t>2.9</w:t>
            </w:r>
            <w:r w:rsidRPr="003F54CC">
              <w:rPr>
                <w:rFonts w:asciiTheme="minorHAnsi" w:hAnsiTheme="minorHAnsi"/>
                <w:lang w:val="es-ES"/>
              </w:rPr>
              <w:tab/>
            </w:r>
            <w:r w:rsidR="008D0F84" w:rsidRPr="003F54CC">
              <w:rPr>
                <w:i/>
                <w:iCs/>
                <w:lang w:val="es-ES"/>
              </w:rPr>
              <w:t>Tasa de percepción:</w:t>
            </w:r>
            <w:r w:rsidR="008D0F84" w:rsidRPr="003F54CC">
              <w:rPr>
                <w:lang w:val="es-ES"/>
              </w:rPr>
              <w:t xml:space="preserve"> Tasa que las administraciones</w:t>
            </w:r>
            <w:r w:rsidR="00654220" w:rsidRPr="00654220">
              <w:rPr>
                <w:rStyle w:val="FootnoteReference"/>
              </w:rPr>
              <w:t>*</w:t>
            </w:r>
            <w:r w:rsidR="008D0F84" w:rsidRPr="003F54CC">
              <w:rPr>
                <w:lang w:val="es-ES"/>
              </w:rPr>
              <w:t xml:space="preserve"> establecen y perciben de sus clientes por la utilización de los servicios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64F7A767" w14:textId="67835AB0"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0BDE15AE" w14:textId="7D4D8C30"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1F25FF8" w14:textId="4BF41DA3" w:rsidR="00AE6A66" w:rsidRPr="00D378F1" w:rsidRDefault="00930A2B" w:rsidP="00D378F1">
            <w:pPr>
              <w:pStyle w:val="Tabletext"/>
              <w:rPr>
                <w:lang w:val="es-ES"/>
              </w:rPr>
            </w:pPr>
            <w:r w:rsidRPr="00D378F1">
              <w:rPr>
                <w:lang w:val="es-ES"/>
              </w:rPr>
              <w:t xml:space="preserve">El número 26 del RTI de 2012 </w:t>
            </w:r>
            <w:r w:rsidR="00687355" w:rsidRPr="00D378F1">
              <w:rPr>
                <w:lang w:val="es-ES"/>
              </w:rPr>
              <w:t>es pertinente</w:t>
            </w:r>
            <w:r w:rsidR="00687355" w:rsidRPr="00D378F1">
              <w:rPr>
                <w:lang w:val="es-ES"/>
              </w:rPr>
              <w:t xml:space="preserve"> </w:t>
            </w:r>
            <w:r w:rsidRPr="00D378F1">
              <w:rPr>
                <w:lang w:val="es-ES"/>
              </w:rPr>
              <w:t>y utiliza terminología actualizada.</w:t>
            </w:r>
          </w:p>
        </w:tc>
      </w:tr>
      <w:tr w:rsidR="00AE6A66" w:rsidRPr="003F54CC" w14:paraId="5C3B015E" w14:textId="77777777" w:rsidTr="000F761E">
        <w:tc>
          <w:tcPr>
            <w:tcW w:w="1129" w:type="dxa"/>
            <w:vMerge/>
            <w:tcBorders>
              <w:left w:val="single" w:sz="4" w:space="0" w:color="auto"/>
              <w:right w:val="single" w:sz="4" w:space="0" w:color="auto"/>
            </w:tcBorders>
          </w:tcPr>
          <w:p w14:paraId="21B04B53"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03467D28" w14:textId="77777777" w:rsidR="00AE6A66" w:rsidRPr="003F54CC" w:rsidRDefault="00AE6A66" w:rsidP="00E9121E">
            <w:pPr>
              <w:pStyle w:val="Tabletext"/>
              <w:rPr>
                <w:lang w:val="es-ES"/>
              </w:rPr>
            </w:pPr>
          </w:p>
        </w:tc>
        <w:tc>
          <w:tcPr>
            <w:tcW w:w="3551" w:type="dxa"/>
            <w:tcBorders>
              <w:top w:val="single" w:sz="4" w:space="0" w:color="auto"/>
              <w:left w:val="single" w:sz="4" w:space="0" w:color="auto"/>
              <w:bottom w:val="single" w:sz="4" w:space="0" w:color="auto"/>
              <w:right w:val="single" w:sz="4" w:space="0" w:color="auto"/>
            </w:tcBorders>
          </w:tcPr>
          <w:p w14:paraId="423C1E61" w14:textId="704748EE"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27</w:t>
            </w:r>
            <w:r w:rsidRPr="003F54CC">
              <w:rPr>
                <w:rFonts w:asciiTheme="minorHAnsi" w:hAnsiTheme="minorHAnsi"/>
                <w:lang w:val="es-ES"/>
              </w:rPr>
              <w:tab/>
              <w:t>2.10</w:t>
            </w:r>
            <w:r w:rsidRPr="003F54CC">
              <w:rPr>
                <w:rFonts w:asciiTheme="minorHAnsi" w:hAnsiTheme="minorHAnsi"/>
                <w:lang w:val="es-ES"/>
              </w:rPr>
              <w:tab/>
            </w:r>
            <w:r w:rsidR="008D0F84" w:rsidRPr="003F54CC">
              <w:rPr>
                <w:i/>
                <w:iCs/>
                <w:lang w:val="es-ES"/>
              </w:rPr>
              <w:t>Instrucciones:</w:t>
            </w:r>
            <w:r w:rsidR="008D0F84" w:rsidRPr="003F54CC">
              <w:rPr>
                <w:lang w:val="es-ES"/>
              </w:rPr>
              <w:t xml:space="preserve"> Conjunto de disposiciones tomadas de una o varias Recomendaciones del CCITT relativas a procedimientos prácticos de explotación para el despacho del tráfico de telecomunicaciones (por ejemplo, admisión, transmisión, contabilidad).</w:t>
            </w:r>
          </w:p>
        </w:tc>
        <w:tc>
          <w:tcPr>
            <w:tcW w:w="2226" w:type="dxa"/>
            <w:tcBorders>
              <w:top w:val="single" w:sz="4" w:space="0" w:color="auto"/>
              <w:left w:val="single" w:sz="4" w:space="0" w:color="auto"/>
              <w:bottom w:val="single" w:sz="4" w:space="0" w:color="auto"/>
              <w:right w:val="single" w:sz="4" w:space="0" w:color="auto"/>
            </w:tcBorders>
          </w:tcPr>
          <w:p w14:paraId="17664795" w14:textId="77777777" w:rsidR="00AE6A66" w:rsidRPr="00D378F1" w:rsidRDefault="00AE6A66" w:rsidP="00D378F1">
            <w:pPr>
              <w:pStyle w:val="Tabletext"/>
              <w:rPr>
                <w:lang w:val="es-ES"/>
              </w:rPr>
            </w:pPr>
          </w:p>
        </w:tc>
        <w:tc>
          <w:tcPr>
            <w:tcW w:w="1917" w:type="dxa"/>
            <w:tcBorders>
              <w:top w:val="single" w:sz="4" w:space="0" w:color="auto"/>
              <w:left w:val="single" w:sz="4" w:space="0" w:color="auto"/>
              <w:bottom w:val="single" w:sz="4" w:space="0" w:color="auto"/>
              <w:right w:val="single" w:sz="4" w:space="0" w:color="auto"/>
            </w:tcBorders>
          </w:tcPr>
          <w:p w14:paraId="49D4EF87" w14:textId="77777777" w:rsidR="00AE6A66" w:rsidRPr="00D378F1" w:rsidRDefault="00AE6A66" w:rsidP="00D378F1">
            <w:pPr>
              <w:pStyle w:val="Tabletext"/>
              <w:rPr>
                <w:lang w:val="es-ES"/>
              </w:rPr>
            </w:pPr>
          </w:p>
        </w:tc>
        <w:tc>
          <w:tcPr>
            <w:tcW w:w="2085" w:type="dxa"/>
            <w:tcBorders>
              <w:top w:val="single" w:sz="4" w:space="0" w:color="auto"/>
              <w:left w:val="single" w:sz="4" w:space="0" w:color="auto"/>
              <w:bottom w:val="single" w:sz="4" w:space="0" w:color="auto"/>
              <w:right w:val="single" w:sz="4" w:space="0" w:color="auto"/>
            </w:tcBorders>
          </w:tcPr>
          <w:p w14:paraId="08F5E410" w14:textId="315CFFAA" w:rsidR="00AE6A66" w:rsidRPr="00D378F1" w:rsidRDefault="00CC6A3B" w:rsidP="00D378F1">
            <w:pPr>
              <w:pStyle w:val="Tabletext"/>
              <w:rPr>
                <w:lang w:val="es-ES"/>
              </w:rPr>
            </w:pPr>
            <w:bookmarkStart w:id="69" w:name="lt_pId315"/>
            <w:r w:rsidRPr="00D378F1">
              <w:rPr>
                <w:lang w:val="es-ES"/>
              </w:rPr>
              <w:t>Este número del RTI de</w:t>
            </w:r>
            <w:r w:rsidR="00AE6A66" w:rsidRPr="00D378F1">
              <w:rPr>
                <w:lang w:val="es-ES"/>
              </w:rPr>
              <w:t xml:space="preserve"> 1988 </w:t>
            </w:r>
            <w:r w:rsidRPr="00D378F1">
              <w:rPr>
                <w:lang w:val="es-ES"/>
              </w:rPr>
              <w:t>no se utiliza en el RTI de</w:t>
            </w:r>
            <w:r w:rsidR="00AE6A66" w:rsidRPr="00D378F1">
              <w:rPr>
                <w:lang w:val="es-ES"/>
              </w:rPr>
              <w:t xml:space="preserve"> 2012.</w:t>
            </w:r>
            <w:bookmarkEnd w:id="69"/>
          </w:p>
        </w:tc>
      </w:tr>
      <w:tr w:rsidR="00AE6A66" w:rsidRPr="003F54CC" w14:paraId="2C97A463" w14:textId="77777777" w:rsidTr="000F761E">
        <w:tc>
          <w:tcPr>
            <w:tcW w:w="1129" w:type="dxa"/>
            <w:vMerge/>
            <w:tcBorders>
              <w:left w:val="single" w:sz="4" w:space="0" w:color="auto"/>
              <w:bottom w:val="single" w:sz="4" w:space="0" w:color="auto"/>
              <w:right w:val="single" w:sz="4" w:space="0" w:color="auto"/>
            </w:tcBorders>
          </w:tcPr>
          <w:p w14:paraId="5EB05EE5"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13325" w:type="dxa"/>
            <w:gridSpan w:val="5"/>
            <w:tcBorders>
              <w:top w:val="single" w:sz="4" w:space="0" w:color="auto"/>
              <w:left w:val="single" w:sz="4" w:space="0" w:color="auto"/>
              <w:bottom w:val="single" w:sz="4" w:space="0" w:color="auto"/>
              <w:right w:val="single" w:sz="4" w:space="0" w:color="auto"/>
            </w:tcBorders>
          </w:tcPr>
          <w:p w14:paraId="2F3558AD" w14:textId="4976E0F6" w:rsidR="00AE6A66" w:rsidRPr="003F54CC" w:rsidRDefault="00AE6A66" w:rsidP="00E9121E">
            <w:pPr>
              <w:pStyle w:val="Tabletext"/>
              <w:rPr>
                <w:lang w:val="es-ES"/>
              </w:rPr>
            </w:pPr>
            <w:bookmarkStart w:id="70" w:name="lt_pId316"/>
            <w:r w:rsidRPr="003F54CC">
              <w:rPr>
                <w:lang w:val="es-ES"/>
              </w:rPr>
              <w:t>Coment</w:t>
            </w:r>
            <w:r w:rsidR="00CC6A3B">
              <w:rPr>
                <w:lang w:val="es-ES"/>
              </w:rPr>
              <w:t>ario</w:t>
            </w:r>
            <w:r w:rsidRPr="003F54CC">
              <w:rPr>
                <w:lang w:val="es-ES"/>
              </w:rPr>
              <w:t xml:space="preserve">s: </w:t>
            </w:r>
            <w:r w:rsidR="00CC6A3B">
              <w:rPr>
                <w:lang w:val="es-ES"/>
              </w:rPr>
              <w:t xml:space="preserve">Sería apropiado incluir en el Artículo 2 del RTI una definición del término </w:t>
            </w:r>
            <w:r w:rsidR="003916DF">
              <w:rPr>
                <w:lang w:val="es-ES"/>
              </w:rPr>
              <w:t>"</w:t>
            </w:r>
            <w:r w:rsidR="00CC6A3B">
              <w:rPr>
                <w:lang w:val="es-ES"/>
              </w:rPr>
              <w:t>itinerancia</w:t>
            </w:r>
            <w:r w:rsidR="003916DF">
              <w:rPr>
                <w:lang w:val="es-ES"/>
              </w:rPr>
              <w:t>"</w:t>
            </w:r>
            <w:r w:rsidR="00CC6A3B">
              <w:rPr>
                <w:lang w:val="es-ES"/>
              </w:rPr>
              <w:t xml:space="preserve">, que se utiliza en los números </w:t>
            </w:r>
            <w:r w:rsidRPr="003F54CC">
              <w:rPr>
                <w:lang w:val="es-ES"/>
              </w:rPr>
              <w:t xml:space="preserve">41, 42, 43 </w:t>
            </w:r>
            <w:r w:rsidR="00CC6A3B">
              <w:rPr>
                <w:lang w:val="es-ES"/>
              </w:rPr>
              <w:t>y</w:t>
            </w:r>
            <w:r w:rsidRPr="003F54CC">
              <w:rPr>
                <w:lang w:val="es-ES"/>
              </w:rPr>
              <w:t xml:space="preserve"> 44</w:t>
            </w:r>
            <w:bookmarkEnd w:id="70"/>
            <w:r w:rsidRPr="003F54CC">
              <w:rPr>
                <w:lang w:val="es-ES"/>
              </w:rPr>
              <w:t>.</w:t>
            </w:r>
          </w:p>
        </w:tc>
      </w:tr>
      <w:tr w:rsidR="00AE6A66" w:rsidRPr="003F54CC" w14:paraId="63860570" w14:textId="77777777" w:rsidTr="000F761E">
        <w:tc>
          <w:tcPr>
            <w:tcW w:w="14454" w:type="dxa"/>
            <w:gridSpan w:val="6"/>
            <w:tcBorders>
              <w:top w:val="single" w:sz="4" w:space="0" w:color="auto"/>
              <w:left w:val="single" w:sz="4" w:space="0" w:color="auto"/>
              <w:bottom w:val="single" w:sz="4" w:space="0" w:color="auto"/>
              <w:right w:val="single" w:sz="4" w:space="0" w:color="auto"/>
            </w:tcBorders>
          </w:tcPr>
          <w:p w14:paraId="508A4501" w14:textId="77777777" w:rsidR="00AE6A66" w:rsidRPr="003F54CC" w:rsidRDefault="00AE6A66" w:rsidP="00E9121E">
            <w:pPr>
              <w:pStyle w:val="Tabletext"/>
              <w:rPr>
                <w:lang w:val="es-ES"/>
              </w:rPr>
            </w:pPr>
          </w:p>
        </w:tc>
      </w:tr>
      <w:tr w:rsidR="00AE6A66" w:rsidRPr="003F54CC" w14:paraId="1B3B346E" w14:textId="77777777" w:rsidTr="000F761E">
        <w:tc>
          <w:tcPr>
            <w:tcW w:w="1129" w:type="dxa"/>
            <w:vMerge w:val="restart"/>
            <w:tcBorders>
              <w:top w:val="single" w:sz="4" w:space="0" w:color="auto"/>
              <w:left w:val="single" w:sz="4" w:space="0" w:color="auto"/>
              <w:right w:val="single" w:sz="4" w:space="0" w:color="auto"/>
            </w:tcBorders>
            <w:textDirection w:val="btLr"/>
          </w:tcPr>
          <w:p w14:paraId="278B7DDE" w14:textId="6EC93A64" w:rsidR="00AE6A66" w:rsidRPr="00181FE6" w:rsidRDefault="00884546" w:rsidP="001F143F">
            <w:pPr>
              <w:pStyle w:val="Tabletext"/>
              <w:keepNext/>
              <w:keepLines/>
              <w:jc w:val="center"/>
              <w:rPr>
                <w:b/>
                <w:bCs/>
                <w:lang w:val="es-ES"/>
              </w:rPr>
            </w:pPr>
            <w:r w:rsidRPr="00181FE6">
              <w:rPr>
                <w:b/>
                <w:bCs/>
                <w:lang w:val="es-ES"/>
              </w:rPr>
              <w:t xml:space="preserve">ARTÍCULO </w:t>
            </w:r>
            <w:r w:rsidR="00AE6A66" w:rsidRPr="00181FE6">
              <w:rPr>
                <w:b/>
                <w:bCs/>
                <w:lang w:val="es-ES"/>
              </w:rPr>
              <w:t>3</w:t>
            </w:r>
          </w:p>
          <w:p w14:paraId="1D4B01C9" w14:textId="1132BDF5" w:rsidR="00AE6A66" w:rsidRPr="00181FE6" w:rsidRDefault="00884546" w:rsidP="00181FE6">
            <w:pPr>
              <w:pStyle w:val="Tabletext"/>
              <w:jc w:val="center"/>
              <w:rPr>
                <w:lang w:val="es-ES"/>
              </w:rPr>
            </w:pPr>
            <w:r w:rsidRPr="00181FE6">
              <w:rPr>
                <w:b/>
                <w:bCs/>
                <w:lang w:val="es-ES"/>
              </w:rPr>
              <w:t>Red internacional</w:t>
            </w:r>
          </w:p>
        </w:tc>
        <w:tc>
          <w:tcPr>
            <w:tcW w:w="3546" w:type="dxa"/>
            <w:tcBorders>
              <w:top w:val="single" w:sz="4" w:space="0" w:color="auto"/>
              <w:left w:val="single" w:sz="4" w:space="0" w:color="auto"/>
              <w:bottom w:val="single" w:sz="4" w:space="0" w:color="auto"/>
              <w:right w:val="single" w:sz="4" w:space="0" w:color="auto"/>
            </w:tcBorders>
          </w:tcPr>
          <w:p w14:paraId="61903138" w14:textId="79B9D995" w:rsidR="00AE6A66" w:rsidRPr="003F54CC" w:rsidRDefault="00AE6A66" w:rsidP="00181FE6">
            <w:pPr>
              <w:pStyle w:val="Tabletext"/>
              <w:tabs>
                <w:tab w:val="left" w:pos="457"/>
                <w:tab w:val="left" w:pos="1024"/>
              </w:tabs>
              <w:rPr>
                <w:rFonts w:asciiTheme="minorHAnsi" w:hAnsiTheme="minorHAnsi" w:cstheme="minorHAnsi"/>
                <w:lang w:val="es-ES"/>
              </w:rPr>
            </w:pPr>
            <w:r w:rsidRPr="00E9121E">
              <w:rPr>
                <w:b/>
                <w:bCs/>
              </w:rPr>
              <w:t>27</w:t>
            </w:r>
            <w:r w:rsidRPr="003F54CC">
              <w:rPr>
                <w:rFonts w:asciiTheme="minorHAnsi" w:hAnsiTheme="minorHAnsi"/>
                <w:lang w:val="es-ES"/>
              </w:rPr>
              <w:tab/>
              <w:t>3.1</w:t>
            </w:r>
            <w:r w:rsidRPr="003F54CC">
              <w:rPr>
                <w:rFonts w:asciiTheme="minorHAnsi" w:hAnsiTheme="minorHAnsi"/>
                <w:lang w:val="es-ES"/>
              </w:rPr>
              <w:tab/>
            </w:r>
            <w:r w:rsidR="00884546" w:rsidRPr="003F54CC">
              <w:rPr>
                <w:lang w:val="es-ES"/>
              </w:rPr>
              <w:t>Los Estados Miembros procurarán velar por que las empresas de explotación autorizadas colaboren en el establecimiento, la explotación y el mantenimiento de la red internacional para proporcionar una calidad de servicio satisfactoria.</w:t>
            </w:r>
          </w:p>
        </w:tc>
        <w:tc>
          <w:tcPr>
            <w:tcW w:w="3551" w:type="dxa"/>
            <w:tcBorders>
              <w:top w:val="single" w:sz="4" w:space="0" w:color="auto"/>
              <w:left w:val="single" w:sz="4" w:space="0" w:color="auto"/>
              <w:bottom w:val="single" w:sz="4" w:space="0" w:color="auto"/>
              <w:right w:val="single" w:sz="4" w:space="0" w:color="auto"/>
            </w:tcBorders>
          </w:tcPr>
          <w:p w14:paraId="73BD09D5" w14:textId="58816ACF"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28</w:t>
            </w:r>
            <w:r w:rsidRPr="003F54CC">
              <w:rPr>
                <w:rFonts w:asciiTheme="minorHAnsi" w:hAnsiTheme="minorHAnsi"/>
                <w:lang w:val="es-ES"/>
              </w:rPr>
              <w:tab/>
              <w:t>3.1</w:t>
            </w:r>
            <w:r w:rsidRPr="003F54CC">
              <w:rPr>
                <w:rFonts w:asciiTheme="minorHAnsi" w:hAnsiTheme="minorHAnsi"/>
                <w:lang w:val="es-ES"/>
              </w:rPr>
              <w:tab/>
            </w:r>
            <w:r w:rsidR="009D2B30" w:rsidRPr="003F54CC">
              <w:rPr>
                <w:lang w:val="es-ES"/>
              </w:rPr>
              <w:t>Los Miembros garantizarán que las administraciones</w:t>
            </w:r>
            <w:r w:rsidR="00654220" w:rsidRPr="00654220">
              <w:rPr>
                <w:rStyle w:val="FootnoteReference"/>
              </w:rPr>
              <w:t>*</w:t>
            </w:r>
            <w:r w:rsidR="009D2B30" w:rsidRPr="003F54CC">
              <w:rPr>
                <w:lang w:val="es-ES"/>
              </w:rPr>
              <w:t xml:space="preserve"> colaboren en el establecimiento, la explotación, el mantenimiento de la red internacional para proporcionar una calidad de servicio satisfactoria.</w:t>
            </w:r>
          </w:p>
        </w:tc>
        <w:tc>
          <w:tcPr>
            <w:tcW w:w="2226" w:type="dxa"/>
            <w:tcBorders>
              <w:top w:val="single" w:sz="4" w:space="0" w:color="auto"/>
              <w:left w:val="single" w:sz="4" w:space="0" w:color="auto"/>
              <w:bottom w:val="single" w:sz="4" w:space="0" w:color="auto"/>
              <w:right w:val="single" w:sz="4" w:space="0" w:color="auto"/>
            </w:tcBorders>
          </w:tcPr>
          <w:p w14:paraId="362F1E13" w14:textId="33A73E1C"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48A195BE" w14:textId="08590ECF"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79FA87DD" w14:textId="5BEA5B20" w:rsidR="00AE6A66" w:rsidRPr="00D378F1" w:rsidRDefault="00CC6A3B" w:rsidP="00D378F1">
            <w:pPr>
              <w:pStyle w:val="Tabletext"/>
              <w:rPr>
                <w:lang w:val="es-ES"/>
              </w:rPr>
            </w:pPr>
            <w:bookmarkStart w:id="71" w:name="lt_pId326"/>
            <w:r w:rsidRPr="00D378F1">
              <w:rPr>
                <w:lang w:val="es-ES"/>
              </w:rPr>
              <w:t>El número</w:t>
            </w:r>
            <w:r w:rsidR="00AE6A66" w:rsidRPr="00D378F1">
              <w:rPr>
                <w:lang w:val="es-ES"/>
              </w:rPr>
              <w:t xml:space="preserve"> 27 </w:t>
            </w:r>
            <w:r w:rsidRPr="00D378F1">
              <w:rPr>
                <w:lang w:val="es-ES"/>
              </w:rPr>
              <w:t>del RTI de</w:t>
            </w:r>
            <w:r w:rsidR="00AE6A66" w:rsidRPr="00D378F1">
              <w:rPr>
                <w:lang w:val="es-ES"/>
              </w:rPr>
              <w:t xml:space="preserve"> 2012 </w:t>
            </w:r>
            <w:r w:rsidRPr="00D378F1">
              <w:rPr>
                <w:lang w:val="es-ES"/>
              </w:rPr>
              <w:t>y el número</w:t>
            </w:r>
            <w:r w:rsidR="004D55EF">
              <w:rPr>
                <w:lang w:val="es-ES"/>
              </w:rPr>
              <w:t> </w:t>
            </w:r>
            <w:r w:rsidR="00AE6A66" w:rsidRPr="00D378F1">
              <w:rPr>
                <w:lang w:val="es-ES"/>
              </w:rPr>
              <w:t xml:space="preserve">28 </w:t>
            </w:r>
            <w:r w:rsidRPr="00D378F1">
              <w:rPr>
                <w:lang w:val="es-ES"/>
              </w:rPr>
              <w:t>del RTI de</w:t>
            </w:r>
            <w:r w:rsidR="00AE6A66" w:rsidRPr="00D378F1">
              <w:rPr>
                <w:lang w:val="es-ES"/>
              </w:rPr>
              <w:t xml:space="preserve"> 1988 </w:t>
            </w:r>
            <w:r w:rsidRPr="00D378F1">
              <w:rPr>
                <w:lang w:val="es-ES"/>
              </w:rPr>
              <w:t>tienen un significado idéntico. Además, el número</w:t>
            </w:r>
            <w:r w:rsidR="004D55EF">
              <w:rPr>
                <w:lang w:val="es-ES"/>
              </w:rPr>
              <w:t> </w:t>
            </w:r>
            <w:r w:rsidRPr="00D378F1">
              <w:rPr>
                <w:lang w:val="es-ES"/>
              </w:rPr>
              <w:t>27 tiene en cuenta los cambios ocurridos en las telecomunicaciones/TIC desde 1988.</w:t>
            </w:r>
            <w:bookmarkEnd w:id="71"/>
          </w:p>
        </w:tc>
      </w:tr>
      <w:tr w:rsidR="00AE6A66" w:rsidRPr="003F54CC" w14:paraId="41AA5A5E" w14:textId="77777777" w:rsidTr="005D52EA">
        <w:tc>
          <w:tcPr>
            <w:tcW w:w="1129" w:type="dxa"/>
            <w:vMerge/>
            <w:tcBorders>
              <w:left w:val="single" w:sz="4" w:space="0" w:color="auto"/>
              <w:right w:val="single" w:sz="4" w:space="0" w:color="auto"/>
            </w:tcBorders>
          </w:tcPr>
          <w:p w14:paraId="49571F46"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2E57ACED" w14:textId="268B4F98"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28</w:t>
            </w:r>
            <w:r w:rsidRPr="003F54CC">
              <w:rPr>
                <w:rFonts w:asciiTheme="minorHAnsi" w:hAnsiTheme="minorHAnsi"/>
                <w:lang w:val="es-ES"/>
              </w:rPr>
              <w:tab/>
              <w:t>3.2</w:t>
            </w:r>
            <w:r w:rsidRPr="003F54CC">
              <w:rPr>
                <w:rFonts w:asciiTheme="minorHAnsi" w:hAnsiTheme="minorHAnsi"/>
                <w:lang w:val="es-ES"/>
              </w:rPr>
              <w:tab/>
            </w:r>
            <w:r w:rsidR="00884546" w:rsidRPr="003F54CC">
              <w:rPr>
                <w:lang w:val="es-ES"/>
              </w:rPr>
              <w:t xml:space="preserve">Los Estados Miembros se esforzarán en asegurar la provisión de suficientes medios de </w:t>
            </w:r>
            <w:r w:rsidR="00884546" w:rsidRPr="003F54CC">
              <w:rPr>
                <w:bCs/>
                <w:lang w:val="es-ES"/>
              </w:rPr>
              <w:t>telecomunicación</w:t>
            </w:r>
            <w:r w:rsidR="00884546" w:rsidRPr="003F54CC">
              <w:rPr>
                <w:lang w:val="es-ES"/>
              </w:rPr>
              <w:t xml:space="preserve"> para satisfacer la demanda de los servicios internacionales de telecomunicación.</w:t>
            </w:r>
          </w:p>
        </w:tc>
        <w:tc>
          <w:tcPr>
            <w:tcW w:w="3551" w:type="dxa"/>
            <w:tcBorders>
              <w:top w:val="single" w:sz="4" w:space="0" w:color="auto"/>
              <w:left w:val="single" w:sz="4" w:space="0" w:color="auto"/>
              <w:bottom w:val="single" w:sz="4" w:space="0" w:color="auto"/>
              <w:right w:val="single" w:sz="4" w:space="0" w:color="auto"/>
            </w:tcBorders>
          </w:tcPr>
          <w:p w14:paraId="7491DA89" w14:textId="1F54E782"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29</w:t>
            </w:r>
            <w:r w:rsidRPr="003F54CC">
              <w:rPr>
                <w:rFonts w:asciiTheme="minorHAnsi" w:hAnsiTheme="minorHAnsi"/>
                <w:lang w:val="es-ES"/>
              </w:rPr>
              <w:tab/>
              <w:t>3.2</w:t>
            </w:r>
            <w:r w:rsidRPr="003F54CC">
              <w:rPr>
                <w:rFonts w:asciiTheme="minorHAnsi" w:hAnsiTheme="minorHAnsi"/>
                <w:lang w:val="es-ES"/>
              </w:rPr>
              <w:tab/>
            </w:r>
            <w:r w:rsidR="009D2B30" w:rsidRPr="003F54CC">
              <w:rPr>
                <w:lang w:val="es-ES"/>
              </w:rPr>
              <w:t>Las administraciones</w:t>
            </w:r>
            <w:r w:rsidR="00654220" w:rsidRPr="00654220">
              <w:rPr>
                <w:rStyle w:val="FootnoteReference"/>
              </w:rPr>
              <w:t>*</w:t>
            </w:r>
            <w:r w:rsidR="009D2B30" w:rsidRPr="003F54CC">
              <w:rPr>
                <w:lang w:val="es-ES"/>
              </w:rPr>
              <w:t xml:space="preserve"> deberán esforzarse en proporcionar suficientes medios de telecomunicación para satisfacer las exigencias y la demanda de los servicios internacionales de telecomunicación.</w:t>
            </w:r>
          </w:p>
        </w:tc>
        <w:tc>
          <w:tcPr>
            <w:tcW w:w="2226" w:type="dxa"/>
            <w:tcBorders>
              <w:top w:val="single" w:sz="4" w:space="0" w:color="auto"/>
              <w:left w:val="single" w:sz="4" w:space="0" w:color="auto"/>
              <w:bottom w:val="single" w:sz="4" w:space="0" w:color="auto"/>
              <w:right w:val="single" w:sz="4" w:space="0" w:color="auto"/>
            </w:tcBorders>
          </w:tcPr>
          <w:p w14:paraId="1A799CD4" w14:textId="3D819847"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46822996" w14:textId="3835A207"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0A823EA8" w14:textId="2769460C" w:rsidR="00AE6A66" w:rsidRPr="00D378F1" w:rsidRDefault="00CC6A3B" w:rsidP="00D378F1">
            <w:pPr>
              <w:pStyle w:val="Tabletext"/>
              <w:rPr>
                <w:lang w:val="es-ES"/>
              </w:rPr>
            </w:pPr>
            <w:bookmarkStart w:id="72" w:name="lt_pId338"/>
            <w:r w:rsidRPr="00D378F1">
              <w:rPr>
                <w:lang w:val="es-ES"/>
              </w:rPr>
              <w:t>Estos números de los RTI de 1988 y de</w:t>
            </w:r>
            <w:r w:rsidR="004D55EF">
              <w:rPr>
                <w:lang w:val="es-ES"/>
              </w:rPr>
              <w:t> </w:t>
            </w:r>
            <w:r w:rsidRPr="00D378F1">
              <w:rPr>
                <w:lang w:val="es-ES"/>
              </w:rPr>
              <w:t>2012 tienen un significado idéntico. El número 28 del RTI de 2012 utiliza la terminología de la Constitución y el Convenio de la</w:t>
            </w:r>
            <w:r w:rsidR="003916DF">
              <w:rPr>
                <w:lang w:val="es-ES"/>
              </w:rPr>
              <w:t> </w:t>
            </w:r>
            <w:r w:rsidRPr="00D378F1">
              <w:rPr>
                <w:lang w:val="es-ES"/>
              </w:rPr>
              <w:t>UIT.</w:t>
            </w:r>
            <w:bookmarkEnd w:id="72"/>
          </w:p>
        </w:tc>
      </w:tr>
      <w:tr w:rsidR="00AE6A66" w:rsidRPr="003F54CC" w14:paraId="6C39E6EE" w14:textId="77777777" w:rsidTr="005D52EA">
        <w:tc>
          <w:tcPr>
            <w:tcW w:w="1129" w:type="dxa"/>
            <w:vMerge/>
            <w:tcBorders>
              <w:left w:val="single" w:sz="4" w:space="0" w:color="auto"/>
              <w:right w:val="single" w:sz="4" w:space="0" w:color="auto"/>
            </w:tcBorders>
          </w:tcPr>
          <w:p w14:paraId="3F59AFD9"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6EBC00A7" w14:textId="70C982E0"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29</w:t>
            </w:r>
            <w:r w:rsidRPr="003F54CC">
              <w:rPr>
                <w:rFonts w:asciiTheme="minorHAnsi" w:hAnsiTheme="minorHAnsi"/>
                <w:lang w:val="es-ES"/>
              </w:rPr>
              <w:tab/>
              <w:t>3.3</w:t>
            </w:r>
            <w:r w:rsidRPr="003F54CC">
              <w:rPr>
                <w:rFonts w:asciiTheme="minorHAnsi" w:hAnsiTheme="minorHAnsi"/>
                <w:lang w:val="es-ES"/>
              </w:rPr>
              <w:tab/>
            </w:r>
            <w:r w:rsidR="00884546" w:rsidRPr="003F54CC">
              <w:rPr>
                <w:lang w:val="es-ES"/>
              </w:rPr>
              <w:t xml:space="preserve">Las empresas de explotación </w:t>
            </w:r>
            <w:r w:rsidR="00884546" w:rsidRPr="003F54CC">
              <w:rPr>
                <w:bCs/>
                <w:lang w:val="es-ES"/>
              </w:rPr>
              <w:t>autorizadas</w:t>
            </w:r>
            <w:r w:rsidR="00884546" w:rsidRPr="003F54CC">
              <w:rPr>
                <w:lang w:val="es-ES"/>
              </w:rPr>
              <w:t xml:space="preserve"> determinarán por acuerdo mutuo las rutas internacionales que han de utilizar. A reserva de acuerdo y a condición de que no exista una ruta directa entre las empresas de explotación </w:t>
            </w:r>
            <w:r w:rsidR="00884546" w:rsidRPr="003F54CC">
              <w:rPr>
                <w:bCs/>
                <w:lang w:val="es-ES"/>
              </w:rPr>
              <w:t>autorizadas</w:t>
            </w:r>
            <w:r w:rsidR="00884546" w:rsidRPr="003F54CC">
              <w:rPr>
                <w:lang w:val="es-ES"/>
              </w:rPr>
              <w:t xml:space="preserve"> de destino interesadas, la empresa de explotación autorizada de origen podrá elegir el encaminamiento de su tráfico saliente de telecomunicación, teniendo en cuenta los intereses respectivos de las empresas de explotación autorizadas de tránsito y de destino.</w:t>
            </w:r>
          </w:p>
        </w:tc>
        <w:tc>
          <w:tcPr>
            <w:tcW w:w="3551" w:type="dxa"/>
            <w:tcBorders>
              <w:top w:val="single" w:sz="4" w:space="0" w:color="auto"/>
              <w:left w:val="single" w:sz="4" w:space="0" w:color="auto"/>
              <w:bottom w:val="single" w:sz="4" w:space="0" w:color="auto"/>
              <w:right w:val="single" w:sz="4" w:space="0" w:color="auto"/>
            </w:tcBorders>
          </w:tcPr>
          <w:p w14:paraId="3D720B4B" w14:textId="464B9F1A"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30</w:t>
            </w:r>
            <w:r w:rsidRPr="003F54CC">
              <w:rPr>
                <w:rFonts w:asciiTheme="minorHAnsi" w:hAnsiTheme="minorHAnsi"/>
                <w:lang w:val="es-ES"/>
              </w:rPr>
              <w:tab/>
              <w:t>3.3</w:t>
            </w:r>
            <w:r w:rsidRPr="003F54CC">
              <w:rPr>
                <w:rFonts w:asciiTheme="minorHAnsi" w:hAnsiTheme="minorHAnsi"/>
                <w:lang w:val="es-ES"/>
              </w:rPr>
              <w:tab/>
            </w:r>
            <w:r w:rsidR="009D2B30" w:rsidRPr="003F54CC">
              <w:rPr>
                <w:lang w:val="es-ES"/>
              </w:rPr>
              <w:t>Las administraciones</w:t>
            </w:r>
            <w:r w:rsidR="00654220" w:rsidRPr="00654220">
              <w:rPr>
                <w:rStyle w:val="FootnoteReference"/>
              </w:rPr>
              <w:t>*</w:t>
            </w:r>
            <w:r w:rsidR="009D2B30" w:rsidRPr="003F54CC">
              <w:rPr>
                <w:lang w:val="es-ES"/>
              </w:rPr>
              <w:t xml:space="preserve"> determinarán por acuerdo mutuo las rutas internacionales que han de utilizar. A reserva de acuerdo y a condición de que no exista una ruta directa entre las administraciones</w:t>
            </w:r>
            <w:r w:rsidR="00654220" w:rsidRPr="00654220">
              <w:rPr>
                <w:rStyle w:val="FootnoteReference"/>
              </w:rPr>
              <w:t>*</w:t>
            </w:r>
            <w:r w:rsidR="009D2B30" w:rsidRPr="003F54CC">
              <w:rPr>
                <w:lang w:val="es-ES"/>
              </w:rPr>
              <w:t xml:space="preserve"> terminales interesadas, la administración</w:t>
            </w:r>
            <w:r w:rsidR="00654220" w:rsidRPr="00654220">
              <w:rPr>
                <w:rStyle w:val="FootnoteReference"/>
              </w:rPr>
              <w:t>*</w:t>
            </w:r>
            <w:r w:rsidR="009D2B30" w:rsidRPr="003F54CC">
              <w:rPr>
                <w:lang w:val="es-ES"/>
              </w:rPr>
              <w:t xml:space="preserve"> de origen podrá elegir el encaminamiento de su tráfico saliente de telecomunicación, teniendo en cuenta los intereses respectivos de las administraciones</w:t>
            </w:r>
            <w:r w:rsidR="00654220" w:rsidRPr="00654220">
              <w:rPr>
                <w:rStyle w:val="FootnoteReference"/>
              </w:rPr>
              <w:t>*</w:t>
            </w:r>
            <w:r w:rsidR="009D2B30" w:rsidRPr="003F54CC">
              <w:rPr>
                <w:lang w:val="es-ES"/>
              </w:rPr>
              <w:t xml:space="preserve"> de tránsito y de destino.</w:t>
            </w:r>
          </w:p>
        </w:tc>
        <w:tc>
          <w:tcPr>
            <w:tcW w:w="2226" w:type="dxa"/>
            <w:tcBorders>
              <w:top w:val="single" w:sz="4" w:space="0" w:color="auto"/>
              <w:left w:val="single" w:sz="4" w:space="0" w:color="auto"/>
              <w:bottom w:val="single" w:sz="4" w:space="0" w:color="auto"/>
              <w:right w:val="single" w:sz="4" w:space="0" w:color="auto"/>
            </w:tcBorders>
          </w:tcPr>
          <w:p w14:paraId="5B280334" w14:textId="4C28DC92"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290FBC42" w14:textId="15DD39FA"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5BB5E5B3" w14:textId="14180CB8" w:rsidR="00AE6A66" w:rsidRPr="00D378F1" w:rsidRDefault="00CC6A3B" w:rsidP="00D378F1">
            <w:pPr>
              <w:pStyle w:val="Tabletext"/>
              <w:rPr>
                <w:lang w:val="es-ES"/>
              </w:rPr>
            </w:pPr>
            <w:r w:rsidRPr="00D378F1">
              <w:rPr>
                <w:lang w:val="es-ES"/>
              </w:rPr>
              <w:t>Estos números de los RTI de 1988 y de</w:t>
            </w:r>
            <w:r w:rsidR="000F761E">
              <w:rPr>
                <w:lang w:val="es-ES"/>
              </w:rPr>
              <w:t> </w:t>
            </w:r>
            <w:r w:rsidRPr="00D378F1">
              <w:rPr>
                <w:lang w:val="es-ES"/>
              </w:rPr>
              <w:t>2012 tienen un significado idéntico.</w:t>
            </w:r>
          </w:p>
        </w:tc>
      </w:tr>
      <w:tr w:rsidR="00AE6A66" w:rsidRPr="003F54CC" w14:paraId="581A4AEF" w14:textId="77777777" w:rsidTr="005D52EA">
        <w:trPr>
          <w:cantSplit/>
        </w:trPr>
        <w:tc>
          <w:tcPr>
            <w:tcW w:w="1129" w:type="dxa"/>
            <w:vMerge/>
            <w:tcBorders>
              <w:left w:val="single" w:sz="4" w:space="0" w:color="auto"/>
              <w:right w:val="single" w:sz="4" w:space="0" w:color="auto"/>
            </w:tcBorders>
          </w:tcPr>
          <w:p w14:paraId="045D2FAD"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05FAB307" w14:textId="0189FAB0"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30</w:t>
            </w:r>
            <w:r w:rsidRPr="003F54CC">
              <w:rPr>
                <w:rFonts w:asciiTheme="minorHAnsi" w:hAnsiTheme="minorHAnsi"/>
                <w:lang w:val="es-ES"/>
              </w:rPr>
              <w:tab/>
              <w:t>3.4</w:t>
            </w:r>
            <w:r w:rsidRPr="003F54CC">
              <w:rPr>
                <w:rFonts w:asciiTheme="minorHAnsi" w:hAnsiTheme="minorHAnsi"/>
                <w:lang w:val="es-ES"/>
              </w:rPr>
              <w:tab/>
            </w:r>
            <w:r w:rsidR="00884546" w:rsidRPr="003F54CC">
              <w:rPr>
                <w:lang w:val="es-ES"/>
              </w:rPr>
              <w:t>De conformidad con la legislación nacional, todo usuario que goce de acceso a la red internacional tendrá derecho a cursar tráfico. Se debe mantener en la mayor medida posible una calidad de servicio satisfactoria, correspondiente a la de las Recomendaciones UIT-T pertinentes.</w:t>
            </w:r>
          </w:p>
        </w:tc>
        <w:tc>
          <w:tcPr>
            <w:tcW w:w="3551" w:type="dxa"/>
            <w:tcBorders>
              <w:top w:val="single" w:sz="4" w:space="0" w:color="auto"/>
              <w:left w:val="single" w:sz="4" w:space="0" w:color="auto"/>
              <w:bottom w:val="single" w:sz="4" w:space="0" w:color="auto"/>
              <w:right w:val="single" w:sz="4" w:space="0" w:color="auto"/>
            </w:tcBorders>
          </w:tcPr>
          <w:p w14:paraId="7DB2C957" w14:textId="153B45D2"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31</w:t>
            </w:r>
            <w:r w:rsidRPr="003F54CC">
              <w:rPr>
                <w:rFonts w:asciiTheme="minorHAnsi" w:hAnsiTheme="minorHAnsi"/>
                <w:lang w:val="es-ES"/>
              </w:rPr>
              <w:tab/>
              <w:t>3.4</w:t>
            </w:r>
            <w:r w:rsidRPr="003F54CC">
              <w:rPr>
                <w:rFonts w:asciiTheme="minorHAnsi" w:hAnsiTheme="minorHAnsi"/>
                <w:lang w:val="es-ES"/>
              </w:rPr>
              <w:tab/>
            </w:r>
            <w:r w:rsidR="009D2B30" w:rsidRPr="003F54CC">
              <w:rPr>
                <w:lang w:val="es-ES"/>
              </w:rPr>
              <w:t>A reserva de la legislación nacional, todo usuario que goce de acceso a la red internacional establecida por una administración</w:t>
            </w:r>
            <w:r w:rsidR="00654220" w:rsidRPr="00654220">
              <w:rPr>
                <w:rStyle w:val="FootnoteReference"/>
              </w:rPr>
              <w:t>*</w:t>
            </w:r>
            <w:r w:rsidR="009D2B30" w:rsidRPr="003F54CC">
              <w:rPr>
                <w:lang w:val="es-ES"/>
              </w:rPr>
              <w:t xml:space="preserve"> tendrá derecho a cursar tráfico. Se debería mantener en la mayor medida posible una calidad de servicio satisfactoria, correspondiente a las Recomendaciones pertinentes del</w:t>
            </w:r>
            <w:r w:rsidR="006803BE">
              <w:rPr>
                <w:lang w:val="es-ES"/>
              </w:rPr>
              <w:t> </w:t>
            </w:r>
            <w:r w:rsidR="009D2B30" w:rsidRPr="003F54CC">
              <w:rPr>
                <w:lang w:val="es-ES"/>
              </w:rPr>
              <w:t>CCITT.</w:t>
            </w:r>
          </w:p>
        </w:tc>
        <w:tc>
          <w:tcPr>
            <w:tcW w:w="2226" w:type="dxa"/>
            <w:tcBorders>
              <w:top w:val="single" w:sz="4" w:space="0" w:color="auto"/>
              <w:left w:val="single" w:sz="4" w:space="0" w:color="auto"/>
              <w:bottom w:val="single" w:sz="4" w:space="0" w:color="auto"/>
              <w:right w:val="single" w:sz="4" w:space="0" w:color="auto"/>
            </w:tcBorders>
          </w:tcPr>
          <w:p w14:paraId="4EE2F87B" w14:textId="13293D5A" w:rsidR="00AE6A66" w:rsidRPr="00D378F1" w:rsidRDefault="00E67211" w:rsidP="00D378F1">
            <w:pPr>
              <w:pStyle w:val="Tabletext"/>
              <w:rPr>
                <w:lang w:val="es-ES"/>
              </w:rPr>
            </w:pPr>
            <w:bookmarkStart w:id="73" w:name="lt_pId364"/>
            <w:r w:rsidRPr="00D378F1">
              <w:rPr>
                <w:lang w:val="es-ES"/>
              </w:rPr>
              <w:t>Promueve el desarrollo de redes y servicios</w:t>
            </w:r>
            <w:r w:rsidR="00AE6A66" w:rsidRPr="00D378F1">
              <w:rPr>
                <w:lang w:val="es-ES"/>
              </w:rPr>
              <w:t xml:space="preserve">, </w:t>
            </w:r>
            <w:r w:rsidR="00CC6A3B" w:rsidRPr="00D378F1">
              <w:rPr>
                <w:lang w:val="es-ES"/>
              </w:rPr>
              <w:t xml:space="preserve">teniendo en cuenta las circunstancias nacionales. </w:t>
            </w:r>
            <w:bookmarkEnd w:id="73"/>
          </w:p>
        </w:tc>
        <w:tc>
          <w:tcPr>
            <w:tcW w:w="1917" w:type="dxa"/>
            <w:tcBorders>
              <w:top w:val="single" w:sz="4" w:space="0" w:color="auto"/>
              <w:left w:val="single" w:sz="4" w:space="0" w:color="auto"/>
              <w:bottom w:val="single" w:sz="4" w:space="0" w:color="auto"/>
              <w:right w:val="single" w:sz="4" w:space="0" w:color="auto"/>
            </w:tcBorders>
          </w:tcPr>
          <w:p w14:paraId="7463537B" w14:textId="2A0CF34F" w:rsidR="00AE6A66" w:rsidRPr="00D378F1" w:rsidRDefault="00FA7D0A" w:rsidP="00D378F1">
            <w:pPr>
              <w:pStyle w:val="Tabletext"/>
              <w:rPr>
                <w:lang w:val="es-ES"/>
              </w:rPr>
            </w:pPr>
            <w:r w:rsidRPr="00D378F1">
              <w:rPr>
                <w:lang w:val="es-ES"/>
              </w:rPr>
              <w:t>Garantiza la flexibilidad</w:t>
            </w:r>
            <w:r w:rsidR="00AE6A66" w:rsidRPr="00D378F1">
              <w:rPr>
                <w:lang w:val="es-ES"/>
              </w:rPr>
              <w:t xml:space="preserve">, </w:t>
            </w:r>
            <w:r w:rsidR="00CC6A3B" w:rsidRPr="00D378F1">
              <w:rPr>
                <w:lang w:val="es-ES"/>
              </w:rPr>
              <w:t>teniendo en cuenta las circunstancias nacionales</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443C4B1C" w14:textId="02AFE5D6" w:rsidR="00AE6A66" w:rsidRPr="00D378F1" w:rsidRDefault="00CC6A3B" w:rsidP="00D378F1">
            <w:pPr>
              <w:pStyle w:val="Tabletext"/>
              <w:rPr>
                <w:lang w:val="es-ES"/>
              </w:rPr>
            </w:pPr>
            <w:bookmarkStart w:id="74" w:name="lt_pId366"/>
            <w:r w:rsidRPr="00D378F1">
              <w:rPr>
                <w:lang w:val="es-ES"/>
              </w:rPr>
              <w:t>Estos números de los RTI de 1988 y 2012 tienen un significado similar. El número 28 del</w:t>
            </w:r>
            <w:r w:rsidR="001F143F">
              <w:rPr>
                <w:lang w:val="es-ES"/>
              </w:rPr>
              <w:t> </w:t>
            </w:r>
            <w:r w:rsidRPr="00D378F1">
              <w:rPr>
                <w:lang w:val="es-ES"/>
              </w:rPr>
              <w:t xml:space="preserve">RTI de 2012 utiliza terminología actualizada de la Constitución y el Convenio de la UIT, mientras que el número 31 </w:t>
            </w:r>
            <w:bookmarkStart w:id="75" w:name="lt_pId367"/>
            <w:bookmarkEnd w:id="74"/>
            <w:r w:rsidRPr="00D378F1">
              <w:rPr>
                <w:lang w:val="es-ES"/>
              </w:rPr>
              <w:t>del RTI de 1988 utiliza una terminología imprecisa y anticuada.</w:t>
            </w:r>
            <w:bookmarkEnd w:id="75"/>
          </w:p>
        </w:tc>
      </w:tr>
      <w:tr w:rsidR="00AE6A66" w:rsidRPr="003F54CC" w14:paraId="7C348F0F" w14:textId="77777777" w:rsidTr="000F761E">
        <w:trPr>
          <w:cantSplit/>
        </w:trPr>
        <w:tc>
          <w:tcPr>
            <w:tcW w:w="1129" w:type="dxa"/>
            <w:vMerge/>
            <w:tcBorders>
              <w:left w:val="single" w:sz="4" w:space="0" w:color="auto"/>
              <w:right w:val="single" w:sz="4" w:space="0" w:color="auto"/>
            </w:tcBorders>
          </w:tcPr>
          <w:p w14:paraId="03B9A3E5"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36D57E0" w14:textId="7EE7ADB0" w:rsidR="00AE6A66" w:rsidRPr="003F54CC" w:rsidRDefault="00AE6A66" w:rsidP="00181FE6">
            <w:pPr>
              <w:pStyle w:val="Tabletext"/>
              <w:tabs>
                <w:tab w:val="left" w:pos="457"/>
                <w:tab w:val="left" w:pos="1024"/>
              </w:tabs>
              <w:rPr>
                <w:rFonts w:asciiTheme="minorHAnsi" w:hAnsiTheme="minorHAnsi" w:cstheme="minorHAnsi"/>
                <w:bCs/>
                <w:highlight w:val="cyan"/>
                <w:lang w:val="es-ES"/>
              </w:rPr>
            </w:pPr>
            <w:r w:rsidRPr="00E9121E">
              <w:rPr>
                <w:b/>
                <w:bCs/>
              </w:rPr>
              <w:t>31</w:t>
            </w:r>
            <w:r w:rsidRPr="003F54CC">
              <w:rPr>
                <w:rFonts w:asciiTheme="minorHAnsi" w:hAnsiTheme="minorHAnsi"/>
                <w:lang w:val="es-ES"/>
              </w:rPr>
              <w:tab/>
              <w:t>3.5</w:t>
            </w:r>
            <w:r w:rsidRPr="003F54CC">
              <w:rPr>
                <w:rFonts w:asciiTheme="minorHAnsi" w:hAnsiTheme="minorHAnsi"/>
                <w:lang w:val="es-ES"/>
              </w:rPr>
              <w:tab/>
            </w:r>
            <w:r w:rsidR="00884546" w:rsidRPr="003F54CC">
              <w:rPr>
                <w:lang w:val="es-ES"/>
              </w:rPr>
              <w:t>Los Estados Miembros procurarán velar por que los recursos de numeración de telecomunicaciones internacionales especificados en las Recomendaciones UIT-T sean utilizados exclusivamente por los asignatarios y con el único propósito para los que fueron asignados; y por que no se utilicen recursos no asignados.</w:t>
            </w:r>
          </w:p>
        </w:tc>
        <w:tc>
          <w:tcPr>
            <w:tcW w:w="3551" w:type="dxa"/>
            <w:tcBorders>
              <w:top w:val="single" w:sz="4" w:space="0" w:color="auto"/>
              <w:left w:val="single" w:sz="4" w:space="0" w:color="auto"/>
              <w:bottom w:val="single" w:sz="4" w:space="0" w:color="auto"/>
              <w:right w:val="single" w:sz="4" w:space="0" w:color="auto"/>
            </w:tcBorders>
          </w:tcPr>
          <w:p w14:paraId="04D10B63" w14:textId="7D3F33E0"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32</w:t>
            </w:r>
            <w:r w:rsidRPr="003F54CC">
              <w:rPr>
                <w:rFonts w:asciiTheme="minorHAnsi" w:hAnsiTheme="minorHAnsi"/>
                <w:lang w:val="es-ES"/>
              </w:rPr>
              <w:tab/>
              <w:t>4.1</w:t>
            </w:r>
            <w:r w:rsidRPr="003F54CC">
              <w:rPr>
                <w:rFonts w:asciiTheme="minorHAnsi" w:hAnsiTheme="minorHAnsi"/>
                <w:lang w:val="es-ES"/>
              </w:rPr>
              <w:tab/>
            </w:r>
            <w:r w:rsidR="009D2B30" w:rsidRPr="003F54CC">
              <w:rPr>
                <w:lang w:val="es-ES"/>
              </w:rPr>
              <w:t>Los Miembros promoverán la prestación de los servicios internacionales de telecomunicación y procurarán facilitar generalmente esos servicios al público en sus redes nacionales.</w:t>
            </w:r>
          </w:p>
        </w:tc>
        <w:tc>
          <w:tcPr>
            <w:tcW w:w="2226" w:type="dxa"/>
            <w:tcBorders>
              <w:top w:val="single" w:sz="4" w:space="0" w:color="auto"/>
              <w:left w:val="single" w:sz="4" w:space="0" w:color="auto"/>
              <w:bottom w:val="single" w:sz="4" w:space="0" w:color="auto"/>
              <w:right w:val="single" w:sz="4" w:space="0" w:color="auto"/>
            </w:tcBorders>
          </w:tcPr>
          <w:p w14:paraId="62AE94BA" w14:textId="1C002F1E" w:rsidR="00AE6A66" w:rsidRPr="00D378F1" w:rsidRDefault="00E67211" w:rsidP="00D378F1">
            <w:pPr>
              <w:pStyle w:val="Tabletext"/>
              <w:rPr>
                <w:lang w:val="es-ES"/>
              </w:rPr>
            </w:pPr>
            <w:bookmarkStart w:id="76" w:name="lt_pId374"/>
            <w:r w:rsidRPr="00D378F1">
              <w:rPr>
                <w:lang w:val="es-ES"/>
              </w:rPr>
              <w:t>Promueve el desarrollo de redes y servicios</w:t>
            </w:r>
            <w:r w:rsidR="00AE6A66" w:rsidRPr="00D378F1">
              <w:rPr>
                <w:lang w:val="es-ES"/>
              </w:rPr>
              <w:t xml:space="preserve"> </w:t>
            </w:r>
            <w:r w:rsidR="00CC6A3B" w:rsidRPr="00D378F1">
              <w:rPr>
                <w:lang w:val="es-ES"/>
              </w:rPr>
              <w:t>al tiempo que garantiza los derechos de los Estados Miembros.</w:t>
            </w:r>
            <w:bookmarkEnd w:id="76"/>
          </w:p>
        </w:tc>
        <w:tc>
          <w:tcPr>
            <w:tcW w:w="1917" w:type="dxa"/>
            <w:tcBorders>
              <w:top w:val="single" w:sz="4" w:space="0" w:color="auto"/>
              <w:left w:val="single" w:sz="4" w:space="0" w:color="auto"/>
              <w:bottom w:val="single" w:sz="4" w:space="0" w:color="auto"/>
              <w:right w:val="single" w:sz="4" w:space="0" w:color="auto"/>
            </w:tcBorders>
          </w:tcPr>
          <w:p w14:paraId="5E8C9383" w14:textId="50E36CE1"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5203F0AA" w14:textId="17017FA6" w:rsidR="00AE6A66" w:rsidRPr="00D378F1" w:rsidRDefault="00CC6A3B" w:rsidP="001F143F">
            <w:pPr>
              <w:pStyle w:val="Tabletext"/>
              <w:rPr>
                <w:lang w:val="es-ES"/>
              </w:rPr>
            </w:pPr>
            <w:bookmarkStart w:id="77" w:name="lt_pId376"/>
            <w:r w:rsidRPr="00D378F1">
              <w:rPr>
                <w:lang w:val="es-ES"/>
              </w:rPr>
              <w:t xml:space="preserve">El número 31 </w:t>
            </w:r>
            <w:r w:rsidR="008854C2">
              <w:rPr>
                <w:lang w:val="es-ES"/>
              </w:rPr>
              <w:t>de</w:t>
            </w:r>
            <w:r w:rsidRPr="00D378F1">
              <w:rPr>
                <w:lang w:val="es-ES"/>
              </w:rPr>
              <w:t>l RTI de 2012 refleja las necesidades actuales en términos de la utilización de los recursos de numeración. Puede ser necesario incluir disposiciones sobre la lucha contra la falsificación del número de la parte llamante,</w:t>
            </w:r>
            <w:r w:rsidR="0027089C" w:rsidRPr="00D378F1">
              <w:rPr>
                <w:lang w:val="es-ES"/>
              </w:rPr>
              <w:t xml:space="preserve"> la identificación de la línea y la entrega de números (Resoluciones 61, 65 y 91 de la</w:t>
            </w:r>
            <w:r w:rsidR="003916DF">
              <w:rPr>
                <w:lang w:val="es-ES"/>
              </w:rPr>
              <w:t> </w:t>
            </w:r>
            <w:r w:rsidR="0027089C" w:rsidRPr="00D378F1">
              <w:rPr>
                <w:lang w:val="es-ES"/>
              </w:rPr>
              <w:t>AMNT).</w:t>
            </w:r>
            <w:bookmarkEnd w:id="77"/>
          </w:p>
        </w:tc>
      </w:tr>
      <w:tr w:rsidR="00AE6A66" w:rsidRPr="003F54CC" w14:paraId="311FCC2D" w14:textId="77777777" w:rsidTr="000F761E">
        <w:tc>
          <w:tcPr>
            <w:tcW w:w="1129" w:type="dxa"/>
            <w:vMerge/>
            <w:tcBorders>
              <w:left w:val="single" w:sz="4" w:space="0" w:color="auto"/>
              <w:bottom w:val="single" w:sz="4" w:space="0" w:color="auto"/>
              <w:right w:val="single" w:sz="4" w:space="0" w:color="auto"/>
            </w:tcBorders>
          </w:tcPr>
          <w:p w14:paraId="07612279" w14:textId="77777777" w:rsidR="00AE6A66" w:rsidRPr="003F54CC" w:rsidRDefault="00AE6A66" w:rsidP="00457218">
            <w:pPr>
              <w:tabs>
                <w:tab w:val="clear" w:pos="567"/>
                <w:tab w:val="clear" w:pos="1134"/>
                <w:tab w:val="clear" w:pos="1701"/>
                <w:tab w:val="clear" w:pos="2268"/>
                <w:tab w:val="clear" w:pos="2835"/>
              </w:tabs>
              <w:spacing w:before="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4741E5A" w14:textId="7DDD1960" w:rsidR="00AE6A66" w:rsidRPr="003F54CC" w:rsidRDefault="00AE6A66" w:rsidP="00927922">
            <w:pPr>
              <w:pStyle w:val="Tabletext"/>
              <w:tabs>
                <w:tab w:val="left" w:pos="457"/>
                <w:tab w:val="left" w:pos="1024"/>
              </w:tabs>
              <w:rPr>
                <w:rFonts w:asciiTheme="minorHAnsi" w:hAnsiTheme="minorHAnsi"/>
                <w:bCs/>
                <w:lang w:val="es-ES"/>
              </w:rPr>
            </w:pPr>
            <w:r w:rsidRPr="00E9121E">
              <w:rPr>
                <w:b/>
                <w:bCs/>
              </w:rPr>
              <w:t>33</w:t>
            </w:r>
            <w:r w:rsidRPr="003F54CC">
              <w:rPr>
                <w:rFonts w:asciiTheme="minorHAnsi" w:hAnsiTheme="minorHAnsi"/>
                <w:lang w:val="es-ES"/>
              </w:rPr>
              <w:tab/>
              <w:t>3.7</w:t>
            </w:r>
            <w:r w:rsidRPr="003F54CC">
              <w:rPr>
                <w:rFonts w:asciiTheme="minorHAnsi" w:hAnsiTheme="minorHAnsi"/>
                <w:lang w:val="es-ES"/>
              </w:rPr>
              <w:tab/>
            </w:r>
            <w:r w:rsidR="00884546" w:rsidRPr="003F54CC">
              <w:rPr>
                <w:lang w:val="es-ES"/>
              </w:rPr>
              <w:t>Los Estados Miembros deben crear un entorno propicio a la implantación de centrales regionales de intercambio de tráfico de telecomunicación con el fin de mejorar la calidad, aumentar la conectividad y resistencia de las redes, fomentar la competencia y reducir los costes de las interconexiones de las telecomunicaciones internacionales.</w:t>
            </w:r>
          </w:p>
        </w:tc>
        <w:tc>
          <w:tcPr>
            <w:tcW w:w="3551" w:type="dxa"/>
            <w:tcBorders>
              <w:top w:val="single" w:sz="4" w:space="0" w:color="auto"/>
              <w:left w:val="single" w:sz="4" w:space="0" w:color="auto"/>
              <w:bottom w:val="single" w:sz="4" w:space="0" w:color="auto"/>
              <w:right w:val="single" w:sz="4" w:space="0" w:color="auto"/>
            </w:tcBorders>
          </w:tcPr>
          <w:p w14:paraId="65BD247B" w14:textId="77777777" w:rsidR="00AE6A66" w:rsidRPr="003F54CC" w:rsidRDefault="00AE6A66" w:rsidP="00E9121E">
            <w:pPr>
              <w:pStyle w:val="Tabletext"/>
              <w:rPr>
                <w:lang w:val="es-ES"/>
              </w:rPr>
            </w:pPr>
          </w:p>
        </w:tc>
        <w:tc>
          <w:tcPr>
            <w:tcW w:w="2226" w:type="dxa"/>
            <w:tcBorders>
              <w:top w:val="single" w:sz="4" w:space="0" w:color="auto"/>
              <w:left w:val="single" w:sz="4" w:space="0" w:color="auto"/>
              <w:bottom w:val="single" w:sz="4" w:space="0" w:color="auto"/>
              <w:right w:val="single" w:sz="4" w:space="0" w:color="auto"/>
            </w:tcBorders>
          </w:tcPr>
          <w:p w14:paraId="242D6EF5" w14:textId="5BC1777D"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7E067289" w14:textId="6191E764"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5864E130" w14:textId="311101AF" w:rsidR="00AE6A66" w:rsidRPr="00D378F1" w:rsidRDefault="00AE6A66" w:rsidP="00D378F1">
            <w:pPr>
              <w:pStyle w:val="Tabletext"/>
              <w:rPr>
                <w:lang w:val="es-ES"/>
              </w:rPr>
            </w:pPr>
            <w:bookmarkStart w:id="78" w:name="lt_pId384"/>
            <w:r w:rsidRPr="00D378F1">
              <w:rPr>
                <w:lang w:val="es-ES"/>
              </w:rPr>
              <w:t>Refle</w:t>
            </w:r>
            <w:r w:rsidR="0027089C" w:rsidRPr="00D378F1">
              <w:rPr>
                <w:lang w:val="es-ES"/>
              </w:rPr>
              <w:t>ja las tendencias del desarrollo y la utilización de las telecomunicaciones/TIC.</w:t>
            </w:r>
            <w:bookmarkEnd w:id="78"/>
          </w:p>
        </w:tc>
      </w:tr>
      <w:tr w:rsidR="00AE6A66" w:rsidRPr="003F54CC" w14:paraId="14EBB9F0" w14:textId="77777777" w:rsidTr="000F761E">
        <w:tc>
          <w:tcPr>
            <w:tcW w:w="14454" w:type="dxa"/>
            <w:gridSpan w:val="6"/>
            <w:tcBorders>
              <w:top w:val="single" w:sz="4" w:space="0" w:color="auto"/>
              <w:left w:val="single" w:sz="4" w:space="0" w:color="auto"/>
              <w:bottom w:val="single" w:sz="4" w:space="0" w:color="auto"/>
              <w:right w:val="single" w:sz="4" w:space="0" w:color="auto"/>
            </w:tcBorders>
          </w:tcPr>
          <w:p w14:paraId="2BE896BE" w14:textId="77777777" w:rsidR="00AE6A66" w:rsidRPr="003F54CC" w:rsidRDefault="00AE6A66" w:rsidP="00E9121E">
            <w:pPr>
              <w:pStyle w:val="Tabletext"/>
              <w:rPr>
                <w:lang w:val="es-ES"/>
              </w:rPr>
            </w:pPr>
          </w:p>
        </w:tc>
      </w:tr>
      <w:tr w:rsidR="00AE6A66" w:rsidRPr="003F54CC" w14:paraId="4F60C926" w14:textId="77777777" w:rsidTr="000F761E">
        <w:tc>
          <w:tcPr>
            <w:tcW w:w="1129" w:type="dxa"/>
            <w:vMerge w:val="restart"/>
            <w:tcBorders>
              <w:top w:val="single" w:sz="4" w:space="0" w:color="auto"/>
              <w:left w:val="single" w:sz="4" w:space="0" w:color="auto"/>
              <w:right w:val="single" w:sz="4" w:space="0" w:color="auto"/>
            </w:tcBorders>
            <w:textDirection w:val="btLr"/>
            <w:vAlign w:val="center"/>
          </w:tcPr>
          <w:p w14:paraId="3248E788" w14:textId="517AF3EE" w:rsidR="00AE6A66" w:rsidRPr="00181FE6" w:rsidRDefault="00884546" w:rsidP="00181FE6">
            <w:pPr>
              <w:pStyle w:val="Tabletext"/>
              <w:jc w:val="center"/>
              <w:rPr>
                <w:b/>
                <w:bCs/>
                <w:lang w:val="es-ES"/>
              </w:rPr>
            </w:pPr>
            <w:bookmarkStart w:id="79" w:name="lt_pId385"/>
            <w:bookmarkStart w:id="80" w:name="_Toc351752235"/>
            <w:bookmarkStart w:id="81" w:name="_Toc351752806"/>
            <w:r w:rsidRPr="00181FE6">
              <w:rPr>
                <w:b/>
                <w:bCs/>
                <w:lang w:val="es-ES"/>
              </w:rPr>
              <w:t xml:space="preserve">ARTÍCULO </w:t>
            </w:r>
            <w:r w:rsidR="00AE6A66" w:rsidRPr="00181FE6">
              <w:rPr>
                <w:b/>
                <w:bCs/>
                <w:lang w:val="es-ES"/>
              </w:rPr>
              <w:t>4</w:t>
            </w:r>
            <w:bookmarkEnd w:id="79"/>
            <w:bookmarkEnd w:id="80"/>
            <w:bookmarkEnd w:id="81"/>
          </w:p>
          <w:p w14:paraId="31E720DA" w14:textId="6EAF7E5F" w:rsidR="00AE6A66" w:rsidRPr="003F54CC" w:rsidRDefault="00884546" w:rsidP="00181FE6">
            <w:pPr>
              <w:pStyle w:val="Tabletext"/>
              <w:jc w:val="center"/>
              <w:rPr>
                <w:bCs/>
                <w:lang w:val="es-ES"/>
              </w:rPr>
            </w:pPr>
            <w:r w:rsidRPr="00181FE6">
              <w:rPr>
                <w:b/>
                <w:bCs/>
                <w:lang w:val="es-ES"/>
              </w:rPr>
              <w:t>Servicios internacionales de telecomunicación</w:t>
            </w:r>
          </w:p>
        </w:tc>
        <w:tc>
          <w:tcPr>
            <w:tcW w:w="3546" w:type="dxa"/>
            <w:tcBorders>
              <w:top w:val="single" w:sz="4" w:space="0" w:color="auto"/>
              <w:left w:val="single" w:sz="4" w:space="0" w:color="auto"/>
              <w:bottom w:val="single" w:sz="4" w:space="0" w:color="auto"/>
              <w:right w:val="single" w:sz="4" w:space="0" w:color="auto"/>
            </w:tcBorders>
          </w:tcPr>
          <w:p w14:paraId="0AE419E0" w14:textId="5569946E"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34</w:t>
            </w:r>
            <w:r w:rsidRPr="003F54CC">
              <w:rPr>
                <w:rFonts w:asciiTheme="minorHAnsi" w:hAnsiTheme="minorHAnsi"/>
                <w:lang w:val="es-ES"/>
              </w:rPr>
              <w:tab/>
              <w:t>4.1</w:t>
            </w:r>
            <w:r w:rsidRPr="003F54CC">
              <w:rPr>
                <w:rFonts w:asciiTheme="minorHAnsi" w:hAnsiTheme="minorHAnsi"/>
                <w:lang w:val="es-ES"/>
              </w:rPr>
              <w:tab/>
            </w:r>
            <w:r w:rsidR="00884546" w:rsidRPr="003F54CC">
              <w:rPr>
                <w:lang w:val="es-ES"/>
              </w:rPr>
              <w:t xml:space="preserve">Los Estados Miembros promoverán el desarrollo de servicios internacionales de telecomunicación </w:t>
            </w:r>
            <w:r w:rsidR="00884546" w:rsidRPr="003F54CC">
              <w:rPr>
                <w:iCs/>
                <w:lang w:val="es-ES"/>
              </w:rPr>
              <w:t>y fomentarán su disponibilidad</w:t>
            </w:r>
            <w:r w:rsidR="00884546" w:rsidRPr="003F54CC">
              <w:rPr>
                <w:lang w:val="es-ES"/>
              </w:rPr>
              <w:t xml:space="preserve"> para el público.</w:t>
            </w:r>
          </w:p>
        </w:tc>
        <w:tc>
          <w:tcPr>
            <w:tcW w:w="3551" w:type="dxa"/>
            <w:tcBorders>
              <w:top w:val="single" w:sz="4" w:space="0" w:color="auto"/>
              <w:left w:val="single" w:sz="4" w:space="0" w:color="auto"/>
              <w:bottom w:val="single" w:sz="4" w:space="0" w:color="auto"/>
              <w:right w:val="single" w:sz="4" w:space="0" w:color="auto"/>
            </w:tcBorders>
          </w:tcPr>
          <w:p w14:paraId="6BC14F35" w14:textId="77777777" w:rsidR="00AE6A66" w:rsidRPr="003F54CC" w:rsidRDefault="00AE6A66" w:rsidP="00E9121E">
            <w:pPr>
              <w:pStyle w:val="Tabletext"/>
              <w:rPr>
                <w:lang w:val="es-ES"/>
              </w:rPr>
            </w:pPr>
          </w:p>
        </w:tc>
        <w:tc>
          <w:tcPr>
            <w:tcW w:w="2226" w:type="dxa"/>
            <w:tcBorders>
              <w:top w:val="single" w:sz="4" w:space="0" w:color="auto"/>
              <w:left w:val="single" w:sz="4" w:space="0" w:color="auto"/>
              <w:bottom w:val="single" w:sz="4" w:space="0" w:color="auto"/>
              <w:right w:val="single" w:sz="4" w:space="0" w:color="auto"/>
            </w:tcBorders>
          </w:tcPr>
          <w:p w14:paraId="7208A43B" w14:textId="4DDF3F63"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50914E90" w14:textId="45F5B34A"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717FD023" w14:textId="747A603A" w:rsidR="00AE6A66" w:rsidRPr="00D378F1" w:rsidRDefault="0027089C" w:rsidP="00D378F1">
            <w:pPr>
              <w:pStyle w:val="Tabletext"/>
              <w:rPr>
                <w:lang w:val="es-ES"/>
              </w:rPr>
            </w:pPr>
            <w:bookmarkStart w:id="82" w:name="lt_pId392"/>
            <w:r w:rsidRPr="00D378F1">
              <w:rPr>
                <w:lang w:val="es-ES"/>
              </w:rPr>
              <w:t>Texto introductorio del artículo.</w:t>
            </w:r>
            <w:bookmarkEnd w:id="82"/>
          </w:p>
        </w:tc>
      </w:tr>
      <w:tr w:rsidR="00AE6A66" w:rsidRPr="003F54CC" w14:paraId="39519134" w14:textId="77777777" w:rsidTr="000F761E">
        <w:tc>
          <w:tcPr>
            <w:tcW w:w="1129" w:type="dxa"/>
            <w:vMerge/>
            <w:tcBorders>
              <w:left w:val="single" w:sz="4" w:space="0" w:color="auto"/>
              <w:right w:val="single" w:sz="4" w:space="0" w:color="auto"/>
            </w:tcBorders>
          </w:tcPr>
          <w:p w14:paraId="4F118926"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6EC7688B" w14:textId="65EC45F2"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35</w:t>
            </w:r>
            <w:r w:rsidRPr="003F54CC">
              <w:rPr>
                <w:rFonts w:asciiTheme="minorHAnsi" w:hAnsiTheme="minorHAnsi"/>
                <w:lang w:val="es-ES"/>
              </w:rPr>
              <w:tab/>
              <w:t>4.2</w:t>
            </w:r>
            <w:r w:rsidRPr="003F54CC">
              <w:rPr>
                <w:rFonts w:asciiTheme="minorHAnsi" w:hAnsiTheme="minorHAnsi"/>
                <w:lang w:val="es-ES"/>
              </w:rPr>
              <w:tab/>
            </w:r>
            <w:r w:rsidR="00884546" w:rsidRPr="003F54CC">
              <w:rPr>
                <w:lang w:val="es-ES"/>
              </w:rPr>
              <w:t>Los Estados Miembros se esforzarán por garantizar que las empresas de explotación autorizadas colaboren en el marco del presente Reglamento para ofrecer mediante acuerdo una amplia gama de servicios internacionales de telecomunicación, que deberían ajustarse en la mayor medida posible a las Recomendaciones UIT</w:t>
            </w:r>
            <w:r w:rsidR="00884546" w:rsidRPr="003F54CC">
              <w:rPr>
                <w:lang w:val="es-ES"/>
              </w:rPr>
              <w:noBreakHyphen/>
              <w:t>T pertinentes.</w:t>
            </w:r>
          </w:p>
        </w:tc>
        <w:tc>
          <w:tcPr>
            <w:tcW w:w="3551" w:type="dxa"/>
            <w:tcBorders>
              <w:top w:val="single" w:sz="4" w:space="0" w:color="auto"/>
              <w:left w:val="single" w:sz="4" w:space="0" w:color="auto"/>
              <w:bottom w:val="single" w:sz="4" w:space="0" w:color="auto"/>
              <w:right w:val="single" w:sz="4" w:space="0" w:color="auto"/>
            </w:tcBorders>
          </w:tcPr>
          <w:p w14:paraId="7302925B" w14:textId="7365021A"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33</w:t>
            </w:r>
            <w:r w:rsidRPr="003F54CC">
              <w:rPr>
                <w:rFonts w:asciiTheme="minorHAnsi" w:hAnsiTheme="minorHAnsi"/>
                <w:lang w:val="es-ES"/>
              </w:rPr>
              <w:tab/>
              <w:t>4.2</w:t>
            </w:r>
            <w:r w:rsidRPr="003F54CC">
              <w:rPr>
                <w:rFonts w:asciiTheme="minorHAnsi" w:hAnsiTheme="minorHAnsi"/>
                <w:lang w:val="es-ES"/>
              </w:rPr>
              <w:tab/>
            </w:r>
            <w:r w:rsidR="009D2B30" w:rsidRPr="003F54CC">
              <w:rPr>
                <w:lang w:val="es-ES"/>
              </w:rPr>
              <w:t>Los Miembros garantizarán que las administraciones</w:t>
            </w:r>
            <w:r w:rsidR="00654220" w:rsidRPr="00654220">
              <w:rPr>
                <w:rStyle w:val="FootnoteReference"/>
              </w:rPr>
              <w:t>*</w:t>
            </w:r>
            <w:r w:rsidR="009D2B30" w:rsidRPr="003F54CC">
              <w:rPr>
                <w:lang w:val="es-ES"/>
              </w:rPr>
              <w:t xml:space="preserve"> colaboren en el marco del presente Reglamento para ofrecer de común acuerdo una amplia gama de servicios internacionales de telecomunicación, que deberían ajustarse en la mayor medida posible a las Recomendaciones pertinentes del CCITT.</w:t>
            </w:r>
          </w:p>
        </w:tc>
        <w:tc>
          <w:tcPr>
            <w:tcW w:w="2226" w:type="dxa"/>
            <w:tcBorders>
              <w:top w:val="single" w:sz="4" w:space="0" w:color="auto"/>
              <w:left w:val="single" w:sz="4" w:space="0" w:color="auto"/>
              <w:bottom w:val="single" w:sz="4" w:space="0" w:color="auto"/>
              <w:right w:val="single" w:sz="4" w:space="0" w:color="auto"/>
            </w:tcBorders>
          </w:tcPr>
          <w:p w14:paraId="44B5A29F" w14:textId="0910A2B7"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072C8774" w14:textId="5E46A000"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2940E302" w14:textId="21C8790D" w:rsidR="00AE6A66" w:rsidRPr="00D378F1" w:rsidRDefault="0027089C" w:rsidP="00D378F1">
            <w:pPr>
              <w:pStyle w:val="Tabletext"/>
              <w:rPr>
                <w:lang w:val="es-ES"/>
              </w:rPr>
            </w:pPr>
            <w:r w:rsidRPr="00D378F1">
              <w:rPr>
                <w:lang w:val="es-ES"/>
              </w:rPr>
              <w:t>Estos números de los RTI de 1988 y 2012 tienen un significado similar. El número 35 del RTI de 2012 tiene en cuenta los cambios en el ecosistema de las telecomunicaciones/TIC y en la estructura de la</w:t>
            </w:r>
            <w:r w:rsidR="003916DF">
              <w:rPr>
                <w:lang w:val="es-ES"/>
              </w:rPr>
              <w:t> </w:t>
            </w:r>
            <w:r w:rsidRPr="00D378F1">
              <w:rPr>
                <w:lang w:val="es-ES"/>
              </w:rPr>
              <w:t>UIT.</w:t>
            </w:r>
          </w:p>
        </w:tc>
      </w:tr>
      <w:tr w:rsidR="00AE6A66" w:rsidRPr="003F54CC" w14:paraId="5DA764FD" w14:textId="77777777" w:rsidTr="000F761E">
        <w:tc>
          <w:tcPr>
            <w:tcW w:w="1129" w:type="dxa"/>
            <w:vMerge/>
            <w:tcBorders>
              <w:left w:val="single" w:sz="4" w:space="0" w:color="auto"/>
              <w:right w:val="single" w:sz="4" w:space="0" w:color="auto"/>
            </w:tcBorders>
          </w:tcPr>
          <w:p w14:paraId="093C4AB1"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690A10C3" w14:textId="233999D3"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36</w:t>
            </w:r>
            <w:r w:rsidRPr="003F54CC">
              <w:rPr>
                <w:rFonts w:asciiTheme="minorHAnsi" w:hAnsiTheme="minorHAnsi"/>
                <w:lang w:val="es-ES"/>
              </w:rPr>
              <w:tab/>
              <w:t>4.3</w:t>
            </w:r>
            <w:r w:rsidRPr="003F54CC">
              <w:rPr>
                <w:rFonts w:asciiTheme="minorHAnsi" w:hAnsiTheme="minorHAnsi"/>
                <w:lang w:val="es-ES"/>
              </w:rPr>
              <w:tab/>
            </w:r>
            <w:r w:rsidR="00884546" w:rsidRPr="003F54CC">
              <w:rPr>
                <w:lang w:val="es-ES"/>
              </w:rPr>
              <w:t>De acuerdo con la legislación nacional aplicable, los Estados Miembros procurarán velar por que las empresas de explotación autorizadas proporcionen y mantengan en la mayor medida posible una calidad de servicio satisfactoria correspondiente a la de las Recomendaciones UIT-T pertinentes en relación con:</w:t>
            </w:r>
          </w:p>
        </w:tc>
        <w:tc>
          <w:tcPr>
            <w:tcW w:w="3551" w:type="dxa"/>
            <w:tcBorders>
              <w:top w:val="single" w:sz="4" w:space="0" w:color="auto"/>
              <w:left w:val="single" w:sz="4" w:space="0" w:color="auto"/>
              <w:bottom w:val="single" w:sz="4" w:space="0" w:color="auto"/>
              <w:right w:val="single" w:sz="4" w:space="0" w:color="auto"/>
            </w:tcBorders>
          </w:tcPr>
          <w:p w14:paraId="4231E5FA" w14:textId="17264018"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34</w:t>
            </w:r>
            <w:r w:rsidRPr="003F54CC">
              <w:rPr>
                <w:rFonts w:asciiTheme="minorHAnsi" w:hAnsiTheme="minorHAnsi"/>
                <w:lang w:val="es-ES"/>
              </w:rPr>
              <w:tab/>
              <w:t>4.3</w:t>
            </w:r>
            <w:r w:rsidRPr="003F54CC">
              <w:rPr>
                <w:rFonts w:asciiTheme="minorHAnsi" w:hAnsiTheme="minorHAnsi"/>
                <w:lang w:val="es-ES"/>
              </w:rPr>
              <w:tab/>
            </w:r>
            <w:r w:rsidR="009D2B30" w:rsidRPr="003F54CC">
              <w:rPr>
                <w:lang w:val="es-ES"/>
              </w:rPr>
              <w:t>Sin perjuicio de la legislación nacional aplicable, los Miembros procurarán garantizar que las administraciones</w:t>
            </w:r>
            <w:r w:rsidR="00654220" w:rsidRPr="00654220">
              <w:rPr>
                <w:rStyle w:val="FootnoteReference"/>
              </w:rPr>
              <w:t>*</w:t>
            </w:r>
            <w:r w:rsidR="009D2B30" w:rsidRPr="003F54CC">
              <w:rPr>
                <w:lang w:val="es-ES"/>
              </w:rPr>
              <w:t xml:space="preserve"> proporcionen y mantengan en la mayor medida posible la calidad mínima de servicio correspondiente a las Recomendaciones pertinentes del</w:t>
            </w:r>
            <w:r w:rsidR="006803BE">
              <w:rPr>
                <w:lang w:val="es-ES"/>
              </w:rPr>
              <w:t> </w:t>
            </w:r>
            <w:r w:rsidR="009D2B30" w:rsidRPr="003F54CC">
              <w:rPr>
                <w:lang w:val="es-ES"/>
              </w:rPr>
              <w:t>CCITT en relación con:</w:t>
            </w:r>
          </w:p>
        </w:tc>
        <w:tc>
          <w:tcPr>
            <w:tcW w:w="2226" w:type="dxa"/>
            <w:tcBorders>
              <w:top w:val="single" w:sz="4" w:space="0" w:color="auto"/>
              <w:left w:val="single" w:sz="4" w:space="0" w:color="auto"/>
              <w:bottom w:val="single" w:sz="4" w:space="0" w:color="auto"/>
              <w:right w:val="single" w:sz="4" w:space="0" w:color="auto"/>
            </w:tcBorders>
          </w:tcPr>
          <w:p w14:paraId="0F507932" w14:textId="5FF92301"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 xml:space="preserve">, </w:t>
            </w:r>
            <w:r w:rsidR="0027089C" w:rsidRPr="00D378F1">
              <w:rPr>
                <w:lang w:val="es-ES"/>
              </w:rPr>
              <w:t>teniendo en cuenta las circunstancias nacionales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1D4630AF" w14:textId="363648C7" w:rsidR="00AE6A66" w:rsidRPr="00D378F1" w:rsidRDefault="00FA7D0A" w:rsidP="00D378F1">
            <w:pPr>
              <w:pStyle w:val="Tabletext"/>
              <w:rPr>
                <w:lang w:val="es-ES"/>
              </w:rPr>
            </w:pPr>
            <w:r w:rsidRPr="00D378F1">
              <w:rPr>
                <w:lang w:val="es-ES"/>
              </w:rPr>
              <w:t>Garantiza la flexibilidad</w:t>
            </w:r>
            <w:r w:rsidR="00AE6A66" w:rsidRPr="00D378F1">
              <w:rPr>
                <w:lang w:val="es-ES"/>
              </w:rPr>
              <w:t xml:space="preserve">, </w:t>
            </w:r>
            <w:r w:rsidR="0027089C" w:rsidRPr="00D378F1">
              <w:rPr>
                <w:lang w:val="es-ES"/>
              </w:rPr>
              <w:t>teniendo en cuenta las circunstancias nacionales</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28C661EC" w14:textId="125312C5" w:rsidR="00AE6A66" w:rsidRPr="00D378F1" w:rsidRDefault="0027089C" w:rsidP="006803BE">
            <w:pPr>
              <w:pStyle w:val="Tabletext"/>
              <w:ind w:right="-57"/>
              <w:rPr>
                <w:lang w:val="es-ES"/>
              </w:rPr>
            </w:pPr>
            <w:r w:rsidRPr="00D378F1">
              <w:rPr>
                <w:lang w:val="es-ES"/>
              </w:rPr>
              <w:t>Estos números de los RTI de 1988 y 2012 tienen un significado similar. El número</w:t>
            </w:r>
            <w:r w:rsidR="003916DF">
              <w:rPr>
                <w:lang w:val="es-ES"/>
              </w:rPr>
              <w:t> </w:t>
            </w:r>
            <w:r w:rsidRPr="00D378F1">
              <w:rPr>
                <w:lang w:val="es-ES"/>
              </w:rPr>
              <w:t>36 del RTI de 2012 tiene en cuenta los cambios en el ecosistema de las telecomunicaciones/TIC y en la estructura de la</w:t>
            </w:r>
            <w:r w:rsidR="003916DF">
              <w:rPr>
                <w:lang w:val="es-ES"/>
              </w:rPr>
              <w:t> </w:t>
            </w:r>
            <w:r w:rsidRPr="00D378F1">
              <w:rPr>
                <w:lang w:val="es-ES"/>
              </w:rPr>
              <w:t>UIT</w:t>
            </w:r>
            <w:r w:rsidR="00AE6A66" w:rsidRPr="00D378F1">
              <w:rPr>
                <w:lang w:val="es-ES"/>
              </w:rPr>
              <w:t>.</w:t>
            </w:r>
          </w:p>
        </w:tc>
      </w:tr>
      <w:tr w:rsidR="00AE6A66" w:rsidRPr="003F54CC" w14:paraId="140A71D5" w14:textId="77777777" w:rsidTr="000F761E">
        <w:tc>
          <w:tcPr>
            <w:tcW w:w="1129" w:type="dxa"/>
            <w:vMerge/>
            <w:tcBorders>
              <w:left w:val="single" w:sz="4" w:space="0" w:color="auto"/>
              <w:right w:val="single" w:sz="4" w:space="0" w:color="auto"/>
            </w:tcBorders>
          </w:tcPr>
          <w:p w14:paraId="79DA17F9"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3ED69209" w14:textId="411761BF"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37</w:t>
            </w:r>
            <w:r w:rsidRPr="003F54CC">
              <w:rPr>
                <w:rFonts w:asciiTheme="minorHAnsi" w:hAnsiTheme="minorHAnsi"/>
                <w:lang w:val="es-ES"/>
              </w:rPr>
              <w:tab/>
            </w:r>
            <w:bookmarkStart w:id="83" w:name="lt_pId418"/>
            <w:r w:rsidRPr="003F54CC">
              <w:rPr>
                <w:rFonts w:asciiTheme="minorHAnsi" w:hAnsiTheme="minorHAnsi"/>
                <w:i/>
                <w:iCs/>
                <w:lang w:val="es-ES"/>
              </w:rPr>
              <w:t>a)</w:t>
            </w:r>
            <w:bookmarkEnd w:id="83"/>
            <w:r w:rsidRPr="003F54CC">
              <w:rPr>
                <w:rFonts w:asciiTheme="minorHAnsi" w:hAnsiTheme="minorHAnsi"/>
                <w:lang w:val="es-ES"/>
              </w:rPr>
              <w:tab/>
            </w:r>
            <w:r w:rsidR="00884546" w:rsidRPr="003F54CC">
              <w:rPr>
                <w:lang w:val="es-ES"/>
              </w:rPr>
              <w:t>el acceso de los usuarios a la red internacional mediante terminales que hayan sido autorizados a conectarse a la red y que no causen daños a las instalaciones técnicas ni al personal;</w:t>
            </w:r>
          </w:p>
        </w:tc>
        <w:tc>
          <w:tcPr>
            <w:tcW w:w="3551" w:type="dxa"/>
            <w:tcBorders>
              <w:top w:val="single" w:sz="4" w:space="0" w:color="auto"/>
              <w:left w:val="single" w:sz="4" w:space="0" w:color="auto"/>
              <w:bottom w:val="single" w:sz="4" w:space="0" w:color="auto"/>
              <w:right w:val="single" w:sz="4" w:space="0" w:color="auto"/>
            </w:tcBorders>
          </w:tcPr>
          <w:p w14:paraId="48AD305F" w14:textId="016E4D54"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35</w:t>
            </w:r>
            <w:r w:rsidRPr="003F54CC">
              <w:rPr>
                <w:rFonts w:asciiTheme="minorHAnsi" w:hAnsiTheme="minorHAnsi"/>
                <w:lang w:val="es-ES"/>
              </w:rPr>
              <w:tab/>
            </w:r>
            <w:bookmarkStart w:id="84" w:name="lt_pId421"/>
            <w:r w:rsidRPr="003F54CC">
              <w:rPr>
                <w:rFonts w:asciiTheme="minorHAnsi" w:hAnsiTheme="minorHAnsi"/>
                <w:i/>
                <w:iCs/>
                <w:lang w:val="es-ES"/>
              </w:rPr>
              <w:t>a)</w:t>
            </w:r>
            <w:bookmarkEnd w:id="84"/>
            <w:r w:rsidRPr="003F54CC">
              <w:rPr>
                <w:rFonts w:asciiTheme="minorHAnsi" w:hAnsiTheme="minorHAnsi"/>
                <w:lang w:val="es-ES"/>
              </w:rPr>
              <w:tab/>
            </w:r>
            <w:r w:rsidR="009D2B30" w:rsidRPr="003F54CC">
              <w:rPr>
                <w:lang w:val="es-ES"/>
              </w:rPr>
              <w:t>el acceso de los usuarios a la red internacional mediante terminales que hayan sido autorizados a conectarse a la red y que no causen daños a las instalaciones técnicas ni al personal;</w:t>
            </w:r>
          </w:p>
        </w:tc>
        <w:tc>
          <w:tcPr>
            <w:tcW w:w="2226" w:type="dxa"/>
            <w:tcBorders>
              <w:top w:val="single" w:sz="4" w:space="0" w:color="auto"/>
              <w:left w:val="single" w:sz="4" w:space="0" w:color="auto"/>
              <w:bottom w:val="single" w:sz="4" w:space="0" w:color="auto"/>
              <w:right w:val="single" w:sz="4" w:space="0" w:color="auto"/>
            </w:tcBorders>
          </w:tcPr>
          <w:p w14:paraId="372582D4" w14:textId="599A3C80"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3518E272" w14:textId="72C95C2C"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16B40AAE" w14:textId="15CA971F" w:rsidR="00AE6A66" w:rsidRPr="00D378F1" w:rsidRDefault="0027089C" w:rsidP="00D378F1">
            <w:pPr>
              <w:pStyle w:val="Tabletext"/>
              <w:rPr>
                <w:lang w:val="es-ES"/>
              </w:rPr>
            </w:pPr>
            <w:bookmarkStart w:id="85" w:name="lt_pId425"/>
            <w:r w:rsidRPr="00D378F1">
              <w:rPr>
                <w:lang w:val="es-ES"/>
              </w:rPr>
              <w:t>En ruso, estos números de los RTI de 1988 y de 2012 no son totalmente idénticos.</w:t>
            </w:r>
            <w:bookmarkEnd w:id="85"/>
          </w:p>
        </w:tc>
      </w:tr>
      <w:tr w:rsidR="00AE6A66" w:rsidRPr="003F54CC" w14:paraId="65BF279C" w14:textId="77777777" w:rsidTr="000F761E">
        <w:trPr>
          <w:cantSplit/>
        </w:trPr>
        <w:tc>
          <w:tcPr>
            <w:tcW w:w="1129" w:type="dxa"/>
            <w:vMerge/>
            <w:tcBorders>
              <w:left w:val="single" w:sz="4" w:space="0" w:color="auto"/>
              <w:right w:val="single" w:sz="4" w:space="0" w:color="auto"/>
            </w:tcBorders>
          </w:tcPr>
          <w:p w14:paraId="6FBDA9D4"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5A2925B9" w14:textId="68C9B2D4"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38</w:t>
            </w:r>
            <w:r w:rsidRPr="003F54CC">
              <w:rPr>
                <w:rFonts w:asciiTheme="minorHAnsi" w:hAnsiTheme="minorHAnsi"/>
                <w:lang w:val="es-ES"/>
              </w:rPr>
              <w:tab/>
            </w:r>
            <w:bookmarkStart w:id="86" w:name="lt_pId427"/>
            <w:r w:rsidRPr="003F54CC">
              <w:rPr>
                <w:rFonts w:asciiTheme="minorHAnsi" w:hAnsiTheme="minorHAnsi"/>
                <w:i/>
                <w:iCs/>
                <w:lang w:val="es-ES"/>
              </w:rPr>
              <w:t>b)</w:t>
            </w:r>
            <w:bookmarkEnd w:id="86"/>
            <w:r w:rsidRPr="003F54CC">
              <w:rPr>
                <w:rFonts w:asciiTheme="minorHAnsi" w:hAnsiTheme="minorHAnsi"/>
                <w:lang w:val="es-ES"/>
              </w:rPr>
              <w:tab/>
            </w:r>
            <w:r w:rsidR="00884546" w:rsidRPr="003F54CC">
              <w:rPr>
                <w:lang w:val="es-ES"/>
              </w:rPr>
              <w:t>los medios y servicios internacionales de telecomunicación puestos a disposición de los usuarios para uso especializado;</w:t>
            </w:r>
          </w:p>
        </w:tc>
        <w:tc>
          <w:tcPr>
            <w:tcW w:w="3551" w:type="dxa"/>
            <w:tcBorders>
              <w:top w:val="single" w:sz="4" w:space="0" w:color="auto"/>
              <w:left w:val="single" w:sz="4" w:space="0" w:color="auto"/>
              <w:bottom w:val="single" w:sz="4" w:space="0" w:color="auto"/>
              <w:right w:val="single" w:sz="4" w:space="0" w:color="auto"/>
            </w:tcBorders>
          </w:tcPr>
          <w:p w14:paraId="7798FFD9" w14:textId="05A8540F"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36</w:t>
            </w:r>
            <w:r w:rsidRPr="003F54CC">
              <w:rPr>
                <w:rFonts w:asciiTheme="minorHAnsi" w:hAnsiTheme="minorHAnsi"/>
                <w:lang w:val="es-ES"/>
              </w:rPr>
              <w:tab/>
            </w:r>
            <w:bookmarkStart w:id="87" w:name="lt_pId430"/>
            <w:r w:rsidRPr="003F54CC">
              <w:rPr>
                <w:rFonts w:asciiTheme="minorHAnsi" w:hAnsiTheme="minorHAnsi"/>
                <w:i/>
                <w:iCs/>
                <w:lang w:val="es-ES"/>
              </w:rPr>
              <w:t>b)</w:t>
            </w:r>
            <w:bookmarkEnd w:id="87"/>
            <w:r w:rsidRPr="003F54CC">
              <w:rPr>
                <w:rFonts w:asciiTheme="minorHAnsi" w:hAnsiTheme="minorHAnsi"/>
                <w:lang w:val="es-ES"/>
              </w:rPr>
              <w:tab/>
            </w:r>
            <w:r w:rsidR="009D2B30" w:rsidRPr="003F54CC">
              <w:rPr>
                <w:lang w:val="es-ES"/>
              </w:rPr>
              <w:t>los medios y servicios internacionales de telecomunicación puestos a disposición de los clientes para uso especializado;</w:t>
            </w:r>
          </w:p>
        </w:tc>
        <w:tc>
          <w:tcPr>
            <w:tcW w:w="2226" w:type="dxa"/>
            <w:tcBorders>
              <w:top w:val="single" w:sz="4" w:space="0" w:color="auto"/>
              <w:left w:val="single" w:sz="4" w:space="0" w:color="auto"/>
              <w:bottom w:val="single" w:sz="4" w:space="0" w:color="auto"/>
              <w:right w:val="single" w:sz="4" w:space="0" w:color="auto"/>
            </w:tcBorders>
          </w:tcPr>
          <w:p w14:paraId="439C1946" w14:textId="34491428"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56826C91" w14:textId="42DF2431"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648BE438" w14:textId="74C22D34" w:rsidR="00AE6A66" w:rsidRPr="00D378F1" w:rsidRDefault="0027089C" w:rsidP="00927922">
            <w:pPr>
              <w:pStyle w:val="Tabletext"/>
              <w:rPr>
                <w:lang w:val="es-ES"/>
              </w:rPr>
            </w:pPr>
            <w:r w:rsidRPr="00D378F1">
              <w:rPr>
                <w:lang w:val="es-ES"/>
              </w:rPr>
              <w:t>En ruso, estos números de los RTI de 1988 y de 2012 no son totalmente idénticos</w:t>
            </w:r>
            <w:r w:rsidR="00AE6A66" w:rsidRPr="00D378F1">
              <w:rPr>
                <w:lang w:val="es-ES"/>
              </w:rPr>
              <w:t xml:space="preserve">. </w:t>
            </w:r>
            <w:bookmarkStart w:id="88" w:name="lt_pId435"/>
            <w:r w:rsidRPr="00D378F1">
              <w:rPr>
                <w:lang w:val="es-ES"/>
              </w:rPr>
              <w:t>El número</w:t>
            </w:r>
            <w:r w:rsidR="001F143F">
              <w:rPr>
                <w:lang w:val="es-ES"/>
              </w:rPr>
              <w:t> </w:t>
            </w:r>
            <w:r w:rsidR="00AE6A66" w:rsidRPr="00D378F1">
              <w:rPr>
                <w:lang w:val="es-ES"/>
              </w:rPr>
              <w:t>38 t</w:t>
            </w:r>
            <w:r w:rsidRPr="00D378F1">
              <w:rPr>
                <w:lang w:val="es-ES"/>
              </w:rPr>
              <w:t>iene en cuenta las realidades y la terminología actuales.</w:t>
            </w:r>
            <w:bookmarkEnd w:id="88"/>
          </w:p>
        </w:tc>
      </w:tr>
      <w:tr w:rsidR="00AE6A66" w:rsidRPr="003F54CC" w14:paraId="1B6FEDE2" w14:textId="77777777" w:rsidTr="000F761E">
        <w:tc>
          <w:tcPr>
            <w:tcW w:w="1129" w:type="dxa"/>
            <w:vMerge/>
            <w:tcBorders>
              <w:left w:val="single" w:sz="4" w:space="0" w:color="auto"/>
              <w:right w:val="single" w:sz="4" w:space="0" w:color="auto"/>
            </w:tcBorders>
          </w:tcPr>
          <w:p w14:paraId="715F81C2"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7801D381" w14:textId="757B6772" w:rsidR="00AE6A66" w:rsidRPr="003F54CC" w:rsidRDefault="00AE6A66" w:rsidP="00181FE6">
            <w:pPr>
              <w:pStyle w:val="Tabletext"/>
              <w:tabs>
                <w:tab w:val="left" w:pos="457"/>
                <w:tab w:val="left" w:pos="1024"/>
              </w:tabs>
              <w:rPr>
                <w:rFonts w:asciiTheme="minorHAnsi" w:hAnsiTheme="minorHAnsi" w:cstheme="minorHAnsi"/>
                <w:bCs/>
                <w:lang w:val="es-ES"/>
              </w:rPr>
            </w:pPr>
            <w:r w:rsidRPr="00E9121E">
              <w:rPr>
                <w:b/>
                <w:bCs/>
              </w:rPr>
              <w:t>39</w:t>
            </w:r>
            <w:r w:rsidRPr="003F54CC">
              <w:rPr>
                <w:rFonts w:asciiTheme="minorHAnsi" w:hAnsiTheme="minorHAnsi"/>
                <w:lang w:val="es-ES"/>
              </w:rPr>
              <w:tab/>
            </w:r>
            <w:bookmarkStart w:id="89" w:name="lt_pId438"/>
            <w:r w:rsidRPr="003F54CC">
              <w:rPr>
                <w:rFonts w:asciiTheme="minorHAnsi" w:hAnsiTheme="minorHAnsi"/>
                <w:i/>
                <w:iCs/>
                <w:lang w:val="es-ES"/>
              </w:rPr>
              <w:t>c)</w:t>
            </w:r>
            <w:bookmarkEnd w:id="89"/>
            <w:r w:rsidRPr="003F54CC">
              <w:rPr>
                <w:rFonts w:asciiTheme="minorHAnsi" w:hAnsiTheme="minorHAnsi"/>
                <w:lang w:val="es-ES"/>
              </w:rPr>
              <w:tab/>
            </w:r>
            <w:r w:rsidR="00884546" w:rsidRPr="003F54CC">
              <w:rPr>
                <w:lang w:val="es-ES"/>
              </w:rPr>
              <w:t>al menos una forma de servicio de telecomunicación razonablemente accesible al público, comprendidas las personas que puedan no estar abonadas a un servicio específico de telecomunicación; y</w:t>
            </w:r>
          </w:p>
        </w:tc>
        <w:tc>
          <w:tcPr>
            <w:tcW w:w="3551" w:type="dxa"/>
            <w:tcBorders>
              <w:top w:val="single" w:sz="4" w:space="0" w:color="auto"/>
              <w:left w:val="single" w:sz="4" w:space="0" w:color="auto"/>
              <w:bottom w:val="single" w:sz="4" w:space="0" w:color="auto"/>
              <w:right w:val="single" w:sz="4" w:space="0" w:color="auto"/>
            </w:tcBorders>
          </w:tcPr>
          <w:p w14:paraId="791BE895" w14:textId="2DCEDEA5"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37</w:t>
            </w:r>
            <w:r w:rsidRPr="003F54CC">
              <w:rPr>
                <w:rFonts w:asciiTheme="minorHAnsi" w:hAnsiTheme="minorHAnsi"/>
                <w:lang w:val="es-ES"/>
              </w:rPr>
              <w:tab/>
            </w:r>
            <w:bookmarkStart w:id="90" w:name="lt_pId441"/>
            <w:r w:rsidRPr="003F54CC">
              <w:rPr>
                <w:rFonts w:asciiTheme="minorHAnsi" w:hAnsiTheme="minorHAnsi"/>
                <w:i/>
                <w:iCs/>
                <w:lang w:val="es-ES"/>
              </w:rPr>
              <w:t>c)</w:t>
            </w:r>
            <w:bookmarkEnd w:id="90"/>
            <w:r w:rsidRPr="003F54CC">
              <w:rPr>
                <w:rFonts w:asciiTheme="minorHAnsi" w:hAnsiTheme="minorHAnsi"/>
                <w:lang w:val="es-ES"/>
              </w:rPr>
              <w:tab/>
            </w:r>
            <w:r w:rsidR="009D2B30" w:rsidRPr="003F54CC">
              <w:rPr>
                <w:lang w:val="es-ES"/>
              </w:rPr>
              <w:t>al menos una forma de telecomunicación razonablemente accesible al público, comprendidas las personas que puedan no estar abonadas a un servicio específico de telecomunicación; y</w:t>
            </w:r>
          </w:p>
        </w:tc>
        <w:tc>
          <w:tcPr>
            <w:tcW w:w="2226" w:type="dxa"/>
            <w:tcBorders>
              <w:top w:val="single" w:sz="4" w:space="0" w:color="auto"/>
              <w:left w:val="single" w:sz="4" w:space="0" w:color="auto"/>
              <w:bottom w:val="single" w:sz="4" w:space="0" w:color="auto"/>
              <w:right w:val="single" w:sz="4" w:space="0" w:color="auto"/>
            </w:tcBorders>
          </w:tcPr>
          <w:p w14:paraId="3EB68B8C" w14:textId="28B84ABD"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7C145797" w14:textId="08F633DF"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337144FA" w14:textId="70A11F12" w:rsidR="00AE6A66" w:rsidRPr="00D378F1" w:rsidRDefault="0027089C" w:rsidP="00927922">
            <w:pPr>
              <w:pStyle w:val="Tabletext"/>
              <w:rPr>
                <w:lang w:val="es-ES"/>
              </w:rPr>
            </w:pPr>
            <w:r w:rsidRPr="00D378F1">
              <w:rPr>
                <w:lang w:val="es-ES"/>
              </w:rPr>
              <w:t>El número</w:t>
            </w:r>
            <w:r w:rsidR="00AE6A66" w:rsidRPr="00D378F1">
              <w:rPr>
                <w:lang w:val="es-ES"/>
              </w:rPr>
              <w:t xml:space="preserve"> 39 </w:t>
            </w:r>
            <w:r w:rsidRPr="00D378F1">
              <w:rPr>
                <w:lang w:val="es-ES"/>
              </w:rPr>
              <w:t>del RTI de</w:t>
            </w:r>
            <w:r w:rsidR="00AE6A66" w:rsidRPr="00D378F1">
              <w:rPr>
                <w:lang w:val="es-ES"/>
              </w:rPr>
              <w:t xml:space="preserve"> 2012 </w:t>
            </w:r>
            <w:r w:rsidRPr="00D378F1">
              <w:rPr>
                <w:lang w:val="es-ES"/>
              </w:rPr>
              <w:t>refleja fielmente la actual situación de las telecomunicaciones/TIC. Puede ser necesario aclarar la definición del servicio universal. En principio, el RTI no contiene disposiciones sobre el servicio universal.</w:t>
            </w:r>
          </w:p>
        </w:tc>
      </w:tr>
      <w:tr w:rsidR="00AE6A66" w:rsidRPr="003F54CC" w14:paraId="6E791D62" w14:textId="77777777" w:rsidTr="000F761E">
        <w:trPr>
          <w:cantSplit/>
        </w:trPr>
        <w:tc>
          <w:tcPr>
            <w:tcW w:w="1129" w:type="dxa"/>
            <w:vMerge/>
            <w:tcBorders>
              <w:left w:val="single" w:sz="4" w:space="0" w:color="auto"/>
              <w:bottom w:val="single" w:sz="4" w:space="0" w:color="auto"/>
              <w:right w:val="single" w:sz="4" w:space="0" w:color="auto"/>
            </w:tcBorders>
          </w:tcPr>
          <w:p w14:paraId="3005C062"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tcPr>
          <w:p w14:paraId="67B23BCD" w14:textId="39A9B8C6"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E9121E">
              <w:rPr>
                <w:b/>
                <w:bCs/>
              </w:rPr>
              <w:t>40</w:t>
            </w:r>
            <w:r w:rsidRPr="003F54CC">
              <w:rPr>
                <w:rFonts w:asciiTheme="minorHAnsi" w:hAnsiTheme="minorHAnsi"/>
                <w:lang w:val="es-ES"/>
              </w:rPr>
              <w:tab/>
            </w:r>
            <w:bookmarkStart w:id="91" w:name="lt_pId450"/>
            <w:r w:rsidRPr="003F54CC">
              <w:rPr>
                <w:rFonts w:asciiTheme="minorHAnsi" w:hAnsiTheme="minorHAnsi"/>
                <w:i/>
                <w:iCs/>
                <w:lang w:val="es-ES"/>
              </w:rPr>
              <w:t>d)</w:t>
            </w:r>
            <w:bookmarkEnd w:id="91"/>
            <w:r w:rsidRPr="003F54CC">
              <w:rPr>
                <w:rFonts w:asciiTheme="minorHAnsi" w:hAnsiTheme="minorHAnsi"/>
                <w:lang w:val="es-ES"/>
              </w:rPr>
              <w:tab/>
            </w:r>
            <w:r w:rsidR="00884546" w:rsidRPr="003F54CC">
              <w:rPr>
                <w:lang w:val="es-ES"/>
              </w:rPr>
              <w:t>en su caso, una posibilidad de interfuncionamiento entre servicios diferentes, para facilitar los servicios de telecomunicaciones internacionales.</w:t>
            </w:r>
          </w:p>
        </w:tc>
        <w:tc>
          <w:tcPr>
            <w:tcW w:w="3551" w:type="dxa"/>
            <w:tcBorders>
              <w:top w:val="single" w:sz="4" w:space="0" w:color="auto"/>
              <w:left w:val="single" w:sz="4" w:space="0" w:color="auto"/>
              <w:bottom w:val="single" w:sz="4" w:space="0" w:color="auto"/>
              <w:right w:val="single" w:sz="4" w:space="0" w:color="auto"/>
            </w:tcBorders>
          </w:tcPr>
          <w:p w14:paraId="3BAD1D43" w14:textId="5495BDB0" w:rsidR="00AE6A66" w:rsidRPr="003F54CC" w:rsidRDefault="00AE6A66" w:rsidP="00181FE6">
            <w:pPr>
              <w:pStyle w:val="Tabletext"/>
              <w:tabs>
                <w:tab w:val="left" w:pos="457"/>
                <w:tab w:val="left" w:pos="1024"/>
              </w:tabs>
              <w:rPr>
                <w:rFonts w:asciiTheme="minorHAnsi" w:eastAsia="SimSun" w:hAnsiTheme="minorHAnsi" w:cs="Times New Roman Bold"/>
                <w:b/>
                <w:bCs/>
                <w:iCs/>
                <w:color w:val="000000"/>
                <w:lang w:val="es-ES"/>
              </w:rPr>
            </w:pPr>
            <w:r w:rsidRPr="006D077E">
              <w:rPr>
                <w:b/>
                <w:bCs/>
              </w:rPr>
              <w:t>38</w:t>
            </w:r>
            <w:r w:rsidRPr="003F54CC">
              <w:rPr>
                <w:rFonts w:asciiTheme="minorHAnsi" w:hAnsiTheme="minorHAnsi"/>
                <w:lang w:val="es-ES"/>
              </w:rPr>
              <w:tab/>
            </w:r>
            <w:bookmarkStart w:id="92" w:name="lt_pId453"/>
            <w:r w:rsidRPr="003F54CC">
              <w:rPr>
                <w:rFonts w:asciiTheme="minorHAnsi" w:hAnsiTheme="minorHAnsi"/>
                <w:i/>
                <w:iCs/>
                <w:lang w:val="es-ES"/>
              </w:rPr>
              <w:t>d)</w:t>
            </w:r>
            <w:bookmarkEnd w:id="92"/>
            <w:r w:rsidRPr="003F54CC">
              <w:rPr>
                <w:rFonts w:asciiTheme="minorHAnsi" w:hAnsiTheme="minorHAnsi"/>
                <w:lang w:val="es-ES"/>
              </w:rPr>
              <w:tab/>
            </w:r>
            <w:r w:rsidR="009D2B30" w:rsidRPr="003F54CC">
              <w:rPr>
                <w:lang w:val="es-ES"/>
              </w:rPr>
              <w:t>en su caso, una posibilidad de interfuncionamiento entre servicios diferentes, para facilitar las comunicaciones internacionales.</w:t>
            </w:r>
          </w:p>
        </w:tc>
        <w:tc>
          <w:tcPr>
            <w:tcW w:w="2226" w:type="dxa"/>
            <w:tcBorders>
              <w:top w:val="single" w:sz="4" w:space="0" w:color="auto"/>
              <w:left w:val="single" w:sz="4" w:space="0" w:color="auto"/>
              <w:bottom w:val="single" w:sz="4" w:space="0" w:color="auto"/>
              <w:right w:val="single" w:sz="4" w:space="0" w:color="auto"/>
            </w:tcBorders>
          </w:tcPr>
          <w:p w14:paraId="7B485B7E" w14:textId="5175A73E"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tcPr>
          <w:p w14:paraId="21EAEDE8" w14:textId="2AEAF95F"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tcPr>
          <w:p w14:paraId="4CB59DF2" w14:textId="5A72DCDF" w:rsidR="00AE6A66" w:rsidRPr="00D378F1" w:rsidRDefault="0027089C" w:rsidP="006803BE">
            <w:pPr>
              <w:pStyle w:val="Tabletext"/>
              <w:rPr>
                <w:lang w:val="es-ES"/>
              </w:rPr>
            </w:pPr>
            <w:r w:rsidRPr="00D378F1">
              <w:rPr>
                <w:lang w:val="es-ES"/>
              </w:rPr>
              <w:t>El número 40 del</w:t>
            </w:r>
            <w:r w:rsidR="003916DF">
              <w:rPr>
                <w:lang w:val="es-ES"/>
              </w:rPr>
              <w:t> </w:t>
            </w:r>
            <w:r w:rsidRPr="00D378F1">
              <w:rPr>
                <w:lang w:val="es-ES"/>
              </w:rPr>
              <w:t>RTI de 2012 refleja fielmente la actual situación de las telecomunicaciones/TIC.</w:t>
            </w:r>
          </w:p>
        </w:tc>
      </w:tr>
      <w:tr w:rsidR="00AE6A66" w:rsidRPr="003F54CC" w14:paraId="3814BDC2" w14:textId="77777777" w:rsidTr="000F761E">
        <w:tc>
          <w:tcPr>
            <w:tcW w:w="1129" w:type="dxa"/>
            <w:vMerge w:val="restart"/>
            <w:tcBorders>
              <w:top w:val="single" w:sz="4" w:space="0" w:color="auto"/>
              <w:left w:val="single" w:sz="4" w:space="0" w:color="auto"/>
              <w:right w:val="single" w:sz="4" w:space="0" w:color="auto"/>
            </w:tcBorders>
            <w:shd w:val="clear" w:color="auto" w:fill="auto"/>
          </w:tcPr>
          <w:p w14:paraId="37693BF4" w14:textId="77777777" w:rsidR="00AE6A66" w:rsidRPr="003F54CC" w:rsidRDefault="00AE6A66" w:rsidP="00457218">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5B2DC326" w14:textId="76185EE3" w:rsidR="00AE6A66" w:rsidRPr="003F54CC" w:rsidRDefault="00AE6A66" w:rsidP="00181FE6">
            <w:pPr>
              <w:pStyle w:val="Tabletext"/>
              <w:tabs>
                <w:tab w:val="left" w:pos="457"/>
                <w:tab w:val="left" w:pos="1024"/>
              </w:tabs>
              <w:rPr>
                <w:rFonts w:asciiTheme="minorHAnsi" w:eastAsia="SimSun" w:hAnsiTheme="minorHAnsi" w:cs="Times New Roman Bold"/>
                <w:b/>
                <w:bCs/>
                <w:iCs/>
                <w:highlight w:val="yellow"/>
                <w:lang w:val="es-ES" w:eastAsia="ru-RU"/>
              </w:rPr>
            </w:pPr>
            <w:bookmarkStart w:id="93" w:name="lt_pId459"/>
            <w:r w:rsidRPr="00E9121E">
              <w:rPr>
                <w:b/>
                <w:bCs/>
              </w:rPr>
              <w:t>41</w:t>
            </w:r>
            <w:r w:rsidRPr="003F54CC">
              <w:rPr>
                <w:rFonts w:asciiTheme="minorHAnsi" w:eastAsia="SimSun" w:hAnsiTheme="minorHAnsi" w:cs="Times New Roman Bold"/>
                <w:b/>
                <w:bCs/>
                <w:iCs/>
                <w:lang w:val="es-ES" w:eastAsia="ru-RU"/>
              </w:rPr>
              <w:tab/>
            </w:r>
            <w:r w:rsidRPr="003F54CC">
              <w:rPr>
                <w:lang w:val="es-ES"/>
              </w:rPr>
              <w:t>4.4</w:t>
            </w:r>
            <w:r w:rsidRPr="003F54CC">
              <w:rPr>
                <w:lang w:val="es-ES"/>
              </w:rPr>
              <w:tab/>
            </w:r>
            <w:r w:rsidR="00884546" w:rsidRPr="003F54CC">
              <w:rPr>
                <w:lang w:val="es-ES"/>
              </w:rPr>
              <w:t>Los Estados Miembros fomentarán medidas para asegurar que las empresas de explotación autorizadas suministren una información gratuita, transparente, actualizada y precisa a los usuarios finales sobre servicios internacionales de telecomunicación, incluidas las tarifas de itinerancia internacional y las condiciones aplicables relevantes, de manera oportuna.</w:t>
            </w:r>
            <w:bookmarkEnd w:id="93"/>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05A47BE6" w14:textId="4C21DCEB" w:rsidR="00AE6A66" w:rsidRPr="008854C2" w:rsidRDefault="00AE6A66" w:rsidP="00E9121E">
            <w:pPr>
              <w:pStyle w:val="Tabletext"/>
              <w:rPr>
                <w:lang w:val="es-ES"/>
              </w:rPr>
            </w:pPr>
            <w:bookmarkStart w:id="94" w:name="lt_pId460"/>
            <w:r w:rsidRPr="008854C2">
              <w:rPr>
                <w:lang w:val="es-ES"/>
              </w:rPr>
              <w:t xml:space="preserve">No </w:t>
            </w:r>
            <w:bookmarkEnd w:id="94"/>
            <w:r w:rsidR="0027089C" w:rsidRPr="008854C2">
              <w:rPr>
                <w:lang w:val="es-ES"/>
              </w:rPr>
              <w:t>hay disposición</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1231DA09" w14:textId="27202956" w:rsidR="00AE6A66" w:rsidRPr="00D378F1" w:rsidRDefault="00E67211" w:rsidP="00D378F1">
            <w:pPr>
              <w:pStyle w:val="Tabletext"/>
              <w:rPr>
                <w:lang w:val="es-ES"/>
              </w:rPr>
            </w:pPr>
            <w:r w:rsidRPr="00D378F1">
              <w:rPr>
                <w:lang w:val="es-ES"/>
              </w:rPr>
              <w:t>Promueve el desarrollo de redes y servicios</w:t>
            </w:r>
            <w:r w:rsidR="00AE6A66" w:rsidRPr="00D378F1">
              <w:rPr>
                <w:lang w:val="es-ES"/>
              </w:rPr>
              <w:t>.</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D863695" w14:textId="6A8B0441" w:rsidR="00AE6A66" w:rsidRPr="00D378F1" w:rsidRDefault="00FA7D0A" w:rsidP="00D378F1">
            <w:pPr>
              <w:pStyle w:val="Tabletext"/>
              <w:rPr>
                <w:lang w:val="es-ES"/>
              </w:rPr>
            </w:pPr>
            <w:r w:rsidRPr="00D378F1">
              <w:rPr>
                <w:lang w:val="es-ES"/>
              </w:rPr>
              <w:t>Garantiza la flexibilidad</w:t>
            </w:r>
            <w:r w:rsidR="00AE6A66" w:rsidRPr="00D378F1">
              <w:rPr>
                <w:lang w:val="es-ES"/>
              </w:rPr>
              <w:t>.</w:t>
            </w: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40E8A528" w14:textId="7031F058" w:rsidR="00AE6A66" w:rsidRPr="00D378F1" w:rsidRDefault="00AE6A66" w:rsidP="00D378F1">
            <w:pPr>
              <w:pStyle w:val="Tabletext"/>
              <w:rPr>
                <w:lang w:val="es-ES"/>
              </w:rPr>
            </w:pPr>
            <w:bookmarkStart w:id="95" w:name="lt_pId463"/>
            <w:r w:rsidRPr="00D378F1">
              <w:rPr>
                <w:lang w:val="es-ES"/>
              </w:rPr>
              <w:t>Refle</w:t>
            </w:r>
            <w:r w:rsidR="0027089C" w:rsidRPr="00D378F1">
              <w:rPr>
                <w:lang w:val="es-ES"/>
              </w:rPr>
              <w:t>ja las necesidades de los usuarios.</w:t>
            </w:r>
            <w:bookmarkEnd w:id="95"/>
          </w:p>
        </w:tc>
      </w:tr>
      <w:tr w:rsidR="0027089C" w:rsidRPr="003F54CC" w14:paraId="51CB501E" w14:textId="77777777" w:rsidTr="000F761E">
        <w:trPr>
          <w:cantSplit/>
        </w:trPr>
        <w:tc>
          <w:tcPr>
            <w:tcW w:w="1129" w:type="dxa"/>
            <w:vMerge/>
            <w:tcBorders>
              <w:left w:val="single" w:sz="4" w:space="0" w:color="auto"/>
              <w:right w:val="single" w:sz="4" w:space="0" w:color="auto"/>
            </w:tcBorders>
            <w:shd w:val="clear" w:color="auto" w:fill="auto"/>
          </w:tcPr>
          <w:p w14:paraId="0EC0873B" w14:textId="77777777" w:rsidR="0027089C" w:rsidRPr="003F54CC" w:rsidRDefault="0027089C" w:rsidP="0027089C">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shd w:val="clear" w:color="auto" w:fill="auto"/>
          </w:tcPr>
          <w:p w14:paraId="0B10AE6A" w14:textId="032B1C70" w:rsidR="0027089C" w:rsidRPr="003F54CC" w:rsidRDefault="0027089C" w:rsidP="00181FE6">
            <w:pPr>
              <w:pStyle w:val="Tabletext"/>
              <w:tabs>
                <w:tab w:val="left" w:pos="457"/>
                <w:tab w:val="left" w:pos="1024"/>
              </w:tabs>
              <w:rPr>
                <w:rFonts w:asciiTheme="minorHAnsi" w:eastAsia="SimSun" w:hAnsiTheme="minorHAnsi" w:cs="Times New Roman Bold"/>
                <w:b/>
                <w:bCs/>
                <w:iCs/>
                <w:highlight w:val="yellow"/>
                <w:lang w:val="es-ES" w:eastAsia="ru-RU"/>
              </w:rPr>
            </w:pPr>
            <w:bookmarkStart w:id="96" w:name="lt_pId464"/>
            <w:r w:rsidRPr="00E9121E">
              <w:rPr>
                <w:b/>
                <w:bCs/>
              </w:rPr>
              <w:t>42</w:t>
            </w:r>
            <w:r w:rsidRPr="003F54CC">
              <w:rPr>
                <w:lang w:val="es-ES" w:eastAsia="ru-RU"/>
              </w:rPr>
              <w:tab/>
            </w:r>
            <w:r w:rsidRPr="003F54CC">
              <w:rPr>
                <w:lang w:val="es-ES"/>
              </w:rPr>
              <w:t>4.5</w:t>
            </w:r>
            <w:r w:rsidRPr="003F54CC">
              <w:rPr>
                <w:lang w:val="es-ES"/>
              </w:rPr>
              <w:tab/>
              <w:t>Los Estados Miembros fomentarán medidas para asegurar que los servicios de telecomunicaciones en itinerancia internacional se presten en condiciones de calidad satisfactorias a los usuarios visitantes.</w:t>
            </w:r>
            <w:bookmarkEnd w:id="96"/>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19FFD308" w14:textId="6E10F7E7" w:rsidR="0027089C" w:rsidRPr="008854C2" w:rsidRDefault="0027089C" w:rsidP="00E9121E">
            <w:pPr>
              <w:pStyle w:val="Tabletext"/>
              <w:rPr>
                <w:lang w:val="es-ES"/>
              </w:rPr>
            </w:pPr>
            <w:r w:rsidRPr="008854C2">
              <w:rPr>
                <w:lang w:val="es-ES"/>
              </w:rPr>
              <w:t>No hay disposición</w:t>
            </w:r>
          </w:p>
        </w:tc>
        <w:tc>
          <w:tcPr>
            <w:tcW w:w="2226" w:type="dxa"/>
            <w:tcBorders>
              <w:top w:val="single" w:sz="4" w:space="0" w:color="auto"/>
              <w:left w:val="single" w:sz="4" w:space="0" w:color="auto"/>
              <w:bottom w:val="single" w:sz="4" w:space="0" w:color="auto"/>
              <w:right w:val="single" w:sz="4" w:space="0" w:color="auto"/>
            </w:tcBorders>
            <w:shd w:val="clear" w:color="auto" w:fill="auto"/>
          </w:tcPr>
          <w:p w14:paraId="064F8811" w14:textId="518CE1DB" w:rsidR="0027089C" w:rsidRPr="00D378F1" w:rsidRDefault="0027089C" w:rsidP="00D378F1">
            <w:pPr>
              <w:pStyle w:val="Tabletext"/>
              <w:rPr>
                <w:lang w:val="es-ES"/>
              </w:rPr>
            </w:pPr>
            <w:r w:rsidRPr="00D378F1">
              <w:rPr>
                <w:lang w:val="es-ES"/>
              </w:rPr>
              <w:t>Promueve el desarrollo de redes y servicios.</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423A375" w14:textId="1799D079" w:rsidR="0027089C" w:rsidRPr="00D378F1" w:rsidRDefault="0027089C" w:rsidP="00D378F1">
            <w:pPr>
              <w:pStyle w:val="Tabletext"/>
              <w:rPr>
                <w:lang w:val="es-ES"/>
              </w:rPr>
            </w:pPr>
            <w:r w:rsidRPr="00D378F1">
              <w:rPr>
                <w:lang w:val="es-ES"/>
              </w:rPr>
              <w:t>Garantiza la flexibilidad.</w:t>
            </w:r>
          </w:p>
        </w:tc>
        <w:tc>
          <w:tcPr>
            <w:tcW w:w="2085" w:type="dxa"/>
            <w:tcBorders>
              <w:top w:val="single" w:sz="4" w:space="0" w:color="auto"/>
              <w:left w:val="single" w:sz="4" w:space="0" w:color="auto"/>
              <w:bottom w:val="single" w:sz="4" w:space="0" w:color="auto"/>
              <w:right w:val="single" w:sz="4" w:space="0" w:color="auto"/>
            </w:tcBorders>
            <w:shd w:val="clear" w:color="auto" w:fill="auto"/>
          </w:tcPr>
          <w:p w14:paraId="56428A95" w14:textId="40B7E697" w:rsidR="0027089C" w:rsidRPr="00D378F1" w:rsidRDefault="0027089C" w:rsidP="00D378F1">
            <w:pPr>
              <w:pStyle w:val="Tabletext"/>
              <w:rPr>
                <w:lang w:val="es-ES"/>
              </w:rPr>
            </w:pPr>
            <w:r w:rsidRPr="00D378F1">
              <w:rPr>
                <w:lang w:val="es-ES"/>
              </w:rPr>
              <w:t>Refleja las necesidades de los usuarios.</w:t>
            </w:r>
          </w:p>
        </w:tc>
      </w:tr>
      <w:tr w:rsidR="0027089C" w:rsidRPr="003F54CC" w14:paraId="1E0E55D6" w14:textId="77777777" w:rsidTr="000F761E">
        <w:tc>
          <w:tcPr>
            <w:tcW w:w="1129" w:type="dxa"/>
            <w:vMerge/>
            <w:tcBorders>
              <w:left w:val="single" w:sz="4" w:space="0" w:color="auto"/>
              <w:right w:val="single" w:sz="4" w:space="0" w:color="auto"/>
            </w:tcBorders>
            <w:shd w:val="clear" w:color="auto" w:fill="FFFFFF" w:themeFill="background1"/>
          </w:tcPr>
          <w:p w14:paraId="7FCD6E81" w14:textId="77777777" w:rsidR="0027089C" w:rsidRPr="003F54CC" w:rsidRDefault="0027089C" w:rsidP="0027089C">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4261" w14:textId="6273E6D2" w:rsidR="0027089C" w:rsidRPr="003F54CC" w:rsidRDefault="0027089C" w:rsidP="00181FE6">
            <w:pPr>
              <w:pStyle w:val="Tabletext"/>
              <w:tabs>
                <w:tab w:val="left" w:pos="457"/>
                <w:tab w:val="left" w:pos="1024"/>
              </w:tabs>
              <w:rPr>
                <w:rFonts w:asciiTheme="minorHAnsi" w:eastAsia="SimSun" w:hAnsiTheme="minorHAnsi" w:cs="Times New Roman Bold"/>
                <w:b/>
                <w:bCs/>
                <w:iCs/>
                <w:highlight w:val="yellow"/>
                <w:lang w:val="es-ES" w:eastAsia="ru-RU"/>
              </w:rPr>
            </w:pPr>
            <w:bookmarkStart w:id="97" w:name="lt_pId469"/>
            <w:r w:rsidRPr="00E9121E">
              <w:rPr>
                <w:b/>
                <w:bCs/>
              </w:rPr>
              <w:t>43</w:t>
            </w:r>
            <w:r w:rsidRPr="003F54CC">
              <w:rPr>
                <w:lang w:val="es-ES" w:eastAsia="ru-RU"/>
              </w:rPr>
              <w:tab/>
            </w:r>
            <w:r w:rsidRPr="003F54CC">
              <w:rPr>
                <w:lang w:val="es-ES"/>
              </w:rPr>
              <w:t>4.6</w:t>
            </w:r>
            <w:r w:rsidRPr="003F54CC">
              <w:rPr>
                <w:lang w:val="es-ES"/>
              </w:rPr>
              <w:tab/>
              <w:t>Los Estados Miembros deben fomentar la cooperación entre empresas de explotación autorizadas a fin de evitar o reducir los costos de itinerancia inadvertida en zonas fronterizas.</w:t>
            </w:r>
            <w:bookmarkEnd w:id="97"/>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55A02BEC" w14:textId="2DC8BFD4" w:rsidR="0027089C" w:rsidRPr="008854C2" w:rsidRDefault="0027089C" w:rsidP="00E9121E">
            <w:pPr>
              <w:pStyle w:val="Tabletext"/>
              <w:rPr>
                <w:lang w:val="es-ES"/>
              </w:rPr>
            </w:pPr>
            <w:r w:rsidRPr="008854C2">
              <w:rPr>
                <w:lang w:val="es-ES"/>
              </w:rPr>
              <w:t>No hay disposición</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1EEC6" w14:textId="294DB40F" w:rsidR="0027089C" w:rsidRPr="00D378F1" w:rsidRDefault="0027089C" w:rsidP="00D378F1">
            <w:pPr>
              <w:pStyle w:val="Tabletext"/>
              <w:rPr>
                <w:lang w:val="es-ES"/>
              </w:rPr>
            </w:pPr>
            <w:r w:rsidRPr="00D378F1">
              <w:rPr>
                <w:lang w:val="es-ES"/>
              </w:rPr>
              <w:t>Promueve el desarrollo de redes y servicios.</w:t>
            </w: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tcPr>
          <w:p w14:paraId="36F20D4E" w14:textId="4E96ACC1" w:rsidR="0027089C" w:rsidRPr="00D378F1" w:rsidRDefault="0027089C" w:rsidP="00D378F1">
            <w:pPr>
              <w:pStyle w:val="Tabletext"/>
              <w:rPr>
                <w:lang w:val="es-ES"/>
              </w:rPr>
            </w:pPr>
            <w:r w:rsidRPr="00D378F1">
              <w:rPr>
                <w:lang w:val="es-ES"/>
              </w:rPr>
              <w:t>Garantiza la flexibilidad.</w:t>
            </w:r>
          </w:p>
        </w:tc>
        <w:tc>
          <w:tcPr>
            <w:tcW w:w="20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F5280C" w14:textId="6C918CBA" w:rsidR="0027089C" w:rsidRPr="00D378F1" w:rsidRDefault="0027089C" w:rsidP="00D378F1">
            <w:pPr>
              <w:pStyle w:val="Tabletext"/>
              <w:rPr>
                <w:lang w:val="es-ES"/>
              </w:rPr>
            </w:pPr>
            <w:r w:rsidRPr="00D378F1">
              <w:rPr>
                <w:lang w:val="es-ES"/>
              </w:rPr>
              <w:t>Refleja las necesidades de los usuarios.</w:t>
            </w:r>
          </w:p>
        </w:tc>
      </w:tr>
      <w:tr w:rsidR="0027089C" w:rsidRPr="003F54CC" w14:paraId="114008EA" w14:textId="77777777" w:rsidTr="000F761E">
        <w:tc>
          <w:tcPr>
            <w:tcW w:w="1129" w:type="dxa"/>
            <w:vMerge/>
            <w:tcBorders>
              <w:left w:val="single" w:sz="4" w:space="0" w:color="auto"/>
              <w:bottom w:val="single" w:sz="4" w:space="0" w:color="auto"/>
              <w:right w:val="single" w:sz="4" w:space="0" w:color="auto"/>
            </w:tcBorders>
            <w:shd w:val="clear" w:color="auto" w:fill="FFFFFF" w:themeFill="background1"/>
          </w:tcPr>
          <w:p w14:paraId="26FFC7CA" w14:textId="77777777" w:rsidR="0027089C" w:rsidRPr="003F54CC" w:rsidRDefault="0027089C" w:rsidP="0027089C">
            <w:pPr>
              <w:tabs>
                <w:tab w:val="clear" w:pos="567"/>
                <w:tab w:val="clear" w:pos="1134"/>
                <w:tab w:val="clear" w:pos="1701"/>
                <w:tab w:val="clear" w:pos="2268"/>
                <w:tab w:val="clear" w:pos="2835"/>
              </w:tabs>
              <w:spacing w:before="40" w:after="40"/>
              <w:jc w:val="both"/>
              <w:rPr>
                <w:rFonts w:asciiTheme="minorHAnsi" w:hAnsiTheme="minorHAnsi"/>
                <w:bCs/>
                <w:sz w:val="22"/>
                <w:lang w:val="es-ES"/>
              </w:rPr>
            </w:pPr>
          </w:p>
        </w:tc>
        <w:tc>
          <w:tcPr>
            <w:tcW w:w="354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04A14" w14:textId="578A0640" w:rsidR="0027089C" w:rsidRPr="003F54CC" w:rsidRDefault="0027089C" w:rsidP="00181FE6">
            <w:pPr>
              <w:pStyle w:val="Tabletext"/>
              <w:tabs>
                <w:tab w:val="left" w:pos="457"/>
                <w:tab w:val="left" w:pos="1024"/>
              </w:tabs>
              <w:rPr>
                <w:rFonts w:asciiTheme="minorHAnsi" w:eastAsia="SimSun" w:hAnsiTheme="minorHAnsi" w:cs="Times New Roman Bold"/>
                <w:b/>
                <w:bCs/>
                <w:iCs/>
                <w:lang w:val="es-ES" w:eastAsia="ru-RU"/>
              </w:rPr>
            </w:pPr>
            <w:bookmarkStart w:id="98" w:name="lt_pId474"/>
            <w:r w:rsidRPr="00E9121E">
              <w:rPr>
                <w:b/>
                <w:bCs/>
              </w:rPr>
              <w:t>44</w:t>
            </w:r>
            <w:r w:rsidRPr="00E9121E">
              <w:tab/>
            </w:r>
            <w:r w:rsidRPr="003F54CC">
              <w:rPr>
                <w:lang w:val="es-ES"/>
              </w:rPr>
              <w:t>4.7</w:t>
            </w:r>
            <w:r w:rsidRPr="003F54CC">
              <w:rPr>
                <w:b/>
                <w:lang w:val="es-ES"/>
              </w:rPr>
              <w:tab/>
            </w:r>
            <w:r w:rsidRPr="003F54CC">
              <w:rPr>
                <w:lang w:val="es-ES"/>
              </w:rPr>
              <w:t>Los Estados Miembros procurarán fomentar la competencia en la prestación de servicios de itinerancia internacional, y se los alienta a formular políticas que impulsen precios competitivos en materia de itinerancia en beneficio de los usuarios finales.</w:t>
            </w:r>
            <w:bookmarkEnd w:id="98"/>
          </w:p>
        </w:tc>
        <w:tc>
          <w:tcPr>
            <w:tcW w:w="3551" w:type="dxa"/>
            <w:tcBorders>
              <w:top w:val="single" w:sz="4" w:space="0" w:color="auto"/>
              <w:left w:val="single" w:sz="4" w:space="0" w:color="auto"/>
              <w:bottom w:val="single" w:sz="4" w:space="0" w:color="auto"/>
              <w:right w:val="single" w:sz="4" w:space="0" w:color="auto"/>
            </w:tcBorders>
            <w:shd w:val="clear" w:color="auto" w:fill="auto"/>
          </w:tcPr>
          <w:p w14:paraId="4946B5DC" w14:textId="7A581EE5" w:rsidR="0027089C" w:rsidRPr="008854C2" w:rsidRDefault="0027089C" w:rsidP="00E9121E">
            <w:pPr>
              <w:pStyle w:val="Tabletext"/>
              <w:rPr>
                <w:lang w:val="es-ES"/>
              </w:rPr>
            </w:pPr>
            <w:r w:rsidRPr="008854C2">
              <w:rPr>
                <w:lang w:val="es-ES"/>
              </w:rPr>
              <w:t>No hay disposición</w:t>
            </w:r>
          </w:p>
        </w:tc>
        <w:tc>
          <w:tcPr>
            <w:tcW w:w="22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B9589" w14:textId="41A3FA6C" w:rsidR="0027089C" w:rsidRPr="00D378F1" w:rsidRDefault="0027089C" w:rsidP="00D378F1">
            <w:pPr>
              <w:pStyle w:val="Tabletext"/>
              <w:rPr>
                <w:lang w:val="es-ES"/>
              </w:rPr>
            </w:pPr>
            <w:r w:rsidRPr="00D378F1">
              <w:rPr>
                <w:lang w:val="es-ES"/>
              </w:rPr>
              <w:t>Promueve el desarrollo de redes y servicios.</w:t>
            </w: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tcPr>
          <w:p w14:paraId="0F646FBB" w14:textId="7463399A" w:rsidR="0027089C" w:rsidRPr="00D378F1" w:rsidRDefault="0027089C" w:rsidP="00D378F1">
            <w:pPr>
              <w:pStyle w:val="Tabletext"/>
              <w:rPr>
                <w:lang w:val="es-ES"/>
              </w:rPr>
            </w:pPr>
            <w:r w:rsidRPr="00D378F1">
              <w:rPr>
                <w:lang w:val="es-ES"/>
              </w:rPr>
              <w:t>Garantiza la flexibilidad.</w:t>
            </w:r>
          </w:p>
        </w:tc>
        <w:tc>
          <w:tcPr>
            <w:tcW w:w="2085" w:type="dxa"/>
            <w:tcBorders>
              <w:top w:val="single" w:sz="4" w:space="0" w:color="auto"/>
              <w:left w:val="single" w:sz="4" w:space="0" w:color="auto"/>
              <w:bottom w:val="single" w:sz="4" w:space="0" w:color="auto"/>
              <w:right w:val="single" w:sz="4" w:space="0" w:color="auto"/>
            </w:tcBorders>
            <w:shd w:val="clear" w:color="auto" w:fill="FFFFFF" w:themeFill="background1"/>
          </w:tcPr>
          <w:p w14:paraId="1B1F0CF0" w14:textId="2F227F4D" w:rsidR="0027089C" w:rsidRPr="00D378F1" w:rsidRDefault="0027089C" w:rsidP="00D378F1">
            <w:pPr>
              <w:pStyle w:val="Tabletext"/>
              <w:rPr>
                <w:lang w:val="es-ES"/>
              </w:rPr>
            </w:pPr>
            <w:r w:rsidRPr="00D378F1">
              <w:rPr>
                <w:lang w:val="es-ES"/>
              </w:rPr>
              <w:t>Refleja las necesidades de los usuarios.</w:t>
            </w:r>
          </w:p>
        </w:tc>
      </w:tr>
      <w:bookmarkEnd w:id="10"/>
    </w:tbl>
    <w:p w14:paraId="5A513D5E" w14:textId="77777777" w:rsidR="00884546" w:rsidRPr="003F54CC" w:rsidRDefault="00884546" w:rsidP="00457218">
      <w:pPr>
        <w:pStyle w:val="Reasons"/>
        <w:rPr>
          <w:lang w:val="es-ES"/>
        </w:rPr>
      </w:pPr>
    </w:p>
    <w:p w14:paraId="79AC3814" w14:textId="77777777" w:rsidR="00884546" w:rsidRPr="003F54CC" w:rsidRDefault="00884546">
      <w:pPr>
        <w:jc w:val="center"/>
        <w:rPr>
          <w:lang w:val="es-ES"/>
        </w:rPr>
      </w:pPr>
      <w:r w:rsidRPr="003F54CC">
        <w:rPr>
          <w:lang w:val="es-ES"/>
        </w:rPr>
        <w:t>______________</w:t>
      </w:r>
    </w:p>
    <w:sectPr w:rsidR="00884546" w:rsidRPr="003F54CC" w:rsidSect="00AE6A66">
      <w:headerReference w:type="first" r:id="rId11"/>
      <w:footerReference w:type="first" r:id="rId1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DDC31" w14:textId="77777777" w:rsidR="003916DF" w:rsidRDefault="003916DF">
      <w:r>
        <w:separator/>
      </w:r>
    </w:p>
  </w:endnote>
  <w:endnote w:type="continuationSeparator" w:id="0">
    <w:p w14:paraId="3253C40A" w14:textId="77777777" w:rsidR="003916DF" w:rsidRDefault="0039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4BE4" w14:textId="15996C4B" w:rsidR="003916DF" w:rsidRPr="00F13C7F" w:rsidRDefault="003916DF" w:rsidP="00D378F1">
    <w:pPr>
      <w:pStyle w:val="Footer"/>
      <w:rPr>
        <w:lang w:val="en-US"/>
      </w:rPr>
    </w:pPr>
    <w:r w:rsidRPr="00D378F1">
      <w:rPr>
        <w:lang w:val="en-US"/>
      </w:rPr>
      <w:fldChar w:fldCharType="begin"/>
    </w:r>
    <w:r w:rsidRPr="00D378F1">
      <w:rPr>
        <w:lang w:val="en-US"/>
      </w:rPr>
      <w:instrText xml:space="preserve"> FILENAME \p  \* MERGEFORMAT </w:instrText>
    </w:r>
    <w:r w:rsidRPr="00D378F1">
      <w:rPr>
        <w:lang w:val="en-US"/>
      </w:rPr>
      <w:fldChar w:fldCharType="separate"/>
    </w:r>
    <w:r w:rsidR="00DB74E7">
      <w:rPr>
        <w:lang w:val="en-US"/>
      </w:rPr>
      <w:t>P:\ESP\SG\CONSEIL\EG-ITR\EG-ITR-2\000\002S.docx</w:t>
    </w:r>
    <w:r w:rsidRPr="00D378F1">
      <w:rPr>
        <w:lang w:val="en-US"/>
      </w:rPr>
      <w:fldChar w:fldCharType="end"/>
    </w:r>
    <w:r w:rsidRPr="00D378F1">
      <w:rPr>
        <w:lang w:val="en-US"/>
      </w:rPr>
      <w:t xml:space="preserve"> (</w:t>
    </w:r>
    <w:r>
      <w:rPr>
        <w:lang w:val="en-US"/>
      </w:rPr>
      <w:t>466734</w:t>
    </w:r>
    <w:r w:rsidRPr="00D378F1">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458D5" w14:textId="10E3A1EB" w:rsidR="003916DF" w:rsidRPr="00D378F1" w:rsidRDefault="003916DF" w:rsidP="00D378F1">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34356" w14:textId="4DDAB052" w:rsidR="003916DF" w:rsidRPr="00D378F1" w:rsidRDefault="003916DF" w:rsidP="00D378F1">
    <w:pPr>
      <w:pStyle w:val="Footer"/>
      <w:rPr>
        <w:lang w:val="en-US"/>
      </w:rPr>
    </w:pPr>
    <w:r w:rsidRPr="00D378F1">
      <w:rPr>
        <w:lang w:val="en-US"/>
      </w:rPr>
      <w:fldChar w:fldCharType="begin"/>
    </w:r>
    <w:r w:rsidRPr="00D378F1">
      <w:rPr>
        <w:lang w:val="en-US"/>
      </w:rPr>
      <w:instrText xml:space="preserve"> FILENAME \p  \* MERGEFORMAT </w:instrText>
    </w:r>
    <w:r w:rsidRPr="00D378F1">
      <w:rPr>
        <w:lang w:val="en-US"/>
      </w:rPr>
      <w:fldChar w:fldCharType="separate"/>
    </w:r>
    <w:r w:rsidR="00DB74E7">
      <w:rPr>
        <w:lang w:val="en-US"/>
      </w:rPr>
      <w:t>P:\ESP\SG\CONSEIL\EG-ITR\EG-ITR-2\000\002S.docx</w:t>
    </w:r>
    <w:r w:rsidRPr="00D378F1">
      <w:rPr>
        <w:lang w:val="en-US"/>
      </w:rPr>
      <w:fldChar w:fldCharType="end"/>
    </w:r>
    <w:r w:rsidRPr="00D378F1">
      <w:rPr>
        <w:lang w:val="en-US"/>
      </w:rPr>
      <w:t xml:space="preserve"> (</w:t>
    </w:r>
    <w:r>
      <w:rPr>
        <w:lang w:val="en-US"/>
      </w:rPr>
      <w:t>466734</w:t>
    </w:r>
    <w:r w:rsidRPr="00D378F1">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41771" w14:textId="77777777" w:rsidR="003916DF" w:rsidRDefault="003916DF">
      <w:r>
        <w:t>____________________</w:t>
      </w:r>
    </w:p>
  </w:footnote>
  <w:footnote w:type="continuationSeparator" w:id="0">
    <w:p w14:paraId="7BE59CAE" w14:textId="77777777" w:rsidR="003916DF" w:rsidRDefault="0039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E82D" w14:textId="77777777" w:rsidR="003916DF" w:rsidRDefault="003916DF" w:rsidP="007657F0">
    <w:pPr>
      <w:pStyle w:val="Header"/>
    </w:pPr>
    <w:r>
      <w:fldChar w:fldCharType="begin"/>
    </w:r>
    <w:r>
      <w:instrText>PAGE</w:instrText>
    </w:r>
    <w:r>
      <w:fldChar w:fldCharType="separate"/>
    </w:r>
    <w:r>
      <w:rPr>
        <w:noProof/>
      </w:rPr>
      <w:t>2</w:t>
    </w:r>
    <w:r>
      <w:rPr>
        <w:noProof/>
      </w:rPr>
      <w:fldChar w:fldCharType="end"/>
    </w:r>
  </w:p>
  <w:p w14:paraId="029ADB2C" w14:textId="1950AE63" w:rsidR="003916DF" w:rsidRDefault="003916DF" w:rsidP="00654220">
    <w:pPr>
      <w:pStyle w:val="Header"/>
      <w:spacing w:after="120"/>
    </w:pPr>
    <w:r>
      <w:rPr>
        <w:noProof/>
      </w:rPr>
      <w:t>EG-ITRs-2\2-S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191B" w14:textId="77777777" w:rsidR="003916DF" w:rsidRPr="00AE6A66" w:rsidRDefault="003916DF" w:rsidP="00AE6A66">
    <w:pPr>
      <w:pStyle w:val="Header"/>
    </w:pPr>
    <w:r w:rsidRPr="00AE6A66">
      <w:fldChar w:fldCharType="begin"/>
    </w:r>
    <w:r w:rsidRPr="00AE6A66">
      <w:instrText>PAGE</w:instrText>
    </w:r>
    <w:r w:rsidRPr="00AE6A66">
      <w:fldChar w:fldCharType="separate"/>
    </w:r>
    <w:r w:rsidRPr="00AE6A66">
      <w:t>2</w:t>
    </w:r>
    <w:r w:rsidRPr="00AE6A66">
      <w:fldChar w:fldCharType="end"/>
    </w:r>
  </w:p>
  <w:p w14:paraId="46225878" w14:textId="359623F1" w:rsidR="003916DF" w:rsidRDefault="003916DF">
    <w:pPr>
      <w:pStyle w:val="Header"/>
    </w:pPr>
    <w:r w:rsidRPr="00AE6A66">
      <w:t>EG-ITRs-2\</w:t>
    </w:r>
    <w:r>
      <w:t>2</w:t>
    </w:r>
    <w:r w:rsidRPr="00AE6A66">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66"/>
    <w:rsid w:val="00012E27"/>
    <w:rsid w:val="00026F40"/>
    <w:rsid w:val="00057E10"/>
    <w:rsid w:val="00093EEB"/>
    <w:rsid w:val="000B0D00"/>
    <w:rsid w:val="000B7C15"/>
    <w:rsid w:val="000D1D0F"/>
    <w:rsid w:val="000F5290"/>
    <w:rsid w:val="000F761E"/>
    <w:rsid w:val="0010165C"/>
    <w:rsid w:val="00121365"/>
    <w:rsid w:val="001304D3"/>
    <w:rsid w:val="00132DA1"/>
    <w:rsid w:val="00146BFB"/>
    <w:rsid w:val="001814D0"/>
    <w:rsid w:val="00181FE6"/>
    <w:rsid w:val="001B446D"/>
    <w:rsid w:val="001F143F"/>
    <w:rsid w:val="001F14A2"/>
    <w:rsid w:val="001F60AD"/>
    <w:rsid w:val="002249E4"/>
    <w:rsid w:val="0027089C"/>
    <w:rsid w:val="002801AA"/>
    <w:rsid w:val="002A2ED9"/>
    <w:rsid w:val="002C4676"/>
    <w:rsid w:val="002C70B0"/>
    <w:rsid w:val="002F3CC4"/>
    <w:rsid w:val="003700C5"/>
    <w:rsid w:val="003916DF"/>
    <w:rsid w:val="003C63A2"/>
    <w:rsid w:val="003F54CC"/>
    <w:rsid w:val="00457218"/>
    <w:rsid w:val="004D55EF"/>
    <w:rsid w:val="00513630"/>
    <w:rsid w:val="005262CD"/>
    <w:rsid w:val="00560125"/>
    <w:rsid w:val="00585553"/>
    <w:rsid w:val="005B34D9"/>
    <w:rsid w:val="005D0CCF"/>
    <w:rsid w:val="005D52EA"/>
    <w:rsid w:val="005F410F"/>
    <w:rsid w:val="0060149A"/>
    <w:rsid w:val="00601924"/>
    <w:rsid w:val="0062570D"/>
    <w:rsid w:val="00644509"/>
    <w:rsid w:val="006447EA"/>
    <w:rsid w:val="0064731F"/>
    <w:rsid w:val="00654220"/>
    <w:rsid w:val="006710F6"/>
    <w:rsid w:val="0067129F"/>
    <w:rsid w:val="006803BE"/>
    <w:rsid w:val="00687355"/>
    <w:rsid w:val="006C1B56"/>
    <w:rsid w:val="006D077E"/>
    <w:rsid w:val="006D4761"/>
    <w:rsid w:val="006F421F"/>
    <w:rsid w:val="00726872"/>
    <w:rsid w:val="00760F1C"/>
    <w:rsid w:val="007657F0"/>
    <w:rsid w:val="0077252D"/>
    <w:rsid w:val="007E5DD3"/>
    <w:rsid w:val="007F350B"/>
    <w:rsid w:val="00820BE4"/>
    <w:rsid w:val="008451E8"/>
    <w:rsid w:val="0085057C"/>
    <w:rsid w:val="00884546"/>
    <w:rsid w:val="008854C2"/>
    <w:rsid w:val="008D0F84"/>
    <w:rsid w:val="00913B9C"/>
    <w:rsid w:val="00927922"/>
    <w:rsid w:val="00930A2B"/>
    <w:rsid w:val="00956E77"/>
    <w:rsid w:val="009D2B30"/>
    <w:rsid w:val="00AA390C"/>
    <w:rsid w:val="00AE6A66"/>
    <w:rsid w:val="00B0200A"/>
    <w:rsid w:val="00B574DB"/>
    <w:rsid w:val="00B76F8E"/>
    <w:rsid w:val="00B826C2"/>
    <w:rsid w:val="00B8298E"/>
    <w:rsid w:val="00BA4764"/>
    <w:rsid w:val="00BD0723"/>
    <w:rsid w:val="00BD2518"/>
    <w:rsid w:val="00BF1D1C"/>
    <w:rsid w:val="00C20C59"/>
    <w:rsid w:val="00C55B1F"/>
    <w:rsid w:val="00C85B97"/>
    <w:rsid w:val="00CC6A3B"/>
    <w:rsid w:val="00CE0A8C"/>
    <w:rsid w:val="00CF1A67"/>
    <w:rsid w:val="00D2750E"/>
    <w:rsid w:val="00D378F1"/>
    <w:rsid w:val="00D62446"/>
    <w:rsid w:val="00D92832"/>
    <w:rsid w:val="00DA4EA2"/>
    <w:rsid w:val="00DB74E7"/>
    <w:rsid w:val="00DC3D3E"/>
    <w:rsid w:val="00DC47DA"/>
    <w:rsid w:val="00DE2C90"/>
    <w:rsid w:val="00DE3B24"/>
    <w:rsid w:val="00E06947"/>
    <w:rsid w:val="00E3592D"/>
    <w:rsid w:val="00E549B0"/>
    <w:rsid w:val="00E67211"/>
    <w:rsid w:val="00E9121E"/>
    <w:rsid w:val="00E92DE8"/>
    <w:rsid w:val="00EB1212"/>
    <w:rsid w:val="00ED65AB"/>
    <w:rsid w:val="00EF2E1F"/>
    <w:rsid w:val="00F12850"/>
    <w:rsid w:val="00F13C7F"/>
    <w:rsid w:val="00F33BF4"/>
    <w:rsid w:val="00F70229"/>
    <w:rsid w:val="00F7105E"/>
    <w:rsid w:val="00F75F57"/>
    <w:rsid w:val="00F82FEE"/>
    <w:rsid w:val="00FA7D0A"/>
    <w:rsid w:val="00FC4FA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E8A012"/>
  <w15:docId w15:val="{863DF798-C55D-45CD-95B6-259559E9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916DF"/>
    <w:pPr>
      <w:keepNext/>
      <w:spacing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uiPriority w:val="39"/>
    <w:rsid w:val="00AE6A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AE6A6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BE1D-8537-4C15-96A1-34E8CC94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136</TotalTime>
  <Pages>22</Pages>
  <Words>5164</Words>
  <Characters>29122</Characters>
  <Application>Microsoft Office Word</Application>
  <DocSecurity>0</DocSecurity>
  <Lines>242</Lines>
  <Paragraphs>68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34218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Spanish83</cp:lastModifiedBy>
  <cp:revision>21</cp:revision>
  <cp:lastPrinted>2020-01-31T13:43:00Z</cp:lastPrinted>
  <dcterms:created xsi:type="dcterms:W3CDTF">2020-01-31T12:38:00Z</dcterms:created>
  <dcterms:modified xsi:type="dcterms:W3CDTF">2020-01-31T15:11:00Z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