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F04C4" w14:paraId="32DC90F0" w14:textId="77777777">
        <w:trPr>
          <w:cantSplit/>
        </w:trPr>
        <w:tc>
          <w:tcPr>
            <w:tcW w:w="6912" w:type="dxa"/>
          </w:tcPr>
          <w:p w14:paraId="46FE8C0B" w14:textId="77777777" w:rsidR="00520F36" w:rsidRPr="00FF04C4" w:rsidRDefault="00D837AA" w:rsidP="00FF04C4">
            <w:pPr>
              <w:spacing w:before="240"/>
              <w:rPr>
                <w:lang w:val="fr-CH"/>
              </w:rPr>
            </w:pPr>
            <w:r w:rsidRPr="00FF04C4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 des télécommunications internationales (EG</w:t>
            </w:r>
            <w:r w:rsidRPr="00FF04C4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RTI)</w:t>
            </w:r>
          </w:p>
        </w:tc>
        <w:tc>
          <w:tcPr>
            <w:tcW w:w="3261" w:type="dxa"/>
          </w:tcPr>
          <w:p w14:paraId="2E4F4A27" w14:textId="77777777" w:rsidR="00520F36" w:rsidRPr="00FF04C4" w:rsidRDefault="00B84194" w:rsidP="00FF04C4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 w:rsidRPr="00FF04C4">
              <w:rPr>
                <w:noProof/>
                <w:lang w:val="fr-CH"/>
              </w:rPr>
              <w:drawing>
                <wp:inline distT="0" distB="0" distL="0" distR="0" wp14:anchorId="767AC222" wp14:editId="5E767F2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F04C4" w14:paraId="368AD754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2B107B3" w14:textId="77777777" w:rsidR="00520F36" w:rsidRPr="00FF04C4" w:rsidRDefault="00D06D06" w:rsidP="00FF04C4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FF04C4">
              <w:rPr>
                <w:b/>
                <w:bCs/>
                <w:szCs w:val="24"/>
                <w:lang w:val="fr-CH"/>
              </w:rPr>
              <w:t xml:space="preserve">Deuxième </w:t>
            </w:r>
            <w:r w:rsidR="00D837AA" w:rsidRPr="00FF04C4">
              <w:rPr>
                <w:b/>
                <w:bCs/>
                <w:szCs w:val="24"/>
                <w:lang w:val="fr-CH"/>
              </w:rPr>
              <w:t>réunion –</w:t>
            </w:r>
            <w:r w:rsidR="00F06D00" w:rsidRPr="00FF04C4">
              <w:rPr>
                <w:b/>
                <w:bCs/>
                <w:szCs w:val="24"/>
                <w:lang w:val="fr-CH"/>
              </w:rPr>
              <w:t xml:space="preserve"> </w:t>
            </w:r>
            <w:r w:rsidR="009B3BDE" w:rsidRPr="00FF04C4">
              <w:rPr>
                <w:b/>
                <w:bCs/>
                <w:szCs w:val="24"/>
                <w:lang w:val="fr-CH"/>
              </w:rPr>
              <w:t>Genève</w:t>
            </w:r>
            <w:r w:rsidR="00D837AA" w:rsidRPr="00FF04C4">
              <w:rPr>
                <w:b/>
                <w:bCs/>
                <w:szCs w:val="24"/>
                <w:lang w:val="fr-CH"/>
              </w:rPr>
              <w:t xml:space="preserve">, </w:t>
            </w:r>
            <w:r w:rsidRPr="00FF04C4">
              <w:rPr>
                <w:b/>
                <w:bCs/>
                <w:szCs w:val="24"/>
                <w:lang w:val="fr-CH"/>
              </w:rPr>
              <w:t>12</w:t>
            </w:r>
            <w:r w:rsidR="00D837AA" w:rsidRPr="00FF04C4">
              <w:rPr>
                <w:b/>
                <w:bCs/>
                <w:szCs w:val="24"/>
                <w:lang w:val="fr-CH"/>
              </w:rPr>
              <w:t>-</w:t>
            </w:r>
            <w:r w:rsidRPr="00FF04C4">
              <w:rPr>
                <w:b/>
                <w:bCs/>
                <w:szCs w:val="24"/>
                <w:lang w:val="fr-CH"/>
              </w:rPr>
              <w:t>13</w:t>
            </w:r>
            <w:r w:rsidR="00D837AA" w:rsidRPr="00FF04C4">
              <w:rPr>
                <w:b/>
                <w:bCs/>
                <w:szCs w:val="24"/>
                <w:lang w:val="fr-CH"/>
              </w:rPr>
              <w:t xml:space="preserve"> </w:t>
            </w:r>
            <w:r w:rsidRPr="00FF04C4">
              <w:rPr>
                <w:b/>
                <w:bCs/>
                <w:szCs w:val="24"/>
                <w:lang w:val="fr-CH"/>
              </w:rPr>
              <w:t>février</w:t>
            </w:r>
            <w:r w:rsidR="00D837AA" w:rsidRPr="00FF04C4">
              <w:rPr>
                <w:b/>
                <w:bCs/>
                <w:szCs w:val="24"/>
                <w:lang w:val="fr-CH"/>
              </w:rPr>
              <w:t xml:space="preserve"> 20</w:t>
            </w:r>
            <w:r w:rsidRPr="00FF04C4">
              <w:rPr>
                <w:b/>
                <w:bCs/>
                <w:szCs w:val="24"/>
                <w:lang w:val="fr-CH"/>
              </w:rPr>
              <w:t>20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C8146ED" w14:textId="77777777" w:rsidR="00520F36" w:rsidRPr="00FF04C4" w:rsidRDefault="00520F36" w:rsidP="00FF04C4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FF04C4" w14:paraId="109CC00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7737448" w14:textId="77777777" w:rsidR="00520F36" w:rsidRPr="00FF04C4" w:rsidRDefault="00520F36" w:rsidP="00FF04C4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3409B8F" w14:textId="77777777" w:rsidR="00520F36" w:rsidRPr="00FF04C4" w:rsidRDefault="00520F36" w:rsidP="00FF04C4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FF04C4" w14:paraId="43C2B6F5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87E8E00" w14:textId="77777777" w:rsidR="00520F36" w:rsidRPr="00FF04C4" w:rsidRDefault="00520F36" w:rsidP="00FF04C4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5A1A7336" w14:textId="4E87A2D7" w:rsidR="00520F36" w:rsidRPr="00FF04C4" w:rsidRDefault="00520F36" w:rsidP="00FF04C4">
            <w:pPr>
              <w:spacing w:before="0"/>
              <w:rPr>
                <w:b/>
                <w:bCs/>
                <w:lang w:val="fr-CH"/>
              </w:rPr>
            </w:pPr>
            <w:r w:rsidRPr="00FF04C4">
              <w:rPr>
                <w:b/>
                <w:bCs/>
                <w:lang w:val="fr-CH"/>
              </w:rPr>
              <w:t xml:space="preserve">Document </w:t>
            </w:r>
            <w:r w:rsidR="00D837AA" w:rsidRPr="00FF04C4">
              <w:rPr>
                <w:b/>
                <w:lang w:val="fr-CH"/>
              </w:rPr>
              <w:t>EG-ITRs</w:t>
            </w:r>
            <w:r w:rsidR="00F06D00" w:rsidRPr="00FF04C4">
              <w:rPr>
                <w:b/>
                <w:lang w:val="fr-CH"/>
              </w:rPr>
              <w:t>-</w:t>
            </w:r>
            <w:r w:rsidR="00D06D06" w:rsidRPr="00FF04C4">
              <w:rPr>
                <w:b/>
                <w:lang w:val="fr-CH"/>
              </w:rPr>
              <w:t>2</w:t>
            </w:r>
            <w:r w:rsidR="00D837AA" w:rsidRPr="00FF04C4">
              <w:rPr>
                <w:b/>
                <w:lang w:val="fr-CH"/>
              </w:rPr>
              <w:t>/</w:t>
            </w:r>
            <w:r w:rsidR="0068028F" w:rsidRPr="00FF04C4">
              <w:rPr>
                <w:b/>
                <w:lang w:val="fr-CH"/>
              </w:rPr>
              <w:t>7</w:t>
            </w:r>
            <w:r w:rsidR="00D837AA" w:rsidRPr="00FF04C4">
              <w:rPr>
                <w:b/>
                <w:lang w:val="fr-CH"/>
              </w:rPr>
              <w:t>-F</w:t>
            </w:r>
          </w:p>
        </w:tc>
      </w:tr>
      <w:tr w:rsidR="00520F36" w:rsidRPr="00FF04C4" w14:paraId="0B8EF9D5" w14:textId="77777777">
        <w:trPr>
          <w:cantSplit/>
          <w:trHeight w:val="20"/>
        </w:trPr>
        <w:tc>
          <w:tcPr>
            <w:tcW w:w="6912" w:type="dxa"/>
            <w:vMerge/>
          </w:tcPr>
          <w:p w14:paraId="1FF1B4C4" w14:textId="77777777" w:rsidR="00520F36" w:rsidRPr="00FF04C4" w:rsidRDefault="00520F36" w:rsidP="00FF04C4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16B07BED" w14:textId="0CAB45C1" w:rsidR="00520F36" w:rsidRPr="00FF04C4" w:rsidRDefault="0068028F" w:rsidP="00FF04C4">
            <w:pPr>
              <w:spacing w:before="0"/>
              <w:rPr>
                <w:b/>
                <w:bCs/>
                <w:lang w:val="fr-CH"/>
              </w:rPr>
            </w:pPr>
            <w:r w:rsidRPr="00FF04C4">
              <w:rPr>
                <w:b/>
                <w:bCs/>
                <w:lang w:val="fr-CH"/>
              </w:rPr>
              <w:t>28 janvier</w:t>
            </w:r>
            <w:r w:rsidR="00520F36" w:rsidRPr="00FF04C4">
              <w:rPr>
                <w:b/>
                <w:bCs/>
                <w:lang w:val="fr-CH"/>
              </w:rPr>
              <w:t xml:space="preserve"> 20</w:t>
            </w:r>
            <w:r w:rsidR="00D06D06" w:rsidRPr="00FF04C4">
              <w:rPr>
                <w:b/>
                <w:bCs/>
                <w:lang w:val="fr-CH"/>
              </w:rPr>
              <w:t>20</w:t>
            </w:r>
          </w:p>
        </w:tc>
      </w:tr>
      <w:tr w:rsidR="00520F36" w:rsidRPr="00FF04C4" w14:paraId="72E01894" w14:textId="77777777">
        <w:trPr>
          <w:cantSplit/>
          <w:trHeight w:val="20"/>
        </w:trPr>
        <w:tc>
          <w:tcPr>
            <w:tcW w:w="6912" w:type="dxa"/>
            <w:vMerge/>
          </w:tcPr>
          <w:p w14:paraId="071325D7" w14:textId="77777777" w:rsidR="00520F36" w:rsidRPr="00FF04C4" w:rsidRDefault="00520F36" w:rsidP="00FF04C4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049F6B32" w14:textId="77777777" w:rsidR="00520F36" w:rsidRPr="00FF04C4" w:rsidRDefault="00520F36" w:rsidP="00FF04C4">
            <w:pPr>
              <w:spacing w:before="0"/>
              <w:rPr>
                <w:b/>
                <w:bCs/>
                <w:lang w:val="fr-CH"/>
              </w:rPr>
            </w:pPr>
            <w:r w:rsidRPr="00FF04C4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FF04C4" w14:paraId="3B8E8A0D" w14:textId="77777777">
        <w:trPr>
          <w:cantSplit/>
        </w:trPr>
        <w:tc>
          <w:tcPr>
            <w:tcW w:w="10173" w:type="dxa"/>
            <w:gridSpan w:val="2"/>
          </w:tcPr>
          <w:p w14:paraId="1A1BE78B" w14:textId="4F4C0053" w:rsidR="00520F36" w:rsidRPr="00FF04C4" w:rsidRDefault="0068028F" w:rsidP="00FF04C4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4"/>
            <w:r w:rsidRPr="00FF04C4">
              <w:rPr>
                <w:lang w:val="fr-CH"/>
              </w:rPr>
              <w:t>Australie, Canada et États-Unis d</w:t>
            </w:r>
            <w:r w:rsidR="00FF04C4" w:rsidRPr="00FF04C4">
              <w:rPr>
                <w:lang w:val="fr-CH"/>
              </w:rPr>
              <w:t>'</w:t>
            </w:r>
            <w:r w:rsidRPr="00FF04C4">
              <w:rPr>
                <w:lang w:val="fr-CH"/>
              </w:rPr>
              <w:t>Amérique</w:t>
            </w:r>
          </w:p>
        </w:tc>
      </w:tr>
      <w:tr w:rsidR="00520F36" w:rsidRPr="00FF04C4" w14:paraId="150D0DB4" w14:textId="77777777">
        <w:trPr>
          <w:cantSplit/>
        </w:trPr>
        <w:tc>
          <w:tcPr>
            <w:tcW w:w="10173" w:type="dxa"/>
            <w:gridSpan w:val="2"/>
          </w:tcPr>
          <w:p w14:paraId="6652E44B" w14:textId="6CD03B10" w:rsidR="00520F36" w:rsidRPr="00FF04C4" w:rsidRDefault="0068028F" w:rsidP="00FF04C4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FF04C4">
              <w:rPr>
                <w:bCs/>
                <w:lang w:val="fr-CH"/>
              </w:rPr>
              <w:t>Points de vue sur l</w:t>
            </w:r>
            <w:r w:rsidR="00FF04C4" w:rsidRPr="00FF04C4">
              <w:rPr>
                <w:bCs/>
                <w:lang w:val="fr-CH"/>
              </w:rPr>
              <w:t>'</w:t>
            </w:r>
            <w:r w:rsidRPr="00FF04C4">
              <w:rPr>
                <w:bCs/>
                <w:lang w:val="fr-CH"/>
              </w:rPr>
              <w:t>examen de chacune des dispositions de la version de</w:t>
            </w:r>
            <w:r w:rsidR="003507E4">
              <w:rPr>
                <w:bCs/>
                <w:lang w:val="fr-CH"/>
              </w:rPr>
              <w:t> </w:t>
            </w:r>
            <w:r w:rsidRPr="00FF04C4">
              <w:rPr>
                <w:bCs/>
                <w:lang w:val="fr-CH"/>
              </w:rPr>
              <w:t>2012 du RÈglement des tÉLÉcommunications</w:t>
            </w:r>
            <w:r w:rsidR="00A60646" w:rsidRPr="00FF04C4">
              <w:rPr>
                <w:bCs/>
                <w:lang w:val="fr-CH"/>
              </w:rPr>
              <w:t xml:space="preserve"> internationalES</w:t>
            </w:r>
          </w:p>
        </w:tc>
      </w:tr>
    </w:tbl>
    <w:bookmarkEnd w:id="6"/>
    <w:p w14:paraId="310857A7" w14:textId="77777777" w:rsidR="0068028F" w:rsidRPr="00FF04C4" w:rsidRDefault="0068028F" w:rsidP="00FF04C4">
      <w:pPr>
        <w:pStyle w:val="Headingb"/>
        <w:rPr>
          <w:lang w:val="fr-CH"/>
        </w:rPr>
      </w:pPr>
      <w:r w:rsidRPr="00FF04C4">
        <w:rPr>
          <w:lang w:val="fr-CH"/>
        </w:rPr>
        <w:t>Introduction</w:t>
      </w:r>
    </w:p>
    <w:p w14:paraId="28176CD3" w14:textId="77E29D70" w:rsidR="0068028F" w:rsidRPr="00FF04C4" w:rsidRDefault="0068028F" w:rsidP="00FF04C4">
      <w:pPr>
        <w:rPr>
          <w:lang w:val="fr-CH"/>
        </w:rPr>
      </w:pPr>
      <w:r w:rsidRPr="00FF04C4">
        <w:rPr>
          <w:lang w:val="fr-CH"/>
        </w:rPr>
        <w:t>Conformément au programme de travail approuvé à la réunion du Groupe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experts sur le Règlement des télécommunications internationales (EG-RTI) </w:t>
      </w:r>
      <w:r w:rsidR="00A60646" w:rsidRPr="00FF04C4">
        <w:rPr>
          <w:lang w:val="fr-CH"/>
        </w:rPr>
        <w:t>tenue</w:t>
      </w:r>
      <w:r w:rsidRPr="00FF04C4">
        <w:rPr>
          <w:lang w:val="fr-CH"/>
        </w:rPr>
        <w:t xml:space="preserve"> en septembre,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Australie, le Canada et les États-Unis ont l</w:t>
      </w:r>
      <w:r w:rsidR="00A60646" w:rsidRPr="00FF04C4">
        <w:rPr>
          <w:lang w:val="fr-CH"/>
        </w:rPr>
        <w:t>'honneur</w:t>
      </w:r>
      <w:r w:rsidRPr="00FF04C4">
        <w:rPr>
          <w:lang w:val="fr-CH"/>
        </w:rPr>
        <w:t xml:space="preserve"> de soumettre leurs points de vue concernant le Préambule et les Articles 1 à 4 du RTI dans sa version de 2012. Nous estimons que la plupart des dispositions détaillées </w:t>
      </w:r>
      <w:r w:rsidR="00A60646" w:rsidRPr="00FF04C4">
        <w:rPr>
          <w:lang w:val="fr-CH"/>
        </w:rPr>
        <w:t>du RTI dans sa</w:t>
      </w:r>
      <w:r w:rsidRPr="00FF04C4">
        <w:rPr>
          <w:lang w:val="fr-CH"/>
        </w:rPr>
        <w:t xml:space="preserve"> version de 2012 ne sont ni applicables, ni </w:t>
      </w:r>
      <w:r w:rsidR="00A60646" w:rsidRPr="00FF04C4">
        <w:rPr>
          <w:lang w:val="fr-CH"/>
        </w:rPr>
        <w:t>utilisables dans la pratique</w:t>
      </w:r>
      <w:r w:rsidRPr="00FF04C4">
        <w:rPr>
          <w:lang w:val="fr-CH"/>
        </w:rPr>
        <w:t xml:space="preserve"> dans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environnement actuel des communications. Toute tentative visant à réviser la version de 2012 du RTI afin de tenir compte de la conjoncture économique actuelle et des technologies et services qui se font jour </w:t>
      </w:r>
      <w:r w:rsidR="00A60646" w:rsidRPr="00FF04C4">
        <w:rPr>
          <w:lang w:val="fr-CH"/>
        </w:rPr>
        <w:t>connaîtra le</w:t>
      </w:r>
      <w:r w:rsidRPr="00FF04C4">
        <w:rPr>
          <w:lang w:val="fr-CH"/>
        </w:rPr>
        <w:t xml:space="preserve"> même </w:t>
      </w:r>
      <w:r w:rsidR="00A60646" w:rsidRPr="00FF04C4">
        <w:rPr>
          <w:lang w:val="fr-CH"/>
        </w:rPr>
        <w:t>sort que les dispositions en vigueur, à savoir qu'</w:t>
      </w:r>
      <w:r w:rsidRPr="00FF04C4">
        <w:rPr>
          <w:lang w:val="fr-CH"/>
        </w:rPr>
        <w:t>en raison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évolution rapide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environnement commercial et réglementaire, les dispositions détaillées ayant valeur de traité seront toujours obsolètes.</w:t>
      </w:r>
    </w:p>
    <w:p w14:paraId="25B69540" w14:textId="6AA68B8C" w:rsidR="0068028F" w:rsidRPr="00FF04C4" w:rsidRDefault="00A60646" w:rsidP="00FF04C4">
      <w:pPr>
        <w:pStyle w:val="Headingb"/>
        <w:rPr>
          <w:lang w:val="fr-CH"/>
        </w:rPr>
      </w:pPr>
      <w:r w:rsidRPr="00FF04C4">
        <w:rPr>
          <w:lang w:val="fr-CH"/>
        </w:rPr>
        <w:t>Examen</w:t>
      </w:r>
    </w:p>
    <w:p w14:paraId="68886D5F" w14:textId="10AC5DAB" w:rsidR="0068028F" w:rsidRPr="00FF04C4" w:rsidRDefault="0068028F" w:rsidP="00FF04C4">
      <w:pPr>
        <w:rPr>
          <w:lang w:val="fr-CH"/>
        </w:rPr>
      </w:pPr>
      <w:r w:rsidRPr="00FF04C4">
        <w:rPr>
          <w:lang w:val="fr-CH"/>
        </w:rPr>
        <w:t>Dans une contribution précédente, nous av</w:t>
      </w:r>
      <w:r w:rsidR="004F4465" w:rsidRPr="00FF04C4">
        <w:rPr>
          <w:lang w:val="fr-CH"/>
        </w:rPr>
        <w:t>i</w:t>
      </w:r>
      <w:r w:rsidRPr="00FF04C4">
        <w:rPr>
          <w:lang w:val="fr-CH"/>
        </w:rPr>
        <w:t xml:space="preserve">ons mis en avant les problèmes fondamentaux que pose l'utilisation d'un instrument ayant valeur de traité pour tenter de réglementer un marché concurrentiel et dynamique. Nous réitérons </w:t>
      </w:r>
      <w:r w:rsidR="004F4465" w:rsidRPr="00FF04C4">
        <w:rPr>
          <w:lang w:val="fr-CH"/>
        </w:rPr>
        <w:t>ce point de vue</w:t>
      </w:r>
      <w:r w:rsidRPr="00FF04C4">
        <w:rPr>
          <w:lang w:val="fr-CH"/>
        </w:rPr>
        <w:t xml:space="preserve"> aux fins du présent </w:t>
      </w:r>
      <w:r w:rsidR="004F4465" w:rsidRPr="00FF04C4">
        <w:rPr>
          <w:lang w:val="fr-CH"/>
        </w:rPr>
        <w:t>examen du</w:t>
      </w:r>
      <w:r w:rsidRPr="00FF04C4">
        <w:rPr>
          <w:lang w:val="fr-CH"/>
        </w:rPr>
        <w:t xml:space="preserve"> Préambule et </w:t>
      </w:r>
      <w:r w:rsidR="004F4465" w:rsidRPr="00FF04C4">
        <w:rPr>
          <w:lang w:val="fr-CH"/>
        </w:rPr>
        <w:t>d</w:t>
      </w:r>
      <w:r w:rsidRPr="00FF04C4">
        <w:rPr>
          <w:lang w:val="fr-CH"/>
        </w:rPr>
        <w:t>es Articles 1 à 4 du RTI. Nous considérons que les dispositions des Articles 2 à 4 de la version de 2012 du RTI ne sont pas suffisamment souples pour pouvoir s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adapter aux </w:t>
      </w:r>
      <w:r w:rsidR="004F4465" w:rsidRPr="00FF04C4">
        <w:rPr>
          <w:lang w:val="fr-CH"/>
        </w:rPr>
        <w:t>mutations</w:t>
      </w:r>
      <w:r w:rsidRPr="00FF04C4">
        <w:rPr>
          <w:lang w:val="fr-CH"/>
        </w:rPr>
        <w:t xml:space="preserve"> constant</w:t>
      </w:r>
      <w:r w:rsidR="004F4465" w:rsidRPr="00FF04C4">
        <w:rPr>
          <w:lang w:val="fr-CH"/>
        </w:rPr>
        <w:t>e</w:t>
      </w:r>
      <w:r w:rsidRPr="00FF04C4">
        <w:rPr>
          <w:lang w:val="fr-CH"/>
        </w:rPr>
        <w:t>s que connaît le marché et qu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elles seront continuellement obsolètes. </w:t>
      </w:r>
    </w:p>
    <w:p w14:paraId="6FDA39E0" w14:textId="31F67CD2" w:rsidR="003507E4" w:rsidRDefault="0068028F" w:rsidP="00FF04C4">
      <w:pPr>
        <w:rPr>
          <w:lang w:val="fr-CH"/>
        </w:rPr>
      </w:pPr>
      <w:r w:rsidRPr="00FF04C4">
        <w:rPr>
          <w:lang w:val="fr-CH"/>
        </w:rPr>
        <w:t xml:space="preserve">Les avancées dans le domaine des technologies mobiles, </w:t>
      </w:r>
      <w:r w:rsidR="004F4465" w:rsidRPr="00FF04C4">
        <w:rPr>
          <w:lang w:val="fr-CH"/>
        </w:rPr>
        <w:t>le passage</w:t>
      </w:r>
      <w:r w:rsidRPr="00FF04C4">
        <w:rPr>
          <w:lang w:val="fr-CH"/>
        </w:rPr>
        <w:t xml:space="preserve"> </w:t>
      </w:r>
      <w:r w:rsidR="004F4465" w:rsidRPr="00FF04C4">
        <w:rPr>
          <w:lang w:val="fr-CH"/>
        </w:rPr>
        <w:t>du</w:t>
      </w:r>
      <w:r w:rsidRPr="00FF04C4">
        <w:rPr>
          <w:lang w:val="fr-CH"/>
        </w:rPr>
        <w:t xml:space="preserve"> réseau téléphonique publi</w:t>
      </w:r>
      <w:r w:rsidR="000F3A4A">
        <w:rPr>
          <w:lang w:val="fr-CH"/>
        </w:rPr>
        <w:t>c</w:t>
      </w:r>
      <w:r w:rsidRPr="00FF04C4">
        <w:rPr>
          <w:lang w:val="fr-CH"/>
        </w:rPr>
        <w:t xml:space="preserve"> commuté </w:t>
      </w:r>
      <w:r w:rsidR="004F4465" w:rsidRPr="00FF04C4">
        <w:rPr>
          <w:lang w:val="fr-CH"/>
        </w:rPr>
        <w:t>(RTPC) aux</w:t>
      </w:r>
      <w:r w:rsidRPr="00FF04C4">
        <w:rPr>
          <w:lang w:val="fr-CH"/>
        </w:rPr>
        <w:t xml:space="preserve"> réseaux fondés sur le protocole Internet (IP), les marchés concurrentiels, les nouveaux accords commerciaux conclus par les opérateurs et les nouveaux régimes réglementaires sont autant de facteurs qui ont </w:t>
      </w:r>
      <w:r w:rsidR="004F4465" w:rsidRPr="00FF04C4">
        <w:rPr>
          <w:lang w:val="fr-CH"/>
        </w:rPr>
        <w:t>radicalement changé la donne, en ce sens</w:t>
      </w:r>
      <w:r w:rsidRPr="00FF04C4">
        <w:rPr>
          <w:lang w:val="fr-CH"/>
        </w:rPr>
        <w:t xml:space="preserve"> </w:t>
      </w:r>
      <w:r w:rsidR="003507E4">
        <w:rPr>
          <w:lang w:val="fr-CH"/>
        </w:rPr>
        <w:t xml:space="preserve">que </w:t>
      </w:r>
      <w:r w:rsidRPr="00FF04C4">
        <w:rPr>
          <w:lang w:val="fr-CH"/>
        </w:rPr>
        <w:t xml:space="preserve">le recours aux dispositions </w:t>
      </w:r>
      <w:r w:rsidR="004F4465" w:rsidRPr="00FF04C4">
        <w:rPr>
          <w:lang w:val="fr-CH"/>
        </w:rPr>
        <w:t>du RTI dans sa</w:t>
      </w:r>
      <w:r w:rsidRPr="00FF04C4">
        <w:rPr>
          <w:lang w:val="fr-CH"/>
        </w:rPr>
        <w:t xml:space="preserve"> version de 2012</w:t>
      </w:r>
      <w:r w:rsidR="004F4465" w:rsidRPr="00FF04C4">
        <w:rPr>
          <w:lang w:val="fr-CH"/>
        </w:rPr>
        <w:t xml:space="preserve"> n'est plus nécessaire</w:t>
      </w:r>
      <w:r w:rsidRPr="00FF04C4">
        <w:rPr>
          <w:lang w:val="fr-CH"/>
        </w:rPr>
        <w:t xml:space="preserve"> pour échanger et faire aboutir le trafic téléphonique international. Par exemple, les opérateurs et les fournisseurs de services qui s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appuient exclusivement sur les applications de communication mobiles pour les appels internationaux utilisent rarement des </w:t>
      </w:r>
      <w:r w:rsidRPr="00FF04C4">
        <w:rPr>
          <w:i/>
          <w:lang w:val="fr-CH"/>
        </w:rPr>
        <w:t>voies d</w:t>
      </w:r>
      <w:r w:rsidR="00FF04C4" w:rsidRPr="00FF04C4">
        <w:rPr>
          <w:i/>
          <w:lang w:val="fr-CH"/>
        </w:rPr>
        <w:t>'</w:t>
      </w:r>
      <w:r w:rsidRPr="00FF04C4">
        <w:rPr>
          <w:i/>
          <w:lang w:val="fr-CH"/>
        </w:rPr>
        <w:t xml:space="preserve">acheminement </w:t>
      </w:r>
      <w:r w:rsidR="004F4465" w:rsidRPr="00FF04C4">
        <w:rPr>
          <w:i/>
          <w:lang w:val="fr-CH"/>
        </w:rPr>
        <w:t>internationales</w:t>
      </w:r>
      <w:r w:rsidR="004F4465" w:rsidRPr="00FF04C4">
        <w:rPr>
          <w:lang w:val="fr-CH"/>
        </w:rPr>
        <w:t xml:space="preserve"> </w:t>
      </w:r>
      <w:r w:rsidRPr="00FF04C4">
        <w:rPr>
          <w:lang w:val="fr-CH"/>
        </w:rPr>
        <w:t>fixes prédéfinies, n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ont pas de </w:t>
      </w:r>
      <w:r w:rsidRPr="00FF04C4">
        <w:rPr>
          <w:i/>
          <w:lang w:val="fr-CH"/>
        </w:rPr>
        <w:t>relations</w:t>
      </w:r>
      <w:r w:rsidRPr="00FF04C4">
        <w:rPr>
          <w:lang w:val="fr-CH"/>
        </w:rPr>
        <w:t xml:space="preserve"> directes avec </w:t>
      </w:r>
      <w:r w:rsidR="004F4465" w:rsidRPr="00FF04C4">
        <w:rPr>
          <w:lang w:val="fr-CH"/>
        </w:rPr>
        <w:t>l</w:t>
      </w:r>
      <w:r w:rsidRPr="00FF04C4">
        <w:rPr>
          <w:lang w:val="fr-CH"/>
        </w:rPr>
        <w:t xml:space="preserve">es opérateurs internationaux et ont recours à des accords commerciaux autres que </w:t>
      </w:r>
      <w:r w:rsidR="004F4465" w:rsidRPr="00FF04C4">
        <w:rPr>
          <w:lang w:val="fr-CH"/>
        </w:rPr>
        <w:t>l</w:t>
      </w:r>
      <w:r w:rsidRPr="00FF04C4">
        <w:rPr>
          <w:lang w:val="fr-CH"/>
        </w:rPr>
        <w:t xml:space="preserve">es </w:t>
      </w:r>
      <w:r w:rsidRPr="00FF04C4">
        <w:rPr>
          <w:i/>
          <w:lang w:val="fr-CH"/>
        </w:rPr>
        <w:t>taxes de répartition</w:t>
      </w:r>
      <w:r w:rsidRPr="00FF04C4">
        <w:rPr>
          <w:lang w:val="fr-CH"/>
        </w:rPr>
        <w:t xml:space="preserve"> pour échanger et faire aboutir les appels internationaux,</w:t>
      </w:r>
      <w:r w:rsidR="004F4465" w:rsidRPr="00FF04C4">
        <w:rPr>
          <w:lang w:val="fr-CH"/>
        </w:rPr>
        <w:t xml:space="preserve"> au sens où</w:t>
      </w:r>
      <w:r w:rsidRPr="00FF04C4">
        <w:rPr>
          <w:lang w:val="fr-CH"/>
        </w:rPr>
        <w:t xml:space="preserve"> ces termes sont définis dans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Article 2 du RTI. Selon une estimation, la part du trafic téléphonique international que font aboutir les opérateurs et les fournisseurs de services s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appuyant sur des applications mobiles devait passer de 28% en 2013 à 68% en 2018.</w:t>
      </w:r>
      <w:r w:rsidR="004F4465" w:rsidRPr="00FF04C4">
        <w:rPr>
          <w:lang w:val="fr-CH"/>
        </w:rPr>
        <w:t xml:space="preserve"> </w:t>
      </w:r>
      <w:r w:rsidR="003507E4">
        <w:rPr>
          <w:lang w:val="fr-CH"/>
        </w:rPr>
        <w:br w:type="page"/>
      </w:r>
    </w:p>
    <w:p w14:paraId="54D8CD65" w14:textId="62B31F85" w:rsidR="0068028F" w:rsidRPr="00FF04C4" w:rsidRDefault="004F4465" w:rsidP="00FF04C4">
      <w:pPr>
        <w:rPr>
          <w:lang w:val="fr-CH"/>
        </w:rPr>
      </w:pPr>
      <w:r w:rsidRPr="00FF04C4">
        <w:rPr>
          <w:lang w:val="fr-CH"/>
        </w:rPr>
        <w:lastRenderedPageBreak/>
        <w:t>Pendant</w:t>
      </w:r>
      <w:r w:rsidR="0068028F" w:rsidRPr="00FF04C4">
        <w:rPr>
          <w:lang w:val="fr-CH"/>
        </w:rPr>
        <w:t xml:space="preserve"> cette même période, </w:t>
      </w:r>
      <w:r w:rsidR="000F3A4A">
        <w:rPr>
          <w:lang w:val="fr-CH"/>
        </w:rPr>
        <w:t>il était prévu</w:t>
      </w:r>
      <w:r w:rsidR="0068028F" w:rsidRPr="00FF04C4">
        <w:rPr>
          <w:lang w:val="fr-CH"/>
        </w:rPr>
        <w:t xml:space="preserve"> que le volume du trafic téléphonique international passe de 761 milliards de minutes en 2013 à 1 400 milliards de minutes en 2018, ce qui témoigne de l</w:t>
      </w:r>
      <w:r w:rsidR="00FF04C4" w:rsidRPr="00FF04C4">
        <w:rPr>
          <w:lang w:val="fr-CH"/>
        </w:rPr>
        <w:t>'</w:t>
      </w:r>
      <w:r w:rsidR="0068028F" w:rsidRPr="00FF04C4">
        <w:rPr>
          <w:lang w:val="fr-CH"/>
        </w:rPr>
        <w:t>amélioration considérable de la connectivité et de l</w:t>
      </w:r>
      <w:r w:rsidR="00FF04C4" w:rsidRPr="00FF04C4">
        <w:rPr>
          <w:lang w:val="fr-CH"/>
        </w:rPr>
        <w:t>'</w:t>
      </w:r>
      <w:r w:rsidR="0068028F" w:rsidRPr="00FF04C4">
        <w:rPr>
          <w:lang w:val="fr-CH"/>
        </w:rPr>
        <w:t xml:space="preserve">utilisation </w:t>
      </w:r>
      <w:r w:rsidR="0004523C" w:rsidRPr="00FF04C4">
        <w:rPr>
          <w:lang w:val="fr-CH"/>
        </w:rPr>
        <w:t xml:space="preserve">au niveau international </w:t>
      </w:r>
      <w:r w:rsidR="0068028F" w:rsidRPr="00FF04C4">
        <w:rPr>
          <w:lang w:val="fr-CH"/>
        </w:rPr>
        <w:t>des services de télécommunication</w:t>
      </w:r>
      <w:r w:rsidR="0004523C" w:rsidRPr="00FF04C4">
        <w:rPr>
          <w:rStyle w:val="FootnoteReference"/>
          <w:lang w:val="fr-CH"/>
        </w:rPr>
        <w:footnoteReference w:id="1"/>
      </w:r>
      <w:r w:rsidR="0068028F" w:rsidRPr="00FF04C4">
        <w:rPr>
          <w:lang w:val="fr-CH"/>
        </w:rPr>
        <w:t>.</w:t>
      </w:r>
    </w:p>
    <w:p w14:paraId="1C4C8D83" w14:textId="5FC43F82" w:rsidR="0068028F" w:rsidRPr="00FF04C4" w:rsidRDefault="0068028F" w:rsidP="00FF04C4">
      <w:pPr>
        <w:rPr>
          <w:lang w:val="fr-CH"/>
        </w:rPr>
      </w:pPr>
      <w:r w:rsidRPr="00FF04C4">
        <w:rPr>
          <w:lang w:val="fr-CH"/>
        </w:rPr>
        <w:t>Selon nous, nombre des dispositions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Article 3 sont f</w:t>
      </w:r>
      <w:r w:rsidR="0004523C" w:rsidRPr="00FF04C4">
        <w:rPr>
          <w:lang w:val="fr-CH"/>
        </w:rPr>
        <w:t>oncièremen</w:t>
      </w:r>
      <w:r w:rsidRPr="00FF04C4">
        <w:rPr>
          <w:lang w:val="fr-CH"/>
        </w:rPr>
        <w:t xml:space="preserve">t incompatibles avec un environnement commercial et réglementaire favorisant la concurrence, mais aussi avec les avancées technologiques actuelles. La disposition 3.2, par exemple, qui a trait à une capacité suffisante, semble </w:t>
      </w:r>
      <w:r w:rsidR="0004523C" w:rsidRPr="00FF04C4">
        <w:rPr>
          <w:lang w:val="fr-CH"/>
        </w:rPr>
        <w:t>irrémédiablemen</w:t>
      </w:r>
      <w:r w:rsidRPr="00FF04C4">
        <w:rPr>
          <w:lang w:val="fr-CH"/>
        </w:rPr>
        <w:t>t obsolète, puisqu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elle a été élaborée à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époque où les </w:t>
      </w:r>
      <w:r w:rsidR="00165DC2">
        <w:rPr>
          <w:lang w:val="fr-CH"/>
        </w:rPr>
        <w:t>"</w:t>
      </w:r>
      <w:r w:rsidRPr="00FF04C4">
        <w:rPr>
          <w:lang w:val="fr-CH"/>
        </w:rPr>
        <w:t>commissions du Plan</w:t>
      </w:r>
      <w:r w:rsidR="00165DC2">
        <w:rPr>
          <w:lang w:val="fr-CH"/>
        </w:rPr>
        <w:t>"</w:t>
      </w:r>
      <w:r w:rsidRPr="00FF04C4">
        <w:rPr>
          <w:lang w:val="fr-CH"/>
        </w:rPr>
        <w:t xml:space="preserve">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UIT établissaient des prévisions du trafic sur différentes voies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acheminement</w:t>
      </w:r>
      <w:r w:rsidR="0004523C" w:rsidRPr="00FF04C4">
        <w:rPr>
          <w:rStyle w:val="FootnoteReference"/>
          <w:lang w:val="fr-CH"/>
        </w:rPr>
        <w:footnoteReference w:id="2"/>
      </w:r>
      <w:r w:rsidRPr="00FF04C4">
        <w:rPr>
          <w:lang w:val="fr-CH"/>
        </w:rPr>
        <w:t xml:space="preserve">. Dans un marché </w:t>
      </w:r>
      <w:r w:rsidR="0004523C" w:rsidRPr="00FF04C4">
        <w:rPr>
          <w:lang w:val="fr-CH"/>
        </w:rPr>
        <w:t xml:space="preserve">ouvert à la concurrence </w:t>
      </w:r>
      <w:r w:rsidRPr="00FF04C4">
        <w:rPr>
          <w:lang w:val="fr-CH"/>
        </w:rPr>
        <w:t>où les opérateurs planifient et prévoient leur propre trafic, la nécessité ou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utilité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obligation fixée à l</w:t>
      </w:r>
      <w:r w:rsidR="00FF04C4" w:rsidRPr="00FF04C4">
        <w:rPr>
          <w:lang w:val="fr-CH"/>
        </w:rPr>
        <w:t>'</w:t>
      </w:r>
      <w:r w:rsidR="003507E4" w:rsidRPr="00FF04C4">
        <w:rPr>
          <w:lang w:val="fr-CH"/>
        </w:rPr>
        <w:t>A</w:t>
      </w:r>
      <w:r w:rsidRPr="00FF04C4">
        <w:rPr>
          <w:lang w:val="fr-CH"/>
        </w:rPr>
        <w:t>rticle 3,</w:t>
      </w:r>
      <w:r w:rsidR="0004523C" w:rsidRPr="00FF04C4">
        <w:rPr>
          <w:lang w:val="fr-CH"/>
        </w:rPr>
        <w:t xml:space="preserve"> qui</w:t>
      </w:r>
      <w:r w:rsidRPr="00FF04C4">
        <w:rPr>
          <w:lang w:val="fr-CH"/>
        </w:rPr>
        <w:t xml:space="preserve"> impos</w:t>
      </w:r>
      <w:r w:rsidR="0004523C" w:rsidRPr="00FF04C4">
        <w:rPr>
          <w:lang w:val="fr-CH"/>
        </w:rPr>
        <w:t>e</w:t>
      </w:r>
      <w:r w:rsidRPr="00FF04C4">
        <w:rPr>
          <w:lang w:val="fr-CH"/>
        </w:rPr>
        <w:t xml:space="preserve"> aux opérateurs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assurer une capacité suffisante sur toutes les voies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acheminement qu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ils utilisent, n</w:t>
      </w:r>
      <w:r w:rsidR="00FF04C4" w:rsidRPr="00FF04C4">
        <w:rPr>
          <w:lang w:val="fr-CH"/>
        </w:rPr>
        <w:t>'</w:t>
      </w:r>
      <w:r w:rsidR="0004523C" w:rsidRPr="00FF04C4">
        <w:rPr>
          <w:lang w:val="fr-CH"/>
        </w:rPr>
        <w:t>apparaît</w:t>
      </w:r>
      <w:r w:rsidRPr="00FF04C4">
        <w:rPr>
          <w:lang w:val="fr-CH"/>
        </w:rPr>
        <w:t xml:space="preserve"> pas </w:t>
      </w:r>
      <w:r w:rsidR="0004523C" w:rsidRPr="00FF04C4">
        <w:rPr>
          <w:lang w:val="fr-CH"/>
        </w:rPr>
        <w:t>clairement</w:t>
      </w:r>
      <w:r w:rsidRPr="00FF04C4">
        <w:rPr>
          <w:lang w:val="fr-CH"/>
        </w:rPr>
        <w:t xml:space="preserve">. Il est plus probable que les opérateurs se tourneront vers </w:t>
      </w:r>
      <w:r w:rsidR="0004523C" w:rsidRPr="00FF04C4">
        <w:rPr>
          <w:lang w:val="fr-CH"/>
        </w:rPr>
        <w:t>un</w:t>
      </w:r>
      <w:r w:rsidRPr="00FF04C4">
        <w:rPr>
          <w:lang w:val="fr-CH"/>
        </w:rPr>
        <w:t xml:space="preserve"> marché au comptant pour les appels internationaux, afin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acheter des minutes pour satisfaire toute demande excédentaire ou de vendre des minutes lorsqu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ils disposent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une capacité suffisante ou excédentaire (minutes), deux stratégies commerciales plus efficaces que de maintenir une capacité suffisante sur chaque voie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acheminement</w:t>
      </w:r>
      <w:r w:rsidR="0004523C" w:rsidRPr="00FF04C4">
        <w:rPr>
          <w:rStyle w:val="FootnoteReference"/>
          <w:lang w:val="fr-CH"/>
        </w:rPr>
        <w:footnoteReference w:id="3"/>
      </w:r>
      <w:r w:rsidRPr="00FF04C4">
        <w:rPr>
          <w:lang w:val="fr-CH"/>
        </w:rPr>
        <w:t>.</w:t>
      </w:r>
    </w:p>
    <w:p w14:paraId="3FDD8AB2" w14:textId="1B147177" w:rsidR="0068028F" w:rsidRPr="00FF04C4" w:rsidRDefault="0068028F" w:rsidP="00FF04C4">
      <w:pPr>
        <w:rPr>
          <w:lang w:val="fr-CH"/>
        </w:rPr>
      </w:pPr>
      <w:r w:rsidRPr="00FF04C4">
        <w:rPr>
          <w:lang w:val="fr-CH"/>
        </w:rPr>
        <w:t>Certaines dispositions, bien qu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ayant une finalité louable, sont trop rigides pour </w:t>
      </w:r>
      <w:r w:rsidR="00630E65" w:rsidRPr="00FF04C4">
        <w:rPr>
          <w:lang w:val="fr-CH"/>
        </w:rPr>
        <w:t>tenir compte</w:t>
      </w:r>
      <w:r w:rsidRPr="00FF04C4">
        <w:rPr>
          <w:lang w:val="fr-CH"/>
        </w:rPr>
        <w:t xml:space="preserve"> </w:t>
      </w:r>
      <w:r w:rsidR="00630E65" w:rsidRPr="00FF04C4">
        <w:rPr>
          <w:lang w:val="fr-CH"/>
        </w:rPr>
        <w:t>de</w:t>
      </w:r>
      <w:r w:rsidRPr="00FF04C4">
        <w:rPr>
          <w:lang w:val="fr-CH"/>
        </w:rPr>
        <w:t xml:space="preserve">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évolution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environnement commercial. Lorsqu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elles sont appliquées de manière stricte, elles </w:t>
      </w:r>
      <w:r w:rsidR="00630E65" w:rsidRPr="00FF04C4">
        <w:rPr>
          <w:lang w:val="fr-CH"/>
        </w:rPr>
        <w:t>risquent</w:t>
      </w:r>
      <w:r w:rsidRPr="00FF04C4">
        <w:rPr>
          <w:lang w:val="fr-CH"/>
        </w:rPr>
        <w:t xml:space="preserve"> </w:t>
      </w:r>
      <w:r w:rsidR="00630E65" w:rsidRPr="00FF04C4">
        <w:rPr>
          <w:lang w:val="fr-CH"/>
        </w:rPr>
        <w:t>d'</w:t>
      </w:r>
      <w:r w:rsidRPr="00FF04C4">
        <w:rPr>
          <w:lang w:val="fr-CH"/>
        </w:rPr>
        <w:t>avoir un effet dissuasif sur la mise en place de nouveaux services qui sont essentiels pour améliorer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accessibilité financière et les choix offerts aux consommateurs. </w:t>
      </w:r>
      <w:r w:rsidR="00630E65" w:rsidRPr="00FF04C4">
        <w:rPr>
          <w:lang w:val="fr-CH"/>
        </w:rPr>
        <w:t>À</w:t>
      </w:r>
      <w:r w:rsidRPr="00FF04C4">
        <w:rPr>
          <w:lang w:val="fr-CH"/>
        </w:rPr>
        <w:t xml:space="preserve"> titre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exemple, les dispositions 3.1 et 3.4, qui visent à garantir la qualité de service sur les réseaux internationaux, </w:t>
      </w:r>
      <w:r w:rsidR="00630E65" w:rsidRPr="00FF04C4">
        <w:rPr>
          <w:lang w:val="fr-CH"/>
        </w:rPr>
        <w:t>sont expressément rattachées</w:t>
      </w:r>
      <w:r w:rsidRPr="00FF04C4">
        <w:rPr>
          <w:lang w:val="fr-CH"/>
        </w:rPr>
        <w:t xml:space="preserve"> aux Recommandations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UIT-T sur la qualité de service. En obligeant les opérateurs </w:t>
      </w:r>
      <w:r w:rsidR="00630E65" w:rsidRPr="00FF04C4">
        <w:rPr>
          <w:lang w:val="fr-CH"/>
        </w:rPr>
        <w:t>à</w:t>
      </w:r>
      <w:r w:rsidRPr="00FF04C4">
        <w:rPr>
          <w:lang w:val="fr-CH"/>
        </w:rPr>
        <w:t xml:space="preserve"> respecter une qualité de service donnée, ces dispositions pourraient limiter la capacité des opérateurs </w:t>
      </w:r>
      <w:r w:rsidR="00630E65" w:rsidRPr="00FF04C4">
        <w:rPr>
          <w:lang w:val="fr-CH"/>
        </w:rPr>
        <w:t>de</w:t>
      </w:r>
      <w:r w:rsidRPr="00FF04C4">
        <w:rPr>
          <w:lang w:val="fr-CH"/>
        </w:rPr>
        <w:t xml:space="preserve"> répondre aux demandes des consommateurs concernant de nouveaux services proposant </w:t>
      </w:r>
      <w:r w:rsidR="00630E65" w:rsidRPr="00FF04C4">
        <w:rPr>
          <w:lang w:val="fr-CH"/>
        </w:rPr>
        <w:t xml:space="preserve">peut-être </w:t>
      </w:r>
      <w:r w:rsidRPr="00FF04C4">
        <w:rPr>
          <w:lang w:val="fr-CH"/>
        </w:rPr>
        <w:t xml:space="preserve">des prix plus bas </w:t>
      </w:r>
      <w:r w:rsidR="002A7B17" w:rsidRPr="00FF04C4">
        <w:rPr>
          <w:lang w:val="fr-CH"/>
        </w:rPr>
        <w:t>aux dépens d'une</w:t>
      </w:r>
      <w:r w:rsidRPr="00FF04C4">
        <w:rPr>
          <w:lang w:val="fr-CH"/>
        </w:rPr>
        <w:t xml:space="preserve"> qualité de service inférieure.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existence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un ensemble de plans pour les appels internationaux avec différentes qualités de service dans divers pays à travers le monde témoigne du manque de pertinence et d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utilité pratique des dispositions de la version de 2012 du RTI.</w:t>
      </w:r>
    </w:p>
    <w:p w14:paraId="58A5631A" w14:textId="77777777" w:rsidR="003507E4" w:rsidRDefault="003507E4" w:rsidP="00FF04C4">
      <w:pPr>
        <w:pStyle w:val="Headingb"/>
        <w:rPr>
          <w:lang w:val="fr-CH"/>
        </w:rPr>
      </w:pPr>
      <w:r>
        <w:rPr>
          <w:lang w:val="fr-CH"/>
        </w:rPr>
        <w:br w:type="page"/>
      </w:r>
    </w:p>
    <w:p w14:paraId="311E99AB" w14:textId="5992326D" w:rsidR="0068028F" w:rsidRPr="00FF04C4" w:rsidRDefault="0068028F" w:rsidP="00FF04C4">
      <w:pPr>
        <w:pStyle w:val="Headingb"/>
        <w:rPr>
          <w:lang w:val="fr-CH"/>
        </w:rPr>
      </w:pPr>
      <w:r w:rsidRPr="00FF04C4">
        <w:rPr>
          <w:lang w:val="fr-CH"/>
        </w:rPr>
        <w:lastRenderedPageBreak/>
        <w:t>Conclusion</w:t>
      </w:r>
    </w:p>
    <w:p w14:paraId="7DFA0823" w14:textId="3008CECF" w:rsidR="0068028F" w:rsidRPr="00FF04C4" w:rsidRDefault="0068028F" w:rsidP="00FF04C4">
      <w:pPr>
        <w:rPr>
          <w:lang w:val="fr-CH"/>
        </w:rPr>
      </w:pPr>
      <w:r w:rsidRPr="00FF04C4">
        <w:rPr>
          <w:lang w:val="fr-CH"/>
        </w:rPr>
        <w:t xml:space="preserve">Le secteur des télécommunications/TIC continue de contribuer à la croissance économique dans le monde entier. En 2016, les recettes issues du secteur des télécommunications ont représenté 2,3% du </w:t>
      </w:r>
      <w:r w:rsidR="002A7B17" w:rsidRPr="00FF04C4">
        <w:rPr>
          <w:lang w:val="fr-CH"/>
        </w:rPr>
        <w:t>p</w:t>
      </w:r>
      <w:r w:rsidRPr="00FF04C4">
        <w:rPr>
          <w:lang w:val="fr-CH"/>
        </w:rPr>
        <w:t>roduit intérieur brut (PIB) mondial</w:t>
      </w:r>
      <w:r w:rsidR="002A7B17" w:rsidRPr="00FF04C4">
        <w:rPr>
          <w:rStyle w:val="FootnoteReference"/>
          <w:lang w:val="fr-CH"/>
        </w:rPr>
        <w:footnoteReference w:id="4"/>
      </w:r>
      <w:r w:rsidRPr="00FF04C4">
        <w:rPr>
          <w:lang w:val="fr-CH"/>
        </w:rPr>
        <w:t xml:space="preserve">. Les nouveaux services, en particulier les applications mobiles qui alimentent la croissance du secteur des télécommunications, </w:t>
      </w:r>
      <w:r w:rsidR="002A7B17" w:rsidRPr="00FF04C4">
        <w:rPr>
          <w:lang w:val="fr-CH"/>
        </w:rPr>
        <w:t>n'ont été</w:t>
      </w:r>
      <w:r w:rsidRPr="00FF04C4">
        <w:rPr>
          <w:lang w:val="fr-CH"/>
        </w:rPr>
        <w:t xml:space="preserve"> ni </w:t>
      </w:r>
      <w:r w:rsidR="002A7B17" w:rsidRPr="00FF04C4">
        <w:rPr>
          <w:lang w:val="fr-CH"/>
        </w:rPr>
        <w:t>envisagés</w:t>
      </w:r>
      <w:r w:rsidRPr="00FF04C4">
        <w:rPr>
          <w:lang w:val="fr-CH"/>
        </w:rPr>
        <w:t>, ni</w:t>
      </w:r>
      <w:r w:rsidR="00165DC2">
        <w:rPr>
          <w:lang w:val="fr-CH"/>
        </w:rPr>
        <w:t xml:space="preserve"> </w:t>
      </w:r>
      <w:r w:rsidRPr="00FF04C4">
        <w:rPr>
          <w:lang w:val="fr-CH"/>
        </w:rPr>
        <w:t>facilités par les dispositions rigides de la ve</w:t>
      </w:r>
      <w:bookmarkStart w:id="7" w:name="_GoBack"/>
      <w:bookmarkEnd w:id="7"/>
      <w:r w:rsidRPr="00FF04C4">
        <w:rPr>
          <w:lang w:val="fr-CH"/>
        </w:rPr>
        <w:t xml:space="preserve">rsion de 2012 du RTI. Selon nous, </w:t>
      </w:r>
      <w:r w:rsidR="002A7B17" w:rsidRPr="00FF04C4">
        <w:rPr>
          <w:lang w:val="fr-CH"/>
        </w:rPr>
        <w:t>si les pays du monde entier ont pu retirer des avantages des t</w:t>
      </w:r>
      <w:r w:rsidRPr="00FF04C4">
        <w:rPr>
          <w:lang w:val="fr-CH"/>
        </w:rPr>
        <w:t>élécommunications/TIC</w:t>
      </w:r>
      <w:r w:rsidR="002A7B17" w:rsidRPr="00FF04C4">
        <w:rPr>
          <w:lang w:val="fr-CH"/>
        </w:rPr>
        <w:t xml:space="preserve">, ce n'est pas grâce au </w:t>
      </w:r>
      <w:r w:rsidRPr="00FF04C4">
        <w:rPr>
          <w:lang w:val="fr-CH"/>
        </w:rPr>
        <w:t>RTI dans sa version de 2012, instrument ayant valeur de traité</w:t>
      </w:r>
      <w:r w:rsidR="000F3A4A">
        <w:rPr>
          <w:lang w:val="fr-CH"/>
        </w:rPr>
        <w:t xml:space="preserve"> qui constituait même un véritable obstacle</w:t>
      </w:r>
      <w:r w:rsidRPr="00FF04C4">
        <w:rPr>
          <w:lang w:val="fr-CH"/>
        </w:rPr>
        <w:t xml:space="preserve">. </w:t>
      </w:r>
    </w:p>
    <w:p w14:paraId="7C1730CE" w14:textId="73505885" w:rsidR="0068028F" w:rsidRPr="00FF04C4" w:rsidRDefault="0068028F" w:rsidP="00FF04C4">
      <w:pPr>
        <w:rPr>
          <w:lang w:val="fr-CH"/>
        </w:rPr>
      </w:pPr>
      <w:r w:rsidRPr="00FF04C4">
        <w:rPr>
          <w:lang w:val="fr-CH"/>
        </w:rPr>
        <w:t xml:space="preserve">Les dispositions ayant valeur de traité qui ont </w:t>
      </w:r>
      <w:r w:rsidR="002A7B17" w:rsidRPr="00FF04C4">
        <w:rPr>
          <w:lang w:val="fr-CH"/>
        </w:rPr>
        <w:t xml:space="preserve">par nature </w:t>
      </w:r>
      <w:r w:rsidRPr="00FF04C4">
        <w:rPr>
          <w:lang w:val="fr-CH"/>
        </w:rPr>
        <w:t>un caractère général, en revanche, sont plus susceptibles de s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adapter à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évolution du marché et à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innovation technologique. Nous </w:t>
      </w:r>
      <w:r w:rsidR="002A7B17" w:rsidRPr="00FF04C4">
        <w:rPr>
          <w:lang w:val="fr-CH"/>
        </w:rPr>
        <w:t>considérons</w:t>
      </w:r>
      <w:r w:rsidRPr="00FF04C4">
        <w:rPr>
          <w:lang w:val="fr-CH"/>
        </w:rPr>
        <w:t xml:space="preserve"> que les dispositions plus générale</w:t>
      </w:r>
      <w:r w:rsidR="002A7B17" w:rsidRPr="00FF04C4">
        <w:rPr>
          <w:lang w:val="fr-CH"/>
        </w:rPr>
        <w:t>s</w:t>
      </w:r>
      <w:r w:rsidRPr="00FF04C4">
        <w:rPr>
          <w:lang w:val="fr-CH"/>
        </w:rPr>
        <w:t xml:space="preserve"> du RTI qui figurent dans la Constitution et la Convention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 xml:space="preserve">UIT sont résilientes et capables de </w:t>
      </w:r>
      <w:r w:rsidR="002A7B17" w:rsidRPr="00FF04C4">
        <w:rPr>
          <w:lang w:val="fr-CH"/>
        </w:rPr>
        <w:t xml:space="preserve">faire face </w:t>
      </w:r>
      <w:r w:rsidRPr="00FF04C4">
        <w:rPr>
          <w:lang w:val="fr-CH"/>
        </w:rPr>
        <w:t>à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évolution de l</w:t>
      </w:r>
      <w:r w:rsidR="00FF04C4" w:rsidRPr="00FF04C4">
        <w:rPr>
          <w:lang w:val="fr-CH"/>
        </w:rPr>
        <w:t>'</w:t>
      </w:r>
      <w:r w:rsidRPr="00FF04C4">
        <w:rPr>
          <w:lang w:val="fr-CH"/>
        </w:rPr>
        <w:t>environnement commercial et technologique</w:t>
      </w:r>
      <w:r w:rsidR="002A7B17" w:rsidRPr="00FF04C4">
        <w:rPr>
          <w:rStyle w:val="FootnoteReference"/>
          <w:lang w:val="fr-CH"/>
        </w:rPr>
        <w:footnoteReference w:id="5"/>
      </w:r>
      <w:r w:rsidRPr="00FF04C4">
        <w:rPr>
          <w:lang w:val="fr-CH"/>
        </w:rPr>
        <w:t>.</w:t>
      </w:r>
    </w:p>
    <w:p w14:paraId="20B8460D" w14:textId="77777777" w:rsidR="0068028F" w:rsidRPr="00FF04C4" w:rsidRDefault="0068028F" w:rsidP="00FF04C4">
      <w:pPr>
        <w:jc w:val="center"/>
        <w:rPr>
          <w:lang w:val="fr-CH"/>
        </w:rPr>
      </w:pPr>
      <w:r w:rsidRPr="00FF04C4">
        <w:rPr>
          <w:lang w:val="fr-CH"/>
        </w:rPr>
        <w:t>____________________</w:t>
      </w:r>
    </w:p>
    <w:sectPr w:rsidR="0068028F" w:rsidRPr="00FF04C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62C6A" w14:textId="77777777" w:rsidR="0068028F" w:rsidRDefault="0068028F">
      <w:r>
        <w:separator/>
      </w:r>
    </w:p>
  </w:endnote>
  <w:endnote w:type="continuationSeparator" w:id="0">
    <w:p w14:paraId="57D4D893" w14:textId="77777777" w:rsidR="0068028F" w:rsidRDefault="0068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6DCF" w14:textId="5764D826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EE6262">
      <w:rPr>
        <w:lang w:val="en-US"/>
      </w:rPr>
      <w:t>P:\FRA\SG\CONSEIL\EG-ITR\EG-ITR-2\000\007F.docx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507E4">
      <w:t>04.02.20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E6262">
      <w:t>04.02.20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8EE" w14:textId="57827A67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EE6262">
      <w:rPr>
        <w:lang w:val="en-US"/>
      </w:rPr>
      <w:t>P:\FRA\SG\CONSEIL\EG-ITR\EG-ITR-2\000\007F.docx</w:t>
    </w:r>
    <w:r>
      <w:fldChar w:fldCharType="end"/>
    </w:r>
    <w:r w:rsidR="00FF04C4">
      <w:t xml:space="preserve"> (467121)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401C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52B0" w14:textId="77777777" w:rsidR="0068028F" w:rsidRDefault="0068028F">
      <w:r>
        <w:t>____________________</w:t>
      </w:r>
    </w:p>
  </w:footnote>
  <w:footnote w:type="continuationSeparator" w:id="0">
    <w:p w14:paraId="281F4910" w14:textId="77777777" w:rsidR="0068028F" w:rsidRDefault="0068028F">
      <w:r>
        <w:continuationSeparator/>
      </w:r>
    </w:p>
  </w:footnote>
  <w:footnote w:id="1">
    <w:p w14:paraId="48E6EB36" w14:textId="3A013AB7" w:rsidR="0004523C" w:rsidRPr="0004523C" w:rsidRDefault="0004523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165DC2">
        <w:rPr>
          <w:szCs w:val="24"/>
        </w:rPr>
        <w:t>Voir Telegeography, à l</w:t>
      </w:r>
      <w:r w:rsidR="00BB5585">
        <w:rPr>
          <w:szCs w:val="24"/>
        </w:rPr>
        <w:t>'</w:t>
      </w:r>
      <w:r w:rsidRPr="00165DC2">
        <w:rPr>
          <w:szCs w:val="24"/>
        </w:rPr>
        <w:t xml:space="preserve">adresse: </w:t>
      </w:r>
      <w:hyperlink r:id="rId1" w:history="1">
        <w:r w:rsidRPr="00165DC2">
          <w:rPr>
            <w:rStyle w:val="Hyperlink"/>
            <w:szCs w:val="24"/>
          </w:rPr>
          <w:t>https://blog.telegeography.com/voice-traffics-slump-continued-in-a-big-way-last-year</w:t>
        </w:r>
      </w:hyperlink>
      <w:r w:rsidRPr="003507E4">
        <w:rPr>
          <w:rStyle w:val="Hyperlink"/>
          <w:szCs w:val="24"/>
          <w:u w:val="none"/>
        </w:rPr>
        <w:t>.</w:t>
      </w:r>
    </w:p>
  </w:footnote>
  <w:footnote w:id="2">
    <w:p w14:paraId="0F825DA2" w14:textId="7EBAD1B4" w:rsidR="0004523C" w:rsidRPr="0004523C" w:rsidRDefault="0004523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165DC2">
        <w:rPr>
          <w:szCs w:val="24"/>
        </w:rPr>
        <w:t>Voir le Document d</w:t>
      </w:r>
      <w:r w:rsidR="00BB5585">
        <w:rPr>
          <w:szCs w:val="24"/>
        </w:rPr>
        <w:t>'</w:t>
      </w:r>
      <w:r w:rsidRPr="00165DC2">
        <w:rPr>
          <w:szCs w:val="24"/>
        </w:rPr>
        <w:t>information 4 du Groupe d</w:t>
      </w:r>
      <w:r w:rsidR="00BB5585">
        <w:rPr>
          <w:szCs w:val="24"/>
        </w:rPr>
        <w:t>'</w:t>
      </w:r>
      <w:r w:rsidRPr="00165DC2">
        <w:rPr>
          <w:szCs w:val="24"/>
        </w:rPr>
        <w:t>experts chargé de l</w:t>
      </w:r>
      <w:r w:rsidR="00BB5585">
        <w:rPr>
          <w:szCs w:val="24"/>
        </w:rPr>
        <w:t>'</w:t>
      </w:r>
      <w:r w:rsidRPr="00165DC2">
        <w:rPr>
          <w:szCs w:val="24"/>
        </w:rPr>
        <w:t xml:space="preserve">examen du RTI (2007-2009), intitulé </w:t>
      </w:r>
      <w:r w:rsidR="00FF04C4" w:rsidRPr="00165DC2">
        <w:rPr>
          <w:szCs w:val="24"/>
        </w:rPr>
        <w:t>"</w:t>
      </w:r>
      <w:r w:rsidRPr="00165DC2">
        <w:rPr>
          <w:szCs w:val="24"/>
        </w:rPr>
        <w:t>Examen du Règlement des télécommunications internationales</w:t>
      </w:r>
      <w:r w:rsidR="00FF04C4" w:rsidRPr="00165DC2">
        <w:rPr>
          <w:szCs w:val="24"/>
        </w:rPr>
        <w:t>"</w:t>
      </w:r>
      <w:r w:rsidRPr="00165DC2">
        <w:rPr>
          <w:szCs w:val="24"/>
        </w:rPr>
        <w:t>, disponible à l</w:t>
      </w:r>
      <w:r w:rsidR="00BB5585">
        <w:rPr>
          <w:szCs w:val="24"/>
        </w:rPr>
        <w:t>'</w:t>
      </w:r>
      <w:r w:rsidRPr="00165DC2">
        <w:rPr>
          <w:szCs w:val="24"/>
        </w:rPr>
        <w:t xml:space="preserve">adresse: </w:t>
      </w:r>
      <w:hyperlink r:id="rId2" w:history="1">
        <w:r w:rsidRPr="00165DC2">
          <w:rPr>
            <w:rStyle w:val="Hyperlink"/>
            <w:szCs w:val="24"/>
          </w:rPr>
          <w:t>https://www.itu.int/md/T05-ITR.EG-INF-0004/en</w:t>
        </w:r>
      </w:hyperlink>
      <w:r w:rsidR="003507E4" w:rsidRPr="003507E4">
        <w:rPr>
          <w:rStyle w:val="Hyperlink"/>
          <w:sz w:val="20"/>
          <w:u w:val="none"/>
        </w:rPr>
        <w:t>.</w:t>
      </w:r>
    </w:p>
  </w:footnote>
  <w:footnote w:id="3">
    <w:p w14:paraId="27DC68E2" w14:textId="130589AE" w:rsidR="0004523C" w:rsidRPr="0004523C" w:rsidRDefault="0004523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165DC2">
        <w:rPr>
          <w:szCs w:val="24"/>
        </w:rPr>
        <w:t xml:space="preserve">Voir le Manuel de rédaction des </w:t>
      </w:r>
      <w:r w:rsidR="00630E65" w:rsidRPr="00165DC2">
        <w:rPr>
          <w:szCs w:val="24"/>
        </w:rPr>
        <w:t>r</w:t>
      </w:r>
      <w:r w:rsidRPr="00165DC2">
        <w:rPr>
          <w:szCs w:val="24"/>
        </w:rPr>
        <w:t>apports annuels relevant de la Section 43.62 (février 2016) de la Commission fédérale des communications, disponible à l</w:t>
      </w:r>
      <w:r w:rsidR="00BB5585">
        <w:rPr>
          <w:szCs w:val="24"/>
        </w:rPr>
        <w:t>'</w:t>
      </w:r>
      <w:r w:rsidRPr="00165DC2">
        <w:rPr>
          <w:szCs w:val="24"/>
        </w:rPr>
        <w:t xml:space="preserve">adresse: </w:t>
      </w:r>
      <w:hyperlink r:id="rId3" w:history="1">
        <w:r w:rsidR="007E4EAB" w:rsidRPr="00A91A92">
          <w:rPr>
            <w:rStyle w:val="Hyperlink"/>
            <w:szCs w:val="24"/>
          </w:rPr>
          <w:t>https://www.fcc.gov/document/filing-manual-section-4362-annual-reports-february-2016</w:t>
        </w:r>
      </w:hyperlink>
      <w:r w:rsidRPr="007E4EAB">
        <w:t xml:space="preserve"> pour une description des marchés au comptant.</w:t>
      </w:r>
    </w:p>
  </w:footnote>
  <w:footnote w:id="4">
    <w:p w14:paraId="14A196A9" w14:textId="1BD64562" w:rsidR="002A7B17" w:rsidRPr="002A7B17" w:rsidRDefault="002A7B1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165DC2">
        <w:rPr>
          <w:szCs w:val="24"/>
        </w:rPr>
        <w:t>Rapport de 2018 de l'UIT "Mesurer la société de l'information", Volume 1, p. 57.</w:t>
      </w:r>
    </w:p>
  </w:footnote>
  <w:footnote w:id="5">
    <w:p w14:paraId="2EB68CDB" w14:textId="136EA96E" w:rsidR="002A7B17" w:rsidRPr="002A7B17" w:rsidRDefault="002A7B1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165DC2">
        <w:rPr>
          <w:szCs w:val="24"/>
        </w:rPr>
        <w:t>Voir le Document d</w:t>
      </w:r>
      <w:r w:rsidR="00BB5585">
        <w:rPr>
          <w:szCs w:val="24"/>
        </w:rPr>
        <w:t>'</w:t>
      </w:r>
      <w:r w:rsidRPr="00165DC2">
        <w:rPr>
          <w:szCs w:val="24"/>
        </w:rPr>
        <w:t>information 5 du Groupe d</w:t>
      </w:r>
      <w:r w:rsidR="00BB5585">
        <w:rPr>
          <w:szCs w:val="24"/>
        </w:rPr>
        <w:t>'</w:t>
      </w:r>
      <w:r w:rsidRPr="00165DC2">
        <w:rPr>
          <w:szCs w:val="24"/>
        </w:rPr>
        <w:t>experts chargé de l</w:t>
      </w:r>
      <w:r w:rsidR="00BB5585">
        <w:rPr>
          <w:szCs w:val="24"/>
        </w:rPr>
        <w:t>'</w:t>
      </w:r>
      <w:r w:rsidRPr="00165DC2">
        <w:rPr>
          <w:szCs w:val="24"/>
        </w:rPr>
        <w:t xml:space="preserve">examen du RTI (2007-2009), intitulé </w:t>
      </w:r>
      <w:r w:rsidR="00FF04C4" w:rsidRPr="00165DC2">
        <w:rPr>
          <w:szCs w:val="24"/>
        </w:rPr>
        <w:t>"</w:t>
      </w:r>
      <w:r w:rsidRPr="00165DC2">
        <w:rPr>
          <w:szCs w:val="24"/>
        </w:rPr>
        <w:t>Relation entre le RTI et la Constitution et la Convention.</w:t>
      </w:r>
      <w:r w:rsidR="00FF04C4" w:rsidRPr="00165DC2">
        <w:rPr>
          <w:szCs w:val="24"/>
        </w:rPr>
        <w:t>"</w:t>
      </w:r>
      <w:r w:rsidRPr="00165DC2">
        <w:rPr>
          <w:szCs w:val="24"/>
        </w:rPr>
        <w:t>, disponible à l</w:t>
      </w:r>
      <w:r w:rsidR="00BB5585">
        <w:rPr>
          <w:szCs w:val="24"/>
        </w:rPr>
        <w:t>'</w:t>
      </w:r>
      <w:r w:rsidRPr="00165DC2">
        <w:rPr>
          <w:szCs w:val="24"/>
        </w:rPr>
        <w:t>adresse:</w:t>
      </w:r>
      <w:hyperlink r:id="rId4" w:history="1">
        <w:r w:rsidR="00FF04C4" w:rsidRPr="003507E4">
          <w:t xml:space="preserve"> </w:t>
        </w:r>
        <w:hyperlink r:id="rId5" w:history="1">
          <w:r w:rsidR="00D03E24" w:rsidRPr="00D03E24">
            <w:rPr>
              <w:rStyle w:val="Hyperlink"/>
              <w:szCs w:val="24"/>
              <w:lang w:val="fr-CH"/>
            </w:rPr>
            <w:t>https://www.itu.int/md/T05-ITR.EG-INF-0005/en</w:t>
          </w:r>
        </w:hyperlink>
        <w:r w:rsidR="00D03E24" w:rsidRPr="003507E4"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D6D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FC8C64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BB98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5CFA6C51" w14:textId="6B08C9BB" w:rsidR="00732045" w:rsidRDefault="00B84194" w:rsidP="0093234A">
    <w:pPr>
      <w:pStyle w:val="Header"/>
    </w:pPr>
    <w:r>
      <w:rPr>
        <w:noProof/>
      </w:rPr>
      <w:t>EG-ITRs-</w:t>
    </w:r>
    <w:r w:rsidR="00D06D06">
      <w:rPr>
        <w:noProof/>
      </w:rPr>
      <w:t>2</w:t>
    </w:r>
    <w:r>
      <w:rPr>
        <w:noProof/>
      </w:rPr>
      <w:t>\</w:t>
    </w:r>
    <w:r w:rsidR="00FF04C4">
      <w:rPr>
        <w:noProof/>
      </w:rPr>
      <w:t>7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F"/>
    <w:rsid w:val="0004523C"/>
    <w:rsid w:val="000D0D0A"/>
    <w:rsid w:val="000F3A4A"/>
    <w:rsid w:val="00103163"/>
    <w:rsid w:val="00115D93"/>
    <w:rsid w:val="001247A8"/>
    <w:rsid w:val="001378C0"/>
    <w:rsid w:val="00165DC2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A7B17"/>
    <w:rsid w:val="002E0BC4"/>
    <w:rsid w:val="002F1B76"/>
    <w:rsid w:val="00323F86"/>
    <w:rsid w:val="0033094A"/>
    <w:rsid w:val="003507E4"/>
    <w:rsid w:val="00355FF5"/>
    <w:rsid w:val="00361350"/>
    <w:rsid w:val="003932CC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4F4465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30E65"/>
    <w:rsid w:val="006643AB"/>
    <w:rsid w:val="0068028F"/>
    <w:rsid w:val="007210CD"/>
    <w:rsid w:val="00732045"/>
    <w:rsid w:val="007369DB"/>
    <w:rsid w:val="007956C2"/>
    <w:rsid w:val="007A187E"/>
    <w:rsid w:val="007C72C2"/>
    <w:rsid w:val="007D4436"/>
    <w:rsid w:val="007E4EAB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60646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B4545"/>
    <w:rsid w:val="00BB5585"/>
    <w:rsid w:val="00BD5873"/>
    <w:rsid w:val="00C04BE3"/>
    <w:rsid w:val="00C25D29"/>
    <w:rsid w:val="00C27A7C"/>
    <w:rsid w:val="00C93610"/>
    <w:rsid w:val="00CA08ED"/>
    <w:rsid w:val="00CF183B"/>
    <w:rsid w:val="00D03E24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EE6262"/>
    <w:rsid w:val="00F06D00"/>
    <w:rsid w:val="00F15B57"/>
    <w:rsid w:val="00F427DB"/>
    <w:rsid w:val="00FA5EB1"/>
    <w:rsid w:val="00FA7439"/>
    <w:rsid w:val="00FC4EC0"/>
    <w:rsid w:val="00FF0181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35E5117"/>
  <w15:docId w15:val="{09E9E813-8004-4910-91C6-65F3E753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cc.gov/document/filing-manual-section-4362-annual-reports-february-2016" TargetMode="External"/><Relationship Id="rId2" Type="http://schemas.openxmlformats.org/officeDocument/2006/relationships/hyperlink" Target="https://www.itu.int/md/T05-ITR.EG-INF-0004/en" TargetMode="External"/><Relationship Id="rId1" Type="http://schemas.openxmlformats.org/officeDocument/2006/relationships/hyperlink" Target="https://blog.telegeography.com/voice-traffics-slump-continued-in-a-big-way-last-year" TargetMode="External"/><Relationship Id="rId5" Type="http://schemas.openxmlformats.org/officeDocument/2006/relationships/hyperlink" Target="https://www.itu.int/md/T05-ITR.EG-INF-0005/en" TargetMode="External"/><Relationship Id="rId4" Type="http://schemas.openxmlformats.org/officeDocument/2006/relationships/hyperlink" Target="%20https://www.itu.int/md/T05-ITR.EG-INF-0005/en%20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7C5B-7690-4DF1-BEAA-8E5FC84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93</TotalTime>
  <Pages>3</Pages>
  <Words>1006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6841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Chanavat, Emilie</dc:creator>
  <cp:keywords/>
  <dc:description/>
  <cp:lastModifiedBy>French</cp:lastModifiedBy>
  <cp:revision>11</cp:revision>
  <cp:lastPrinted>2020-02-04T10:36:00Z</cp:lastPrinted>
  <dcterms:created xsi:type="dcterms:W3CDTF">2020-02-04T07:33:00Z</dcterms:created>
  <dcterms:modified xsi:type="dcterms:W3CDTF">2020-02-05T13:28:00Z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