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D66D7D" w14:paraId="76D140CA" w14:textId="77777777">
        <w:trPr>
          <w:cantSplit/>
        </w:trPr>
        <w:tc>
          <w:tcPr>
            <w:tcW w:w="6911" w:type="dxa"/>
          </w:tcPr>
          <w:p w14:paraId="11815EA7" w14:textId="77777777" w:rsidR="00BC7BC0" w:rsidRPr="00D66D7D" w:rsidRDefault="00DC6CE2" w:rsidP="00DC6CE2">
            <w:pPr>
              <w:spacing w:before="240"/>
              <w:rPr>
                <w:position w:val="6"/>
                <w:szCs w:val="22"/>
                <w:lang w:val="ru-RU"/>
              </w:rPr>
            </w:pPr>
            <w:r w:rsidRPr="00D66D7D">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2B18F08E" w14:textId="77777777" w:rsidR="00BC7BC0" w:rsidRPr="00D66D7D" w:rsidRDefault="00327D3A" w:rsidP="00202D95">
            <w:pPr>
              <w:spacing w:before="0" w:line="240" w:lineRule="atLeast"/>
              <w:jc w:val="right"/>
              <w:rPr>
                <w:szCs w:val="22"/>
                <w:lang w:val="ru-RU"/>
              </w:rPr>
            </w:pPr>
            <w:bookmarkStart w:id="0" w:name="ditulogo"/>
            <w:bookmarkEnd w:id="0"/>
            <w:r w:rsidRPr="00D66D7D">
              <w:rPr>
                <w:noProof/>
                <w:lang w:val="ru-RU"/>
              </w:rPr>
              <w:drawing>
                <wp:inline distT="0" distB="0" distL="0" distR="0" wp14:anchorId="371A6D91" wp14:editId="0BEA2E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D66D7D" w14:paraId="0C8A6DB8" w14:textId="77777777">
        <w:trPr>
          <w:cantSplit/>
        </w:trPr>
        <w:tc>
          <w:tcPr>
            <w:tcW w:w="6911" w:type="dxa"/>
            <w:tcBorders>
              <w:bottom w:val="single" w:sz="12" w:space="0" w:color="auto"/>
            </w:tcBorders>
          </w:tcPr>
          <w:p w14:paraId="54AF70FB" w14:textId="77777777" w:rsidR="00BC7BC0" w:rsidRPr="00D66D7D" w:rsidRDefault="00D71D97" w:rsidP="00C73AFE">
            <w:pPr>
              <w:spacing w:before="0" w:after="48" w:line="240" w:lineRule="atLeast"/>
              <w:rPr>
                <w:b/>
                <w:smallCaps/>
                <w:szCs w:val="22"/>
                <w:lang w:val="ru-RU"/>
              </w:rPr>
            </w:pPr>
            <w:r w:rsidRPr="00D66D7D">
              <w:rPr>
                <w:rFonts w:asciiTheme="minorHAnsi" w:hAnsiTheme="minorHAnsi" w:cs="Calibri"/>
                <w:b/>
                <w:color w:val="000000"/>
                <w:szCs w:val="24"/>
                <w:lang w:val="ru-RU"/>
              </w:rPr>
              <w:t>Второе</w:t>
            </w:r>
            <w:r w:rsidR="00327D3A" w:rsidRPr="00D66D7D">
              <w:rPr>
                <w:rFonts w:asciiTheme="minorHAnsi" w:hAnsiTheme="minorHAnsi" w:cs="Calibri"/>
                <w:b/>
                <w:color w:val="000000"/>
                <w:szCs w:val="24"/>
                <w:lang w:val="ru-RU"/>
              </w:rPr>
              <w:t xml:space="preserve"> </w:t>
            </w:r>
            <w:r w:rsidR="00760C98" w:rsidRPr="00D66D7D">
              <w:rPr>
                <w:rFonts w:asciiTheme="minorHAnsi" w:hAnsiTheme="minorHAnsi" w:cs="Calibri"/>
                <w:b/>
                <w:color w:val="000000"/>
                <w:szCs w:val="24"/>
                <w:lang w:val="ru-RU"/>
              </w:rPr>
              <w:t>собрание – Женева, 1</w:t>
            </w:r>
            <w:r w:rsidRPr="00D66D7D">
              <w:rPr>
                <w:rFonts w:asciiTheme="minorHAnsi" w:hAnsiTheme="minorHAnsi" w:cs="Calibri"/>
                <w:b/>
                <w:color w:val="000000"/>
                <w:szCs w:val="24"/>
                <w:lang w:val="ru-RU"/>
              </w:rPr>
              <w:t>2</w:t>
            </w:r>
            <w:r w:rsidR="00760C98" w:rsidRPr="00D66D7D">
              <w:rPr>
                <w:rFonts w:asciiTheme="minorHAnsi" w:hAnsiTheme="minorHAnsi" w:cs="Calibri"/>
                <w:b/>
                <w:color w:val="000000"/>
                <w:szCs w:val="24"/>
                <w:lang w:val="ru-RU"/>
              </w:rPr>
              <w:t>–1</w:t>
            </w:r>
            <w:r w:rsidRPr="00D66D7D">
              <w:rPr>
                <w:rFonts w:asciiTheme="minorHAnsi" w:hAnsiTheme="minorHAnsi" w:cs="Calibri"/>
                <w:b/>
                <w:color w:val="000000"/>
                <w:szCs w:val="24"/>
                <w:lang w:val="ru-RU"/>
              </w:rPr>
              <w:t>3</w:t>
            </w:r>
            <w:r w:rsidR="00760C98" w:rsidRPr="00D66D7D">
              <w:rPr>
                <w:rFonts w:asciiTheme="minorHAnsi" w:hAnsiTheme="minorHAnsi" w:cs="Calibri"/>
                <w:b/>
                <w:color w:val="000000"/>
                <w:szCs w:val="24"/>
                <w:lang w:val="ru-RU"/>
              </w:rPr>
              <w:t xml:space="preserve"> </w:t>
            </w:r>
            <w:r w:rsidRPr="00D66D7D">
              <w:rPr>
                <w:rFonts w:ascii="Verdana" w:hAnsi="Verdana"/>
                <w:b/>
                <w:bCs/>
                <w:sz w:val="18"/>
                <w:szCs w:val="18"/>
                <w:lang w:val="ru-RU"/>
              </w:rPr>
              <w:t>февраля</w:t>
            </w:r>
            <w:r w:rsidRPr="00D66D7D">
              <w:rPr>
                <w:rFonts w:asciiTheme="minorHAnsi" w:hAnsiTheme="minorHAnsi" w:cs="Calibri"/>
                <w:b/>
                <w:color w:val="000000"/>
                <w:szCs w:val="24"/>
                <w:lang w:val="ru-RU"/>
              </w:rPr>
              <w:t xml:space="preserve"> </w:t>
            </w:r>
            <w:r w:rsidR="00760C98" w:rsidRPr="00D66D7D">
              <w:rPr>
                <w:rFonts w:asciiTheme="minorHAnsi" w:hAnsiTheme="minorHAnsi" w:cs="Calibri"/>
                <w:b/>
                <w:color w:val="000000"/>
                <w:szCs w:val="24"/>
                <w:lang w:val="ru-RU"/>
              </w:rPr>
              <w:t>20</w:t>
            </w:r>
            <w:r w:rsidRPr="00D66D7D">
              <w:rPr>
                <w:rFonts w:asciiTheme="minorHAnsi" w:hAnsiTheme="minorHAnsi" w:cs="Calibri"/>
                <w:b/>
                <w:color w:val="000000"/>
                <w:szCs w:val="24"/>
                <w:lang w:val="ru-RU"/>
              </w:rPr>
              <w:t>20</w:t>
            </w:r>
            <w:r w:rsidR="00760C98" w:rsidRPr="00D66D7D">
              <w:rPr>
                <w:rFonts w:asciiTheme="minorHAnsi" w:hAnsiTheme="minorHAnsi" w:cs="Calibri"/>
                <w:b/>
                <w:color w:val="000000"/>
                <w:szCs w:val="24"/>
                <w:lang w:val="ru-RU"/>
              </w:rPr>
              <w:t> года</w:t>
            </w:r>
          </w:p>
        </w:tc>
        <w:tc>
          <w:tcPr>
            <w:tcW w:w="3120" w:type="dxa"/>
            <w:tcBorders>
              <w:bottom w:val="single" w:sz="12" w:space="0" w:color="auto"/>
            </w:tcBorders>
          </w:tcPr>
          <w:p w14:paraId="698E20BA" w14:textId="77777777" w:rsidR="00BC7BC0" w:rsidRPr="00D66D7D" w:rsidRDefault="00BC7BC0" w:rsidP="00BC7BC0">
            <w:pPr>
              <w:spacing w:before="0" w:line="240" w:lineRule="atLeast"/>
              <w:rPr>
                <w:szCs w:val="22"/>
                <w:lang w:val="ru-RU"/>
              </w:rPr>
            </w:pPr>
          </w:p>
        </w:tc>
      </w:tr>
      <w:tr w:rsidR="00BC7BC0" w:rsidRPr="00D66D7D" w14:paraId="460EE99A" w14:textId="77777777">
        <w:trPr>
          <w:cantSplit/>
        </w:trPr>
        <w:tc>
          <w:tcPr>
            <w:tcW w:w="6911" w:type="dxa"/>
            <w:tcBorders>
              <w:top w:val="single" w:sz="12" w:space="0" w:color="auto"/>
            </w:tcBorders>
          </w:tcPr>
          <w:p w14:paraId="359FDFC5" w14:textId="77777777" w:rsidR="00BC7BC0" w:rsidRPr="00D66D7D" w:rsidRDefault="00BC7BC0" w:rsidP="004D0129">
            <w:pPr>
              <w:spacing w:before="0" w:line="240" w:lineRule="atLeast"/>
              <w:rPr>
                <w:b/>
                <w:smallCaps/>
                <w:szCs w:val="22"/>
                <w:lang w:val="ru-RU"/>
              </w:rPr>
            </w:pPr>
          </w:p>
        </w:tc>
        <w:tc>
          <w:tcPr>
            <w:tcW w:w="3120" w:type="dxa"/>
            <w:tcBorders>
              <w:top w:val="single" w:sz="12" w:space="0" w:color="auto"/>
            </w:tcBorders>
          </w:tcPr>
          <w:p w14:paraId="51585DAF" w14:textId="77777777" w:rsidR="00BC7BC0" w:rsidRPr="00D66D7D" w:rsidRDefault="00BC7BC0" w:rsidP="004D0129">
            <w:pPr>
              <w:spacing w:before="0" w:line="240" w:lineRule="atLeast"/>
              <w:rPr>
                <w:szCs w:val="22"/>
                <w:lang w:val="ru-RU"/>
              </w:rPr>
            </w:pPr>
          </w:p>
        </w:tc>
      </w:tr>
      <w:tr w:rsidR="00BC7BC0" w:rsidRPr="00D66D7D" w14:paraId="387F7D5C" w14:textId="77777777">
        <w:trPr>
          <w:cantSplit/>
          <w:trHeight w:val="23"/>
        </w:trPr>
        <w:tc>
          <w:tcPr>
            <w:tcW w:w="6911" w:type="dxa"/>
            <w:vMerge w:val="restart"/>
          </w:tcPr>
          <w:p w14:paraId="4524896B" w14:textId="77777777" w:rsidR="00BC7BC0" w:rsidRPr="00D66D7D" w:rsidRDefault="00BC7BC0" w:rsidP="008D2D7B">
            <w:pPr>
              <w:tabs>
                <w:tab w:val="left" w:pos="851"/>
              </w:tabs>
              <w:spacing w:before="0" w:line="240" w:lineRule="atLeast"/>
              <w:rPr>
                <w:b/>
                <w:szCs w:val="22"/>
                <w:lang w:val="ru-RU"/>
              </w:rPr>
            </w:pPr>
          </w:p>
        </w:tc>
        <w:tc>
          <w:tcPr>
            <w:tcW w:w="3120" w:type="dxa"/>
          </w:tcPr>
          <w:p w14:paraId="25B8AADC" w14:textId="4EE9D557" w:rsidR="00BC7BC0" w:rsidRPr="00D66D7D" w:rsidRDefault="00DC6CE2" w:rsidP="00327D3A">
            <w:pPr>
              <w:tabs>
                <w:tab w:val="left" w:pos="851"/>
              </w:tabs>
              <w:spacing w:before="0" w:line="240" w:lineRule="atLeast"/>
              <w:rPr>
                <w:b/>
                <w:bCs/>
                <w:szCs w:val="22"/>
                <w:lang w:val="ru-RU"/>
              </w:rPr>
            </w:pPr>
            <w:r w:rsidRPr="00D66D7D">
              <w:rPr>
                <w:b/>
                <w:bCs/>
                <w:szCs w:val="22"/>
                <w:lang w:val="ru-RU"/>
              </w:rPr>
              <w:t>Документ EG-ITRs</w:t>
            </w:r>
            <w:r w:rsidR="00327D3A" w:rsidRPr="00D66D7D">
              <w:rPr>
                <w:b/>
                <w:bCs/>
                <w:szCs w:val="22"/>
                <w:lang w:val="ru-RU"/>
              </w:rPr>
              <w:t>-</w:t>
            </w:r>
            <w:r w:rsidR="00D71D97" w:rsidRPr="00D66D7D">
              <w:rPr>
                <w:b/>
                <w:bCs/>
                <w:szCs w:val="22"/>
                <w:lang w:val="ru-RU"/>
              </w:rPr>
              <w:t>2</w:t>
            </w:r>
            <w:r w:rsidRPr="00D66D7D">
              <w:rPr>
                <w:b/>
                <w:bCs/>
                <w:szCs w:val="22"/>
                <w:lang w:val="ru-RU"/>
              </w:rPr>
              <w:t>/</w:t>
            </w:r>
            <w:r w:rsidR="00724D1A" w:rsidRPr="00D66D7D">
              <w:rPr>
                <w:b/>
                <w:bCs/>
                <w:szCs w:val="22"/>
                <w:lang w:val="ru-RU"/>
              </w:rPr>
              <w:t>7</w:t>
            </w:r>
            <w:r w:rsidRPr="00D66D7D">
              <w:rPr>
                <w:b/>
                <w:bCs/>
                <w:szCs w:val="22"/>
                <w:lang w:val="ru-RU"/>
              </w:rPr>
              <w:t>-R</w:t>
            </w:r>
          </w:p>
        </w:tc>
      </w:tr>
      <w:tr w:rsidR="00BC7BC0" w:rsidRPr="00D66D7D" w14:paraId="2FB2C9C8" w14:textId="77777777">
        <w:trPr>
          <w:cantSplit/>
          <w:trHeight w:val="23"/>
        </w:trPr>
        <w:tc>
          <w:tcPr>
            <w:tcW w:w="6911" w:type="dxa"/>
            <w:vMerge/>
          </w:tcPr>
          <w:p w14:paraId="0DF8F82F" w14:textId="77777777" w:rsidR="00BC7BC0" w:rsidRPr="00D66D7D" w:rsidRDefault="00BC7BC0" w:rsidP="00BC7BC0">
            <w:pPr>
              <w:tabs>
                <w:tab w:val="left" w:pos="851"/>
              </w:tabs>
              <w:spacing w:line="240" w:lineRule="atLeast"/>
              <w:rPr>
                <w:b/>
                <w:szCs w:val="22"/>
                <w:lang w:val="ru-RU"/>
              </w:rPr>
            </w:pPr>
          </w:p>
        </w:tc>
        <w:tc>
          <w:tcPr>
            <w:tcW w:w="3120" w:type="dxa"/>
          </w:tcPr>
          <w:p w14:paraId="2355DAAC" w14:textId="0C811CE2" w:rsidR="00BC7BC0" w:rsidRPr="00D66D7D" w:rsidRDefault="00A40610" w:rsidP="00327D3A">
            <w:pPr>
              <w:tabs>
                <w:tab w:val="left" w:pos="993"/>
              </w:tabs>
              <w:spacing w:before="0"/>
              <w:rPr>
                <w:b/>
                <w:bCs/>
                <w:szCs w:val="22"/>
                <w:lang w:val="ru-RU"/>
              </w:rPr>
            </w:pPr>
            <w:r w:rsidRPr="00D66D7D">
              <w:rPr>
                <w:b/>
                <w:bCs/>
                <w:szCs w:val="22"/>
                <w:lang w:val="ru-RU"/>
              </w:rPr>
              <w:t>28</w:t>
            </w:r>
            <w:r w:rsidR="00BC7BC0" w:rsidRPr="00D66D7D">
              <w:rPr>
                <w:b/>
                <w:bCs/>
                <w:szCs w:val="22"/>
                <w:lang w:val="ru-RU"/>
              </w:rPr>
              <w:t xml:space="preserve"> </w:t>
            </w:r>
            <w:r w:rsidRPr="00D66D7D">
              <w:rPr>
                <w:b/>
                <w:bCs/>
                <w:szCs w:val="22"/>
                <w:lang w:val="ru-RU"/>
              </w:rPr>
              <w:t>января</w:t>
            </w:r>
            <w:r w:rsidR="00EB4FCB" w:rsidRPr="00D66D7D">
              <w:rPr>
                <w:b/>
                <w:bCs/>
                <w:szCs w:val="22"/>
                <w:lang w:val="ru-RU"/>
              </w:rPr>
              <w:t xml:space="preserve"> </w:t>
            </w:r>
            <w:r w:rsidR="00BC7BC0" w:rsidRPr="00D66D7D">
              <w:rPr>
                <w:b/>
                <w:bCs/>
                <w:szCs w:val="22"/>
                <w:lang w:val="ru-RU"/>
              </w:rPr>
              <w:t>20</w:t>
            </w:r>
            <w:r w:rsidR="00D71D97" w:rsidRPr="00D66D7D">
              <w:rPr>
                <w:b/>
                <w:bCs/>
                <w:szCs w:val="22"/>
                <w:lang w:val="ru-RU"/>
              </w:rPr>
              <w:t>20</w:t>
            </w:r>
            <w:r w:rsidR="00BC7BC0" w:rsidRPr="00D66D7D">
              <w:rPr>
                <w:b/>
                <w:bCs/>
                <w:szCs w:val="22"/>
                <w:lang w:val="ru-RU"/>
              </w:rPr>
              <w:t xml:space="preserve"> года</w:t>
            </w:r>
          </w:p>
        </w:tc>
      </w:tr>
      <w:tr w:rsidR="00BC7BC0" w:rsidRPr="00D66D7D" w14:paraId="3F69782E" w14:textId="77777777">
        <w:trPr>
          <w:cantSplit/>
          <w:trHeight w:val="23"/>
        </w:trPr>
        <w:tc>
          <w:tcPr>
            <w:tcW w:w="6911" w:type="dxa"/>
            <w:vMerge/>
          </w:tcPr>
          <w:p w14:paraId="78F3DA90" w14:textId="77777777" w:rsidR="00BC7BC0" w:rsidRPr="00D66D7D" w:rsidRDefault="00BC7BC0" w:rsidP="00BC7BC0">
            <w:pPr>
              <w:tabs>
                <w:tab w:val="left" w:pos="851"/>
              </w:tabs>
              <w:spacing w:line="240" w:lineRule="atLeast"/>
              <w:rPr>
                <w:b/>
                <w:szCs w:val="22"/>
                <w:lang w:val="ru-RU"/>
              </w:rPr>
            </w:pPr>
          </w:p>
        </w:tc>
        <w:tc>
          <w:tcPr>
            <w:tcW w:w="3120" w:type="dxa"/>
          </w:tcPr>
          <w:p w14:paraId="3E14CF82" w14:textId="77777777" w:rsidR="00BC7BC0" w:rsidRPr="00D66D7D" w:rsidRDefault="00BC7BC0" w:rsidP="00BC7BC0">
            <w:pPr>
              <w:tabs>
                <w:tab w:val="left" w:pos="993"/>
              </w:tabs>
              <w:spacing w:before="0"/>
              <w:rPr>
                <w:b/>
                <w:bCs/>
                <w:szCs w:val="22"/>
                <w:lang w:val="ru-RU"/>
              </w:rPr>
            </w:pPr>
            <w:r w:rsidRPr="00D66D7D">
              <w:rPr>
                <w:b/>
                <w:bCs/>
                <w:szCs w:val="22"/>
                <w:lang w:val="ru-RU"/>
              </w:rPr>
              <w:t>Оригинал: английский</w:t>
            </w:r>
          </w:p>
        </w:tc>
      </w:tr>
      <w:tr w:rsidR="00BC7BC0" w:rsidRPr="00D66D7D" w14:paraId="10843E67" w14:textId="77777777">
        <w:trPr>
          <w:cantSplit/>
        </w:trPr>
        <w:tc>
          <w:tcPr>
            <w:tcW w:w="10031" w:type="dxa"/>
            <w:gridSpan w:val="2"/>
          </w:tcPr>
          <w:tbl>
            <w:tblPr>
              <w:tblpPr w:leftFromText="180" w:rightFromText="180" w:horzAnchor="margin" w:tblpY="-675"/>
              <w:tblW w:w="10173" w:type="dxa"/>
              <w:tblLayout w:type="fixed"/>
              <w:tblLook w:val="0000" w:firstRow="0" w:lastRow="0" w:firstColumn="0" w:lastColumn="0" w:noHBand="0" w:noVBand="0"/>
            </w:tblPr>
            <w:tblGrid>
              <w:gridCol w:w="10173"/>
            </w:tblGrid>
            <w:tr w:rsidR="00A40610" w:rsidRPr="00D66D7D" w14:paraId="273CF5E4" w14:textId="77777777" w:rsidTr="007A2006">
              <w:trPr>
                <w:cantSplit/>
              </w:trPr>
              <w:tc>
                <w:tcPr>
                  <w:tcW w:w="10173" w:type="dxa"/>
                </w:tcPr>
                <w:p w14:paraId="1393C6C3" w14:textId="62668C8E" w:rsidR="00A40610" w:rsidRPr="00D66D7D" w:rsidRDefault="00A40610" w:rsidP="00E06A03">
                  <w:pPr>
                    <w:pStyle w:val="Source"/>
                    <w:spacing w:before="600"/>
                    <w:rPr>
                      <w:lang w:val="ru-RU"/>
                    </w:rPr>
                  </w:pPr>
                  <w:bookmarkStart w:id="1" w:name="dsource" w:colFirst="0" w:colLast="0"/>
                  <w:bookmarkStart w:id="2" w:name="dtitle2" w:colFirst="0" w:colLast="0"/>
                  <w:r w:rsidRPr="00D66D7D">
                    <w:rPr>
                      <w:lang w:val="ru-RU"/>
                    </w:rPr>
                    <w:t>Австралия, Канада и Соединенные Штаты Америки</w:t>
                  </w:r>
                </w:p>
              </w:tc>
            </w:tr>
            <w:tr w:rsidR="00A40610" w:rsidRPr="00D66D7D" w14:paraId="0E70FB3D" w14:textId="77777777" w:rsidTr="007A2006">
              <w:trPr>
                <w:cantSplit/>
              </w:trPr>
              <w:tc>
                <w:tcPr>
                  <w:tcW w:w="10173" w:type="dxa"/>
                </w:tcPr>
                <w:p w14:paraId="68B1F781" w14:textId="5135FECC" w:rsidR="00A40610" w:rsidRPr="00D66D7D" w:rsidRDefault="00A40610" w:rsidP="00A40610">
                  <w:pPr>
                    <w:pStyle w:val="Title1"/>
                    <w:rPr>
                      <w:lang w:val="ru-RU"/>
                    </w:rPr>
                  </w:pPr>
                  <w:bookmarkStart w:id="3" w:name="dtitle1" w:colFirst="0" w:colLast="0"/>
                  <w:bookmarkEnd w:id="1"/>
                  <w:r w:rsidRPr="00D66D7D">
                    <w:rPr>
                      <w:rFonts w:asciiTheme="minorHAnsi" w:hAnsiTheme="minorHAnsi"/>
                      <w:bCs/>
                      <w:szCs w:val="24"/>
                      <w:lang w:val="ru-RU"/>
                    </w:rPr>
                    <w:t>Мнения относительно постатейного рассмотрения регламента международной электросвязи 2012 года</w:t>
                  </w:r>
                </w:p>
              </w:tc>
            </w:tr>
            <w:bookmarkEnd w:id="3"/>
          </w:tbl>
          <w:p w14:paraId="4C346144" w14:textId="0F45F86B" w:rsidR="00BC7BC0" w:rsidRPr="00D66D7D" w:rsidRDefault="00BC7BC0" w:rsidP="00370CBA">
            <w:pPr>
              <w:spacing w:after="120"/>
              <w:rPr>
                <w:szCs w:val="22"/>
                <w:lang w:val="ru-RU"/>
              </w:rPr>
            </w:pPr>
          </w:p>
        </w:tc>
      </w:tr>
    </w:tbl>
    <w:bookmarkEnd w:id="2"/>
    <w:p w14:paraId="1AFFDCD0" w14:textId="77777777" w:rsidR="00D66D7D" w:rsidRPr="00D66D7D" w:rsidRDefault="00D66D7D" w:rsidP="00D66D7D">
      <w:pPr>
        <w:pStyle w:val="Headingb"/>
        <w:spacing w:before="480"/>
        <w:rPr>
          <w:lang w:val="ru-RU"/>
        </w:rPr>
      </w:pPr>
      <w:r w:rsidRPr="00D66D7D">
        <w:rPr>
          <w:lang w:val="ru-RU"/>
        </w:rPr>
        <w:t>Введение</w:t>
      </w:r>
    </w:p>
    <w:p w14:paraId="64C6D839" w14:textId="0ED27EC9" w:rsidR="00D66D7D" w:rsidRPr="00D66D7D" w:rsidRDefault="00D66D7D" w:rsidP="00D66D7D">
      <w:pPr>
        <w:rPr>
          <w:lang w:val="ru-RU"/>
        </w:rPr>
      </w:pPr>
      <w:r w:rsidRPr="00D66D7D">
        <w:rPr>
          <w:lang w:val="ru-RU"/>
        </w:rPr>
        <w:t>В соответствии с Планом работы, согласованн</w:t>
      </w:r>
      <w:r w:rsidR="00E06A03">
        <w:rPr>
          <w:lang w:val="ru-RU"/>
        </w:rPr>
        <w:t>ы</w:t>
      </w:r>
      <w:r w:rsidRPr="00D66D7D">
        <w:rPr>
          <w:lang w:val="ru-RU"/>
        </w:rPr>
        <w:t>м на собрании Группы экспертов по Регламенту международной электросвязи (ГЭ-РМЭ) в сентябре, Австралия, Канада и Соединенные Штаты Америки представляют свои мнения относительно Преамбулы и Статей с 1 по 4 РМЭ 2012 года. Полагаем, что наиболее конкретные положения РМЭ 2012 года не применимы и нецелесообразны в современной среде электросвязи. Любые попытки пересмотра РМЭ 2012 года для учета современных экономических условий и возникающих технологий и услуг столкнутся теми же проблемами, что и текущие положения: в условиях быстро меняющейся рыночной и регуляторной среды конкретные договорные положения будут постоянно устаревать.</w:t>
      </w:r>
    </w:p>
    <w:p w14:paraId="3B61F98B" w14:textId="77777777" w:rsidR="00D66D7D" w:rsidRPr="00D66D7D" w:rsidRDefault="00D66D7D" w:rsidP="00D66D7D">
      <w:pPr>
        <w:pStyle w:val="Headingb"/>
        <w:rPr>
          <w:lang w:val="ru-RU"/>
        </w:rPr>
      </w:pPr>
      <w:r w:rsidRPr="00D66D7D">
        <w:rPr>
          <w:lang w:val="ru-RU"/>
        </w:rPr>
        <w:t>Обсуждаемые вопросы</w:t>
      </w:r>
    </w:p>
    <w:p w14:paraId="38AF267C" w14:textId="77777777" w:rsidR="00D66D7D" w:rsidRPr="00D66D7D" w:rsidRDefault="00D66D7D" w:rsidP="00D66D7D">
      <w:pPr>
        <w:rPr>
          <w:lang w:val="ru-RU"/>
        </w:rPr>
      </w:pPr>
      <w:r w:rsidRPr="00D66D7D">
        <w:rPr>
          <w:lang w:val="ru-RU"/>
        </w:rPr>
        <w:t xml:space="preserve">В ранее представленном вкладе были отмечены проблемы фундаментального характера, связанные с использованием договорного инструмента при попытке регулирования конкурентного и динамичного рынка. Мы вновь ссылаемся на это видение для целей текущей работы по рассмотрению Преамбулы и Статей с 1 по 4. Полагаем, что положения Статей со 2 по 4 РМЭ 2012 года не обладают достаточной гибкостью для адаптации к постоянно меняющейся ситуации на рынке, и проблема устаревания будет постоянной. </w:t>
      </w:r>
    </w:p>
    <w:p w14:paraId="3264267C" w14:textId="42435BE3" w:rsidR="00D66D7D" w:rsidRPr="00D66D7D" w:rsidRDefault="00D66D7D" w:rsidP="00D66D7D">
      <w:pPr>
        <w:rPr>
          <w:lang w:val="ru-RU"/>
        </w:rPr>
      </w:pPr>
      <w:r w:rsidRPr="00D66D7D">
        <w:rPr>
          <w:lang w:val="ru-RU"/>
        </w:rPr>
        <w:t xml:space="preserve">Прогресс в области технологий подвижной связи и переход от коммутируемых телефонных сетей общего пользования (КТСОП) к сетям, базирующимся на протоколе Интернет (IP), конкурентным рынкам, операторам с новыми договоренностями и новым регуляторным режимам коренным образом изменили ситуацию с необходимостью использования положений РМЭ 2012 года для обмена международным телефонным трафиком и его завершения. К примеру, операторы и поставщики услуг, ориентирующиеся исключительно на мобильные приложения для международных вызовов редко пользуются заранее установленными фиксированными </w:t>
      </w:r>
      <w:r w:rsidRPr="00D66D7D">
        <w:rPr>
          <w:i/>
          <w:iCs/>
          <w:lang w:val="ru-RU"/>
        </w:rPr>
        <w:t>международными маршрутами</w:t>
      </w:r>
      <w:r w:rsidRPr="00D66D7D">
        <w:rPr>
          <w:lang w:val="ru-RU"/>
        </w:rPr>
        <w:t xml:space="preserve">, не имеют прямых </w:t>
      </w:r>
      <w:r w:rsidRPr="00D66D7D">
        <w:rPr>
          <w:i/>
          <w:iCs/>
          <w:lang w:val="ru-RU"/>
        </w:rPr>
        <w:t>взаимосвязей</w:t>
      </w:r>
      <w:r w:rsidRPr="00D66D7D">
        <w:rPr>
          <w:lang w:val="ru-RU"/>
        </w:rPr>
        <w:t xml:space="preserve"> с международными операторами и используют договоренности, не относящиеся к </w:t>
      </w:r>
      <w:r w:rsidRPr="00D66D7D">
        <w:rPr>
          <w:i/>
          <w:iCs/>
          <w:lang w:val="ru-RU"/>
        </w:rPr>
        <w:t>расчетным таксам</w:t>
      </w:r>
      <w:r w:rsidRPr="00D66D7D">
        <w:rPr>
          <w:lang w:val="ru-RU"/>
        </w:rPr>
        <w:t xml:space="preserve"> для обмена международными вызовами и их завершения, если использовать определения терминов, приведенные в Статье 2. Согласно некоторым оценкам, доля международного голосового трафика, завершаемого операторами и поставщиками услуг, ориентирующимися на мобильные приложения, должна была вырасти с 28% в 2013 году до 68% в 2018 году. За этот же период объем международного голосового трафика должен был вырасти с 761 миллиарда минут в 2013 году до 1,40 триллиона минут в 2018</w:t>
      </w:r>
      <w:r w:rsidRPr="00D66D7D">
        <w:rPr>
          <w:lang w:val="ru-RU"/>
        </w:rPr>
        <w:t> </w:t>
      </w:r>
      <w:r w:rsidRPr="00D66D7D">
        <w:rPr>
          <w:lang w:val="ru-RU"/>
        </w:rPr>
        <w:t>году, что указывает на резко возросший уровень международных соединений и использования услуг электросвязи</w:t>
      </w:r>
      <w:r w:rsidRPr="00D66D7D">
        <w:rPr>
          <w:rStyle w:val="FootnoteReference"/>
          <w:lang w:val="ru-RU"/>
        </w:rPr>
        <w:footnoteReference w:id="1"/>
      </w:r>
      <w:r w:rsidRPr="00D66D7D">
        <w:rPr>
          <w:lang w:val="ru-RU"/>
        </w:rPr>
        <w:t>.</w:t>
      </w:r>
    </w:p>
    <w:p w14:paraId="472528CE" w14:textId="1402DEF5" w:rsidR="00D66D7D" w:rsidRPr="00D66D7D" w:rsidRDefault="00D66D7D" w:rsidP="00D66D7D">
      <w:pPr>
        <w:spacing w:after="120"/>
        <w:rPr>
          <w:lang w:val="ru-RU"/>
        </w:rPr>
      </w:pPr>
      <w:r w:rsidRPr="00D66D7D">
        <w:rPr>
          <w:lang w:val="ru-RU"/>
        </w:rPr>
        <w:lastRenderedPageBreak/>
        <w:t>С нашей точки зрения многие положения Статьи 3 также коренным образом несовместимы с</w:t>
      </w:r>
      <w:r w:rsidR="0030515C">
        <w:rPr>
          <w:lang w:val="ru-RU"/>
        </w:rPr>
        <w:t> </w:t>
      </w:r>
      <w:r w:rsidRPr="00D66D7D">
        <w:rPr>
          <w:lang w:val="ru-RU"/>
        </w:rPr>
        <w:t>конкурентной рыночной и регуляторной средой, а также с текущим развитием технологий. К</w:t>
      </w:r>
      <w:r w:rsidRPr="00D66D7D">
        <w:rPr>
          <w:lang w:val="ru-RU"/>
        </w:rPr>
        <w:t> </w:t>
      </w:r>
      <w:r w:rsidRPr="00D66D7D">
        <w:rPr>
          <w:lang w:val="ru-RU"/>
        </w:rPr>
        <w:t>примеру, п. 3.2 о поддержании достаточной пропускной способности представляется безнадежно устаревшим, поскольку он был разработан для эпохи, когда "Плановые комитеты" МСЭ-Т предоставляли прогнозы по трафику для различных маршрутов</w:t>
      </w:r>
      <w:r w:rsidRPr="00D66D7D">
        <w:rPr>
          <w:rStyle w:val="FootnoteReference"/>
          <w:lang w:val="ru-RU"/>
        </w:rPr>
        <w:footnoteReference w:id="2"/>
      </w:r>
      <w:r w:rsidRPr="00D66D7D">
        <w:rPr>
          <w:lang w:val="ru-RU"/>
        </w:rPr>
        <w:t>. На конкурентном рынке, где операторы самостоятельно осуществляют планирование и прогнозирование для своего трафика, не очевидно, что требование Статьи 3 о поддержании операторами достаточной пропускной способности на каждом обслуживаемом маршруте необходимо или выгодно. Более вероятно, что операторы воспользуются наличным рынком международных вызовов для закупки минут, чтобы удовлетворить любой избыточный спрос, или продажи минут в том случае, если у них образуется избыток емкости (минут) – это более эффективное рыночное поведение, чем поддержание достаточной пропускной способности на каждом маршруте</w:t>
      </w:r>
      <w:r w:rsidRPr="00D66D7D">
        <w:rPr>
          <w:rStyle w:val="FootnoteReference"/>
          <w:lang w:val="ru-RU"/>
        </w:rPr>
        <w:footnoteReference w:id="3"/>
      </w:r>
      <w:r w:rsidRPr="00D66D7D">
        <w:rPr>
          <w:lang w:val="ru-RU"/>
        </w:rPr>
        <w:t>.</w:t>
      </w:r>
    </w:p>
    <w:p w14:paraId="779B44CB" w14:textId="495A347D" w:rsidR="00D66D7D" w:rsidRPr="00D66D7D" w:rsidRDefault="00D66D7D" w:rsidP="00D66D7D">
      <w:pPr>
        <w:spacing w:after="120"/>
        <w:rPr>
          <w:lang w:val="ru-RU"/>
        </w:rPr>
      </w:pPr>
      <w:r w:rsidRPr="00D66D7D">
        <w:rPr>
          <w:lang w:val="ru-RU"/>
        </w:rPr>
        <w:t>Некоторые статьи, несмотря на заложенную в них конструктивность, имеют слишком узкий охват для соответствия меняющимся условиям рыночной среды, и результатом их жесткого применения может стать задержка запуска новых услуг, необходимых для улучшения приемлемости в ценовом отношении и расширения выбора потребителей. Например, пункты 3.1 и 3.4, касающиеся обеспечения качества обслуживания в международных сетях, непосредственно увязывают этот вопрос с Рекомендациями МСЭ-Т по качеству обслуживания. Требуя от операторов соответствовать конкретному уровню качеств</w:t>
      </w:r>
      <w:bookmarkStart w:id="4" w:name="_GoBack"/>
      <w:bookmarkEnd w:id="4"/>
      <w:r w:rsidRPr="00D66D7D">
        <w:rPr>
          <w:lang w:val="ru-RU"/>
        </w:rPr>
        <w:t>а обслуживания, данные положения могут ограничить способность операторов реагировать на предпочтения потребителей в отношении новых услуг, которые могут предлагать более низкие цены в обмен на снижение качества обслуживания. Существование большого количества тарифов на международные вызовы различного качества в разных странах мира свидетельствует о том, что положения РМЭ 2012 года не актуальны и нецелесообразны.</w:t>
      </w:r>
    </w:p>
    <w:p w14:paraId="1AAB1769" w14:textId="77777777" w:rsidR="00D66D7D" w:rsidRPr="00D66D7D" w:rsidRDefault="00D66D7D" w:rsidP="00D66D7D">
      <w:pPr>
        <w:pStyle w:val="Headingb"/>
        <w:rPr>
          <w:lang w:val="ru-RU"/>
        </w:rPr>
      </w:pPr>
      <w:r w:rsidRPr="00D66D7D">
        <w:rPr>
          <w:lang w:val="ru-RU"/>
        </w:rPr>
        <w:t>Заключение</w:t>
      </w:r>
    </w:p>
    <w:p w14:paraId="30ADCDC5" w14:textId="05E65A40" w:rsidR="00D66D7D" w:rsidRPr="00D66D7D" w:rsidRDefault="00D66D7D" w:rsidP="00D66D7D">
      <w:pPr>
        <w:rPr>
          <w:lang w:val="ru-RU"/>
        </w:rPr>
      </w:pPr>
      <w:r w:rsidRPr="00D66D7D">
        <w:rPr>
          <w:lang w:val="ru-RU"/>
        </w:rPr>
        <w:t>Сектор электросвязи/ИКТ продолжает вносить вклад в рост мировой экономики. В 2016 году доходы сектора электросвязи составили 2,3% мирового ВВП</w:t>
      </w:r>
      <w:r w:rsidRPr="00D66D7D">
        <w:rPr>
          <w:rStyle w:val="FootnoteReference"/>
          <w:lang w:val="ru-RU"/>
        </w:rPr>
        <w:footnoteReference w:id="4"/>
      </w:r>
      <w:r w:rsidRPr="00D66D7D">
        <w:rPr>
          <w:lang w:val="ru-RU"/>
        </w:rPr>
        <w:t>. Новые услуги, особенно мобильные приложения, обеспечивающие рост сектора электросвязи, не были ни учтены ни поддержаны в жестких положениях РМЭ 2012 года. Полагаем, что преимущества электросвязи/ИКТ, которыми пользуются все страны мира, сформировались не благодаря РМЭ 2012 года, а вопреки данному договорному инструменту.</w:t>
      </w:r>
    </w:p>
    <w:p w14:paraId="66CB2964" w14:textId="5DFCC44D" w:rsidR="00D66D7D" w:rsidRPr="00D66D7D" w:rsidRDefault="00D66D7D" w:rsidP="00D66D7D">
      <w:pPr>
        <w:rPr>
          <w:lang w:val="ru-RU"/>
        </w:rPr>
      </w:pPr>
      <w:r w:rsidRPr="00D66D7D">
        <w:rPr>
          <w:lang w:val="ru-RU"/>
        </w:rPr>
        <w:t>Договорные положения общего характера, напротив, с большей вероятностью сохранят свою релевантность в условиях меняющейся ситуации на рынке и технологических инноваций. Считаем, что положения РМЭ более общего характера, включенные в Устав и Конвенцию МСЭ, достаточно устойчивы и способны сохранить свою актуальность в условиях меняющейся рыночной и технологической среды</w:t>
      </w:r>
      <w:r w:rsidRPr="00D66D7D">
        <w:rPr>
          <w:rStyle w:val="FootnoteReference"/>
          <w:lang w:val="ru-RU"/>
        </w:rPr>
        <w:footnoteReference w:id="5"/>
      </w:r>
      <w:r w:rsidRPr="00D66D7D">
        <w:rPr>
          <w:lang w:val="ru-RU"/>
        </w:rPr>
        <w:t>.</w:t>
      </w:r>
    </w:p>
    <w:p w14:paraId="4503A85F" w14:textId="081BD1FB" w:rsidR="00D66D7D" w:rsidRPr="00D66D7D" w:rsidRDefault="00D66D7D" w:rsidP="00E06A03">
      <w:pPr>
        <w:spacing w:before="480"/>
        <w:jc w:val="center"/>
        <w:rPr>
          <w:lang w:val="ru-RU"/>
        </w:rPr>
      </w:pPr>
      <w:r w:rsidRPr="00D66D7D">
        <w:rPr>
          <w:lang w:val="ru-RU"/>
        </w:rPr>
        <w:t>______________</w:t>
      </w:r>
    </w:p>
    <w:sectPr w:rsidR="00D66D7D" w:rsidRPr="00D66D7D" w:rsidSect="00E06A03">
      <w:headerReference w:type="default" r:id="rId8"/>
      <w:footerReference w:type="default" r:id="rId9"/>
      <w:footerReference w:type="first" r:id="rId10"/>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D0F77" w14:textId="77777777" w:rsidR="00202D95" w:rsidRDefault="00202D95">
      <w:r>
        <w:separator/>
      </w:r>
    </w:p>
  </w:endnote>
  <w:endnote w:type="continuationSeparator" w:id="0">
    <w:p w14:paraId="527F6D28" w14:textId="77777777" w:rsidR="00202D95" w:rsidRDefault="0020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2F16" w14:textId="033864E1" w:rsidR="000E568E" w:rsidRPr="003F099E" w:rsidRDefault="00707304" w:rsidP="009B0BAE">
    <w:pPr>
      <w:pStyle w:val="Footer"/>
      <w:rPr>
        <w:sz w:val="18"/>
        <w:szCs w:val="18"/>
        <w:lang w:val="en-US"/>
      </w:rPr>
    </w:pPr>
    <w:r>
      <w:fldChar w:fldCharType="begin"/>
    </w:r>
    <w:r w:rsidRPr="00707304">
      <w:rPr>
        <w:lang w:val="en-US"/>
      </w:rPr>
      <w:instrText xml:space="preserve"> FILENAME \p  \* MERGEFORMAT </w:instrText>
    </w:r>
    <w:r>
      <w:fldChar w:fldCharType="separate"/>
    </w:r>
    <w:r w:rsidR="00D66D7D">
      <w:rPr>
        <w:lang w:val="en-US"/>
      </w:rPr>
      <w:t>P:\RUS\SG\CONSEIL\EG-ITR\EG-ITR-2\000\007R.docx</w:t>
    </w:r>
    <w:r>
      <w:rPr>
        <w:lang w:val="en-US"/>
      </w:rPr>
      <w:fldChar w:fldCharType="end"/>
    </w:r>
    <w:r w:rsidR="000E568E" w:rsidRPr="003F099E">
      <w:rPr>
        <w:lang w:val="en-US"/>
      </w:rPr>
      <w:t xml:space="preserve"> (</w:t>
    </w:r>
    <w:r w:rsidR="00D66D7D">
      <w:rPr>
        <w:lang w:val="ru-RU"/>
      </w:rPr>
      <w:t>467121</w:t>
    </w:r>
    <w:r w:rsidR="000E568E" w:rsidRPr="003F099E">
      <w:rPr>
        <w:lang w:val="en-US"/>
      </w:rPr>
      <w:t>)</w:t>
    </w:r>
    <w:r w:rsidR="000E568E" w:rsidRPr="003F099E">
      <w:rPr>
        <w:lang w:val="en-US"/>
      </w:rPr>
      <w:tab/>
    </w:r>
    <w:r w:rsidR="002D48C5">
      <w:fldChar w:fldCharType="begin"/>
    </w:r>
    <w:r w:rsidR="000E568E">
      <w:instrText xml:space="preserve"> SAVEDATE \@ DD.MM.YY </w:instrText>
    </w:r>
    <w:r w:rsidR="002D48C5">
      <w:fldChar w:fldCharType="separate"/>
    </w:r>
    <w:r w:rsidR="00D66D7D">
      <w:t>30.01.20</w:t>
    </w:r>
    <w:r w:rsidR="002D48C5">
      <w:fldChar w:fldCharType="end"/>
    </w:r>
    <w:r w:rsidR="000E568E" w:rsidRPr="003F099E">
      <w:rPr>
        <w:lang w:val="en-US"/>
      </w:rPr>
      <w:tab/>
    </w:r>
    <w:r w:rsidR="002D48C5">
      <w:fldChar w:fldCharType="begin"/>
    </w:r>
    <w:r w:rsidR="000E568E">
      <w:instrText xml:space="preserve"> PRINTDATE \@ DD.MM.YY </w:instrText>
    </w:r>
    <w:r w:rsidR="002D48C5">
      <w:fldChar w:fldCharType="separate"/>
    </w:r>
    <w:r w:rsidR="00D66D7D">
      <w:t>30.01.20</w:t>
    </w:r>
    <w:r w:rsidR="002D48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F807" w14:textId="77777777" w:rsidR="000E568E" w:rsidRDefault="000E56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8E06B" w14:textId="77777777" w:rsidR="00202D95" w:rsidRDefault="00202D95">
      <w:r>
        <w:t>____________________</w:t>
      </w:r>
    </w:p>
  </w:footnote>
  <w:footnote w:type="continuationSeparator" w:id="0">
    <w:p w14:paraId="279BFD4E" w14:textId="77777777" w:rsidR="00202D95" w:rsidRDefault="00202D95">
      <w:r>
        <w:continuationSeparator/>
      </w:r>
    </w:p>
  </w:footnote>
  <w:footnote w:id="1">
    <w:p w14:paraId="2D28EE21" w14:textId="77777777" w:rsidR="00D66D7D" w:rsidRPr="00F6286F" w:rsidRDefault="00D66D7D" w:rsidP="00D66D7D">
      <w:pPr>
        <w:pStyle w:val="FootnoteText"/>
        <w:rPr>
          <w:lang w:val="ru-RU"/>
        </w:rPr>
      </w:pPr>
      <w:r>
        <w:rPr>
          <w:rStyle w:val="FootnoteReference"/>
        </w:rPr>
        <w:footnoteRef/>
      </w:r>
      <w:r w:rsidRPr="00F6286F">
        <w:rPr>
          <w:lang w:val="ru-RU"/>
        </w:rPr>
        <w:tab/>
      </w:r>
      <w:r>
        <w:rPr>
          <w:lang w:val="ru-RU"/>
        </w:rPr>
        <w:t>См</w:t>
      </w:r>
      <w:r w:rsidRPr="00F6286F">
        <w:rPr>
          <w:lang w:val="ru-RU"/>
        </w:rPr>
        <w:t xml:space="preserve">. </w:t>
      </w:r>
      <w:r w:rsidRPr="00BA5DD5">
        <w:t>Telegeography</w:t>
      </w:r>
      <w:r w:rsidRPr="00F6286F">
        <w:rPr>
          <w:lang w:val="ru-RU"/>
        </w:rPr>
        <w:t xml:space="preserve"> </w:t>
      </w:r>
      <w:r>
        <w:rPr>
          <w:lang w:val="ru-RU"/>
        </w:rPr>
        <w:t>по адресу:</w:t>
      </w:r>
      <w:r w:rsidRPr="00F6286F">
        <w:rPr>
          <w:lang w:val="ru-RU"/>
        </w:rPr>
        <w:t xml:space="preserve"> </w:t>
      </w:r>
      <w:hyperlink r:id="rId1" w:history="1">
        <w:r w:rsidRPr="00BA5DD5">
          <w:rPr>
            <w:rStyle w:val="Hyperlink"/>
          </w:rPr>
          <w:t>https</w:t>
        </w:r>
        <w:r w:rsidRPr="00F6286F">
          <w:rPr>
            <w:rStyle w:val="Hyperlink"/>
            <w:lang w:val="ru-RU"/>
          </w:rPr>
          <w:t>://</w:t>
        </w:r>
        <w:r w:rsidRPr="00BA5DD5">
          <w:rPr>
            <w:rStyle w:val="Hyperlink"/>
          </w:rPr>
          <w:t>blog</w:t>
        </w:r>
        <w:r w:rsidRPr="00F6286F">
          <w:rPr>
            <w:rStyle w:val="Hyperlink"/>
            <w:lang w:val="ru-RU"/>
          </w:rPr>
          <w:t>.</w:t>
        </w:r>
        <w:r w:rsidRPr="00BA5DD5">
          <w:rPr>
            <w:rStyle w:val="Hyperlink"/>
          </w:rPr>
          <w:t>telegeography</w:t>
        </w:r>
        <w:r w:rsidRPr="00F6286F">
          <w:rPr>
            <w:rStyle w:val="Hyperlink"/>
            <w:lang w:val="ru-RU"/>
          </w:rPr>
          <w:t>.</w:t>
        </w:r>
        <w:r w:rsidRPr="00BA5DD5">
          <w:rPr>
            <w:rStyle w:val="Hyperlink"/>
          </w:rPr>
          <w:t>com</w:t>
        </w:r>
        <w:r w:rsidRPr="00F6286F">
          <w:rPr>
            <w:rStyle w:val="Hyperlink"/>
            <w:lang w:val="ru-RU"/>
          </w:rPr>
          <w:t>/</w:t>
        </w:r>
        <w:r w:rsidRPr="00BA5DD5">
          <w:rPr>
            <w:rStyle w:val="Hyperlink"/>
          </w:rPr>
          <w:t>voice</w:t>
        </w:r>
        <w:r w:rsidRPr="00F6286F">
          <w:rPr>
            <w:rStyle w:val="Hyperlink"/>
            <w:lang w:val="ru-RU"/>
          </w:rPr>
          <w:t>-</w:t>
        </w:r>
        <w:r w:rsidRPr="00BA5DD5">
          <w:rPr>
            <w:rStyle w:val="Hyperlink"/>
          </w:rPr>
          <w:t>traffics</w:t>
        </w:r>
        <w:r w:rsidRPr="00F6286F">
          <w:rPr>
            <w:rStyle w:val="Hyperlink"/>
            <w:lang w:val="ru-RU"/>
          </w:rPr>
          <w:t>-</w:t>
        </w:r>
        <w:r w:rsidRPr="00BA5DD5">
          <w:rPr>
            <w:rStyle w:val="Hyperlink"/>
          </w:rPr>
          <w:t>slump</w:t>
        </w:r>
        <w:r w:rsidRPr="00F6286F">
          <w:rPr>
            <w:rStyle w:val="Hyperlink"/>
            <w:lang w:val="ru-RU"/>
          </w:rPr>
          <w:t>-</w:t>
        </w:r>
        <w:r w:rsidRPr="00BA5DD5">
          <w:rPr>
            <w:rStyle w:val="Hyperlink"/>
          </w:rPr>
          <w:t>continued</w:t>
        </w:r>
        <w:r w:rsidRPr="00F6286F">
          <w:rPr>
            <w:rStyle w:val="Hyperlink"/>
            <w:lang w:val="ru-RU"/>
          </w:rPr>
          <w:t>-</w:t>
        </w:r>
        <w:r w:rsidRPr="00BA5DD5">
          <w:rPr>
            <w:rStyle w:val="Hyperlink"/>
          </w:rPr>
          <w:t>in</w:t>
        </w:r>
        <w:r w:rsidRPr="00F6286F">
          <w:rPr>
            <w:rStyle w:val="Hyperlink"/>
            <w:lang w:val="ru-RU"/>
          </w:rPr>
          <w:t>-</w:t>
        </w:r>
        <w:r w:rsidRPr="00BA5DD5">
          <w:rPr>
            <w:rStyle w:val="Hyperlink"/>
          </w:rPr>
          <w:t>a</w:t>
        </w:r>
        <w:r w:rsidRPr="00F6286F">
          <w:rPr>
            <w:rStyle w:val="Hyperlink"/>
            <w:lang w:val="ru-RU"/>
          </w:rPr>
          <w:t>-</w:t>
        </w:r>
        <w:r w:rsidRPr="00BA5DD5">
          <w:rPr>
            <w:rStyle w:val="Hyperlink"/>
          </w:rPr>
          <w:t>big</w:t>
        </w:r>
        <w:r w:rsidRPr="00F6286F">
          <w:rPr>
            <w:rStyle w:val="Hyperlink"/>
            <w:lang w:val="ru-RU"/>
          </w:rPr>
          <w:t>-</w:t>
        </w:r>
        <w:r w:rsidRPr="00BA5DD5">
          <w:rPr>
            <w:rStyle w:val="Hyperlink"/>
          </w:rPr>
          <w:t>way</w:t>
        </w:r>
        <w:r w:rsidRPr="00F6286F">
          <w:rPr>
            <w:rStyle w:val="Hyperlink"/>
            <w:lang w:val="ru-RU"/>
          </w:rPr>
          <w:t>-</w:t>
        </w:r>
        <w:r w:rsidRPr="00BA5DD5">
          <w:rPr>
            <w:rStyle w:val="Hyperlink"/>
          </w:rPr>
          <w:t>last</w:t>
        </w:r>
        <w:r w:rsidRPr="00F6286F">
          <w:rPr>
            <w:rStyle w:val="Hyperlink"/>
            <w:lang w:val="ru-RU"/>
          </w:rPr>
          <w:t>-</w:t>
        </w:r>
        <w:r w:rsidRPr="00BA5DD5">
          <w:rPr>
            <w:rStyle w:val="Hyperlink"/>
          </w:rPr>
          <w:t>year</w:t>
        </w:r>
      </w:hyperlink>
      <w:r w:rsidRPr="00F6286F">
        <w:rPr>
          <w:lang w:val="ru-RU"/>
        </w:rPr>
        <w:t>.</w:t>
      </w:r>
    </w:p>
  </w:footnote>
  <w:footnote w:id="2">
    <w:p w14:paraId="7ABA7276" w14:textId="20FB1F9A" w:rsidR="00D66D7D" w:rsidRPr="00CA474F" w:rsidRDefault="00D66D7D" w:rsidP="00D66D7D">
      <w:pPr>
        <w:pStyle w:val="FootnoteText"/>
        <w:rPr>
          <w:lang w:val="ru-RU"/>
        </w:rPr>
      </w:pPr>
      <w:r>
        <w:rPr>
          <w:rStyle w:val="FootnoteReference"/>
        </w:rPr>
        <w:footnoteRef/>
      </w:r>
      <w:r w:rsidRPr="00CA474F">
        <w:rPr>
          <w:lang w:val="ru-RU"/>
        </w:rPr>
        <w:tab/>
      </w:r>
      <w:r>
        <w:rPr>
          <w:lang w:val="ru-RU"/>
        </w:rPr>
        <w:t>См</w:t>
      </w:r>
      <w:r w:rsidRPr="00CA474F">
        <w:rPr>
          <w:lang w:val="ru-RU"/>
        </w:rPr>
        <w:t xml:space="preserve">. </w:t>
      </w:r>
      <w:r>
        <w:rPr>
          <w:lang w:val="ru-RU"/>
        </w:rPr>
        <w:t>Информационный</w:t>
      </w:r>
      <w:r w:rsidRPr="00CA474F">
        <w:rPr>
          <w:lang w:val="ru-RU"/>
        </w:rPr>
        <w:t xml:space="preserve"> </w:t>
      </w:r>
      <w:r>
        <w:rPr>
          <w:lang w:val="ru-RU"/>
        </w:rPr>
        <w:t>документ</w:t>
      </w:r>
      <w:r w:rsidRPr="00CA474F">
        <w:rPr>
          <w:lang w:val="ru-RU"/>
        </w:rPr>
        <w:t xml:space="preserve"> 4 </w:t>
      </w:r>
      <w:r>
        <w:rPr>
          <w:lang w:val="ru-RU"/>
        </w:rPr>
        <w:t>Группы</w:t>
      </w:r>
      <w:r w:rsidRPr="00CA474F">
        <w:rPr>
          <w:lang w:val="ru-RU"/>
        </w:rPr>
        <w:t xml:space="preserve"> </w:t>
      </w:r>
      <w:r>
        <w:rPr>
          <w:lang w:val="ru-RU"/>
        </w:rPr>
        <w:t>экспертов</w:t>
      </w:r>
      <w:r w:rsidRPr="00CA474F">
        <w:rPr>
          <w:lang w:val="ru-RU"/>
        </w:rPr>
        <w:t xml:space="preserve"> </w:t>
      </w:r>
      <w:r>
        <w:rPr>
          <w:lang w:val="ru-RU"/>
        </w:rPr>
        <w:t>для</w:t>
      </w:r>
      <w:r w:rsidRPr="00CA474F">
        <w:rPr>
          <w:lang w:val="ru-RU"/>
        </w:rPr>
        <w:t xml:space="preserve"> </w:t>
      </w:r>
      <w:r>
        <w:rPr>
          <w:lang w:val="ru-RU"/>
        </w:rPr>
        <w:t>рассмотрения</w:t>
      </w:r>
      <w:r w:rsidRPr="00CA474F">
        <w:rPr>
          <w:lang w:val="ru-RU"/>
        </w:rPr>
        <w:t xml:space="preserve"> </w:t>
      </w:r>
      <w:r>
        <w:rPr>
          <w:lang w:val="ru-RU"/>
        </w:rPr>
        <w:t>РМЭ</w:t>
      </w:r>
      <w:r w:rsidRPr="00CA474F">
        <w:rPr>
          <w:lang w:val="ru-RU"/>
        </w:rPr>
        <w:t xml:space="preserve"> (2007</w:t>
      </w:r>
      <w:r>
        <w:rPr>
          <w:lang w:val="ru-RU"/>
        </w:rPr>
        <w:t>−</w:t>
      </w:r>
      <w:r w:rsidRPr="00CA474F">
        <w:rPr>
          <w:lang w:val="ru-RU"/>
        </w:rPr>
        <w:t>2009</w:t>
      </w:r>
      <w:r>
        <w:rPr>
          <w:lang w:val="ru-RU"/>
        </w:rPr>
        <w:t> гг.</w:t>
      </w:r>
      <w:r w:rsidRPr="00CA474F">
        <w:rPr>
          <w:lang w:val="ru-RU"/>
        </w:rPr>
        <w:t xml:space="preserve">) </w:t>
      </w:r>
      <w:r>
        <w:rPr>
          <w:lang w:val="ru-RU"/>
        </w:rPr>
        <w:t>о</w:t>
      </w:r>
      <w:r>
        <w:rPr>
          <w:lang w:val="ru-RU"/>
        </w:rPr>
        <w:t xml:space="preserve"> </w:t>
      </w:r>
      <w:r>
        <w:rPr>
          <w:lang w:val="ru-RU"/>
        </w:rPr>
        <w:t>рассмотрении</w:t>
      </w:r>
      <w:r w:rsidRPr="00CA474F">
        <w:rPr>
          <w:lang w:val="ru-RU"/>
        </w:rPr>
        <w:t xml:space="preserve"> </w:t>
      </w:r>
      <w:r>
        <w:rPr>
          <w:lang w:val="ru-RU"/>
        </w:rPr>
        <w:t>Регламента</w:t>
      </w:r>
      <w:r w:rsidRPr="00CA474F">
        <w:rPr>
          <w:lang w:val="ru-RU"/>
        </w:rPr>
        <w:t xml:space="preserve"> </w:t>
      </w:r>
      <w:r>
        <w:rPr>
          <w:lang w:val="ru-RU"/>
        </w:rPr>
        <w:t>международной</w:t>
      </w:r>
      <w:r w:rsidRPr="00CA474F">
        <w:rPr>
          <w:lang w:val="ru-RU"/>
        </w:rPr>
        <w:t xml:space="preserve"> </w:t>
      </w:r>
      <w:r>
        <w:rPr>
          <w:lang w:val="ru-RU"/>
        </w:rPr>
        <w:t>электросвязи</w:t>
      </w:r>
      <w:r w:rsidRPr="00CA474F">
        <w:rPr>
          <w:lang w:val="ru-RU"/>
        </w:rPr>
        <w:t xml:space="preserve">, </w:t>
      </w:r>
      <w:r>
        <w:rPr>
          <w:lang w:val="ru-RU"/>
        </w:rPr>
        <w:t>доступен</w:t>
      </w:r>
      <w:r w:rsidRPr="00CA474F">
        <w:rPr>
          <w:lang w:val="ru-RU"/>
        </w:rPr>
        <w:t xml:space="preserve"> </w:t>
      </w:r>
      <w:r>
        <w:rPr>
          <w:lang w:val="ru-RU"/>
        </w:rPr>
        <w:t>по адресу</w:t>
      </w:r>
      <w:r w:rsidR="00E06A03">
        <w:rPr>
          <w:lang w:val="ru-RU"/>
        </w:rPr>
        <w:t>:</w:t>
      </w:r>
      <w:r w:rsidRPr="00CA474F">
        <w:rPr>
          <w:lang w:val="ru-RU"/>
        </w:rPr>
        <w:t xml:space="preserve"> </w:t>
      </w:r>
      <w:hyperlink r:id="rId2" w:history="1">
        <w:r w:rsidRPr="00BA5DD5">
          <w:rPr>
            <w:rStyle w:val="Hyperlink"/>
          </w:rPr>
          <w:t>https</w:t>
        </w:r>
        <w:r w:rsidRPr="00CA474F">
          <w:rPr>
            <w:rStyle w:val="Hyperlink"/>
            <w:lang w:val="ru-RU"/>
          </w:rPr>
          <w:t>://</w:t>
        </w:r>
        <w:r w:rsidRPr="00BA5DD5">
          <w:rPr>
            <w:rStyle w:val="Hyperlink"/>
          </w:rPr>
          <w:t>www</w:t>
        </w:r>
        <w:r w:rsidRPr="00CA474F">
          <w:rPr>
            <w:rStyle w:val="Hyperlink"/>
            <w:lang w:val="ru-RU"/>
          </w:rPr>
          <w:t>.</w:t>
        </w:r>
        <w:r w:rsidRPr="00BA5DD5">
          <w:rPr>
            <w:rStyle w:val="Hyperlink"/>
          </w:rPr>
          <w:t>itu</w:t>
        </w:r>
        <w:r w:rsidRPr="00CA474F">
          <w:rPr>
            <w:rStyle w:val="Hyperlink"/>
            <w:lang w:val="ru-RU"/>
          </w:rPr>
          <w:t>.</w:t>
        </w:r>
        <w:r w:rsidRPr="00BA5DD5">
          <w:rPr>
            <w:rStyle w:val="Hyperlink"/>
          </w:rPr>
          <w:t>int</w:t>
        </w:r>
        <w:r w:rsidRPr="00CA474F">
          <w:rPr>
            <w:rStyle w:val="Hyperlink"/>
            <w:lang w:val="ru-RU"/>
          </w:rPr>
          <w:t>/</w:t>
        </w:r>
        <w:r w:rsidRPr="00BA5DD5">
          <w:rPr>
            <w:rStyle w:val="Hyperlink"/>
          </w:rPr>
          <w:t>md</w:t>
        </w:r>
        <w:r w:rsidRPr="00CA474F">
          <w:rPr>
            <w:rStyle w:val="Hyperlink"/>
            <w:lang w:val="ru-RU"/>
          </w:rPr>
          <w:t>/</w:t>
        </w:r>
        <w:r w:rsidRPr="00BA5DD5">
          <w:rPr>
            <w:rStyle w:val="Hyperlink"/>
          </w:rPr>
          <w:t>T</w:t>
        </w:r>
        <w:r w:rsidRPr="00CA474F">
          <w:rPr>
            <w:rStyle w:val="Hyperlink"/>
            <w:lang w:val="ru-RU"/>
          </w:rPr>
          <w:t>05-</w:t>
        </w:r>
        <w:r w:rsidRPr="00BA5DD5">
          <w:rPr>
            <w:rStyle w:val="Hyperlink"/>
          </w:rPr>
          <w:t>ITR</w:t>
        </w:r>
        <w:r w:rsidRPr="00CA474F">
          <w:rPr>
            <w:rStyle w:val="Hyperlink"/>
            <w:lang w:val="ru-RU"/>
          </w:rPr>
          <w:t>.</w:t>
        </w:r>
        <w:r w:rsidRPr="00BA5DD5">
          <w:rPr>
            <w:rStyle w:val="Hyperlink"/>
          </w:rPr>
          <w:t>EG</w:t>
        </w:r>
        <w:r w:rsidRPr="00CA474F">
          <w:rPr>
            <w:rStyle w:val="Hyperlink"/>
            <w:lang w:val="ru-RU"/>
          </w:rPr>
          <w:t>-</w:t>
        </w:r>
        <w:r w:rsidRPr="00BA5DD5">
          <w:rPr>
            <w:rStyle w:val="Hyperlink"/>
          </w:rPr>
          <w:t>INF</w:t>
        </w:r>
        <w:r w:rsidRPr="00CA474F">
          <w:rPr>
            <w:rStyle w:val="Hyperlink"/>
            <w:lang w:val="ru-RU"/>
          </w:rPr>
          <w:t>-0004/</w:t>
        </w:r>
        <w:r w:rsidRPr="00BA5DD5">
          <w:rPr>
            <w:rStyle w:val="Hyperlink"/>
          </w:rPr>
          <w:t>en</w:t>
        </w:r>
      </w:hyperlink>
      <w:r w:rsidRPr="00CA474F">
        <w:rPr>
          <w:lang w:val="ru-RU"/>
        </w:rPr>
        <w:t>.</w:t>
      </w:r>
    </w:p>
  </w:footnote>
  <w:footnote w:id="3">
    <w:p w14:paraId="70524740" w14:textId="7E305F04" w:rsidR="00D66D7D" w:rsidRPr="00CE1C6E" w:rsidRDefault="00D66D7D" w:rsidP="00D66D7D">
      <w:pPr>
        <w:pStyle w:val="FootnoteText"/>
        <w:rPr>
          <w:lang w:val="ru-RU"/>
        </w:rPr>
      </w:pPr>
      <w:r>
        <w:rPr>
          <w:rStyle w:val="FootnoteReference"/>
        </w:rPr>
        <w:footnoteRef/>
      </w:r>
      <w:r w:rsidRPr="00CE1C6E">
        <w:rPr>
          <w:lang w:val="ru-RU"/>
        </w:rPr>
        <w:tab/>
      </w:r>
      <w:r>
        <w:rPr>
          <w:lang w:val="ru-RU"/>
        </w:rPr>
        <w:t>См</w:t>
      </w:r>
      <w:r w:rsidRPr="00CE1C6E">
        <w:rPr>
          <w:lang w:val="ru-RU"/>
        </w:rPr>
        <w:t xml:space="preserve">. </w:t>
      </w:r>
      <w:r>
        <w:rPr>
          <w:lang w:val="ru-RU"/>
        </w:rPr>
        <w:t>Руководство</w:t>
      </w:r>
      <w:r w:rsidRPr="00CE1C6E">
        <w:rPr>
          <w:lang w:val="ru-RU"/>
        </w:rPr>
        <w:t xml:space="preserve"> </w:t>
      </w:r>
      <w:r>
        <w:rPr>
          <w:lang w:val="ru-RU"/>
        </w:rPr>
        <w:t>Федеральной</w:t>
      </w:r>
      <w:r w:rsidRPr="00CE1C6E">
        <w:rPr>
          <w:lang w:val="ru-RU"/>
        </w:rPr>
        <w:t xml:space="preserve"> </w:t>
      </w:r>
      <w:r>
        <w:rPr>
          <w:lang w:val="ru-RU"/>
        </w:rPr>
        <w:t>комиссии</w:t>
      </w:r>
      <w:r w:rsidRPr="00CE1C6E">
        <w:rPr>
          <w:lang w:val="ru-RU"/>
        </w:rPr>
        <w:t xml:space="preserve"> </w:t>
      </w:r>
      <w:r>
        <w:rPr>
          <w:lang w:val="ru-RU"/>
        </w:rPr>
        <w:t>по</w:t>
      </w:r>
      <w:r w:rsidRPr="00CE1C6E">
        <w:rPr>
          <w:lang w:val="ru-RU"/>
        </w:rPr>
        <w:t xml:space="preserve"> </w:t>
      </w:r>
      <w:r>
        <w:rPr>
          <w:lang w:val="ru-RU"/>
        </w:rPr>
        <w:t>связи по</w:t>
      </w:r>
      <w:r w:rsidRPr="00CE1C6E">
        <w:rPr>
          <w:lang w:val="ru-RU"/>
        </w:rPr>
        <w:t xml:space="preserve"> </w:t>
      </w:r>
      <w:r>
        <w:rPr>
          <w:lang w:val="ru-RU"/>
        </w:rPr>
        <w:t>делопроизводству</w:t>
      </w:r>
      <w:r w:rsidRPr="00CE1C6E">
        <w:rPr>
          <w:lang w:val="ru-RU"/>
        </w:rPr>
        <w:t xml:space="preserve"> </w:t>
      </w:r>
      <w:r>
        <w:rPr>
          <w:lang w:val="ru-RU"/>
        </w:rPr>
        <w:t>ежегодных</w:t>
      </w:r>
      <w:r w:rsidRPr="00CE1C6E">
        <w:rPr>
          <w:lang w:val="ru-RU"/>
        </w:rPr>
        <w:t xml:space="preserve"> </w:t>
      </w:r>
      <w:r>
        <w:rPr>
          <w:lang w:val="ru-RU"/>
        </w:rPr>
        <w:t>отчетов</w:t>
      </w:r>
      <w:r w:rsidRPr="00CE1C6E">
        <w:rPr>
          <w:lang w:val="ru-RU"/>
        </w:rPr>
        <w:t xml:space="preserve"> </w:t>
      </w:r>
      <w:r>
        <w:rPr>
          <w:lang w:val="ru-RU"/>
        </w:rPr>
        <w:t>в соответствии с</w:t>
      </w:r>
      <w:r w:rsidR="00E06A03">
        <w:rPr>
          <w:lang w:val="ru-RU"/>
        </w:rPr>
        <w:t> </w:t>
      </w:r>
      <w:r>
        <w:rPr>
          <w:lang w:val="ru-RU"/>
        </w:rPr>
        <w:t>разделом 43.62</w:t>
      </w:r>
      <w:r w:rsidRPr="00CE1C6E">
        <w:rPr>
          <w:lang w:val="ru-RU"/>
        </w:rPr>
        <w:t xml:space="preserve"> (</w:t>
      </w:r>
      <w:r>
        <w:rPr>
          <w:lang w:val="ru-RU"/>
        </w:rPr>
        <w:t>февраль</w:t>
      </w:r>
      <w:r w:rsidRPr="00CE1C6E">
        <w:rPr>
          <w:lang w:val="ru-RU"/>
        </w:rPr>
        <w:t xml:space="preserve"> 2016</w:t>
      </w:r>
      <w:r>
        <w:rPr>
          <w:lang w:val="ru-RU"/>
        </w:rPr>
        <w:t xml:space="preserve"> г</w:t>
      </w:r>
      <w:r w:rsidR="00E06A03">
        <w:rPr>
          <w:lang w:val="ru-RU"/>
        </w:rPr>
        <w:t>.</w:t>
      </w:r>
      <w:r w:rsidRPr="00CE1C6E">
        <w:rPr>
          <w:lang w:val="ru-RU"/>
        </w:rPr>
        <w:t>)</w:t>
      </w:r>
      <w:r>
        <w:rPr>
          <w:lang w:val="ru-RU"/>
        </w:rPr>
        <w:t>,</w:t>
      </w:r>
      <w:r>
        <w:rPr>
          <w:lang w:val="ru-RU"/>
        </w:rPr>
        <w:t xml:space="preserve"> </w:t>
      </w:r>
      <w:r>
        <w:rPr>
          <w:lang w:val="ru-RU"/>
        </w:rPr>
        <w:t>доступно по адресу</w:t>
      </w:r>
      <w:r w:rsidR="00E06A03">
        <w:rPr>
          <w:lang w:val="ru-RU"/>
        </w:rPr>
        <w:t>:</w:t>
      </w:r>
      <w:r w:rsidRPr="00CE1C6E">
        <w:rPr>
          <w:lang w:val="ru-RU"/>
        </w:rPr>
        <w:t xml:space="preserve"> </w:t>
      </w:r>
      <w:hyperlink r:id="rId3" w:history="1">
        <w:r w:rsidRPr="00BA5DD5">
          <w:rPr>
            <w:rStyle w:val="Hyperlink"/>
          </w:rPr>
          <w:t>https</w:t>
        </w:r>
        <w:r w:rsidRPr="00CE1C6E">
          <w:rPr>
            <w:rStyle w:val="Hyperlink"/>
            <w:lang w:val="ru-RU"/>
          </w:rPr>
          <w:t>://</w:t>
        </w:r>
        <w:r w:rsidRPr="00BA5DD5">
          <w:rPr>
            <w:rStyle w:val="Hyperlink"/>
          </w:rPr>
          <w:t>www</w:t>
        </w:r>
        <w:r w:rsidRPr="00CE1C6E">
          <w:rPr>
            <w:rStyle w:val="Hyperlink"/>
            <w:lang w:val="ru-RU"/>
          </w:rPr>
          <w:t>.</w:t>
        </w:r>
        <w:r w:rsidRPr="00BA5DD5">
          <w:rPr>
            <w:rStyle w:val="Hyperlink"/>
          </w:rPr>
          <w:t>fcc</w:t>
        </w:r>
        <w:r w:rsidRPr="00CE1C6E">
          <w:rPr>
            <w:rStyle w:val="Hyperlink"/>
            <w:lang w:val="ru-RU"/>
          </w:rPr>
          <w:t>.</w:t>
        </w:r>
        <w:r w:rsidRPr="00BA5DD5">
          <w:rPr>
            <w:rStyle w:val="Hyperlink"/>
          </w:rPr>
          <w:t>gov</w:t>
        </w:r>
        <w:r w:rsidRPr="00CE1C6E">
          <w:rPr>
            <w:rStyle w:val="Hyperlink"/>
            <w:lang w:val="ru-RU"/>
          </w:rPr>
          <w:t>/</w:t>
        </w:r>
        <w:r w:rsidRPr="00BA5DD5">
          <w:rPr>
            <w:rStyle w:val="Hyperlink"/>
          </w:rPr>
          <w:t>document</w:t>
        </w:r>
        <w:r w:rsidRPr="00CE1C6E">
          <w:rPr>
            <w:rStyle w:val="Hyperlink"/>
            <w:lang w:val="ru-RU"/>
          </w:rPr>
          <w:t>/</w:t>
        </w:r>
        <w:r w:rsidRPr="00BA5DD5">
          <w:rPr>
            <w:rStyle w:val="Hyperlink"/>
          </w:rPr>
          <w:t>filing</w:t>
        </w:r>
        <w:r w:rsidRPr="00CE1C6E">
          <w:rPr>
            <w:rStyle w:val="Hyperlink"/>
            <w:lang w:val="ru-RU"/>
          </w:rPr>
          <w:t>-</w:t>
        </w:r>
        <w:r w:rsidRPr="00BA5DD5">
          <w:rPr>
            <w:rStyle w:val="Hyperlink"/>
          </w:rPr>
          <w:t>manual</w:t>
        </w:r>
        <w:r w:rsidRPr="00CE1C6E">
          <w:rPr>
            <w:rStyle w:val="Hyperlink"/>
            <w:lang w:val="ru-RU"/>
          </w:rPr>
          <w:t>-</w:t>
        </w:r>
        <w:r w:rsidRPr="00BA5DD5">
          <w:rPr>
            <w:rStyle w:val="Hyperlink"/>
          </w:rPr>
          <w:t>section</w:t>
        </w:r>
        <w:r w:rsidRPr="00CE1C6E">
          <w:rPr>
            <w:rStyle w:val="Hyperlink"/>
            <w:lang w:val="ru-RU"/>
          </w:rPr>
          <w:t>-4362-</w:t>
        </w:r>
        <w:r w:rsidRPr="00BA5DD5">
          <w:rPr>
            <w:rStyle w:val="Hyperlink"/>
          </w:rPr>
          <w:t>annual</w:t>
        </w:r>
        <w:r w:rsidRPr="00CE1C6E">
          <w:rPr>
            <w:rStyle w:val="Hyperlink"/>
            <w:lang w:val="ru-RU"/>
          </w:rPr>
          <w:t>-</w:t>
        </w:r>
        <w:r w:rsidRPr="00BA5DD5">
          <w:rPr>
            <w:rStyle w:val="Hyperlink"/>
          </w:rPr>
          <w:t>reports</w:t>
        </w:r>
        <w:r w:rsidRPr="00CE1C6E">
          <w:rPr>
            <w:rStyle w:val="Hyperlink"/>
            <w:lang w:val="ru-RU"/>
          </w:rPr>
          <w:t>-</w:t>
        </w:r>
        <w:r w:rsidRPr="00BA5DD5">
          <w:rPr>
            <w:rStyle w:val="Hyperlink"/>
          </w:rPr>
          <w:t>february</w:t>
        </w:r>
        <w:r w:rsidRPr="00CE1C6E">
          <w:rPr>
            <w:rStyle w:val="Hyperlink"/>
            <w:lang w:val="ru-RU"/>
          </w:rPr>
          <w:t>-2016</w:t>
        </w:r>
      </w:hyperlink>
      <w:r w:rsidRPr="00CE1C6E">
        <w:rPr>
          <w:lang w:val="ru-RU"/>
        </w:rPr>
        <w:t xml:space="preserve"> </w:t>
      </w:r>
      <w:r>
        <w:rPr>
          <w:lang w:val="ru-RU"/>
        </w:rPr>
        <w:t>для описания наличного рынка</w:t>
      </w:r>
      <w:r w:rsidRPr="00CE1C6E">
        <w:rPr>
          <w:lang w:val="ru-RU"/>
        </w:rPr>
        <w:t>.</w:t>
      </w:r>
    </w:p>
  </w:footnote>
  <w:footnote w:id="4">
    <w:p w14:paraId="7120FA07" w14:textId="77777777" w:rsidR="00D66D7D" w:rsidRPr="00CA474F" w:rsidRDefault="00D66D7D" w:rsidP="00D66D7D">
      <w:pPr>
        <w:pStyle w:val="FootnoteText"/>
        <w:rPr>
          <w:lang w:val="ru-RU"/>
        </w:rPr>
      </w:pPr>
      <w:r>
        <w:rPr>
          <w:rStyle w:val="FootnoteReference"/>
        </w:rPr>
        <w:footnoteRef/>
      </w:r>
      <w:r w:rsidRPr="00CA474F">
        <w:rPr>
          <w:lang w:val="ru-RU"/>
        </w:rPr>
        <w:tab/>
      </w:r>
      <w:r>
        <w:rPr>
          <w:lang w:val="ru-RU"/>
        </w:rPr>
        <w:t>МСЭ</w:t>
      </w:r>
      <w:r w:rsidRPr="00CA474F">
        <w:rPr>
          <w:lang w:val="ru-RU"/>
        </w:rPr>
        <w:t xml:space="preserve">, </w:t>
      </w:r>
      <w:r>
        <w:rPr>
          <w:lang w:val="ru-RU"/>
        </w:rPr>
        <w:t>отчет</w:t>
      </w:r>
      <w:r w:rsidRPr="00CA474F">
        <w:rPr>
          <w:lang w:val="ru-RU"/>
        </w:rPr>
        <w:t xml:space="preserve"> "</w:t>
      </w:r>
      <w:r>
        <w:rPr>
          <w:lang w:val="ru-RU"/>
        </w:rPr>
        <w:t>Измерение</w:t>
      </w:r>
      <w:r w:rsidRPr="00CA474F">
        <w:rPr>
          <w:lang w:val="ru-RU"/>
        </w:rPr>
        <w:t xml:space="preserve"> </w:t>
      </w:r>
      <w:r>
        <w:rPr>
          <w:lang w:val="ru-RU"/>
        </w:rPr>
        <w:t>информационного</w:t>
      </w:r>
      <w:r w:rsidRPr="00CA474F">
        <w:rPr>
          <w:lang w:val="ru-RU"/>
        </w:rPr>
        <w:t xml:space="preserve"> </w:t>
      </w:r>
      <w:r>
        <w:rPr>
          <w:lang w:val="ru-RU"/>
        </w:rPr>
        <w:t>общества</w:t>
      </w:r>
      <w:r w:rsidRPr="00CA474F">
        <w:rPr>
          <w:lang w:val="ru-RU"/>
        </w:rPr>
        <w:t>"</w:t>
      </w:r>
      <w:r>
        <w:rPr>
          <w:lang w:val="ru-RU"/>
        </w:rPr>
        <w:t xml:space="preserve"> за</w:t>
      </w:r>
      <w:r w:rsidRPr="00CA474F">
        <w:rPr>
          <w:lang w:val="ru-RU"/>
        </w:rPr>
        <w:t xml:space="preserve"> 2018</w:t>
      </w:r>
      <w:r>
        <w:rPr>
          <w:lang w:val="ru-RU"/>
        </w:rPr>
        <w:t xml:space="preserve"> год</w:t>
      </w:r>
      <w:r w:rsidRPr="00CA474F">
        <w:rPr>
          <w:lang w:val="ru-RU"/>
        </w:rPr>
        <w:t xml:space="preserve">, </w:t>
      </w:r>
      <w:r>
        <w:rPr>
          <w:lang w:val="ru-RU"/>
        </w:rPr>
        <w:t>том</w:t>
      </w:r>
      <w:r w:rsidRPr="00CA474F">
        <w:rPr>
          <w:lang w:val="ru-RU"/>
        </w:rPr>
        <w:t xml:space="preserve"> 1, </w:t>
      </w:r>
      <w:r>
        <w:rPr>
          <w:lang w:val="ru-RU"/>
        </w:rPr>
        <w:t>страница</w:t>
      </w:r>
      <w:r w:rsidRPr="00CA474F">
        <w:rPr>
          <w:lang w:val="ru-RU"/>
        </w:rPr>
        <w:t xml:space="preserve"> 57.</w:t>
      </w:r>
    </w:p>
  </w:footnote>
  <w:footnote w:id="5">
    <w:p w14:paraId="15996182" w14:textId="154B7E83" w:rsidR="00D66D7D" w:rsidRPr="00CA474F" w:rsidRDefault="00D66D7D" w:rsidP="00D66D7D">
      <w:pPr>
        <w:pStyle w:val="FootnoteText"/>
        <w:rPr>
          <w:lang w:val="ru-RU"/>
        </w:rPr>
      </w:pPr>
      <w:r>
        <w:rPr>
          <w:rStyle w:val="FootnoteReference"/>
        </w:rPr>
        <w:footnoteRef/>
      </w:r>
      <w:r w:rsidRPr="00CA474F">
        <w:rPr>
          <w:lang w:val="ru-RU"/>
        </w:rPr>
        <w:tab/>
      </w:r>
      <w:r>
        <w:rPr>
          <w:lang w:val="ru-RU"/>
        </w:rPr>
        <w:t>См</w:t>
      </w:r>
      <w:r w:rsidRPr="00CA474F">
        <w:rPr>
          <w:lang w:val="ru-RU"/>
        </w:rPr>
        <w:t xml:space="preserve">. </w:t>
      </w:r>
      <w:r>
        <w:rPr>
          <w:lang w:val="ru-RU"/>
        </w:rPr>
        <w:t>Информационный</w:t>
      </w:r>
      <w:r w:rsidRPr="00CA474F">
        <w:rPr>
          <w:lang w:val="ru-RU"/>
        </w:rPr>
        <w:t xml:space="preserve"> </w:t>
      </w:r>
      <w:r>
        <w:rPr>
          <w:lang w:val="ru-RU"/>
        </w:rPr>
        <w:t>документ</w:t>
      </w:r>
      <w:r w:rsidRPr="00CA474F">
        <w:rPr>
          <w:lang w:val="ru-RU"/>
        </w:rPr>
        <w:t xml:space="preserve"> 5 </w:t>
      </w:r>
      <w:r>
        <w:rPr>
          <w:lang w:val="ru-RU"/>
        </w:rPr>
        <w:t>Группы</w:t>
      </w:r>
      <w:r w:rsidRPr="00CA474F">
        <w:rPr>
          <w:lang w:val="ru-RU"/>
        </w:rPr>
        <w:t xml:space="preserve"> </w:t>
      </w:r>
      <w:r>
        <w:rPr>
          <w:lang w:val="ru-RU"/>
        </w:rPr>
        <w:t>экспертов</w:t>
      </w:r>
      <w:r w:rsidRPr="00CA474F">
        <w:rPr>
          <w:lang w:val="ru-RU"/>
        </w:rPr>
        <w:t xml:space="preserve"> </w:t>
      </w:r>
      <w:r>
        <w:rPr>
          <w:lang w:val="ru-RU"/>
        </w:rPr>
        <w:t>для</w:t>
      </w:r>
      <w:r w:rsidRPr="00CA474F">
        <w:rPr>
          <w:lang w:val="ru-RU"/>
        </w:rPr>
        <w:t xml:space="preserve"> </w:t>
      </w:r>
      <w:r>
        <w:rPr>
          <w:lang w:val="ru-RU"/>
        </w:rPr>
        <w:t>рассмотрения</w:t>
      </w:r>
      <w:r w:rsidRPr="00CA474F">
        <w:rPr>
          <w:lang w:val="ru-RU"/>
        </w:rPr>
        <w:t xml:space="preserve"> </w:t>
      </w:r>
      <w:r>
        <w:rPr>
          <w:lang w:val="ru-RU"/>
        </w:rPr>
        <w:t>РМЭ</w:t>
      </w:r>
      <w:r w:rsidRPr="00CA474F">
        <w:rPr>
          <w:lang w:val="ru-RU"/>
        </w:rPr>
        <w:t xml:space="preserve"> (2007</w:t>
      </w:r>
      <w:r w:rsidR="00E06A03">
        <w:rPr>
          <w:lang w:val="ru-RU"/>
        </w:rPr>
        <w:t>−</w:t>
      </w:r>
      <w:r w:rsidRPr="00CA474F">
        <w:rPr>
          <w:lang w:val="ru-RU"/>
        </w:rPr>
        <w:t>2009</w:t>
      </w:r>
      <w:r w:rsidR="00E06A03">
        <w:rPr>
          <w:lang w:val="ru-RU"/>
        </w:rPr>
        <w:t xml:space="preserve"> гг.</w:t>
      </w:r>
      <w:r w:rsidRPr="00CA474F">
        <w:rPr>
          <w:lang w:val="ru-RU"/>
        </w:rPr>
        <w:t>)</w:t>
      </w:r>
      <w:r>
        <w:rPr>
          <w:lang w:val="ru-RU"/>
        </w:rPr>
        <w:t xml:space="preserve"> об</w:t>
      </w:r>
      <w:r w:rsidRPr="00CA474F">
        <w:rPr>
          <w:lang w:val="ru-RU"/>
        </w:rPr>
        <w:t xml:space="preserve"> </w:t>
      </w:r>
      <w:r>
        <w:rPr>
          <w:lang w:val="ru-RU"/>
        </w:rPr>
        <w:t>отношении</w:t>
      </w:r>
      <w:r w:rsidRPr="00CA474F">
        <w:rPr>
          <w:lang w:val="ru-RU"/>
        </w:rPr>
        <w:t xml:space="preserve"> </w:t>
      </w:r>
      <w:r>
        <w:rPr>
          <w:lang w:val="ru-RU"/>
        </w:rPr>
        <w:t>между</w:t>
      </w:r>
      <w:r w:rsidRPr="00CA474F">
        <w:rPr>
          <w:lang w:val="ru-RU"/>
        </w:rPr>
        <w:t xml:space="preserve"> </w:t>
      </w:r>
      <w:r>
        <w:rPr>
          <w:lang w:val="ru-RU"/>
        </w:rPr>
        <w:t>РМЭ и Уставом и Конвенцией МСЭ, доступен по адресу</w:t>
      </w:r>
      <w:r w:rsidR="00E06A03">
        <w:rPr>
          <w:lang w:val="ru-RU"/>
        </w:rPr>
        <w:t>:</w:t>
      </w:r>
      <w:r w:rsidRPr="00CA474F">
        <w:rPr>
          <w:lang w:val="ru-RU"/>
        </w:rPr>
        <w:t xml:space="preserve"> </w:t>
      </w:r>
      <w:hyperlink r:id="rId4" w:history="1">
        <w:r w:rsidRPr="00BA5DD5">
          <w:rPr>
            <w:rStyle w:val="Hyperlink"/>
          </w:rPr>
          <w:t>https</w:t>
        </w:r>
        <w:r w:rsidRPr="00CA474F">
          <w:rPr>
            <w:rStyle w:val="Hyperlink"/>
            <w:lang w:val="ru-RU"/>
          </w:rPr>
          <w:t>://</w:t>
        </w:r>
        <w:r w:rsidRPr="00BA5DD5">
          <w:rPr>
            <w:rStyle w:val="Hyperlink"/>
          </w:rPr>
          <w:t>www</w:t>
        </w:r>
        <w:r w:rsidRPr="00CA474F">
          <w:rPr>
            <w:rStyle w:val="Hyperlink"/>
            <w:lang w:val="ru-RU"/>
          </w:rPr>
          <w:t>.</w:t>
        </w:r>
        <w:r w:rsidRPr="00BA5DD5">
          <w:rPr>
            <w:rStyle w:val="Hyperlink"/>
          </w:rPr>
          <w:t>itu</w:t>
        </w:r>
        <w:r w:rsidRPr="00CA474F">
          <w:rPr>
            <w:rStyle w:val="Hyperlink"/>
            <w:lang w:val="ru-RU"/>
          </w:rPr>
          <w:t>.</w:t>
        </w:r>
        <w:r w:rsidRPr="00BA5DD5">
          <w:rPr>
            <w:rStyle w:val="Hyperlink"/>
          </w:rPr>
          <w:t>int</w:t>
        </w:r>
        <w:r w:rsidRPr="00CA474F">
          <w:rPr>
            <w:rStyle w:val="Hyperlink"/>
            <w:lang w:val="ru-RU"/>
          </w:rPr>
          <w:t>/</w:t>
        </w:r>
        <w:r w:rsidRPr="00BA5DD5">
          <w:rPr>
            <w:rStyle w:val="Hyperlink"/>
          </w:rPr>
          <w:t>md</w:t>
        </w:r>
        <w:r w:rsidRPr="00CA474F">
          <w:rPr>
            <w:rStyle w:val="Hyperlink"/>
            <w:lang w:val="ru-RU"/>
          </w:rPr>
          <w:t>/</w:t>
        </w:r>
        <w:r w:rsidRPr="00BA5DD5">
          <w:rPr>
            <w:rStyle w:val="Hyperlink"/>
          </w:rPr>
          <w:t>T</w:t>
        </w:r>
        <w:r w:rsidRPr="00CA474F">
          <w:rPr>
            <w:rStyle w:val="Hyperlink"/>
            <w:lang w:val="ru-RU"/>
          </w:rPr>
          <w:t>05-</w:t>
        </w:r>
        <w:r w:rsidRPr="00BA5DD5">
          <w:rPr>
            <w:rStyle w:val="Hyperlink"/>
          </w:rPr>
          <w:t>ITR</w:t>
        </w:r>
        <w:r w:rsidRPr="00CA474F">
          <w:rPr>
            <w:rStyle w:val="Hyperlink"/>
            <w:lang w:val="ru-RU"/>
          </w:rPr>
          <w:t>.</w:t>
        </w:r>
        <w:r w:rsidRPr="00BA5DD5">
          <w:rPr>
            <w:rStyle w:val="Hyperlink"/>
          </w:rPr>
          <w:t>EG</w:t>
        </w:r>
        <w:r w:rsidRPr="00CA474F">
          <w:rPr>
            <w:rStyle w:val="Hyperlink"/>
            <w:lang w:val="ru-RU"/>
          </w:rPr>
          <w:t>-</w:t>
        </w:r>
        <w:r w:rsidRPr="00BA5DD5">
          <w:rPr>
            <w:rStyle w:val="Hyperlink"/>
          </w:rPr>
          <w:t>INF</w:t>
        </w:r>
        <w:r w:rsidRPr="00CA474F">
          <w:rPr>
            <w:rStyle w:val="Hyperlink"/>
            <w:lang w:val="ru-RU"/>
          </w:rPr>
          <w:t>-0005/</w:t>
        </w:r>
        <w:r w:rsidRPr="00BA5DD5">
          <w:rPr>
            <w:rStyle w:val="Hyperlink"/>
          </w:rPr>
          <w:t>en</w:t>
        </w:r>
      </w:hyperlink>
      <w:r w:rsidRPr="00CA474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1C37" w14:textId="77777777" w:rsidR="000E568E" w:rsidRDefault="00707304" w:rsidP="00BD57B7">
    <w:pPr>
      <w:pStyle w:val="Header"/>
    </w:pPr>
    <w:r>
      <w:fldChar w:fldCharType="begin"/>
    </w:r>
    <w:r>
      <w:instrText>PAGE</w:instrText>
    </w:r>
    <w:r>
      <w:fldChar w:fldCharType="separate"/>
    </w:r>
    <w:r w:rsidR="00C73AFE">
      <w:rPr>
        <w:noProof/>
      </w:rPr>
      <w:t>2</w:t>
    </w:r>
    <w:r>
      <w:rPr>
        <w:noProof/>
      </w:rPr>
      <w:fldChar w:fldCharType="end"/>
    </w:r>
  </w:p>
  <w:p w14:paraId="59B1647D" w14:textId="5CE71F8E" w:rsidR="000E568E" w:rsidRDefault="00C73AFE" w:rsidP="008B62B4">
    <w:pPr>
      <w:pStyle w:val="Header"/>
      <w:spacing w:after="480"/>
    </w:pPr>
    <w:r>
      <w:rPr>
        <w:noProof/>
      </w:rPr>
      <w:t>EG-ITRs-</w:t>
    </w:r>
    <w:r w:rsidR="00D71D97">
      <w:rPr>
        <w:noProof/>
      </w:rPr>
      <w:t>2</w:t>
    </w:r>
    <w:r>
      <w:rPr>
        <w:noProof/>
      </w:rPr>
      <w:t>\</w:t>
    </w:r>
    <w:r w:rsidR="00CA474F">
      <w:rPr>
        <w:noProof/>
        <w:lang w:val="ru-RU"/>
      </w:rPr>
      <w:t>7</w:t>
    </w:r>
    <w:r>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95"/>
    <w:rsid w:val="0002183E"/>
    <w:rsid w:val="000569B4"/>
    <w:rsid w:val="00080E82"/>
    <w:rsid w:val="0009618D"/>
    <w:rsid w:val="000E568E"/>
    <w:rsid w:val="0014734F"/>
    <w:rsid w:val="0015710D"/>
    <w:rsid w:val="00163A32"/>
    <w:rsid w:val="00181E1F"/>
    <w:rsid w:val="00192B41"/>
    <w:rsid w:val="001B7B09"/>
    <w:rsid w:val="001E6719"/>
    <w:rsid w:val="00202D95"/>
    <w:rsid w:val="00225368"/>
    <w:rsid w:val="00227FF0"/>
    <w:rsid w:val="00291EB6"/>
    <w:rsid w:val="002D2F57"/>
    <w:rsid w:val="002D48C5"/>
    <w:rsid w:val="0030515C"/>
    <w:rsid w:val="00327D3A"/>
    <w:rsid w:val="00363962"/>
    <w:rsid w:val="00370CBA"/>
    <w:rsid w:val="003F099E"/>
    <w:rsid w:val="003F235E"/>
    <w:rsid w:val="004023E0"/>
    <w:rsid w:val="00403DD8"/>
    <w:rsid w:val="0045686C"/>
    <w:rsid w:val="004635F1"/>
    <w:rsid w:val="004918C4"/>
    <w:rsid w:val="004A0374"/>
    <w:rsid w:val="004A45B5"/>
    <w:rsid w:val="004D0129"/>
    <w:rsid w:val="005A64D5"/>
    <w:rsid w:val="00601994"/>
    <w:rsid w:val="0060236D"/>
    <w:rsid w:val="00676651"/>
    <w:rsid w:val="006E2D42"/>
    <w:rsid w:val="00703676"/>
    <w:rsid w:val="00706709"/>
    <w:rsid w:val="00707304"/>
    <w:rsid w:val="00724D1A"/>
    <w:rsid w:val="00732269"/>
    <w:rsid w:val="00760C98"/>
    <w:rsid w:val="00785ABD"/>
    <w:rsid w:val="007A2DD4"/>
    <w:rsid w:val="007D38B5"/>
    <w:rsid w:val="007E7EA0"/>
    <w:rsid w:val="00807255"/>
    <w:rsid w:val="0081023E"/>
    <w:rsid w:val="008173AA"/>
    <w:rsid w:val="00840A14"/>
    <w:rsid w:val="0087701F"/>
    <w:rsid w:val="008978BE"/>
    <w:rsid w:val="008B62B4"/>
    <w:rsid w:val="008D2D7B"/>
    <w:rsid w:val="008E0737"/>
    <w:rsid w:val="008F7C2C"/>
    <w:rsid w:val="0090558C"/>
    <w:rsid w:val="00940E96"/>
    <w:rsid w:val="009B0BAE"/>
    <w:rsid w:val="009C1C89"/>
    <w:rsid w:val="009F3448"/>
    <w:rsid w:val="00A13400"/>
    <w:rsid w:val="00A40610"/>
    <w:rsid w:val="00A6122B"/>
    <w:rsid w:val="00A71773"/>
    <w:rsid w:val="00AC4085"/>
    <w:rsid w:val="00AE2C85"/>
    <w:rsid w:val="00B12A37"/>
    <w:rsid w:val="00B63EF2"/>
    <w:rsid w:val="00BC0D39"/>
    <w:rsid w:val="00BC7BC0"/>
    <w:rsid w:val="00BD57B7"/>
    <w:rsid w:val="00BE63E2"/>
    <w:rsid w:val="00C73AFE"/>
    <w:rsid w:val="00CA3258"/>
    <w:rsid w:val="00CA474F"/>
    <w:rsid w:val="00CD2009"/>
    <w:rsid w:val="00CE1C6E"/>
    <w:rsid w:val="00CF1A9B"/>
    <w:rsid w:val="00CF629C"/>
    <w:rsid w:val="00D22F9F"/>
    <w:rsid w:val="00D66D7D"/>
    <w:rsid w:val="00D71D97"/>
    <w:rsid w:val="00D92EEA"/>
    <w:rsid w:val="00DA5D4E"/>
    <w:rsid w:val="00DB4A2B"/>
    <w:rsid w:val="00DC6CE2"/>
    <w:rsid w:val="00E06A03"/>
    <w:rsid w:val="00E176BA"/>
    <w:rsid w:val="00E423EC"/>
    <w:rsid w:val="00E55121"/>
    <w:rsid w:val="00EB4FCB"/>
    <w:rsid w:val="00EC6BC5"/>
    <w:rsid w:val="00F35898"/>
    <w:rsid w:val="00F5225B"/>
    <w:rsid w:val="00F6286F"/>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7038DD"/>
  <w15:docId w15:val="{21D8B894-8CDD-4AB5-BE95-D713521D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filing-manual-section-4362-annual-reports-february-2016" TargetMode="External"/><Relationship Id="rId2" Type="http://schemas.openxmlformats.org/officeDocument/2006/relationships/hyperlink" Target="https://www.itu.int/md/T05-ITR.EG-INF-0004/en" TargetMode="External"/><Relationship Id="rId1" Type="http://schemas.openxmlformats.org/officeDocument/2006/relationships/hyperlink" Target="https://blog.telegeography.com/voice-traffics-slump-continued-in-a-big-way-last-year" TargetMode="External"/><Relationship Id="rId4" Type="http://schemas.openxmlformats.org/officeDocument/2006/relationships/hyperlink" Target="https://www.itu.int/md/T05-ITR.EG-INF-000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PR_EG-ITR.dotx</Template>
  <TotalTime>20</TotalTime>
  <Pages>2</Pages>
  <Words>731</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5693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Russian</dc:creator>
  <cp:keywords>C2004, C04</cp:keywords>
  <dc:description>Документ C05/xx-R  For: _x000d_Document date: Дата_x000d_Saved by RUS38507 at 8:49:12 AM on 2/8/2005</dc:description>
  <cp:lastModifiedBy>Russian</cp:lastModifiedBy>
  <cp:revision>8</cp:revision>
  <cp:lastPrinted>2020-01-30T15:20:00Z</cp:lastPrinted>
  <dcterms:created xsi:type="dcterms:W3CDTF">2020-01-30T15:18:00Z</dcterms:created>
  <dcterms:modified xsi:type="dcterms:W3CDTF">2020-02-03T14:31:00Z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