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7E48" w14:paraId="357514C5" w14:textId="77777777">
        <w:trPr>
          <w:cantSplit/>
        </w:trPr>
        <w:tc>
          <w:tcPr>
            <w:tcW w:w="6912" w:type="dxa"/>
          </w:tcPr>
          <w:p w14:paraId="764C1E3E" w14:textId="77777777" w:rsidR="00093EEB" w:rsidRPr="003A7E48" w:rsidRDefault="00D92832" w:rsidP="00D92832">
            <w:pPr>
              <w:spacing w:before="240"/>
              <w:rPr>
                <w:szCs w:val="24"/>
              </w:rPr>
            </w:pPr>
            <w:bookmarkStart w:id="0" w:name="dbluepink" w:colFirst="0" w:colLast="0"/>
            <w:r w:rsidRPr="003A7E48">
              <w:rPr>
                <w:b/>
                <w:bCs/>
                <w:position w:val="6"/>
                <w:sz w:val="30"/>
                <w:szCs w:val="30"/>
              </w:rPr>
              <w:t xml:space="preserve">Grupo de Expertos sobre el Reglamento de las </w:t>
            </w:r>
            <w:r w:rsidRPr="003A7E48">
              <w:rPr>
                <w:b/>
                <w:bCs/>
                <w:position w:val="6"/>
                <w:sz w:val="30"/>
                <w:szCs w:val="30"/>
              </w:rPr>
              <w:br/>
              <w:t>Telecomunicaciones Internacionales (GE-</w:t>
            </w:r>
            <w:proofErr w:type="spellStart"/>
            <w:r w:rsidRPr="003A7E48">
              <w:rPr>
                <w:b/>
                <w:bCs/>
                <w:position w:val="6"/>
                <w:sz w:val="30"/>
                <w:szCs w:val="30"/>
              </w:rPr>
              <w:t>RTI</w:t>
            </w:r>
            <w:proofErr w:type="spellEnd"/>
            <w:r w:rsidRPr="003A7E48">
              <w:rPr>
                <w:b/>
                <w:bCs/>
                <w:position w:val="6"/>
                <w:sz w:val="30"/>
                <w:szCs w:val="30"/>
              </w:rPr>
              <w:t>)</w:t>
            </w:r>
          </w:p>
        </w:tc>
        <w:tc>
          <w:tcPr>
            <w:tcW w:w="3261" w:type="dxa"/>
          </w:tcPr>
          <w:p w14:paraId="61312569" w14:textId="77777777" w:rsidR="00093EEB" w:rsidRPr="003A7E48" w:rsidRDefault="00012E27" w:rsidP="00C85B97">
            <w:pPr>
              <w:spacing w:before="0"/>
              <w:rPr>
                <w:szCs w:val="24"/>
              </w:rPr>
            </w:pPr>
            <w:bookmarkStart w:id="1" w:name="ditulogo"/>
            <w:bookmarkEnd w:id="1"/>
            <w:r w:rsidRPr="003A7E48">
              <w:rPr>
                <w:noProof/>
              </w:rPr>
              <w:drawing>
                <wp:inline distT="0" distB="0" distL="0" distR="0" wp14:anchorId="30DAAEA4" wp14:editId="506A955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3A7E48" w14:paraId="197F309E" w14:textId="77777777">
        <w:trPr>
          <w:cantSplit/>
          <w:trHeight w:val="20"/>
        </w:trPr>
        <w:tc>
          <w:tcPr>
            <w:tcW w:w="10173" w:type="dxa"/>
            <w:gridSpan w:val="2"/>
            <w:tcBorders>
              <w:bottom w:val="single" w:sz="12" w:space="0" w:color="auto"/>
            </w:tcBorders>
          </w:tcPr>
          <w:p w14:paraId="67AAAB6C" w14:textId="77777777" w:rsidR="00093EEB" w:rsidRPr="003A7E48" w:rsidRDefault="00C85B97" w:rsidP="00012E27">
            <w:pPr>
              <w:spacing w:before="0"/>
              <w:rPr>
                <w:b/>
                <w:bCs/>
                <w:szCs w:val="24"/>
              </w:rPr>
            </w:pPr>
            <w:r w:rsidRPr="003A7E48">
              <w:rPr>
                <w:rFonts w:eastAsia="Calibri" w:cs="Calibri"/>
                <w:b/>
                <w:color w:val="000000"/>
                <w:szCs w:val="24"/>
              </w:rPr>
              <w:t>Segunda</w:t>
            </w:r>
            <w:r w:rsidR="00012E27" w:rsidRPr="003A7E48">
              <w:rPr>
                <w:rFonts w:eastAsia="Calibri" w:cs="Calibri"/>
                <w:b/>
                <w:color w:val="000000"/>
                <w:szCs w:val="24"/>
              </w:rPr>
              <w:t xml:space="preserve"> reunión </w:t>
            </w:r>
            <w:r w:rsidR="00D92832" w:rsidRPr="003A7E48">
              <w:rPr>
                <w:b/>
                <w:bCs/>
              </w:rPr>
              <w:t>– Ginebra, 1</w:t>
            </w:r>
            <w:r w:rsidRPr="003A7E48">
              <w:rPr>
                <w:b/>
                <w:bCs/>
              </w:rPr>
              <w:t>2</w:t>
            </w:r>
            <w:r w:rsidR="00D92832" w:rsidRPr="003A7E48">
              <w:rPr>
                <w:b/>
                <w:bCs/>
              </w:rPr>
              <w:t>-1</w:t>
            </w:r>
            <w:r w:rsidRPr="003A7E48">
              <w:rPr>
                <w:b/>
                <w:bCs/>
              </w:rPr>
              <w:t>3</w:t>
            </w:r>
            <w:r w:rsidR="00D92832" w:rsidRPr="003A7E48">
              <w:rPr>
                <w:b/>
                <w:bCs/>
              </w:rPr>
              <w:t xml:space="preserve"> de </w:t>
            </w:r>
            <w:r w:rsidRPr="003A7E48">
              <w:rPr>
                <w:b/>
                <w:bCs/>
              </w:rPr>
              <w:t>febrero</w:t>
            </w:r>
            <w:r w:rsidR="00D92832" w:rsidRPr="003A7E48">
              <w:rPr>
                <w:b/>
                <w:bCs/>
              </w:rPr>
              <w:t xml:space="preserve"> de 20</w:t>
            </w:r>
            <w:r w:rsidRPr="003A7E48">
              <w:rPr>
                <w:b/>
                <w:bCs/>
              </w:rPr>
              <w:t>20</w:t>
            </w:r>
          </w:p>
        </w:tc>
      </w:tr>
      <w:tr w:rsidR="00093EEB" w:rsidRPr="003A7E48" w14:paraId="109C9317" w14:textId="77777777">
        <w:trPr>
          <w:cantSplit/>
          <w:trHeight w:val="20"/>
        </w:trPr>
        <w:tc>
          <w:tcPr>
            <w:tcW w:w="6912" w:type="dxa"/>
            <w:tcBorders>
              <w:top w:val="single" w:sz="12" w:space="0" w:color="auto"/>
            </w:tcBorders>
          </w:tcPr>
          <w:p w14:paraId="3F78E3D5" w14:textId="77777777" w:rsidR="00093EEB" w:rsidRPr="003A7E4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BC93254" w14:textId="77777777" w:rsidR="00093EEB" w:rsidRPr="003A7E48" w:rsidRDefault="00093EEB">
            <w:pPr>
              <w:spacing w:before="0"/>
              <w:rPr>
                <w:b/>
                <w:bCs/>
                <w:szCs w:val="24"/>
              </w:rPr>
            </w:pPr>
          </w:p>
        </w:tc>
      </w:tr>
      <w:tr w:rsidR="00093EEB" w:rsidRPr="003A7E48" w14:paraId="3EE9F3B6" w14:textId="77777777">
        <w:trPr>
          <w:cantSplit/>
          <w:trHeight w:val="20"/>
        </w:trPr>
        <w:tc>
          <w:tcPr>
            <w:tcW w:w="6912" w:type="dxa"/>
            <w:shd w:val="clear" w:color="auto" w:fill="auto"/>
          </w:tcPr>
          <w:p w14:paraId="61C39346" w14:textId="77777777" w:rsidR="00093EEB" w:rsidRPr="003A7E48"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6F5CDEE" w14:textId="0979C846" w:rsidR="00093EEB" w:rsidRPr="003A7E48" w:rsidRDefault="00093EEB" w:rsidP="001F60AD">
            <w:pPr>
              <w:spacing w:before="0"/>
              <w:rPr>
                <w:b/>
                <w:bCs/>
                <w:szCs w:val="24"/>
              </w:rPr>
            </w:pPr>
            <w:r w:rsidRPr="003A7E48">
              <w:rPr>
                <w:b/>
                <w:bCs/>
                <w:szCs w:val="24"/>
              </w:rPr>
              <w:t xml:space="preserve">Documento </w:t>
            </w:r>
            <w:proofErr w:type="spellStart"/>
            <w:r w:rsidR="00D92832" w:rsidRPr="003A7E48">
              <w:rPr>
                <w:rFonts w:asciiTheme="minorHAnsi" w:hAnsiTheme="minorHAnsi" w:cs="Times New Roman Bold"/>
                <w:b/>
                <w:spacing w:val="-4"/>
              </w:rPr>
              <w:t>EG</w:t>
            </w:r>
            <w:proofErr w:type="spellEnd"/>
            <w:r w:rsidR="00D92832" w:rsidRPr="003A7E48">
              <w:rPr>
                <w:rFonts w:asciiTheme="minorHAnsi" w:hAnsiTheme="minorHAnsi" w:cs="Times New Roman Bold"/>
                <w:b/>
                <w:spacing w:val="-4"/>
              </w:rPr>
              <w:t>-</w:t>
            </w:r>
            <w:proofErr w:type="spellStart"/>
            <w:r w:rsidR="00D92832" w:rsidRPr="003A7E48">
              <w:rPr>
                <w:rFonts w:asciiTheme="minorHAnsi" w:hAnsiTheme="minorHAnsi" w:cs="Times New Roman Bold"/>
                <w:b/>
                <w:spacing w:val="-4"/>
              </w:rPr>
              <w:t>ITRs</w:t>
            </w:r>
            <w:proofErr w:type="spellEnd"/>
            <w:r w:rsidR="00D92832" w:rsidRPr="003A7E48">
              <w:rPr>
                <w:rFonts w:asciiTheme="minorHAnsi" w:hAnsiTheme="minorHAnsi" w:cs="Times New Roman Bold"/>
                <w:b/>
                <w:spacing w:val="-4"/>
              </w:rPr>
              <w:t>-</w:t>
            </w:r>
            <w:r w:rsidR="00C85B97" w:rsidRPr="003A7E48">
              <w:rPr>
                <w:rFonts w:asciiTheme="minorHAnsi" w:hAnsiTheme="minorHAnsi" w:cs="Times New Roman Bold"/>
                <w:b/>
                <w:spacing w:val="-4"/>
              </w:rPr>
              <w:t>2</w:t>
            </w:r>
            <w:r w:rsidR="00D92832" w:rsidRPr="003A7E48">
              <w:rPr>
                <w:rFonts w:asciiTheme="minorHAnsi" w:hAnsiTheme="minorHAnsi" w:cs="Times New Roman Bold"/>
                <w:b/>
                <w:spacing w:val="-4"/>
              </w:rPr>
              <w:t>/</w:t>
            </w:r>
            <w:r w:rsidR="006018B0" w:rsidRPr="003A7E48">
              <w:rPr>
                <w:rFonts w:asciiTheme="minorHAnsi" w:hAnsiTheme="minorHAnsi" w:cs="Times New Roman Bold"/>
                <w:b/>
                <w:spacing w:val="-4"/>
              </w:rPr>
              <w:t>10</w:t>
            </w:r>
            <w:r w:rsidR="00D92832" w:rsidRPr="003A7E48">
              <w:rPr>
                <w:rFonts w:asciiTheme="minorHAnsi" w:hAnsiTheme="minorHAnsi" w:cs="Times New Roman Bold"/>
                <w:b/>
                <w:spacing w:val="-4"/>
              </w:rPr>
              <w:t>-S</w:t>
            </w:r>
          </w:p>
        </w:tc>
      </w:tr>
      <w:tr w:rsidR="00093EEB" w:rsidRPr="003A7E48" w14:paraId="1AF23C27" w14:textId="77777777">
        <w:trPr>
          <w:cantSplit/>
          <w:trHeight w:val="20"/>
        </w:trPr>
        <w:tc>
          <w:tcPr>
            <w:tcW w:w="6912" w:type="dxa"/>
            <w:shd w:val="clear" w:color="auto" w:fill="auto"/>
          </w:tcPr>
          <w:p w14:paraId="30375533" w14:textId="77777777" w:rsidR="00093EEB" w:rsidRPr="003A7E48" w:rsidRDefault="00093EEB">
            <w:pPr>
              <w:shd w:val="solid" w:color="FFFFFF" w:fill="FFFFFF"/>
              <w:spacing w:before="0"/>
              <w:rPr>
                <w:smallCaps/>
                <w:szCs w:val="24"/>
              </w:rPr>
            </w:pPr>
            <w:bookmarkStart w:id="4" w:name="ddate" w:colFirst="1" w:colLast="1"/>
            <w:bookmarkEnd w:id="2"/>
            <w:bookmarkEnd w:id="3"/>
          </w:p>
        </w:tc>
        <w:tc>
          <w:tcPr>
            <w:tcW w:w="3261" w:type="dxa"/>
          </w:tcPr>
          <w:p w14:paraId="55CC5553" w14:textId="17B4A677" w:rsidR="00093EEB" w:rsidRPr="003A7E48" w:rsidRDefault="006018B0" w:rsidP="001F60AD">
            <w:pPr>
              <w:spacing w:before="0"/>
              <w:rPr>
                <w:b/>
                <w:bCs/>
                <w:szCs w:val="24"/>
              </w:rPr>
            </w:pPr>
            <w:r w:rsidRPr="003A7E48">
              <w:rPr>
                <w:b/>
                <w:bCs/>
                <w:szCs w:val="24"/>
              </w:rPr>
              <w:t>29</w:t>
            </w:r>
            <w:r w:rsidR="0077252D" w:rsidRPr="003A7E48">
              <w:rPr>
                <w:b/>
                <w:bCs/>
                <w:szCs w:val="24"/>
              </w:rPr>
              <w:t xml:space="preserve"> </w:t>
            </w:r>
            <w:r w:rsidR="00D92832" w:rsidRPr="003A7E48">
              <w:rPr>
                <w:b/>
                <w:bCs/>
                <w:szCs w:val="24"/>
              </w:rPr>
              <w:t xml:space="preserve">de </w:t>
            </w:r>
            <w:r w:rsidR="00AE6A66" w:rsidRPr="003A7E48">
              <w:rPr>
                <w:b/>
                <w:bCs/>
                <w:szCs w:val="24"/>
              </w:rPr>
              <w:t>enero</w:t>
            </w:r>
            <w:r w:rsidR="00093EEB" w:rsidRPr="003A7E48">
              <w:rPr>
                <w:b/>
                <w:bCs/>
                <w:szCs w:val="24"/>
              </w:rPr>
              <w:t xml:space="preserve"> de 20</w:t>
            </w:r>
            <w:r w:rsidR="00C85B97" w:rsidRPr="003A7E48">
              <w:rPr>
                <w:b/>
                <w:bCs/>
                <w:szCs w:val="24"/>
              </w:rPr>
              <w:t>20</w:t>
            </w:r>
          </w:p>
        </w:tc>
      </w:tr>
      <w:tr w:rsidR="00093EEB" w:rsidRPr="003A7E48" w14:paraId="591C40FE" w14:textId="77777777">
        <w:trPr>
          <w:cantSplit/>
          <w:trHeight w:val="20"/>
        </w:trPr>
        <w:tc>
          <w:tcPr>
            <w:tcW w:w="6912" w:type="dxa"/>
            <w:shd w:val="clear" w:color="auto" w:fill="auto"/>
          </w:tcPr>
          <w:p w14:paraId="59FA6654" w14:textId="77777777" w:rsidR="00093EEB" w:rsidRPr="003A7E48" w:rsidRDefault="00093EEB">
            <w:pPr>
              <w:shd w:val="solid" w:color="FFFFFF" w:fill="FFFFFF"/>
              <w:spacing w:before="0"/>
              <w:rPr>
                <w:smallCaps/>
                <w:szCs w:val="24"/>
              </w:rPr>
            </w:pPr>
            <w:bookmarkStart w:id="5" w:name="dorlang" w:colFirst="1" w:colLast="1"/>
            <w:bookmarkEnd w:id="4"/>
          </w:p>
        </w:tc>
        <w:tc>
          <w:tcPr>
            <w:tcW w:w="3261" w:type="dxa"/>
          </w:tcPr>
          <w:p w14:paraId="76348D43" w14:textId="62E1157B" w:rsidR="00093EEB" w:rsidRPr="003A7E48" w:rsidRDefault="00093EEB" w:rsidP="00093EEB">
            <w:pPr>
              <w:spacing w:before="0"/>
              <w:rPr>
                <w:b/>
                <w:bCs/>
                <w:szCs w:val="24"/>
              </w:rPr>
            </w:pPr>
            <w:r w:rsidRPr="003A7E48">
              <w:rPr>
                <w:b/>
                <w:bCs/>
                <w:szCs w:val="24"/>
              </w:rPr>
              <w:t xml:space="preserve">Original: </w:t>
            </w:r>
            <w:r w:rsidR="006018B0" w:rsidRPr="003A7E48">
              <w:rPr>
                <w:b/>
                <w:bCs/>
                <w:szCs w:val="24"/>
              </w:rPr>
              <w:t>inglés</w:t>
            </w:r>
          </w:p>
        </w:tc>
      </w:tr>
      <w:tr w:rsidR="00093EEB" w:rsidRPr="003A7E48" w14:paraId="2141039A" w14:textId="77777777">
        <w:trPr>
          <w:cantSplit/>
        </w:trPr>
        <w:tc>
          <w:tcPr>
            <w:tcW w:w="10173" w:type="dxa"/>
            <w:gridSpan w:val="2"/>
          </w:tcPr>
          <w:p w14:paraId="2BF641A4" w14:textId="55C94760" w:rsidR="00093EEB" w:rsidRPr="003A7E48" w:rsidRDefault="006018B0">
            <w:pPr>
              <w:pStyle w:val="Source"/>
            </w:pPr>
            <w:bookmarkStart w:id="6" w:name="dsource" w:colFirst="0" w:colLast="0"/>
            <w:bookmarkEnd w:id="0"/>
            <w:bookmarkEnd w:id="5"/>
            <w:r w:rsidRPr="003A7E48">
              <w:t>Egipto (República Árabe de)</w:t>
            </w:r>
            <w:r w:rsidR="000C449B" w:rsidRPr="003A7E48">
              <w:t>, Arabia Saudita (Reino de)</w:t>
            </w:r>
          </w:p>
        </w:tc>
      </w:tr>
      <w:tr w:rsidR="00093EEB" w:rsidRPr="003A7E48" w14:paraId="206415D6" w14:textId="77777777">
        <w:trPr>
          <w:cantSplit/>
        </w:trPr>
        <w:tc>
          <w:tcPr>
            <w:tcW w:w="10173" w:type="dxa"/>
            <w:gridSpan w:val="2"/>
          </w:tcPr>
          <w:p w14:paraId="5633E850" w14:textId="6864DEAF" w:rsidR="00093EEB" w:rsidRPr="003A7E48" w:rsidRDefault="006018B0">
            <w:pPr>
              <w:pStyle w:val="Title1"/>
            </w:pPr>
            <w:bookmarkStart w:id="7" w:name="dtitle1" w:colFirst="0" w:colLast="0"/>
            <w:bookmarkEnd w:id="6"/>
            <w:r w:rsidRPr="003A7E48">
              <w:rPr>
                <w:bCs/>
              </w:rPr>
              <w:t xml:space="preserve">examen del </w:t>
            </w:r>
            <w:proofErr w:type="spellStart"/>
            <w:r w:rsidRPr="003A7E48">
              <w:rPr>
                <w:bCs/>
              </w:rPr>
              <w:t>RTI</w:t>
            </w:r>
            <w:proofErr w:type="spellEnd"/>
            <w:r w:rsidRPr="003A7E48">
              <w:rPr>
                <w:bCs/>
              </w:rPr>
              <w:t xml:space="preserve"> disposición por disposición</w:t>
            </w:r>
          </w:p>
        </w:tc>
      </w:tr>
    </w:tbl>
    <w:bookmarkEnd w:id="7"/>
    <w:p w14:paraId="6BE67DED" w14:textId="418DEC3B" w:rsidR="006C65F5" w:rsidRPr="003A7E48" w:rsidRDefault="006C65F5" w:rsidP="006018B0">
      <w:r w:rsidRPr="003A7E48">
        <w:t>Arabia Saudita y Egipto agradecen la oportunidad de participar en el Grupo de Expertos sobre el Reglamento de las Telecomunicaciones Internacionales (GE-</w:t>
      </w:r>
      <w:proofErr w:type="spellStart"/>
      <w:r w:rsidRPr="003A7E48">
        <w:t>RTI</w:t>
      </w:r>
      <w:proofErr w:type="spellEnd"/>
      <w:r w:rsidRPr="003A7E48">
        <w:t xml:space="preserve">). Creemos que el examen del tratado, disposición por disposición, será muy útil y guiará el camino a seguir en el futuro del </w:t>
      </w:r>
      <w:proofErr w:type="spellStart"/>
      <w:r w:rsidRPr="003A7E48">
        <w:t>RTI</w:t>
      </w:r>
      <w:proofErr w:type="spellEnd"/>
      <w:r w:rsidRPr="003A7E48">
        <w:t>.</w:t>
      </w:r>
    </w:p>
    <w:p w14:paraId="1E2AF965" w14:textId="2D0F5869" w:rsidR="006C65F5" w:rsidRPr="003A7E48" w:rsidRDefault="006C65F5" w:rsidP="006018B0">
      <w:r w:rsidRPr="003A7E48">
        <w:t xml:space="preserve">A </w:t>
      </w:r>
      <w:r w:rsidR="003A7E48" w:rsidRPr="003A7E48">
        <w:t>continuación,</w:t>
      </w:r>
      <w:r w:rsidRPr="003A7E48">
        <w:t xml:space="preserve"> figuran las opiniones de Arabia Saudita y Egipto en relación con las disposiciones del preámbulo y de los artículos 1, 2, 3 y 4.</w:t>
      </w:r>
    </w:p>
    <w:p w14:paraId="34A50AC7" w14:textId="77777777" w:rsidR="006018B0" w:rsidRPr="003A7E48" w:rsidRDefault="006018B0" w:rsidP="006018B0"/>
    <w:p w14:paraId="3E091DBF" w14:textId="77777777" w:rsidR="00AE6A66" w:rsidRPr="003A7E48" w:rsidRDefault="00AE6A66" w:rsidP="00D92832">
      <w:pPr>
        <w:sectPr w:rsidR="00AE6A66" w:rsidRPr="003A7E4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Style w:val="TableGrid"/>
        <w:tblW w:w="14454" w:type="dxa"/>
        <w:tblLayout w:type="fixed"/>
        <w:tblLook w:val="04A0" w:firstRow="1" w:lastRow="0" w:firstColumn="1" w:lastColumn="0" w:noHBand="0" w:noVBand="1"/>
      </w:tblPr>
      <w:tblGrid>
        <w:gridCol w:w="1129"/>
        <w:gridCol w:w="3546"/>
        <w:gridCol w:w="3551"/>
        <w:gridCol w:w="2226"/>
        <w:gridCol w:w="2053"/>
        <w:gridCol w:w="1949"/>
      </w:tblGrid>
      <w:tr w:rsidR="00AE6A66" w:rsidRPr="003A7E48" w14:paraId="0A3BC0D2" w14:textId="77777777" w:rsidTr="00040DC6">
        <w:trPr>
          <w:tblHeader/>
        </w:trPr>
        <w:tc>
          <w:tcPr>
            <w:tcW w:w="1129" w:type="dxa"/>
            <w:tcBorders>
              <w:top w:val="single" w:sz="4" w:space="0" w:color="auto"/>
              <w:left w:val="single" w:sz="4" w:space="0" w:color="auto"/>
              <w:bottom w:val="single" w:sz="4" w:space="0" w:color="auto"/>
              <w:right w:val="single" w:sz="4" w:space="0" w:color="auto"/>
            </w:tcBorders>
            <w:vAlign w:val="center"/>
            <w:hideMark/>
          </w:tcPr>
          <w:p w14:paraId="021DDCAA" w14:textId="5D82DA02" w:rsidR="00AE6A66" w:rsidRPr="003A7E48" w:rsidRDefault="00057E10" w:rsidP="00057E10">
            <w:pPr>
              <w:pStyle w:val="Tablehead"/>
            </w:pPr>
            <w:bookmarkStart w:id="8" w:name="_Hlk30149919"/>
            <w:r w:rsidRPr="003A7E48">
              <w:lastRenderedPageBreak/>
              <w:t>Artículo de 2012</w:t>
            </w:r>
          </w:p>
        </w:tc>
        <w:tc>
          <w:tcPr>
            <w:tcW w:w="3546" w:type="dxa"/>
            <w:tcBorders>
              <w:top w:val="single" w:sz="4" w:space="0" w:color="auto"/>
              <w:left w:val="single" w:sz="4" w:space="0" w:color="auto"/>
              <w:bottom w:val="single" w:sz="4" w:space="0" w:color="auto"/>
              <w:right w:val="single" w:sz="4" w:space="0" w:color="auto"/>
            </w:tcBorders>
            <w:vAlign w:val="center"/>
            <w:hideMark/>
          </w:tcPr>
          <w:p w14:paraId="4EA721ED" w14:textId="65610978" w:rsidR="00AE6A66" w:rsidRPr="003A7E48" w:rsidRDefault="00057E10" w:rsidP="00057E10">
            <w:pPr>
              <w:pStyle w:val="Tablehead"/>
            </w:pPr>
            <w:r w:rsidRPr="003A7E48">
              <w:t>Párrafo y disposición</w:t>
            </w:r>
          </w:p>
        </w:tc>
        <w:tc>
          <w:tcPr>
            <w:tcW w:w="3551" w:type="dxa"/>
            <w:tcBorders>
              <w:top w:val="single" w:sz="4" w:space="0" w:color="auto"/>
              <w:left w:val="single" w:sz="4" w:space="0" w:color="auto"/>
              <w:bottom w:val="single" w:sz="4" w:space="0" w:color="auto"/>
              <w:right w:val="single" w:sz="4" w:space="0" w:color="auto"/>
            </w:tcBorders>
            <w:vAlign w:val="center"/>
            <w:hideMark/>
          </w:tcPr>
          <w:p w14:paraId="7CCD5577" w14:textId="64372817" w:rsidR="00AE6A66" w:rsidRPr="003A7E48" w:rsidRDefault="00057E10" w:rsidP="00057E10">
            <w:pPr>
              <w:pStyle w:val="Tablehead"/>
            </w:pPr>
            <w:r w:rsidRPr="003A7E48">
              <w:t xml:space="preserve">Párrafo y disposición </w:t>
            </w:r>
            <w:r w:rsidR="00181FE6" w:rsidRPr="003A7E48">
              <w:br/>
            </w:r>
            <w:r w:rsidRPr="003A7E48">
              <w:t>conexos de 1988</w:t>
            </w:r>
          </w:p>
        </w:tc>
        <w:tc>
          <w:tcPr>
            <w:tcW w:w="2226" w:type="dxa"/>
            <w:tcBorders>
              <w:top w:val="single" w:sz="4" w:space="0" w:color="auto"/>
              <w:left w:val="single" w:sz="4" w:space="0" w:color="auto"/>
              <w:bottom w:val="single" w:sz="4" w:space="0" w:color="auto"/>
              <w:right w:val="single" w:sz="4" w:space="0" w:color="auto"/>
            </w:tcBorders>
            <w:vAlign w:val="center"/>
            <w:hideMark/>
          </w:tcPr>
          <w:p w14:paraId="6C54BB4D" w14:textId="7BC56E80" w:rsidR="00AE6A66" w:rsidRPr="003A7E48" w:rsidRDefault="00057E10" w:rsidP="00057E10">
            <w:pPr>
              <w:pStyle w:val="Tablehead"/>
            </w:pPr>
            <w:r w:rsidRPr="003A7E48">
              <w:t xml:space="preserve">Aplicabilidad </w:t>
            </w:r>
            <w:r w:rsidR="00DB74E7" w:rsidRPr="003A7E48">
              <w:br/>
            </w:r>
            <w:r w:rsidRPr="003A7E48">
              <w:t xml:space="preserve">para fomentar </w:t>
            </w:r>
            <w:r w:rsidR="00DB74E7" w:rsidRPr="003A7E48">
              <w:br/>
            </w:r>
            <w:r w:rsidRPr="003A7E48">
              <w:t xml:space="preserve">la prestación y el desarrollo de redes </w:t>
            </w:r>
            <w:r w:rsidR="00DB74E7" w:rsidRPr="003A7E48">
              <w:br/>
            </w:r>
            <w:r w:rsidRPr="003A7E48">
              <w:t>y servicios</w:t>
            </w:r>
          </w:p>
        </w:tc>
        <w:tc>
          <w:tcPr>
            <w:tcW w:w="2053" w:type="dxa"/>
            <w:tcBorders>
              <w:top w:val="single" w:sz="4" w:space="0" w:color="auto"/>
              <w:left w:val="single" w:sz="4" w:space="0" w:color="auto"/>
              <w:bottom w:val="single" w:sz="4" w:space="0" w:color="auto"/>
              <w:right w:val="single" w:sz="4" w:space="0" w:color="auto"/>
            </w:tcBorders>
            <w:vAlign w:val="center"/>
            <w:hideMark/>
          </w:tcPr>
          <w:p w14:paraId="09A26998" w14:textId="63A441CE" w:rsidR="00AE6A66" w:rsidRPr="003A7E48" w:rsidRDefault="00057E10" w:rsidP="00057E10">
            <w:pPr>
              <w:pStyle w:val="Tablehead"/>
            </w:pPr>
            <w:r w:rsidRPr="003A7E48">
              <w:t>Flexibilidad para adaptarse a las nuevas tendencias y a los problemas emergentes</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6B99FFF" w14:textId="257C8329" w:rsidR="00AE6A66" w:rsidRPr="003A7E48" w:rsidRDefault="006018B0" w:rsidP="00057E10">
            <w:pPr>
              <w:pStyle w:val="Tablehead"/>
            </w:pPr>
            <w:r w:rsidRPr="003A7E48">
              <w:t>Resumen de los resultados</w:t>
            </w:r>
          </w:p>
        </w:tc>
      </w:tr>
      <w:tr w:rsidR="00AE6A66" w:rsidRPr="003A7E48" w14:paraId="763F67D9" w14:textId="77777777" w:rsidTr="00040DC6">
        <w:tc>
          <w:tcPr>
            <w:tcW w:w="1129" w:type="dxa"/>
            <w:tcBorders>
              <w:top w:val="single" w:sz="4" w:space="0" w:color="auto"/>
              <w:left w:val="single" w:sz="4" w:space="0" w:color="auto"/>
              <w:right w:val="single" w:sz="4" w:space="0" w:color="auto"/>
            </w:tcBorders>
            <w:vAlign w:val="center"/>
          </w:tcPr>
          <w:p w14:paraId="31610132" w14:textId="672997AD" w:rsidR="00AE6A66" w:rsidRPr="003A7E48" w:rsidRDefault="00AE6A66" w:rsidP="00181FE6">
            <w:pPr>
              <w:pStyle w:val="Tabletext"/>
              <w:jc w:val="center"/>
              <w:rPr>
                <w:b/>
                <w:bCs/>
              </w:rPr>
            </w:pPr>
          </w:p>
        </w:tc>
        <w:tc>
          <w:tcPr>
            <w:tcW w:w="3546" w:type="dxa"/>
            <w:tcBorders>
              <w:top w:val="single" w:sz="4" w:space="0" w:color="auto"/>
              <w:left w:val="single" w:sz="4" w:space="0" w:color="auto"/>
              <w:bottom w:val="single" w:sz="4" w:space="0" w:color="auto"/>
              <w:right w:val="single" w:sz="4" w:space="0" w:color="auto"/>
            </w:tcBorders>
          </w:tcPr>
          <w:p w14:paraId="6FA59303" w14:textId="77777777" w:rsidR="00AE6A66" w:rsidRPr="003A7E48" w:rsidRDefault="00AE6A66" w:rsidP="00654220">
            <w:pPr>
              <w:pStyle w:val="Tabletext"/>
              <w:tabs>
                <w:tab w:val="left" w:pos="457"/>
              </w:tabs>
            </w:pPr>
            <w:r w:rsidRPr="003A7E48">
              <w:rPr>
                <w:b/>
                <w:bCs/>
              </w:rPr>
              <w:t>1</w:t>
            </w:r>
            <w:r w:rsidRPr="003A7E48">
              <w:rPr>
                <w:rFonts w:asciiTheme="minorHAnsi" w:hAnsiTheme="minorHAnsi" w:cstheme="minorHAnsi"/>
              </w:rPr>
              <w:tab/>
            </w:r>
            <w:r w:rsidR="00F13C7F" w:rsidRPr="003A7E48">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p>
          <w:p w14:paraId="65967384" w14:textId="77777777" w:rsidR="00AC27CA" w:rsidRPr="00D62364" w:rsidRDefault="00AC27CA" w:rsidP="00654220">
            <w:pPr>
              <w:pStyle w:val="Tabletext"/>
              <w:tabs>
                <w:tab w:val="left" w:pos="457"/>
              </w:tabs>
              <w:rPr>
                <w:i/>
                <w:iCs/>
              </w:rPr>
            </w:pPr>
            <w:r w:rsidRPr="003A7E48">
              <w:rPr>
                <w:b/>
                <w:bCs/>
                <w:i/>
                <w:iCs/>
              </w:rPr>
              <w:t>2</w:t>
            </w:r>
            <w:r w:rsidRPr="003A7E48">
              <w:rPr>
                <w:b/>
                <w:bCs/>
                <w:i/>
                <w:iCs/>
              </w:rPr>
              <w:tab/>
            </w:r>
            <w:r w:rsidRPr="00D62364">
              <w:rPr>
                <w:i/>
                <w:iCs/>
              </w:rPr>
              <w:t>Los Estados Miembros reafirman su compromiso de aplicar el presente Reglamento en el respeto y el cumplimiento de sus obligaciones en materia de derechos humanos.</w:t>
            </w:r>
          </w:p>
          <w:p w14:paraId="7177AAE3" w14:textId="57DA7C0C" w:rsidR="00AC27CA" w:rsidRPr="003A7E48" w:rsidRDefault="00AC27CA" w:rsidP="00654220">
            <w:pPr>
              <w:pStyle w:val="Tabletext"/>
              <w:tabs>
                <w:tab w:val="left" w:pos="457"/>
              </w:tabs>
              <w:rPr>
                <w:rFonts w:asciiTheme="minorHAnsi" w:hAnsiTheme="minorHAnsi" w:cstheme="minorHAnsi"/>
              </w:rPr>
            </w:pPr>
            <w:r w:rsidRPr="003A7E48">
              <w:rPr>
                <w:b/>
                <w:bCs/>
                <w:i/>
                <w:iCs/>
              </w:rPr>
              <w:t>3</w:t>
            </w:r>
            <w:r w:rsidRPr="003A7E48">
              <w:rPr>
                <w:b/>
                <w:bCs/>
                <w:i/>
                <w:iCs/>
              </w:rPr>
              <w:tab/>
            </w:r>
            <w:r w:rsidRPr="00D62364">
              <w:rPr>
                <w:i/>
                <w:iCs/>
              </w:rPr>
              <w:t xml:space="preserve">El presente Reglamento reconoce el derecho de acceso de los </w:t>
            </w:r>
            <w:r w:rsidRPr="00D62364">
              <w:rPr>
                <w:i/>
                <w:iCs/>
              </w:rPr>
              <w:lastRenderedPageBreak/>
              <w:t>Estados Miembros a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16E3AA7F" w14:textId="26E7C97C" w:rsidR="00AE6A66" w:rsidRPr="003A7E48" w:rsidRDefault="00AC27CA" w:rsidP="00181FE6">
            <w:pPr>
              <w:pStyle w:val="Tabletext"/>
              <w:tabs>
                <w:tab w:val="left" w:pos="457"/>
              </w:tabs>
              <w:rPr>
                <w:rFonts w:asciiTheme="minorHAnsi" w:hAnsiTheme="minorHAnsi" w:cstheme="minorHAnsi"/>
              </w:rPr>
            </w:pPr>
            <w:r w:rsidRPr="003A7E48">
              <w:lastRenderedPageBreak/>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tc>
        <w:tc>
          <w:tcPr>
            <w:tcW w:w="2226" w:type="dxa"/>
            <w:tcBorders>
              <w:top w:val="single" w:sz="4" w:space="0" w:color="auto"/>
              <w:left w:val="single" w:sz="4" w:space="0" w:color="auto"/>
              <w:bottom w:val="single" w:sz="4" w:space="0" w:color="auto"/>
              <w:right w:val="single" w:sz="4" w:space="0" w:color="auto"/>
            </w:tcBorders>
          </w:tcPr>
          <w:p w14:paraId="14F75298" w14:textId="6D56FDBE" w:rsidR="00AE6A66" w:rsidRPr="003A7E48" w:rsidRDefault="006C65F5" w:rsidP="00D378F1">
            <w:pPr>
              <w:pStyle w:val="Tabletext"/>
              <w:rPr>
                <w:sz w:val="20"/>
              </w:rPr>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6F284AC3" w14:textId="79CD9710" w:rsidR="00AE6A66"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77C907DC" w14:textId="0ED181FE" w:rsidR="00AE6A66" w:rsidRPr="003A7E48" w:rsidRDefault="006C65F5" w:rsidP="00D378F1">
            <w:pPr>
              <w:pStyle w:val="Tabletext"/>
            </w:pPr>
            <w:r w:rsidRPr="003A7E48">
              <w:t>Mantener el texto sin cambios</w:t>
            </w:r>
          </w:p>
        </w:tc>
      </w:tr>
      <w:tr w:rsidR="00AD2708" w:rsidRPr="003A7E48" w14:paraId="7450DF70" w14:textId="77777777" w:rsidTr="00040DC6">
        <w:trPr>
          <w:trHeight w:val="2655"/>
        </w:trPr>
        <w:tc>
          <w:tcPr>
            <w:tcW w:w="1129" w:type="dxa"/>
            <w:tcBorders>
              <w:top w:val="single" w:sz="4" w:space="0" w:color="auto"/>
              <w:left w:val="single" w:sz="4" w:space="0" w:color="auto"/>
              <w:right w:val="single" w:sz="4" w:space="0" w:color="auto"/>
            </w:tcBorders>
          </w:tcPr>
          <w:p w14:paraId="5ED0BB8D" w14:textId="3DAF9088" w:rsidR="00AD2708" w:rsidRPr="003A7E48" w:rsidRDefault="00AD2708" w:rsidP="001F143F">
            <w:pPr>
              <w:pStyle w:val="Tabletext"/>
              <w:jc w:val="center"/>
              <w:rPr>
                <w:b/>
                <w:bCs/>
              </w:rPr>
            </w:pPr>
            <w:r w:rsidRPr="003A7E48">
              <w:rPr>
                <w:b/>
                <w:bCs/>
              </w:rPr>
              <w:t>1</w:t>
            </w:r>
          </w:p>
        </w:tc>
        <w:tc>
          <w:tcPr>
            <w:tcW w:w="3546" w:type="dxa"/>
            <w:tcBorders>
              <w:top w:val="single" w:sz="4" w:space="0" w:color="auto"/>
              <w:left w:val="single" w:sz="4" w:space="0" w:color="auto"/>
              <w:bottom w:val="single" w:sz="4" w:space="0" w:color="auto"/>
              <w:right w:val="single" w:sz="4" w:space="0" w:color="auto"/>
            </w:tcBorders>
          </w:tcPr>
          <w:p w14:paraId="1441D1F1" w14:textId="0E85E016" w:rsidR="00AD2708" w:rsidRPr="003A7E48" w:rsidRDefault="00AD2708" w:rsidP="00DB74E7">
            <w:pPr>
              <w:pStyle w:val="Tabletext"/>
              <w:tabs>
                <w:tab w:val="left" w:pos="457"/>
                <w:tab w:val="left" w:pos="1024"/>
              </w:tabs>
              <w:rPr>
                <w:rFonts w:asciiTheme="minorHAnsi" w:hAnsiTheme="minorHAnsi"/>
                <w:bCs/>
              </w:rPr>
            </w:pPr>
            <w:r w:rsidRPr="003A7E48">
              <w:t>1.1</w:t>
            </w:r>
            <w:r w:rsidR="00293D1B" w:rsidRPr="003A7E48">
              <w:t xml:space="preserve"> </w:t>
            </w:r>
            <w:r w:rsidRPr="003A7E48">
              <w:rPr>
                <w:i/>
                <w:iCs/>
              </w:rPr>
              <w:t>a)</w:t>
            </w:r>
            <w:r w:rsidRPr="003A7E48">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El presente Reglamento no atañe a los aspectos de contenido de las telecomunicaciones.</w:t>
            </w:r>
          </w:p>
        </w:tc>
        <w:tc>
          <w:tcPr>
            <w:tcW w:w="3551" w:type="dxa"/>
            <w:tcBorders>
              <w:top w:val="single" w:sz="4" w:space="0" w:color="auto"/>
              <w:left w:val="single" w:sz="4" w:space="0" w:color="auto"/>
              <w:right w:val="single" w:sz="4" w:space="0" w:color="auto"/>
            </w:tcBorders>
          </w:tcPr>
          <w:p w14:paraId="2F3C8886" w14:textId="4B9CF5ED" w:rsidR="00AD2708" w:rsidRPr="003A7E48" w:rsidRDefault="00AC27CA" w:rsidP="00AD2708">
            <w:pPr>
              <w:pStyle w:val="Tabletext"/>
              <w:tabs>
                <w:tab w:val="left" w:pos="457"/>
                <w:tab w:val="left" w:pos="1024"/>
              </w:tabs>
              <w:rPr>
                <w:rFonts w:asciiTheme="minorHAnsi" w:hAnsiTheme="minorHAnsi"/>
              </w:rPr>
            </w:pPr>
            <w:r w:rsidRPr="003A7E48">
              <w:t xml:space="preserve">1.1 </w:t>
            </w:r>
            <w:r w:rsidRPr="003A7E48">
              <w:rPr>
                <w:i/>
                <w:iCs/>
              </w:rPr>
              <w:t>a)</w:t>
            </w:r>
            <w:r w:rsidRPr="003A7E48">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t>
            </w:r>
            <w:r w:rsidR="00AD2708" w:rsidRPr="003A7E48">
              <w:rPr>
                <w:rStyle w:val="FootnoteReference"/>
              </w:rPr>
              <w:footnoteReference w:customMarkFollows="1" w:id="1"/>
              <w:t>*</w:t>
            </w:r>
            <w:r w:rsidR="00AD2708" w:rsidRPr="003A7E48">
              <w:t>.</w:t>
            </w:r>
          </w:p>
        </w:tc>
        <w:tc>
          <w:tcPr>
            <w:tcW w:w="2226" w:type="dxa"/>
            <w:tcBorders>
              <w:top w:val="single" w:sz="4" w:space="0" w:color="auto"/>
              <w:left w:val="single" w:sz="4" w:space="0" w:color="auto"/>
              <w:right w:val="single" w:sz="4" w:space="0" w:color="auto"/>
            </w:tcBorders>
          </w:tcPr>
          <w:p w14:paraId="404E3733" w14:textId="74D36C98" w:rsidR="00AD2708" w:rsidRPr="003A7E48" w:rsidRDefault="006C65F5" w:rsidP="00DB74E7">
            <w:pPr>
              <w:pStyle w:val="Tabletext"/>
            </w:pPr>
            <w:r w:rsidRPr="003A7E48">
              <w:t>El texto es aplicable</w:t>
            </w:r>
          </w:p>
        </w:tc>
        <w:tc>
          <w:tcPr>
            <w:tcW w:w="2053" w:type="dxa"/>
            <w:tcBorders>
              <w:top w:val="single" w:sz="4" w:space="0" w:color="auto"/>
              <w:left w:val="single" w:sz="4" w:space="0" w:color="auto"/>
              <w:right w:val="single" w:sz="4" w:space="0" w:color="auto"/>
            </w:tcBorders>
          </w:tcPr>
          <w:p w14:paraId="13A8740D" w14:textId="0A7938CD" w:rsidR="00AD2708" w:rsidRPr="003A7E48" w:rsidRDefault="006C65F5" w:rsidP="00D378F1">
            <w:pPr>
              <w:pStyle w:val="Tabletext"/>
            </w:pPr>
            <w:r w:rsidRPr="003A7E48">
              <w:t>El texto es flexible</w:t>
            </w:r>
            <w:r w:rsidR="00AD2708" w:rsidRPr="003A7E48">
              <w:t>, a</w:t>
            </w:r>
            <w:r w:rsidRPr="003A7E48">
              <w:t xml:space="preserve">unque puede que no sea necesario incluir la frase sobre el contenido, dado que es algo que se da por sentado en el contexto de la UIT. </w:t>
            </w:r>
          </w:p>
        </w:tc>
        <w:tc>
          <w:tcPr>
            <w:tcW w:w="1949" w:type="dxa"/>
            <w:tcBorders>
              <w:top w:val="single" w:sz="4" w:space="0" w:color="auto"/>
              <w:left w:val="single" w:sz="4" w:space="0" w:color="auto"/>
              <w:right w:val="single" w:sz="4" w:space="0" w:color="auto"/>
            </w:tcBorders>
          </w:tcPr>
          <w:p w14:paraId="4078C601" w14:textId="16ADB095" w:rsidR="00AD2708" w:rsidRPr="003A7E48" w:rsidRDefault="006C65F5" w:rsidP="001F143F">
            <w:pPr>
              <w:pStyle w:val="Tabletext"/>
              <w:ind w:right="-57"/>
            </w:pPr>
            <w:r w:rsidRPr="003A7E48">
              <w:t xml:space="preserve">Sugerimos que se suprima la parte que especifica que el </w:t>
            </w:r>
            <w:proofErr w:type="spellStart"/>
            <w:r w:rsidRPr="003A7E48">
              <w:t>RTI</w:t>
            </w:r>
            <w:proofErr w:type="spellEnd"/>
            <w:r w:rsidRPr="003A7E48">
              <w:t xml:space="preserve"> no atañe a los aspectos de contenido. </w:t>
            </w:r>
          </w:p>
        </w:tc>
      </w:tr>
      <w:tr w:rsidR="00AD2708" w:rsidRPr="003A7E48" w14:paraId="5A365B1C" w14:textId="77777777" w:rsidTr="00040DC6">
        <w:trPr>
          <w:trHeight w:val="2654"/>
        </w:trPr>
        <w:tc>
          <w:tcPr>
            <w:tcW w:w="1129" w:type="dxa"/>
            <w:tcBorders>
              <w:left w:val="single" w:sz="4" w:space="0" w:color="auto"/>
              <w:right w:val="single" w:sz="4" w:space="0" w:color="auto"/>
            </w:tcBorders>
            <w:textDirection w:val="btLr"/>
          </w:tcPr>
          <w:p w14:paraId="0A8AAA9A" w14:textId="77777777" w:rsidR="00AD2708" w:rsidRPr="003A7E48" w:rsidRDefault="00AD2708" w:rsidP="00181FE6">
            <w:pPr>
              <w:pStyle w:val="Tabletext"/>
              <w:jc w:val="center"/>
              <w:rPr>
                <w:b/>
                <w:bCs/>
              </w:rPr>
            </w:pPr>
          </w:p>
        </w:tc>
        <w:tc>
          <w:tcPr>
            <w:tcW w:w="3546" w:type="dxa"/>
            <w:tcBorders>
              <w:top w:val="single" w:sz="4" w:space="0" w:color="auto"/>
              <w:left w:val="single" w:sz="4" w:space="0" w:color="auto"/>
              <w:bottom w:val="single" w:sz="4" w:space="0" w:color="auto"/>
              <w:right w:val="single" w:sz="4" w:space="0" w:color="auto"/>
            </w:tcBorders>
          </w:tcPr>
          <w:p w14:paraId="04BF8887" w14:textId="3491A889" w:rsidR="00AD2708" w:rsidRPr="003A7E48" w:rsidRDefault="00AD2708" w:rsidP="00DB74E7">
            <w:pPr>
              <w:pStyle w:val="Tabletext"/>
              <w:tabs>
                <w:tab w:val="left" w:pos="457"/>
                <w:tab w:val="left" w:pos="1024"/>
              </w:tabs>
              <w:rPr>
                <w:b/>
                <w:bCs/>
              </w:rPr>
            </w:pPr>
            <w:r w:rsidRPr="003A7E48">
              <w:rPr>
                <w:b/>
                <w:bCs/>
              </w:rPr>
              <w:t>1.1</w:t>
            </w:r>
            <w:r w:rsidR="00293D1B" w:rsidRPr="003A7E48">
              <w:rPr>
                <w:rFonts w:asciiTheme="minorHAnsi" w:hAnsiTheme="minorHAnsi"/>
              </w:rPr>
              <w:t xml:space="preserve"> </w:t>
            </w:r>
            <w:r w:rsidRPr="003A7E48">
              <w:rPr>
                <w:i/>
                <w:iCs/>
              </w:rPr>
              <w:t>b)</w:t>
            </w:r>
            <w:r w:rsidRPr="003A7E48">
              <w:tab/>
              <w:t>El presente Reglamento contiene asimismo disposiciones aplicables a las empresas de explotación, autorizadas o reconocidas por un Estado Miembro para establecer, explotar y prestar servicios internacionales de telecomunicación destinados al público, en adelante denominadas "empresas de explotación autorizadas".</w:t>
            </w:r>
          </w:p>
        </w:tc>
        <w:tc>
          <w:tcPr>
            <w:tcW w:w="3551" w:type="dxa"/>
            <w:tcBorders>
              <w:left w:val="single" w:sz="4" w:space="0" w:color="auto"/>
              <w:bottom w:val="single" w:sz="4" w:space="0" w:color="auto"/>
              <w:right w:val="single" w:sz="4" w:space="0" w:color="auto"/>
            </w:tcBorders>
          </w:tcPr>
          <w:p w14:paraId="42E54775" w14:textId="2E87BD7D" w:rsidR="00AD2708" w:rsidRPr="003A7E48" w:rsidRDefault="00AD2708" w:rsidP="00181FE6">
            <w:pPr>
              <w:pStyle w:val="Tabletext"/>
              <w:tabs>
                <w:tab w:val="left" w:pos="457"/>
                <w:tab w:val="left" w:pos="1024"/>
              </w:tabs>
              <w:rPr>
                <w:b/>
                <w:bCs/>
              </w:rPr>
            </w:pPr>
            <w:r w:rsidRPr="003A7E48">
              <w:t>1.1</w:t>
            </w:r>
            <w:r w:rsidR="00293D1B" w:rsidRPr="003A7E48">
              <w:rPr>
                <w:rFonts w:asciiTheme="minorHAnsi" w:hAnsiTheme="minorHAnsi" w:cstheme="minorHAnsi"/>
              </w:rPr>
              <w:t xml:space="preserve"> </w:t>
            </w:r>
            <w:r w:rsidR="00AC27CA" w:rsidRPr="003A7E48">
              <w:rPr>
                <w:i/>
                <w:iCs/>
              </w:rPr>
              <w:t>b)</w:t>
            </w:r>
            <w:r w:rsidR="00AC27CA" w:rsidRPr="003A7E48">
              <w:rPr>
                <w:i/>
                <w:iCs/>
              </w:rPr>
              <w:tab/>
            </w:r>
            <w:r w:rsidR="00AC27CA" w:rsidRPr="003A7E48">
              <w:t>En el Artículo 9 se reconoce a los Miembros el derecho de permitir la concertación de arreglos particulares.</w:t>
            </w:r>
            <w:r w:rsidRPr="003A7E48">
              <w:t xml:space="preserve"> (</w:t>
            </w:r>
            <w:r w:rsidR="006C65F5" w:rsidRPr="003A7E48">
              <w:t>trasladado al</w:t>
            </w:r>
            <w:r w:rsidRPr="003A7E48">
              <w:t xml:space="preserve"> 1.1 c)</w:t>
            </w:r>
          </w:p>
        </w:tc>
        <w:tc>
          <w:tcPr>
            <w:tcW w:w="2226" w:type="dxa"/>
            <w:tcBorders>
              <w:left w:val="single" w:sz="4" w:space="0" w:color="auto"/>
              <w:bottom w:val="single" w:sz="4" w:space="0" w:color="auto"/>
              <w:right w:val="single" w:sz="4" w:space="0" w:color="auto"/>
            </w:tcBorders>
          </w:tcPr>
          <w:p w14:paraId="70F337FB" w14:textId="1118DC30" w:rsidR="00AD2708" w:rsidRPr="003A7E48" w:rsidRDefault="006C65F5" w:rsidP="006C65F5">
            <w:pPr>
              <w:pStyle w:val="Tabletext"/>
            </w:pPr>
            <w:r w:rsidRPr="003A7E48">
              <w:t>El texto es aplicable</w:t>
            </w:r>
            <w:r w:rsidR="00AD2708" w:rsidRPr="003A7E48">
              <w:t xml:space="preserve">. </w:t>
            </w:r>
            <w:r w:rsidRPr="003A7E48">
              <w:t xml:space="preserve">Se trata de un alineamiento de la versión de 1992 de la Constitución. La agencia de explotación se define en el Artículo 5 de la Constitución de la UIT como </w:t>
            </w:r>
            <w:r w:rsidR="00AD2708" w:rsidRPr="003A7E48">
              <w:t>"</w:t>
            </w:r>
            <w:r w:rsidR="00AD2708" w:rsidRPr="00D62364">
              <w:rPr>
                <w:i/>
                <w:iCs/>
              </w:rPr>
              <w:t xml:space="preserve">Todo particular, sociedad, </w:t>
            </w:r>
            <w:r w:rsidR="00AD2708" w:rsidRPr="00D62364">
              <w:rPr>
                <w:i/>
                <w:iCs/>
              </w:rPr>
              <w:lastRenderedPageBreak/>
              <w:t>empresa o toda institución gubernamental que explote una instalación de telecomunicaciones destinada a ofrecer un servicio de telecomunicación internacional o que pueda causar interferencias perjudiciales a tal servicio</w:t>
            </w:r>
            <w:r w:rsidR="00AD2708" w:rsidRPr="003A7E48">
              <w:t>"</w:t>
            </w:r>
            <w:r w:rsidR="003E71C4" w:rsidRPr="003A7E48">
              <w:t>.</w:t>
            </w:r>
          </w:p>
        </w:tc>
        <w:tc>
          <w:tcPr>
            <w:tcW w:w="2053" w:type="dxa"/>
            <w:tcBorders>
              <w:left w:val="single" w:sz="4" w:space="0" w:color="auto"/>
              <w:bottom w:val="single" w:sz="4" w:space="0" w:color="auto"/>
              <w:right w:val="single" w:sz="4" w:space="0" w:color="auto"/>
            </w:tcBorders>
          </w:tcPr>
          <w:p w14:paraId="3DB78847" w14:textId="477CB9CD" w:rsidR="00AD2708" w:rsidRPr="003A7E48" w:rsidRDefault="006C65F5" w:rsidP="00D378F1">
            <w:pPr>
              <w:pStyle w:val="Tabletext"/>
            </w:pPr>
            <w:r w:rsidRPr="003A7E48">
              <w:lastRenderedPageBreak/>
              <w:t>El texto es flexible</w:t>
            </w:r>
          </w:p>
        </w:tc>
        <w:tc>
          <w:tcPr>
            <w:tcW w:w="1949" w:type="dxa"/>
            <w:tcBorders>
              <w:left w:val="single" w:sz="4" w:space="0" w:color="auto"/>
              <w:bottom w:val="single" w:sz="4" w:space="0" w:color="auto"/>
              <w:right w:val="single" w:sz="4" w:space="0" w:color="auto"/>
            </w:tcBorders>
          </w:tcPr>
          <w:p w14:paraId="44F3DB71" w14:textId="13F9EF68" w:rsidR="00AD2708" w:rsidRPr="003A7E48" w:rsidRDefault="006C65F5" w:rsidP="001F143F">
            <w:pPr>
              <w:pStyle w:val="Tabletext"/>
              <w:ind w:right="-57"/>
            </w:pPr>
            <w:r w:rsidRPr="003A7E48">
              <w:t>Mantener el texto sin cambios</w:t>
            </w:r>
          </w:p>
        </w:tc>
      </w:tr>
      <w:tr w:rsidR="00AD2708" w:rsidRPr="003A7E48" w14:paraId="516BF4BA" w14:textId="77777777" w:rsidTr="00040DC6">
        <w:tc>
          <w:tcPr>
            <w:tcW w:w="1129" w:type="dxa"/>
            <w:tcBorders>
              <w:left w:val="single" w:sz="4" w:space="0" w:color="auto"/>
              <w:right w:val="single" w:sz="4" w:space="0" w:color="auto"/>
            </w:tcBorders>
          </w:tcPr>
          <w:p w14:paraId="5D98CC0A"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49D87B51" w14:textId="0CD374FC" w:rsidR="00AD2708" w:rsidRPr="003A7E48" w:rsidRDefault="003E71C4" w:rsidP="00181FE6">
            <w:pPr>
              <w:pStyle w:val="Tabletext"/>
              <w:tabs>
                <w:tab w:val="left" w:pos="457"/>
                <w:tab w:val="left" w:pos="1024"/>
              </w:tabs>
              <w:rPr>
                <w:rFonts w:asciiTheme="minorHAnsi" w:hAnsiTheme="minorHAnsi" w:cstheme="minorHAnsi"/>
                <w:bCs/>
              </w:rPr>
            </w:pPr>
            <w:r w:rsidRPr="003A7E48">
              <w:rPr>
                <w:b/>
                <w:bCs/>
              </w:rPr>
              <w:t>1.1</w:t>
            </w:r>
            <w:r w:rsidR="00293D1B" w:rsidRPr="003A7E48">
              <w:rPr>
                <w:rFonts w:asciiTheme="minorHAnsi" w:hAnsiTheme="minorHAnsi" w:cstheme="minorHAnsi"/>
              </w:rPr>
              <w:t xml:space="preserve"> </w:t>
            </w:r>
            <w:r w:rsidR="00AD2708" w:rsidRPr="003A7E48">
              <w:rPr>
                <w:i/>
                <w:iCs/>
              </w:rPr>
              <w:t>c)</w:t>
            </w:r>
            <w:r w:rsidR="00AD2708" w:rsidRPr="003A7E48">
              <w:tab/>
              <w:t>En el Artículo 13 se reconoce a los Estados Miembros el derecho de permitir la concertación de acuerdos particulares.</w:t>
            </w:r>
          </w:p>
        </w:tc>
        <w:tc>
          <w:tcPr>
            <w:tcW w:w="3551" w:type="dxa"/>
            <w:tcBorders>
              <w:top w:val="single" w:sz="4" w:space="0" w:color="auto"/>
              <w:left w:val="single" w:sz="4" w:space="0" w:color="auto"/>
              <w:bottom w:val="single" w:sz="4" w:space="0" w:color="auto"/>
              <w:right w:val="single" w:sz="4" w:space="0" w:color="auto"/>
            </w:tcBorders>
          </w:tcPr>
          <w:p w14:paraId="10FFAA8B" w14:textId="3847576B" w:rsidR="00AD2708" w:rsidRPr="003A7E48" w:rsidRDefault="00AC27CA" w:rsidP="00181FE6">
            <w:pPr>
              <w:pStyle w:val="Tabletext"/>
              <w:tabs>
                <w:tab w:val="left" w:pos="457"/>
                <w:tab w:val="left" w:pos="1024"/>
              </w:tabs>
              <w:rPr>
                <w:rFonts w:asciiTheme="minorHAnsi" w:hAnsiTheme="minorHAnsi" w:cstheme="minorHAnsi"/>
                <w:bCs/>
              </w:rPr>
            </w:pPr>
            <w:r w:rsidRPr="003A7E48">
              <w:rPr>
                <w:rFonts w:asciiTheme="minorHAnsi" w:hAnsiTheme="minorHAnsi" w:cstheme="minorHAnsi"/>
                <w:bCs/>
              </w:rPr>
              <w:t>–</w:t>
            </w:r>
          </w:p>
        </w:tc>
        <w:tc>
          <w:tcPr>
            <w:tcW w:w="2226" w:type="dxa"/>
            <w:tcBorders>
              <w:top w:val="single" w:sz="4" w:space="0" w:color="auto"/>
              <w:left w:val="single" w:sz="4" w:space="0" w:color="auto"/>
              <w:bottom w:val="single" w:sz="4" w:space="0" w:color="auto"/>
              <w:right w:val="single" w:sz="4" w:space="0" w:color="auto"/>
            </w:tcBorders>
          </w:tcPr>
          <w:p w14:paraId="3B3E615A" w14:textId="7BBE210F" w:rsidR="00AD2708" w:rsidRPr="003A7E48" w:rsidRDefault="006C65F5" w:rsidP="00D378F1">
            <w:pPr>
              <w:pStyle w:val="Tabletext"/>
            </w:pPr>
            <w:r w:rsidRPr="003A7E48">
              <w:t>El texto es aplicable</w:t>
            </w:r>
            <w:r w:rsidR="00AD2708" w:rsidRPr="003A7E48">
              <w:t>,</w:t>
            </w:r>
            <w:r w:rsidRPr="003A7E48">
              <w:t xml:space="preserve"> es igual al de 1988 pero se cambia de artículo</w:t>
            </w:r>
          </w:p>
        </w:tc>
        <w:tc>
          <w:tcPr>
            <w:tcW w:w="2053" w:type="dxa"/>
            <w:tcBorders>
              <w:top w:val="single" w:sz="4" w:space="0" w:color="auto"/>
              <w:left w:val="single" w:sz="4" w:space="0" w:color="auto"/>
              <w:bottom w:val="single" w:sz="4" w:space="0" w:color="auto"/>
              <w:right w:val="single" w:sz="4" w:space="0" w:color="auto"/>
            </w:tcBorders>
          </w:tcPr>
          <w:p w14:paraId="63297EC7" w14:textId="3100B85F" w:rsidR="00AD2708"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49F18444" w14:textId="2EC5CBEC" w:rsidR="00AD2708" w:rsidRPr="003A7E48" w:rsidRDefault="006C65F5" w:rsidP="00D378F1">
            <w:pPr>
              <w:pStyle w:val="Tabletext"/>
            </w:pPr>
            <w:r w:rsidRPr="003A7E48">
              <w:t>Mantener el texto sin cambios</w:t>
            </w:r>
          </w:p>
        </w:tc>
      </w:tr>
      <w:tr w:rsidR="00AD2708" w:rsidRPr="003A7E48" w14:paraId="7AD376E1" w14:textId="77777777" w:rsidTr="00040DC6">
        <w:trPr>
          <w:cantSplit/>
        </w:trPr>
        <w:tc>
          <w:tcPr>
            <w:tcW w:w="1129" w:type="dxa"/>
            <w:tcBorders>
              <w:left w:val="single" w:sz="4" w:space="0" w:color="auto"/>
              <w:right w:val="single" w:sz="4" w:space="0" w:color="auto"/>
            </w:tcBorders>
          </w:tcPr>
          <w:p w14:paraId="35985D1C"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138D756" w14:textId="63D4EF05" w:rsidR="00AD2708" w:rsidRPr="003A7E48" w:rsidRDefault="00AD2708" w:rsidP="00181FE6">
            <w:pPr>
              <w:pStyle w:val="Tabletext"/>
              <w:tabs>
                <w:tab w:val="left" w:pos="457"/>
                <w:tab w:val="left" w:pos="1024"/>
              </w:tabs>
              <w:rPr>
                <w:rFonts w:asciiTheme="minorHAnsi" w:hAnsiTheme="minorHAnsi" w:cstheme="minorHAnsi"/>
                <w:bCs/>
              </w:rPr>
            </w:pPr>
            <w:r w:rsidRPr="003A7E48">
              <w:rPr>
                <w:b/>
                <w:bCs/>
              </w:rPr>
              <w:t>1.2</w:t>
            </w:r>
            <w:r w:rsidRPr="003A7E48">
              <w:tab/>
              <w:t>En este Reglamento, la expresión "el público" se utiliza en el sentido de la población en general, e incluye las entidades gubernamentales y las personas jurídicas.</w:t>
            </w:r>
          </w:p>
        </w:tc>
        <w:tc>
          <w:tcPr>
            <w:tcW w:w="3551" w:type="dxa"/>
            <w:tcBorders>
              <w:top w:val="single" w:sz="4" w:space="0" w:color="auto"/>
              <w:left w:val="single" w:sz="4" w:space="0" w:color="auto"/>
              <w:bottom w:val="single" w:sz="4" w:space="0" w:color="auto"/>
              <w:right w:val="single" w:sz="4" w:space="0" w:color="auto"/>
            </w:tcBorders>
          </w:tcPr>
          <w:p w14:paraId="6CA9C1C0" w14:textId="7AE2775E" w:rsidR="00AD2708" w:rsidRPr="003A7E48" w:rsidRDefault="00AD2708" w:rsidP="00181FE6">
            <w:pPr>
              <w:pStyle w:val="Tabletext"/>
              <w:tabs>
                <w:tab w:val="left" w:pos="457"/>
                <w:tab w:val="left" w:pos="1024"/>
              </w:tabs>
              <w:rPr>
                <w:rFonts w:asciiTheme="minorHAnsi" w:hAnsiTheme="minorHAnsi" w:cstheme="minorHAnsi"/>
                <w:bCs/>
              </w:rPr>
            </w:pPr>
            <w:r w:rsidRPr="003A7E48">
              <w:rPr>
                <w:rFonts w:asciiTheme="minorHAnsi" w:hAnsiTheme="minorHAnsi" w:cstheme="minorHAnsi"/>
              </w:rPr>
              <w:t>1.2</w:t>
            </w:r>
            <w:r w:rsidRPr="003A7E48">
              <w:rPr>
                <w:rFonts w:asciiTheme="minorHAnsi" w:hAnsiTheme="minorHAnsi" w:cstheme="minorHAnsi"/>
              </w:rPr>
              <w:tab/>
            </w:r>
            <w:r w:rsidRPr="003A7E48">
              <w:t>En este Reglamento, la expresión "el público" se utiliza en el sentido de la población en general, e incluye las entidades gubernamentales y las personas jurídicas.</w:t>
            </w:r>
          </w:p>
        </w:tc>
        <w:tc>
          <w:tcPr>
            <w:tcW w:w="2226" w:type="dxa"/>
            <w:tcBorders>
              <w:top w:val="single" w:sz="4" w:space="0" w:color="auto"/>
              <w:left w:val="single" w:sz="4" w:space="0" w:color="auto"/>
              <w:bottom w:val="single" w:sz="4" w:space="0" w:color="auto"/>
              <w:right w:val="single" w:sz="4" w:space="0" w:color="auto"/>
            </w:tcBorders>
          </w:tcPr>
          <w:p w14:paraId="477AD5D7" w14:textId="3C942727" w:rsidR="00AD2708" w:rsidRPr="003A7E48" w:rsidRDefault="006C65F5" w:rsidP="00D378F1">
            <w:pPr>
              <w:pStyle w:val="Tabletext"/>
            </w:pPr>
            <w:r w:rsidRPr="003A7E48">
              <w:t>El texto es aplicable</w:t>
            </w:r>
            <w:r w:rsidR="00AD2708" w:rsidRPr="003A7E48">
              <w:t xml:space="preserve"> </w:t>
            </w:r>
            <w:r w:rsidRPr="003A7E48">
              <w:t xml:space="preserve">y no difiere del 1988 </w:t>
            </w:r>
          </w:p>
        </w:tc>
        <w:tc>
          <w:tcPr>
            <w:tcW w:w="2053" w:type="dxa"/>
            <w:tcBorders>
              <w:top w:val="single" w:sz="4" w:space="0" w:color="auto"/>
              <w:left w:val="single" w:sz="4" w:space="0" w:color="auto"/>
              <w:bottom w:val="single" w:sz="4" w:space="0" w:color="auto"/>
              <w:right w:val="single" w:sz="4" w:space="0" w:color="auto"/>
            </w:tcBorders>
          </w:tcPr>
          <w:p w14:paraId="4E6A72F2" w14:textId="09001FEE" w:rsidR="00AD2708" w:rsidRPr="003A7E48" w:rsidRDefault="006C65F5" w:rsidP="00D378F1">
            <w:pPr>
              <w:pStyle w:val="Tabletext"/>
            </w:pPr>
            <w:r w:rsidRPr="003A7E48">
              <w:t>El texto es flexible</w:t>
            </w:r>
            <w:r w:rsidR="00AD2708" w:rsidRPr="003A7E48">
              <w:t xml:space="preserve"> </w:t>
            </w:r>
            <w:r w:rsidRPr="003A7E48">
              <w:t xml:space="preserve">y amplio y ha demostrado estabilidad desde </w:t>
            </w:r>
            <w:r w:rsidR="00AD2708" w:rsidRPr="003A7E48">
              <w:t>1988</w:t>
            </w:r>
          </w:p>
        </w:tc>
        <w:tc>
          <w:tcPr>
            <w:tcW w:w="1949" w:type="dxa"/>
            <w:tcBorders>
              <w:top w:val="single" w:sz="4" w:space="0" w:color="auto"/>
              <w:left w:val="single" w:sz="4" w:space="0" w:color="auto"/>
              <w:bottom w:val="single" w:sz="4" w:space="0" w:color="auto"/>
              <w:right w:val="single" w:sz="4" w:space="0" w:color="auto"/>
            </w:tcBorders>
          </w:tcPr>
          <w:p w14:paraId="64C87F95" w14:textId="364554B6" w:rsidR="00AD2708" w:rsidRPr="003A7E48" w:rsidRDefault="006C65F5" w:rsidP="00D378F1">
            <w:pPr>
              <w:pStyle w:val="Tabletext"/>
            </w:pPr>
            <w:r w:rsidRPr="003A7E48">
              <w:t>Mantener el texto</w:t>
            </w:r>
          </w:p>
        </w:tc>
      </w:tr>
      <w:tr w:rsidR="00AD2708" w:rsidRPr="003A7E48" w14:paraId="5375331F" w14:textId="77777777" w:rsidTr="00040DC6">
        <w:trPr>
          <w:cantSplit/>
        </w:trPr>
        <w:tc>
          <w:tcPr>
            <w:tcW w:w="1129" w:type="dxa"/>
            <w:tcBorders>
              <w:left w:val="single" w:sz="4" w:space="0" w:color="auto"/>
              <w:right w:val="single" w:sz="4" w:space="0" w:color="auto"/>
            </w:tcBorders>
          </w:tcPr>
          <w:p w14:paraId="1D848A54"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0BB8446" w14:textId="5D0A4835" w:rsidR="00AD2708" w:rsidRPr="003A7E48" w:rsidRDefault="00AD2708" w:rsidP="001F143F">
            <w:pPr>
              <w:pStyle w:val="Tabletext"/>
              <w:tabs>
                <w:tab w:val="left" w:pos="457"/>
                <w:tab w:val="left" w:pos="1024"/>
              </w:tabs>
              <w:ind w:right="-57"/>
              <w:rPr>
                <w:rFonts w:asciiTheme="minorHAnsi" w:hAnsiTheme="minorHAnsi" w:cstheme="minorHAnsi"/>
                <w:bCs/>
              </w:rPr>
            </w:pPr>
            <w:r w:rsidRPr="003A7E48">
              <w:rPr>
                <w:b/>
                <w:bCs/>
              </w:rPr>
              <w:t>1.3</w:t>
            </w:r>
            <w:r w:rsidRPr="003A7E48">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34CE170B" w14:textId="6E810B38" w:rsidR="00AD2708" w:rsidRPr="003A7E48" w:rsidRDefault="00AD2708" w:rsidP="001F143F">
            <w:pPr>
              <w:pStyle w:val="Tabletext"/>
              <w:tabs>
                <w:tab w:val="left" w:pos="457"/>
                <w:tab w:val="left" w:pos="1024"/>
              </w:tabs>
              <w:ind w:right="-57"/>
              <w:rPr>
                <w:rFonts w:asciiTheme="minorHAnsi" w:hAnsiTheme="minorHAnsi" w:cstheme="minorHAnsi"/>
                <w:bCs/>
              </w:rPr>
            </w:pPr>
            <w:r w:rsidRPr="003A7E48">
              <w:rPr>
                <w:rFonts w:asciiTheme="minorHAnsi" w:hAnsiTheme="minorHAnsi" w:cstheme="minorHAnsi"/>
              </w:rPr>
              <w:t>1.3</w:t>
            </w:r>
            <w:r w:rsidRPr="003A7E48">
              <w:rPr>
                <w:rFonts w:asciiTheme="minorHAnsi" w:hAnsiTheme="minorHAnsi" w:cstheme="minorHAnsi"/>
              </w:rPr>
              <w:tab/>
            </w:r>
            <w:r w:rsidRPr="003A7E48">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6156E1E1" w14:textId="28976F8A" w:rsidR="00AD2708" w:rsidRPr="003A7E48" w:rsidRDefault="006C65F5" w:rsidP="00D378F1">
            <w:pPr>
              <w:pStyle w:val="Tabletext"/>
            </w:pPr>
            <w:r w:rsidRPr="003A7E48">
              <w:t>El texto es aplicable</w:t>
            </w:r>
            <w:r w:rsidR="00AD2708" w:rsidRPr="003A7E48">
              <w:t xml:space="preserve"> </w:t>
            </w:r>
            <w:r w:rsidRPr="003A7E48">
              <w:t>y no difiere del 1988</w:t>
            </w:r>
          </w:p>
        </w:tc>
        <w:tc>
          <w:tcPr>
            <w:tcW w:w="2053" w:type="dxa"/>
            <w:tcBorders>
              <w:top w:val="single" w:sz="4" w:space="0" w:color="auto"/>
              <w:left w:val="single" w:sz="4" w:space="0" w:color="auto"/>
              <w:bottom w:val="single" w:sz="4" w:space="0" w:color="auto"/>
              <w:right w:val="single" w:sz="4" w:space="0" w:color="auto"/>
            </w:tcBorders>
          </w:tcPr>
          <w:p w14:paraId="5D2454C2" w14:textId="696847AC" w:rsidR="00AD2708" w:rsidRPr="003A7E48" w:rsidRDefault="006C65F5" w:rsidP="00D378F1">
            <w:pPr>
              <w:pStyle w:val="Tabletext"/>
            </w:pPr>
            <w:r w:rsidRPr="003A7E48">
              <w:t>El texto es flexible</w:t>
            </w:r>
            <w:r w:rsidR="00AD2708" w:rsidRPr="003A7E48">
              <w:t xml:space="preserve"> </w:t>
            </w:r>
            <w:r w:rsidRPr="003A7E48">
              <w:t>y amplio</w:t>
            </w:r>
          </w:p>
        </w:tc>
        <w:tc>
          <w:tcPr>
            <w:tcW w:w="1949" w:type="dxa"/>
            <w:tcBorders>
              <w:top w:val="single" w:sz="4" w:space="0" w:color="auto"/>
              <w:left w:val="single" w:sz="4" w:space="0" w:color="auto"/>
              <w:bottom w:val="single" w:sz="4" w:space="0" w:color="auto"/>
              <w:right w:val="single" w:sz="4" w:space="0" w:color="auto"/>
            </w:tcBorders>
          </w:tcPr>
          <w:p w14:paraId="55D47ABB" w14:textId="155C4CCE" w:rsidR="00AD2708" w:rsidRPr="003A7E48" w:rsidRDefault="006C65F5" w:rsidP="00D378F1">
            <w:pPr>
              <w:pStyle w:val="Tabletext"/>
            </w:pPr>
            <w:r w:rsidRPr="003A7E48">
              <w:t>Mantener el texto</w:t>
            </w:r>
          </w:p>
        </w:tc>
      </w:tr>
      <w:tr w:rsidR="00AD2708" w:rsidRPr="003A7E48" w14:paraId="3D038544" w14:textId="77777777" w:rsidTr="00040DC6">
        <w:tc>
          <w:tcPr>
            <w:tcW w:w="1129" w:type="dxa"/>
            <w:tcBorders>
              <w:left w:val="single" w:sz="4" w:space="0" w:color="auto"/>
              <w:right w:val="single" w:sz="4" w:space="0" w:color="auto"/>
            </w:tcBorders>
          </w:tcPr>
          <w:p w14:paraId="52370846"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2445415E" w14:textId="58055383" w:rsidR="00AD2708" w:rsidRPr="003A7E48" w:rsidRDefault="00AD2708" w:rsidP="001F143F">
            <w:pPr>
              <w:pStyle w:val="Tabletext"/>
              <w:tabs>
                <w:tab w:val="left" w:pos="457"/>
                <w:tab w:val="left" w:pos="1024"/>
              </w:tabs>
              <w:ind w:right="-57"/>
              <w:rPr>
                <w:rFonts w:asciiTheme="minorHAnsi" w:hAnsiTheme="minorHAnsi" w:cstheme="minorHAnsi"/>
                <w:bCs/>
              </w:rPr>
            </w:pPr>
            <w:r w:rsidRPr="003A7E48">
              <w:rPr>
                <w:b/>
                <w:bCs/>
              </w:rPr>
              <w:t>1.4</w:t>
            </w:r>
            <w:r w:rsidRPr="003A7E48">
              <w:tab/>
              <w:t>Ninguna referencia a las Recomendaciones del Sector de Normalización de las Telecomunicaciones de la UIT (UIT-T) contenida en el presente Reglamento se interpretará en el sentido de que confiere a tales Recomendaciones la misma condición jurídica que tiene el Reglamento.</w:t>
            </w:r>
          </w:p>
        </w:tc>
        <w:tc>
          <w:tcPr>
            <w:tcW w:w="3551" w:type="dxa"/>
            <w:tcBorders>
              <w:top w:val="single" w:sz="4" w:space="0" w:color="auto"/>
              <w:left w:val="single" w:sz="4" w:space="0" w:color="auto"/>
              <w:bottom w:val="single" w:sz="4" w:space="0" w:color="auto"/>
              <w:right w:val="single" w:sz="4" w:space="0" w:color="auto"/>
            </w:tcBorders>
          </w:tcPr>
          <w:p w14:paraId="0FE9881F" w14:textId="42FD580C" w:rsidR="00AD2708" w:rsidRPr="003A7E48" w:rsidRDefault="00AC27CA" w:rsidP="00181FE6">
            <w:pPr>
              <w:pStyle w:val="Tabletext"/>
              <w:tabs>
                <w:tab w:val="left" w:pos="457"/>
                <w:tab w:val="left" w:pos="1024"/>
              </w:tabs>
              <w:rPr>
                <w:rFonts w:asciiTheme="minorHAnsi" w:hAnsiTheme="minorHAnsi" w:cstheme="minorHAnsi"/>
                <w:bCs/>
              </w:rPr>
            </w:pPr>
            <w:r w:rsidRPr="003A7E48">
              <w:rPr>
                <w:rFonts w:asciiTheme="minorHAnsi" w:hAnsiTheme="minorHAnsi"/>
              </w:rPr>
              <w:t>1.4</w:t>
            </w:r>
            <w:r w:rsidRPr="003A7E48">
              <w:rPr>
                <w:rFonts w:asciiTheme="minorHAnsi" w:hAnsiTheme="minorHAnsi"/>
              </w:rPr>
              <w:tab/>
              <w:t xml:space="preserve">Ninguna referencia a las </w:t>
            </w:r>
            <w:r w:rsidRPr="003A7E48">
              <w:rPr>
                <w:rFonts w:asciiTheme="minorHAnsi" w:hAnsiTheme="minorHAnsi"/>
                <w:i/>
                <w:iCs/>
              </w:rPr>
              <w:t xml:space="preserve">Recomendaciones del </w:t>
            </w:r>
            <w:proofErr w:type="spellStart"/>
            <w:r w:rsidRPr="003A7E48">
              <w:rPr>
                <w:rFonts w:asciiTheme="minorHAnsi" w:hAnsiTheme="minorHAnsi"/>
                <w:i/>
                <w:iCs/>
              </w:rPr>
              <w:t>CCITT</w:t>
            </w:r>
            <w:proofErr w:type="spellEnd"/>
            <w:r w:rsidRPr="003A7E48">
              <w:rPr>
                <w:rFonts w:asciiTheme="minorHAnsi" w:hAnsiTheme="minorHAnsi"/>
                <w:i/>
                <w:iCs/>
              </w:rPr>
              <w:t xml:space="preserve"> y a las Instrucciones</w:t>
            </w:r>
            <w:r w:rsidRPr="003A7E48">
              <w:rPr>
                <w:rFonts w:asciiTheme="minorHAnsi" w:hAnsiTheme="minorHAnsi"/>
              </w:rPr>
              <w:t xml:space="preserve"> contenida en el presente Reglamento se interpretará en el sentido de que confiere a tales Recomendaciones o Instrucciones la misma condición jurídica que tiene el Reglamento.</w:t>
            </w:r>
          </w:p>
        </w:tc>
        <w:tc>
          <w:tcPr>
            <w:tcW w:w="2226" w:type="dxa"/>
            <w:tcBorders>
              <w:top w:val="single" w:sz="4" w:space="0" w:color="auto"/>
              <w:left w:val="single" w:sz="4" w:space="0" w:color="auto"/>
              <w:bottom w:val="single" w:sz="4" w:space="0" w:color="auto"/>
              <w:right w:val="single" w:sz="4" w:space="0" w:color="auto"/>
            </w:tcBorders>
          </w:tcPr>
          <w:p w14:paraId="0D17BFFE" w14:textId="58AA2A50" w:rsidR="00AD2708" w:rsidRPr="003A7E48" w:rsidRDefault="006C65F5" w:rsidP="00D378F1">
            <w:pPr>
              <w:pStyle w:val="Tabletext"/>
            </w:pPr>
            <w:r w:rsidRPr="003A7E48">
              <w:t>El texto es aplicable</w:t>
            </w:r>
            <w:r w:rsidR="003E71C4" w:rsidRPr="003A7E48">
              <w:t xml:space="preserve"> </w:t>
            </w:r>
            <w:r w:rsidRPr="003A7E48">
              <w:t xml:space="preserve">tras suprimir la referencia a las </w:t>
            </w:r>
            <w:r w:rsidR="003A7E48">
              <w:t>"</w:t>
            </w:r>
            <w:r w:rsidRPr="003A7E48">
              <w:t>instrucciones</w:t>
            </w:r>
            <w:r w:rsidR="003A7E48">
              <w:t>"</w:t>
            </w:r>
            <w:r w:rsidRPr="003A7E48">
              <w:t xml:space="preserve">. El texto deja claro que </w:t>
            </w:r>
            <w:r w:rsidR="0070177B" w:rsidRPr="003A7E48">
              <w:t>las Recomendaciones UIT-T siguen sin ser vinculantes.</w:t>
            </w:r>
          </w:p>
        </w:tc>
        <w:tc>
          <w:tcPr>
            <w:tcW w:w="2053" w:type="dxa"/>
            <w:tcBorders>
              <w:top w:val="single" w:sz="4" w:space="0" w:color="auto"/>
              <w:left w:val="single" w:sz="4" w:space="0" w:color="auto"/>
              <w:bottom w:val="single" w:sz="4" w:space="0" w:color="auto"/>
              <w:right w:val="single" w:sz="4" w:space="0" w:color="auto"/>
            </w:tcBorders>
          </w:tcPr>
          <w:p w14:paraId="632D25A0" w14:textId="2CAFF34A" w:rsidR="00AD2708" w:rsidRPr="003A7E48" w:rsidRDefault="0070177B" w:rsidP="00D378F1">
            <w:pPr>
              <w:pStyle w:val="Tabletext"/>
            </w:pPr>
            <w:r w:rsidRPr="003A7E48">
              <w:t>El texto no es lo suficientemente flexible para incluir otras Recomendaciones de la UIT, si otros Sectores de la UIT deciden disponer de alguna</w:t>
            </w:r>
            <w:r w:rsidR="003E71C4" w:rsidRPr="003A7E48">
              <w:t>.</w:t>
            </w:r>
          </w:p>
        </w:tc>
        <w:tc>
          <w:tcPr>
            <w:tcW w:w="1949" w:type="dxa"/>
            <w:tcBorders>
              <w:top w:val="single" w:sz="4" w:space="0" w:color="auto"/>
              <w:left w:val="single" w:sz="4" w:space="0" w:color="auto"/>
              <w:bottom w:val="single" w:sz="4" w:space="0" w:color="auto"/>
              <w:right w:val="single" w:sz="4" w:space="0" w:color="auto"/>
            </w:tcBorders>
          </w:tcPr>
          <w:p w14:paraId="5609475C" w14:textId="5F0A89C7" w:rsidR="00AD2708" w:rsidRPr="003A7E48" w:rsidRDefault="0070177B" w:rsidP="00D378F1">
            <w:pPr>
              <w:pStyle w:val="Tabletext"/>
            </w:pPr>
            <w:r w:rsidRPr="003A7E48">
              <w:t>Podrían cambiarse las Recomendaciones del UIT-T por Recomendaciones de la UIT.</w:t>
            </w:r>
          </w:p>
        </w:tc>
      </w:tr>
      <w:tr w:rsidR="00AD2708" w:rsidRPr="003A7E48" w14:paraId="6046798B" w14:textId="77777777" w:rsidTr="00040DC6">
        <w:trPr>
          <w:cantSplit/>
        </w:trPr>
        <w:tc>
          <w:tcPr>
            <w:tcW w:w="1129" w:type="dxa"/>
            <w:tcBorders>
              <w:left w:val="single" w:sz="4" w:space="0" w:color="auto"/>
              <w:right w:val="single" w:sz="4" w:space="0" w:color="auto"/>
            </w:tcBorders>
          </w:tcPr>
          <w:p w14:paraId="4B1C4A4F"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75B92EA" w14:textId="5F33E0E8" w:rsidR="00AD2708" w:rsidRPr="003A7E48" w:rsidRDefault="00AD2708" w:rsidP="00181FE6">
            <w:pPr>
              <w:pStyle w:val="Tabletext"/>
              <w:tabs>
                <w:tab w:val="left" w:pos="457"/>
                <w:tab w:val="left" w:pos="1024"/>
              </w:tabs>
              <w:rPr>
                <w:rFonts w:asciiTheme="minorHAnsi" w:hAnsiTheme="minorHAnsi" w:cstheme="minorHAnsi"/>
                <w:bCs/>
              </w:rPr>
            </w:pPr>
            <w:r w:rsidRPr="003A7E48">
              <w:rPr>
                <w:rFonts w:asciiTheme="minorHAnsi" w:hAnsiTheme="minorHAnsi" w:cstheme="minorHAnsi"/>
                <w:b/>
                <w:bCs/>
              </w:rPr>
              <w:t>1.5</w:t>
            </w:r>
            <w:r w:rsidRPr="003A7E48">
              <w:rPr>
                <w:rFonts w:asciiTheme="minorHAnsi" w:hAnsiTheme="minorHAnsi" w:cstheme="minorHAnsi"/>
              </w:rPr>
              <w:tab/>
            </w:r>
            <w:r w:rsidRPr="003A7E48">
              <w:t>En el ámbito del presente Reglamento, la prestación y explotación de los servicios internacionales de telecomunicación en cada relación se efectuarán mediante acuerdos mutuos entre las empresas de explotación autorizadas.</w:t>
            </w:r>
          </w:p>
        </w:tc>
        <w:tc>
          <w:tcPr>
            <w:tcW w:w="3551" w:type="dxa"/>
            <w:tcBorders>
              <w:top w:val="single" w:sz="4" w:space="0" w:color="auto"/>
              <w:left w:val="single" w:sz="4" w:space="0" w:color="auto"/>
              <w:bottom w:val="single" w:sz="4" w:space="0" w:color="auto"/>
              <w:right w:val="single" w:sz="4" w:space="0" w:color="auto"/>
            </w:tcBorders>
          </w:tcPr>
          <w:p w14:paraId="2F1FE929" w14:textId="2A5B855F" w:rsidR="00AD2708" w:rsidRPr="003A7E48" w:rsidRDefault="00AD2708" w:rsidP="00181FE6">
            <w:pPr>
              <w:pStyle w:val="Tabletext"/>
              <w:tabs>
                <w:tab w:val="left" w:pos="457"/>
                <w:tab w:val="left" w:pos="1024"/>
              </w:tabs>
              <w:rPr>
                <w:rFonts w:asciiTheme="minorHAnsi" w:hAnsiTheme="minorHAnsi"/>
                <w:highlight w:val="yellow"/>
              </w:rPr>
            </w:pPr>
            <w:r w:rsidRPr="003A7E48">
              <w:rPr>
                <w:rFonts w:asciiTheme="minorHAnsi" w:hAnsiTheme="minorHAnsi"/>
              </w:rPr>
              <w:t>1.5</w:t>
            </w:r>
            <w:r w:rsidRPr="003A7E48">
              <w:rPr>
                <w:rFonts w:asciiTheme="minorHAnsi" w:hAnsiTheme="minorHAnsi"/>
              </w:rPr>
              <w:tab/>
            </w:r>
            <w:r w:rsidRPr="003A7E48">
              <w:t>En el ámbito del presente Reglamento, la prestación y explotación de los servicios internacionales de telecomunicación en cada relación se efectuarán mediante acuerdos mutuos entre las administraciones.</w:t>
            </w:r>
          </w:p>
          <w:p w14:paraId="25AE7950" w14:textId="141846E9" w:rsidR="00AD2708" w:rsidRPr="003A7E48" w:rsidRDefault="00AD2708" w:rsidP="001F143F">
            <w:pPr>
              <w:pStyle w:val="Tabletext"/>
              <w:tabs>
                <w:tab w:val="left" w:pos="457"/>
                <w:tab w:val="left" w:pos="1024"/>
              </w:tabs>
              <w:spacing w:before="360"/>
              <w:rPr>
                <w:rFonts w:asciiTheme="minorHAnsi" w:hAnsiTheme="minorHAnsi" w:cstheme="minorHAnsi"/>
                <w:bCs/>
                <w:highlight w:val="yellow"/>
              </w:rPr>
            </w:pPr>
          </w:p>
        </w:tc>
        <w:tc>
          <w:tcPr>
            <w:tcW w:w="2226" w:type="dxa"/>
            <w:tcBorders>
              <w:top w:val="single" w:sz="4" w:space="0" w:color="auto"/>
              <w:left w:val="single" w:sz="4" w:space="0" w:color="auto"/>
              <w:bottom w:val="single" w:sz="4" w:space="0" w:color="auto"/>
              <w:right w:val="single" w:sz="4" w:space="0" w:color="auto"/>
            </w:tcBorders>
          </w:tcPr>
          <w:p w14:paraId="3170AC48" w14:textId="28922BB9" w:rsidR="00AD2708" w:rsidRPr="003A7E48" w:rsidRDefault="006C65F5" w:rsidP="00D378F1">
            <w:pPr>
              <w:pStyle w:val="Tabletext"/>
            </w:pPr>
            <w:r w:rsidRPr="003A7E48">
              <w:t>El texto es aplicable</w:t>
            </w:r>
            <w:r w:rsidR="003E71C4" w:rsidRPr="003A7E48">
              <w:t xml:space="preserve"> </w:t>
            </w:r>
            <w:r w:rsidR="0070177B" w:rsidRPr="003A7E48">
              <w:t>al momento actual</w:t>
            </w:r>
          </w:p>
        </w:tc>
        <w:tc>
          <w:tcPr>
            <w:tcW w:w="2053" w:type="dxa"/>
            <w:tcBorders>
              <w:top w:val="single" w:sz="4" w:space="0" w:color="auto"/>
              <w:left w:val="single" w:sz="4" w:space="0" w:color="auto"/>
              <w:bottom w:val="single" w:sz="4" w:space="0" w:color="auto"/>
              <w:right w:val="single" w:sz="4" w:space="0" w:color="auto"/>
            </w:tcBorders>
          </w:tcPr>
          <w:p w14:paraId="4A8E252A" w14:textId="26FE7D21" w:rsidR="00AD2708"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4A34A263" w14:textId="6DABA253" w:rsidR="00AD2708" w:rsidRPr="003A7E48" w:rsidRDefault="0070177B" w:rsidP="00D378F1">
            <w:pPr>
              <w:pStyle w:val="Tabletext"/>
            </w:pPr>
            <w:r w:rsidRPr="003A7E48">
              <w:t>Mantener el texto</w:t>
            </w:r>
          </w:p>
        </w:tc>
      </w:tr>
      <w:tr w:rsidR="00AD2708" w:rsidRPr="003A7E48" w14:paraId="54B7EB4D" w14:textId="77777777" w:rsidTr="00040DC6">
        <w:tc>
          <w:tcPr>
            <w:tcW w:w="1129" w:type="dxa"/>
            <w:tcBorders>
              <w:left w:val="single" w:sz="4" w:space="0" w:color="auto"/>
              <w:right w:val="single" w:sz="4" w:space="0" w:color="auto"/>
            </w:tcBorders>
          </w:tcPr>
          <w:p w14:paraId="0AB1B193"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DF61357" w14:textId="36054FD3" w:rsidR="00AD2708" w:rsidRPr="003A7E48" w:rsidRDefault="00AD2708" w:rsidP="00181FE6">
            <w:pPr>
              <w:pStyle w:val="Tabletext"/>
              <w:tabs>
                <w:tab w:val="left" w:pos="457"/>
                <w:tab w:val="left" w:pos="1024"/>
              </w:tabs>
              <w:rPr>
                <w:rFonts w:asciiTheme="minorHAnsi" w:hAnsiTheme="minorHAnsi" w:cstheme="minorHAnsi"/>
                <w:bCs/>
              </w:rPr>
            </w:pPr>
            <w:r w:rsidRPr="003A7E48">
              <w:rPr>
                <w:rFonts w:asciiTheme="minorHAnsi" w:hAnsiTheme="minorHAnsi" w:cstheme="minorHAnsi"/>
                <w:b/>
                <w:bCs/>
              </w:rPr>
              <w:t>1.6</w:t>
            </w:r>
            <w:r w:rsidRPr="003A7E48">
              <w:rPr>
                <w:rFonts w:asciiTheme="minorHAnsi" w:hAnsiTheme="minorHAnsi" w:cstheme="minorHAnsi"/>
              </w:rPr>
              <w:tab/>
            </w:r>
            <w:r w:rsidRPr="003A7E48">
              <w:rPr>
                <w:lang w:eastAsia="zh-CN"/>
              </w:rPr>
              <w:t>Al aplicar los principios de este Reglamento, las empresas de explotación autorizadas deben ajustarse en la mayor medida posible a las Recomendaciones UIT-T pertinentes.</w:t>
            </w:r>
          </w:p>
        </w:tc>
        <w:tc>
          <w:tcPr>
            <w:tcW w:w="3551" w:type="dxa"/>
            <w:tcBorders>
              <w:top w:val="single" w:sz="4" w:space="0" w:color="auto"/>
              <w:left w:val="single" w:sz="4" w:space="0" w:color="auto"/>
              <w:bottom w:val="single" w:sz="4" w:space="0" w:color="auto"/>
              <w:right w:val="single" w:sz="4" w:space="0" w:color="auto"/>
            </w:tcBorders>
          </w:tcPr>
          <w:p w14:paraId="65321A04" w14:textId="5F12363D" w:rsidR="00AD2708" w:rsidRPr="003A7E48" w:rsidRDefault="00AD2708" w:rsidP="00293D1B">
            <w:pPr>
              <w:pStyle w:val="Tabletext"/>
              <w:tabs>
                <w:tab w:val="left" w:pos="457"/>
                <w:tab w:val="left" w:pos="1024"/>
              </w:tabs>
              <w:rPr>
                <w:rFonts w:asciiTheme="minorHAnsi" w:hAnsiTheme="minorHAnsi"/>
              </w:rPr>
            </w:pPr>
            <w:r w:rsidRPr="003A7E48">
              <w:rPr>
                <w:rFonts w:asciiTheme="minorHAnsi" w:hAnsiTheme="minorHAnsi"/>
              </w:rPr>
              <w:t>1.6</w:t>
            </w:r>
            <w:r w:rsidRPr="003A7E48">
              <w:rPr>
                <w:rFonts w:asciiTheme="minorHAnsi" w:hAnsiTheme="minorHAnsi"/>
              </w:rPr>
              <w:tab/>
            </w:r>
            <w:r w:rsidRPr="003A7E48">
              <w:t>Al aplicar los principios de este Reglamento, las administraciones</w:t>
            </w:r>
            <w:r w:rsidRPr="003A7E48">
              <w:rPr>
                <w:rStyle w:val="FootnoteReference"/>
              </w:rPr>
              <w:t>*</w:t>
            </w:r>
            <w:r w:rsidRPr="003A7E48">
              <w:t xml:space="preserve"> deberían ajustarse en la mayor medida posible a las Recomendaciones pertinentes del </w:t>
            </w:r>
            <w:proofErr w:type="spellStart"/>
            <w:r w:rsidRPr="003A7E48">
              <w:t>CCITT</w:t>
            </w:r>
            <w:proofErr w:type="spellEnd"/>
            <w:r w:rsidRPr="003A7E48">
              <w:t>, así como a las Instrucciones que formen parte o se deriven de dichas Recomendaciones.</w:t>
            </w:r>
          </w:p>
        </w:tc>
        <w:tc>
          <w:tcPr>
            <w:tcW w:w="2226" w:type="dxa"/>
            <w:tcBorders>
              <w:top w:val="single" w:sz="4" w:space="0" w:color="auto"/>
              <w:left w:val="single" w:sz="4" w:space="0" w:color="auto"/>
              <w:bottom w:val="single" w:sz="4" w:space="0" w:color="auto"/>
              <w:right w:val="single" w:sz="4" w:space="0" w:color="auto"/>
            </w:tcBorders>
          </w:tcPr>
          <w:p w14:paraId="4E1CFBEC" w14:textId="1DA64744" w:rsidR="00AD2708" w:rsidRPr="003A7E48" w:rsidRDefault="006C65F5" w:rsidP="00D378F1">
            <w:pPr>
              <w:pStyle w:val="Tabletext"/>
            </w:pPr>
            <w:r w:rsidRPr="003A7E48">
              <w:t>El texto es aplicable</w:t>
            </w:r>
            <w:r w:rsidR="003E71C4" w:rsidRPr="003A7E48">
              <w:t xml:space="preserve"> </w:t>
            </w:r>
            <w:r w:rsidR="0070177B" w:rsidRPr="003A7E48">
              <w:t xml:space="preserve">y el uso de la expresión </w:t>
            </w:r>
            <w:r w:rsidR="003A7E48">
              <w:t>"</w:t>
            </w:r>
            <w:r w:rsidR="0070177B" w:rsidRPr="003A7E48">
              <w:t>en la mayor medida posible</w:t>
            </w:r>
            <w:r w:rsidR="003A7E48">
              <w:t>"</w:t>
            </w:r>
            <w:r w:rsidR="0070177B" w:rsidRPr="003A7E48">
              <w:t xml:space="preserve"> hace que no sea vinculante.</w:t>
            </w:r>
          </w:p>
        </w:tc>
        <w:tc>
          <w:tcPr>
            <w:tcW w:w="2053" w:type="dxa"/>
            <w:tcBorders>
              <w:top w:val="single" w:sz="4" w:space="0" w:color="auto"/>
              <w:left w:val="single" w:sz="4" w:space="0" w:color="auto"/>
              <w:bottom w:val="single" w:sz="4" w:space="0" w:color="auto"/>
              <w:right w:val="single" w:sz="4" w:space="0" w:color="auto"/>
            </w:tcBorders>
          </w:tcPr>
          <w:p w14:paraId="48F958DC" w14:textId="57FB3965" w:rsidR="00AD2708" w:rsidRPr="003A7E48" w:rsidRDefault="006C65F5" w:rsidP="001F143F">
            <w:pPr>
              <w:pStyle w:val="Tabletext"/>
              <w:ind w:right="-57"/>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20D2DEBE" w14:textId="1B0EA31A" w:rsidR="00AD2708" w:rsidRPr="003A7E48" w:rsidRDefault="0070177B" w:rsidP="00654220">
            <w:pPr>
              <w:pStyle w:val="Tabletext"/>
              <w:ind w:right="-57"/>
            </w:pPr>
            <w:r w:rsidRPr="003A7E48">
              <w:t>Mantener el texto</w:t>
            </w:r>
          </w:p>
        </w:tc>
      </w:tr>
      <w:tr w:rsidR="00AD2708" w:rsidRPr="003A7E48" w14:paraId="543E8774" w14:textId="77777777" w:rsidTr="00040DC6">
        <w:trPr>
          <w:cantSplit/>
        </w:trPr>
        <w:tc>
          <w:tcPr>
            <w:tcW w:w="1129" w:type="dxa"/>
            <w:tcBorders>
              <w:left w:val="single" w:sz="4" w:space="0" w:color="auto"/>
              <w:right w:val="single" w:sz="4" w:space="0" w:color="auto"/>
            </w:tcBorders>
          </w:tcPr>
          <w:p w14:paraId="2ECABF5E"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31C3D2F" w14:textId="136B1059" w:rsidR="00AD2708" w:rsidRPr="003A7E48" w:rsidRDefault="00AD2708" w:rsidP="00181FE6">
            <w:pPr>
              <w:pStyle w:val="Tabletext"/>
              <w:tabs>
                <w:tab w:val="left" w:pos="457"/>
                <w:tab w:val="left" w:pos="1024"/>
              </w:tabs>
              <w:rPr>
                <w:rFonts w:asciiTheme="minorHAnsi" w:hAnsiTheme="minorHAnsi" w:cstheme="minorHAnsi"/>
                <w:bCs/>
              </w:rPr>
            </w:pPr>
            <w:r w:rsidRPr="003A7E48">
              <w:rPr>
                <w:rFonts w:asciiTheme="minorHAnsi" w:hAnsiTheme="minorHAnsi" w:cstheme="minorHAnsi"/>
                <w:b/>
                <w:bCs/>
              </w:rPr>
              <w:t>1.7</w:t>
            </w:r>
            <w:r w:rsidR="00293D1B" w:rsidRPr="003A7E48">
              <w:rPr>
                <w:rFonts w:asciiTheme="minorHAnsi" w:hAnsiTheme="minorHAnsi" w:cstheme="minorHAnsi"/>
              </w:rPr>
              <w:t xml:space="preserve"> </w:t>
            </w:r>
            <w:r w:rsidRPr="003A7E48">
              <w:rPr>
                <w:b/>
                <w:bCs/>
                <w:i/>
                <w:iCs/>
              </w:rPr>
              <w:t>a)</w:t>
            </w:r>
            <w:r w:rsidRPr="003A7E48">
              <w:tab/>
              <w:t>En el presente Reglamento se reconoce a todo Estado Miembro el derecho a exigir, en aplicación de su legislación nacional y si así lo decide, que las empresas de explotación autorizadas que funcionen en su territorio y presten un servicio internacional de telecomunicación al público estén autorizadas por ese Estado Miembro.</w:t>
            </w:r>
          </w:p>
        </w:tc>
        <w:tc>
          <w:tcPr>
            <w:tcW w:w="3551" w:type="dxa"/>
            <w:tcBorders>
              <w:top w:val="single" w:sz="4" w:space="0" w:color="auto"/>
              <w:left w:val="single" w:sz="4" w:space="0" w:color="auto"/>
              <w:bottom w:val="single" w:sz="4" w:space="0" w:color="auto"/>
              <w:right w:val="single" w:sz="4" w:space="0" w:color="auto"/>
            </w:tcBorders>
          </w:tcPr>
          <w:p w14:paraId="5D640B37" w14:textId="519542C5" w:rsidR="00AD2708" w:rsidRPr="003A7E48" w:rsidRDefault="00AD2708" w:rsidP="00181FE6">
            <w:pPr>
              <w:pStyle w:val="Tabletext"/>
              <w:tabs>
                <w:tab w:val="left" w:pos="457"/>
                <w:tab w:val="left" w:pos="1024"/>
              </w:tabs>
              <w:rPr>
                <w:rFonts w:asciiTheme="minorHAnsi" w:hAnsiTheme="minorHAnsi" w:cstheme="minorHAnsi"/>
                <w:bCs/>
              </w:rPr>
            </w:pPr>
            <w:r w:rsidRPr="003A7E48">
              <w:rPr>
                <w:rFonts w:asciiTheme="minorHAnsi" w:hAnsiTheme="minorHAnsi"/>
                <w:b/>
                <w:bCs/>
              </w:rPr>
              <w:t>1.7</w:t>
            </w:r>
            <w:r w:rsidR="00293D1B" w:rsidRPr="003A7E48">
              <w:rPr>
                <w:rFonts w:asciiTheme="minorHAnsi" w:hAnsiTheme="minorHAnsi"/>
                <w:b/>
                <w:bCs/>
              </w:rPr>
              <w:t xml:space="preserve"> </w:t>
            </w:r>
            <w:r w:rsidRPr="003A7E48">
              <w:rPr>
                <w:b/>
                <w:bCs/>
                <w:i/>
                <w:iCs/>
              </w:rPr>
              <w:t>a)</w:t>
            </w:r>
            <w:r w:rsidRPr="003A7E48">
              <w:tab/>
              <w:t>En el presente Reglamento se reconoce a todo Miembro el derecho a exigir, en aplicación de su legislación nacional y si así lo decide, que las administraciones y empresas privadas de explotación que funcionen en su territorio y presten un servicio internacional de telecomunicación al público estén autorizadas por ese Miembro.</w:t>
            </w:r>
          </w:p>
        </w:tc>
        <w:tc>
          <w:tcPr>
            <w:tcW w:w="2226" w:type="dxa"/>
            <w:tcBorders>
              <w:top w:val="single" w:sz="4" w:space="0" w:color="auto"/>
              <w:left w:val="single" w:sz="4" w:space="0" w:color="auto"/>
              <w:bottom w:val="single" w:sz="4" w:space="0" w:color="auto"/>
              <w:right w:val="single" w:sz="4" w:space="0" w:color="auto"/>
            </w:tcBorders>
          </w:tcPr>
          <w:p w14:paraId="620F2055" w14:textId="7C782088" w:rsidR="00AD2708" w:rsidRPr="003A7E48" w:rsidRDefault="006C65F5" w:rsidP="00D378F1">
            <w:pPr>
              <w:pStyle w:val="Tabletext"/>
            </w:pPr>
            <w:r w:rsidRPr="003A7E48">
              <w:t>El texto es aplicable</w:t>
            </w:r>
            <w:r w:rsidR="003E71C4" w:rsidRPr="003A7E48">
              <w:t xml:space="preserve">, </w:t>
            </w:r>
            <w:r w:rsidR="0033497A" w:rsidRPr="003A7E48">
              <w:t>reconoce los derechos de un EM para dar licencias a los proveedores de telecomunicaciones que prestan servicios internacionales utilizando su propia legislación</w:t>
            </w:r>
            <w:r w:rsidR="003E71C4" w:rsidRPr="003A7E48">
              <w:t>.</w:t>
            </w:r>
          </w:p>
        </w:tc>
        <w:tc>
          <w:tcPr>
            <w:tcW w:w="2053" w:type="dxa"/>
            <w:tcBorders>
              <w:top w:val="single" w:sz="4" w:space="0" w:color="auto"/>
              <w:left w:val="single" w:sz="4" w:space="0" w:color="auto"/>
              <w:bottom w:val="single" w:sz="4" w:space="0" w:color="auto"/>
              <w:right w:val="single" w:sz="4" w:space="0" w:color="auto"/>
            </w:tcBorders>
          </w:tcPr>
          <w:p w14:paraId="79585789" w14:textId="2F8A05C5" w:rsidR="00AD2708"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4D2309DF" w14:textId="08CA616D" w:rsidR="00AD2708" w:rsidRPr="003A7E48" w:rsidRDefault="0070177B" w:rsidP="00D378F1">
            <w:pPr>
              <w:pStyle w:val="Tabletext"/>
            </w:pPr>
            <w:r w:rsidRPr="003A7E48">
              <w:t>Mantener el texto</w:t>
            </w:r>
          </w:p>
        </w:tc>
      </w:tr>
      <w:tr w:rsidR="00AD2708" w:rsidRPr="003A7E48" w14:paraId="0E934C53" w14:textId="77777777" w:rsidTr="00040DC6">
        <w:tc>
          <w:tcPr>
            <w:tcW w:w="1129" w:type="dxa"/>
            <w:tcBorders>
              <w:left w:val="single" w:sz="4" w:space="0" w:color="auto"/>
              <w:right w:val="single" w:sz="4" w:space="0" w:color="auto"/>
            </w:tcBorders>
          </w:tcPr>
          <w:p w14:paraId="7DDF4601"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98D7E89" w14:textId="14587D1B" w:rsidR="00AD2708" w:rsidRPr="003A7E48" w:rsidRDefault="003E71C4" w:rsidP="00181FE6">
            <w:pPr>
              <w:pStyle w:val="Tabletext"/>
              <w:tabs>
                <w:tab w:val="left" w:pos="457"/>
                <w:tab w:val="left" w:pos="1024"/>
              </w:tabs>
              <w:rPr>
                <w:rFonts w:asciiTheme="minorHAnsi" w:hAnsiTheme="minorHAnsi" w:cstheme="minorHAnsi"/>
                <w:bCs/>
              </w:rPr>
            </w:pPr>
            <w:r w:rsidRPr="003A7E48">
              <w:rPr>
                <w:b/>
                <w:bCs/>
              </w:rPr>
              <w:t>1.7</w:t>
            </w:r>
            <w:r w:rsidR="00293D1B" w:rsidRPr="003A7E48">
              <w:rPr>
                <w:rFonts w:asciiTheme="minorHAnsi" w:hAnsiTheme="minorHAnsi" w:cstheme="minorHAnsi"/>
              </w:rPr>
              <w:t xml:space="preserve"> </w:t>
            </w:r>
            <w:r w:rsidR="00AD2708" w:rsidRPr="003A7E48">
              <w:rPr>
                <w:b/>
                <w:bCs/>
                <w:i/>
                <w:iCs/>
              </w:rPr>
              <w:t>b)</w:t>
            </w:r>
            <w:r w:rsidR="00AD2708" w:rsidRPr="003A7E48">
              <w:tab/>
              <w:t>El Estado Miembro interesado promoverá, en su caso, la aplicación de las Recomendaciones UIT-T pertinentes por tales proveedores de servicios.</w:t>
            </w:r>
          </w:p>
        </w:tc>
        <w:tc>
          <w:tcPr>
            <w:tcW w:w="3551" w:type="dxa"/>
            <w:tcBorders>
              <w:top w:val="single" w:sz="4" w:space="0" w:color="auto"/>
              <w:left w:val="single" w:sz="4" w:space="0" w:color="auto"/>
              <w:bottom w:val="single" w:sz="4" w:space="0" w:color="auto"/>
              <w:right w:val="single" w:sz="4" w:space="0" w:color="auto"/>
            </w:tcBorders>
          </w:tcPr>
          <w:p w14:paraId="443C3672" w14:textId="436E6678" w:rsidR="00AD2708" w:rsidRPr="003A7E48" w:rsidRDefault="003E71C4" w:rsidP="003916DF">
            <w:pPr>
              <w:pStyle w:val="Tabletext"/>
              <w:tabs>
                <w:tab w:val="left" w:pos="457"/>
                <w:tab w:val="left" w:pos="1024"/>
              </w:tabs>
              <w:rPr>
                <w:rFonts w:asciiTheme="minorHAnsi" w:hAnsiTheme="minorHAnsi" w:cstheme="minorHAnsi"/>
                <w:bCs/>
              </w:rPr>
            </w:pPr>
            <w:r w:rsidRPr="003A7E48">
              <w:t>1.7</w:t>
            </w:r>
            <w:r w:rsidR="00293D1B" w:rsidRPr="003A7E48">
              <w:rPr>
                <w:rFonts w:asciiTheme="minorHAnsi" w:hAnsiTheme="minorHAnsi"/>
              </w:rPr>
              <w:t xml:space="preserve"> </w:t>
            </w:r>
            <w:r w:rsidR="00AD2708" w:rsidRPr="003A7E48">
              <w:rPr>
                <w:i/>
                <w:iCs/>
              </w:rPr>
              <w:t>b)</w:t>
            </w:r>
            <w:r w:rsidR="00AD2708" w:rsidRPr="003A7E48">
              <w:tab/>
              <w:t xml:space="preserve">El Miembro interesado promoverá, según proceda, la aplicación de las Recomendaciones pertinentes del </w:t>
            </w:r>
            <w:proofErr w:type="spellStart"/>
            <w:r w:rsidR="00AD2708" w:rsidRPr="003A7E48">
              <w:t>CCITT</w:t>
            </w:r>
            <w:proofErr w:type="spellEnd"/>
            <w:r w:rsidR="00AD2708" w:rsidRPr="003A7E48">
              <w:t xml:space="preserve"> por tales proveedores de servicios.</w:t>
            </w:r>
          </w:p>
        </w:tc>
        <w:tc>
          <w:tcPr>
            <w:tcW w:w="2226" w:type="dxa"/>
            <w:tcBorders>
              <w:top w:val="single" w:sz="4" w:space="0" w:color="auto"/>
              <w:left w:val="single" w:sz="4" w:space="0" w:color="auto"/>
              <w:bottom w:val="single" w:sz="4" w:space="0" w:color="auto"/>
              <w:right w:val="single" w:sz="4" w:space="0" w:color="auto"/>
            </w:tcBorders>
          </w:tcPr>
          <w:p w14:paraId="550183D0" w14:textId="49D51153" w:rsidR="00AD2708"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362A9895" w14:textId="36062A56" w:rsidR="00AD2708" w:rsidRPr="003A7E48" w:rsidRDefault="006C65F5" w:rsidP="00654220">
            <w:pPr>
              <w:pStyle w:val="Tabletext"/>
              <w:ind w:right="-57"/>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1B2C53B0" w14:textId="5D14719C" w:rsidR="00AD2708" w:rsidRPr="003A7E48" w:rsidRDefault="0070177B" w:rsidP="00D378F1">
            <w:pPr>
              <w:pStyle w:val="Tabletext"/>
            </w:pPr>
            <w:r w:rsidRPr="003A7E48">
              <w:t>Mantener el texto</w:t>
            </w:r>
          </w:p>
        </w:tc>
      </w:tr>
      <w:tr w:rsidR="00AD2708" w:rsidRPr="003A7E48" w14:paraId="3DAD1EB9" w14:textId="77777777" w:rsidTr="00040DC6">
        <w:trPr>
          <w:cantSplit/>
        </w:trPr>
        <w:tc>
          <w:tcPr>
            <w:tcW w:w="1129" w:type="dxa"/>
            <w:tcBorders>
              <w:left w:val="single" w:sz="4" w:space="0" w:color="auto"/>
              <w:right w:val="single" w:sz="4" w:space="0" w:color="auto"/>
            </w:tcBorders>
          </w:tcPr>
          <w:p w14:paraId="43E3C745"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46087F9" w14:textId="7D78481E" w:rsidR="00AD2708" w:rsidRPr="003A7E48" w:rsidRDefault="003E71C4" w:rsidP="00181FE6">
            <w:pPr>
              <w:pStyle w:val="Tabletext"/>
              <w:tabs>
                <w:tab w:val="left" w:pos="457"/>
                <w:tab w:val="left" w:pos="1024"/>
              </w:tabs>
              <w:rPr>
                <w:rFonts w:asciiTheme="minorHAnsi" w:hAnsiTheme="minorHAnsi" w:cstheme="minorHAnsi"/>
                <w:bCs/>
              </w:rPr>
            </w:pPr>
            <w:r w:rsidRPr="003A7E48">
              <w:rPr>
                <w:b/>
                <w:bCs/>
              </w:rPr>
              <w:t>1.7</w:t>
            </w:r>
            <w:r w:rsidR="00293D1B" w:rsidRPr="003A7E48">
              <w:rPr>
                <w:rFonts w:asciiTheme="minorHAnsi" w:hAnsiTheme="minorHAnsi" w:cstheme="minorHAnsi"/>
              </w:rPr>
              <w:t xml:space="preserve"> </w:t>
            </w:r>
            <w:r w:rsidR="00AD2708" w:rsidRPr="003A7E48">
              <w:rPr>
                <w:b/>
                <w:bCs/>
                <w:i/>
                <w:iCs/>
              </w:rPr>
              <w:t>c)</w:t>
            </w:r>
            <w:r w:rsidR="00AD2708" w:rsidRPr="003A7E48">
              <w:tab/>
              <w:t>Los Estados Miembros cooperarán, en su caso, en la aplicación del presente Reglamento.</w:t>
            </w:r>
          </w:p>
        </w:tc>
        <w:tc>
          <w:tcPr>
            <w:tcW w:w="3551" w:type="dxa"/>
            <w:tcBorders>
              <w:top w:val="single" w:sz="4" w:space="0" w:color="auto"/>
              <w:left w:val="single" w:sz="4" w:space="0" w:color="auto"/>
              <w:bottom w:val="single" w:sz="4" w:space="0" w:color="auto"/>
              <w:right w:val="single" w:sz="4" w:space="0" w:color="auto"/>
            </w:tcBorders>
          </w:tcPr>
          <w:p w14:paraId="564D1021" w14:textId="0F08B7F3" w:rsidR="00AD2708" w:rsidRPr="003A7E48" w:rsidRDefault="00AD2708" w:rsidP="003916DF">
            <w:pPr>
              <w:pStyle w:val="Tabletext"/>
              <w:tabs>
                <w:tab w:val="left" w:pos="457"/>
                <w:tab w:val="left" w:pos="1024"/>
              </w:tabs>
              <w:rPr>
                <w:rFonts w:asciiTheme="minorHAnsi" w:hAnsiTheme="minorHAnsi" w:cstheme="minorHAnsi"/>
                <w:bCs/>
              </w:rPr>
            </w:pPr>
            <w:r w:rsidRPr="003A7E48">
              <w:t>Los Miembros cooperarán</w:t>
            </w:r>
            <w:bookmarkStart w:id="9" w:name="_Hlk32323500"/>
            <w:r w:rsidRPr="003A7E48">
              <w:t>, en su caso</w:t>
            </w:r>
            <w:bookmarkEnd w:id="9"/>
            <w:r w:rsidRPr="003A7E48">
              <w:t>, en la aplicación del Reglamento de las Telecomunicaciones Internacionales (véase también, a efectos de interpretación, la Resolución </w:t>
            </w:r>
            <w:proofErr w:type="spellStart"/>
            <w:r w:rsidRPr="003A7E48">
              <w:t>Nº</w:t>
            </w:r>
            <w:proofErr w:type="spellEnd"/>
            <w:r w:rsidRPr="003A7E48">
              <w:t xml:space="preserve"> 2).</w:t>
            </w:r>
          </w:p>
        </w:tc>
        <w:tc>
          <w:tcPr>
            <w:tcW w:w="2226" w:type="dxa"/>
            <w:tcBorders>
              <w:top w:val="single" w:sz="4" w:space="0" w:color="auto"/>
              <w:left w:val="single" w:sz="4" w:space="0" w:color="auto"/>
              <w:bottom w:val="single" w:sz="4" w:space="0" w:color="auto"/>
              <w:right w:val="single" w:sz="4" w:space="0" w:color="auto"/>
            </w:tcBorders>
          </w:tcPr>
          <w:p w14:paraId="6570B66D" w14:textId="5207D453" w:rsidR="00AD2708" w:rsidRPr="003A7E48" w:rsidRDefault="006C65F5" w:rsidP="00D378F1">
            <w:pPr>
              <w:pStyle w:val="Tabletext"/>
            </w:pPr>
            <w:r w:rsidRPr="003A7E48">
              <w:t>El texto es aplicable</w:t>
            </w:r>
            <w:r w:rsidR="003E71C4" w:rsidRPr="003A7E48">
              <w:t xml:space="preserve"> </w:t>
            </w:r>
            <w:r w:rsidR="00670DDF" w:rsidRPr="003A7E48">
              <w:t>y positivo</w:t>
            </w:r>
          </w:p>
        </w:tc>
        <w:tc>
          <w:tcPr>
            <w:tcW w:w="2053" w:type="dxa"/>
            <w:tcBorders>
              <w:top w:val="single" w:sz="4" w:space="0" w:color="auto"/>
              <w:left w:val="single" w:sz="4" w:space="0" w:color="auto"/>
              <w:bottom w:val="single" w:sz="4" w:space="0" w:color="auto"/>
              <w:right w:val="single" w:sz="4" w:space="0" w:color="auto"/>
            </w:tcBorders>
          </w:tcPr>
          <w:p w14:paraId="301357C7" w14:textId="6116212B" w:rsidR="00AD2708" w:rsidRPr="003A7E48" w:rsidRDefault="006C65F5" w:rsidP="00D378F1">
            <w:pPr>
              <w:pStyle w:val="Tabletext"/>
            </w:pPr>
            <w:r w:rsidRPr="003A7E48">
              <w:t>El texto es flexible</w:t>
            </w:r>
            <w:r w:rsidR="003E71C4" w:rsidRPr="003A7E48">
              <w:t xml:space="preserve"> </w:t>
            </w:r>
            <w:r w:rsidR="00670DDF" w:rsidRPr="003A7E48">
              <w:t xml:space="preserve">dado que incluye la expresión </w:t>
            </w:r>
            <w:r w:rsidR="003A7E48">
              <w:t>"</w:t>
            </w:r>
            <w:r w:rsidR="00670DDF" w:rsidRPr="003A7E48">
              <w:t>en su caso</w:t>
            </w:r>
            <w:r w:rsidR="003A7E48">
              <w:t>"</w:t>
            </w:r>
            <w:r w:rsidR="003E71C4" w:rsidRPr="003A7E48">
              <w:t>.</w:t>
            </w:r>
          </w:p>
        </w:tc>
        <w:tc>
          <w:tcPr>
            <w:tcW w:w="1949" w:type="dxa"/>
            <w:tcBorders>
              <w:top w:val="single" w:sz="4" w:space="0" w:color="auto"/>
              <w:left w:val="single" w:sz="4" w:space="0" w:color="auto"/>
              <w:bottom w:val="single" w:sz="4" w:space="0" w:color="auto"/>
              <w:right w:val="single" w:sz="4" w:space="0" w:color="auto"/>
            </w:tcBorders>
          </w:tcPr>
          <w:p w14:paraId="711B4182" w14:textId="2F9CED57" w:rsidR="00AD2708" w:rsidRPr="003A7E48" w:rsidRDefault="0070177B" w:rsidP="00D378F1">
            <w:pPr>
              <w:pStyle w:val="Tabletext"/>
            </w:pPr>
            <w:r w:rsidRPr="003A7E48">
              <w:t>Mantener el texto</w:t>
            </w:r>
          </w:p>
        </w:tc>
      </w:tr>
      <w:tr w:rsidR="00AD2708" w:rsidRPr="003A7E48" w14:paraId="44E69E20" w14:textId="77777777" w:rsidTr="00040DC6">
        <w:trPr>
          <w:cantSplit/>
        </w:trPr>
        <w:tc>
          <w:tcPr>
            <w:tcW w:w="1129" w:type="dxa"/>
            <w:tcBorders>
              <w:left w:val="single" w:sz="4" w:space="0" w:color="auto"/>
              <w:bottom w:val="single" w:sz="4" w:space="0" w:color="auto"/>
              <w:right w:val="single" w:sz="4" w:space="0" w:color="auto"/>
            </w:tcBorders>
          </w:tcPr>
          <w:p w14:paraId="35807AD8" w14:textId="77777777" w:rsidR="00AD2708" w:rsidRPr="003A7E48" w:rsidRDefault="00AD2708"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CF58FEE" w14:textId="0840A80D" w:rsidR="00AD2708" w:rsidRPr="003A7E48" w:rsidRDefault="00AD2708" w:rsidP="00654220">
            <w:pPr>
              <w:pStyle w:val="Tabletext"/>
              <w:tabs>
                <w:tab w:val="left" w:pos="457"/>
                <w:tab w:val="left" w:pos="1024"/>
              </w:tabs>
              <w:rPr>
                <w:rFonts w:asciiTheme="minorHAnsi" w:hAnsiTheme="minorHAnsi" w:cstheme="minorHAnsi"/>
                <w:bCs/>
              </w:rPr>
            </w:pPr>
            <w:r w:rsidRPr="003A7E48">
              <w:rPr>
                <w:b/>
                <w:bCs/>
              </w:rPr>
              <w:t>1.8</w:t>
            </w:r>
            <w:r w:rsidRPr="003A7E48">
              <w:tab/>
              <w:t>Las disposiciones del presente Reglamento serán aplicables, independientemente del medio de transmisión utilizado, siempre que en el Reglamento de Radiocomunicaciones no se disponga lo contrario.</w:t>
            </w:r>
          </w:p>
        </w:tc>
        <w:tc>
          <w:tcPr>
            <w:tcW w:w="3551" w:type="dxa"/>
            <w:tcBorders>
              <w:top w:val="single" w:sz="4" w:space="0" w:color="auto"/>
              <w:left w:val="single" w:sz="4" w:space="0" w:color="auto"/>
              <w:bottom w:val="single" w:sz="4" w:space="0" w:color="auto"/>
              <w:right w:val="single" w:sz="4" w:space="0" w:color="auto"/>
            </w:tcBorders>
          </w:tcPr>
          <w:p w14:paraId="139F60AD" w14:textId="337BAB34" w:rsidR="00AD2708" w:rsidRPr="003A7E48" w:rsidRDefault="00AD2708" w:rsidP="00654220">
            <w:pPr>
              <w:pStyle w:val="Tabletext"/>
              <w:tabs>
                <w:tab w:val="left" w:pos="457"/>
                <w:tab w:val="left" w:pos="1024"/>
              </w:tabs>
              <w:rPr>
                <w:rFonts w:asciiTheme="minorHAnsi" w:hAnsiTheme="minorHAnsi" w:cstheme="minorHAnsi"/>
                <w:bCs/>
              </w:rPr>
            </w:pPr>
            <w:r w:rsidRPr="003A7E48">
              <w:rPr>
                <w:rFonts w:asciiTheme="minorHAnsi" w:hAnsiTheme="minorHAnsi"/>
                <w:b/>
                <w:bCs/>
              </w:rPr>
              <w:t>1.8</w:t>
            </w:r>
            <w:r w:rsidRPr="003A7E48">
              <w:rPr>
                <w:rFonts w:asciiTheme="minorHAnsi" w:hAnsiTheme="minorHAnsi"/>
              </w:rPr>
              <w:tab/>
            </w:r>
            <w:r w:rsidRPr="003A7E48">
              <w:t>Las disposiciones del presente Reglamento serán aplicables, independientemente del medio de transmisión utilizado, siempre que en el Reglamento de Radiocomunicaciones no se disponga lo contrario.</w:t>
            </w:r>
          </w:p>
        </w:tc>
        <w:tc>
          <w:tcPr>
            <w:tcW w:w="2226" w:type="dxa"/>
            <w:tcBorders>
              <w:top w:val="single" w:sz="4" w:space="0" w:color="auto"/>
              <w:left w:val="single" w:sz="4" w:space="0" w:color="auto"/>
              <w:bottom w:val="single" w:sz="4" w:space="0" w:color="auto"/>
              <w:right w:val="single" w:sz="4" w:space="0" w:color="auto"/>
            </w:tcBorders>
          </w:tcPr>
          <w:p w14:paraId="644C7DB3" w14:textId="29328FC8" w:rsidR="00AD2708" w:rsidRPr="003A7E48" w:rsidRDefault="00670DDF" w:rsidP="00D378F1">
            <w:pPr>
              <w:pStyle w:val="Tabletext"/>
            </w:pPr>
            <w:r w:rsidRPr="003A7E48">
              <w:t>Esta disposición establece una jerarquía</w:t>
            </w:r>
            <w:r w:rsidR="00040DC6" w:rsidRPr="003A7E48">
              <w:t xml:space="preserve">, dado que concede prioridad al Reglamento de Radiocomunicaciones sobre el </w:t>
            </w:r>
            <w:proofErr w:type="spellStart"/>
            <w:r w:rsidR="00040DC6" w:rsidRPr="003A7E48">
              <w:t>RTI</w:t>
            </w:r>
            <w:proofErr w:type="spellEnd"/>
            <w:r w:rsidR="003E71C4" w:rsidRPr="003A7E48">
              <w:t xml:space="preserve">. </w:t>
            </w:r>
            <w:r w:rsidR="006C65F5" w:rsidRPr="003A7E48">
              <w:t>El texto es aplicable</w:t>
            </w:r>
            <w:r w:rsidR="003E71C4" w:rsidRPr="003A7E48">
              <w:t>.</w:t>
            </w:r>
          </w:p>
        </w:tc>
        <w:tc>
          <w:tcPr>
            <w:tcW w:w="2053" w:type="dxa"/>
            <w:tcBorders>
              <w:top w:val="single" w:sz="4" w:space="0" w:color="auto"/>
              <w:left w:val="single" w:sz="4" w:space="0" w:color="auto"/>
              <w:bottom w:val="single" w:sz="4" w:space="0" w:color="auto"/>
              <w:right w:val="single" w:sz="4" w:space="0" w:color="auto"/>
            </w:tcBorders>
          </w:tcPr>
          <w:p w14:paraId="657F2659" w14:textId="1388322B" w:rsidR="00AD2708" w:rsidRPr="003A7E48" w:rsidRDefault="00040DC6" w:rsidP="00D378F1">
            <w:pPr>
              <w:pStyle w:val="Tabletext"/>
            </w:pPr>
            <w:r w:rsidRPr="003A7E48">
              <w:t>El texto no es flexible, y no debe ser flexible</w:t>
            </w:r>
            <w:r w:rsidR="003E71C4" w:rsidRPr="003A7E48">
              <w:t>.</w:t>
            </w:r>
          </w:p>
        </w:tc>
        <w:tc>
          <w:tcPr>
            <w:tcW w:w="1949" w:type="dxa"/>
            <w:tcBorders>
              <w:top w:val="single" w:sz="4" w:space="0" w:color="auto"/>
              <w:left w:val="single" w:sz="4" w:space="0" w:color="auto"/>
              <w:bottom w:val="single" w:sz="4" w:space="0" w:color="auto"/>
              <w:right w:val="single" w:sz="4" w:space="0" w:color="auto"/>
            </w:tcBorders>
          </w:tcPr>
          <w:p w14:paraId="59EF1ADE" w14:textId="66E9BAAB" w:rsidR="00AD2708" w:rsidRPr="003A7E48" w:rsidRDefault="0070177B" w:rsidP="00654220">
            <w:pPr>
              <w:pStyle w:val="Tabletext"/>
            </w:pPr>
            <w:r w:rsidRPr="003A7E48">
              <w:t>Mantener el texto</w:t>
            </w:r>
          </w:p>
        </w:tc>
      </w:tr>
      <w:tr w:rsidR="00B54F00" w:rsidRPr="003A7E48" w14:paraId="1D6995D5" w14:textId="77777777" w:rsidTr="00040DC6">
        <w:trPr>
          <w:cantSplit/>
        </w:trPr>
        <w:tc>
          <w:tcPr>
            <w:tcW w:w="1129" w:type="dxa"/>
            <w:tcBorders>
              <w:left w:val="single" w:sz="4" w:space="0" w:color="auto"/>
              <w:bottom w:val="single" w:sz="4" w:space="0" w:color="auto"/>
              <w:right w:val="single" w:sz="4" w:space="0" w:color="auto"/>
            </w:tcBorders>
          </w:tcPr>
          <w:p w14:paraId="18D9034A" w14:textId="411B0B81"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
                <w:sz w:val="22"/>
              </w:rPr>
            </w:pPr>
            <w:r w:rsidRPr="003A7E48">
              <w:rPr>
                <w:rFonts w:asciiTheme="minorHAnsi" w:hAnsiTheme="minorHAnsi"/>
                <w:b/>
                <w:sz w:val="22"/>
              </w:rPr>
              <w:t>2</w:t>
            </w:r>
          </w:p>
        </w:tc>
        <w:tc>
          <w:tcPr>
            <w:tcW w:w="3546" w:type="dxa"/>
            <w:tcBorders>
              <w:top w:val="single" w:sz="4" w:space="0" w:color="auto"/>
              <w:left w:val="single" w:sz="4" w:space="0" w:color="auto"/>
              <w:bottom w:val="single" w:sz="4" w:space="0" w:color="auto"/>
              <w:right w:val="single" w:sz="4" w:space="0" w:color="auto"/>
            </w:tcBorders>
          </w:tcPr>
          <w:p w14:paraId="3B139BEC" w14:textId="77777777" w:rsidR="00B54F00" w:rsidRPr="003A7E48" w:rsidRDefault="00B54F00" w:rsidP="00654220">
            <w:pPr>
              <w:pStyle w:val="Tabletext"/>
              <w:tabs>
                <w:tab w:val="left" w:pos="457"/>
                <w:tab w:val="left" w:pos="1024"/>
              </w:tabs>
              <w:rPr>
                <w:b/>
                <w:bCs/>
              </w:rPr>
            </w:pPr>
            <w:r w:rsidRPr="003A7E48">
              <w:rPr>
                <w:b/>
                <w:bCs/>
              </w:rPr>
              <w:t>Definiciones</w:t>
            </w:r>
          </w:p>
          <w:p w14:paraId="585FFF2E" w14:textId="33E013F6" w:rsidR="00B54F00" w:rsidRPr="003A7E48" w:rsidRDefault="00B54F00" w:rsidP="00654220">
            <w:pPr>
              <w:pStyle w:val="Tabletext"/>
              <w:tabs>
                <w:tab w:val="left" w:pos="457"/>
                <w:tab w:val="left" w:pos="1024"/>
              </w:tabs>
            </w:pPr>
            <w:r w:rsidRPr="003A7E48">
              <w:t>(</w:t>
            </w:r>
            <w:r w:rsidR="0070177B" w:rsidRPr="003A7E48">
              <w:t xml:space="preserve">Creemos que las definiciones </w:t>
            </w:r>
            <w:r w:rsidR="0033497A" w:rsidRPr="003A7E48">
              <w:t>tienen que</w:t>
            </w:r>
            <w:r w:rsidR="0070177B" w:rsidRPr="003A7E48">
              <w:t xml:space="preserve"> </w:t>
            </w:r>
            <w:r w:rsidR="0033497A" w:rsidRPr="003A7E48">
              <w:t>revisarse</w:t>
            </w:r>
            <w:r w:rsidR="0070177B" w:rsidRPr="003A7E48">
              <w:t xml:space="preserve"> al final del proceso, ya que pueden incluir</w:t>
            </w:r>
            <w:r w:rsidR="0033497A" w:rsidRPr="003A7E48">
              <w:t>se</w:t>
            </w:r>
            <w:r w:rsidR="0070177B" w:rsidRPr="003A7E48">
              <w:t xml:space="preserve"> sugerencias de enmiendas, supresiones</w:t>
            </w:r>
            <w:r w:rsidR="0033497A" w:rsidRPr="003A7E48">
              <w:t xml:space="preserve"> o</w:t>
            </w:r>
            <w:r w:rsidR="0070177B" w:rsidRPr="003A7E48">
              <w:t xml:space="preserve"> adiciones</w:t>
            </w:r>
            <w:r w:rsidRPr="003A7E48">
              <w:t>.)</w:t>
            </w:r>
          </w:p>
        </w:tc>
        <w:tc>
          <w:tcPr>
            <w:tcW w:w="3551" w:type="dxa"/>
            <w:tcBorders>
              <w:top w:val="single" w:sz="4" w:space="0" w:color="auto"/>
              <w:left w:val="single" w:sz="4" w:space="0" w:color="auto"/>
              <w:bottom w:val="single" w:sz="4" w:space="0" w:color="auto"/>
              <w:right w:val="single" w:sz="4" w:space="0" w:color="auto"/>
            </w:tcBorders>
          </w:tcPr>
          <w:p w14:paraId="75CD649E" w14:textId="373503BF" w:rsidR="00B54F00" w:rsidRPr="003A7E48" w:rsidRDefault="00B54F00" w:rsidP="00654220">
            <w:pPr>
              <w:pStyle w:val="Tabletext"/>
              <w:tabs>
                <w:tab w:val="left" w:pos="457"/>
                <w:tab w:val="left" w:pos="1024"/>
              </w:tabs>
              <w:rPr>
                <w:rFonts w:asciiTheme="minorHAnsi" w:hAnsiTheme="minorHAnsi"/>
                <w:b/>
                <w:bCs/>
              </w:rPr>
            </w:pPr>
            <w:r w:rsidRPr="003A7E48">
              <w:rPr>
                <w:rFonts w:asciiTheme="minorHAnsi" w:hAnsiTheme="minorHAnsi"/>
                <w:b/>
                <w:bCs/>
              </w:rPr>
              <w:t>Definiciones</w:t>
            </w:r>
          </w:p>
        </w:tc>
        <w:tc>
          <w:tcPr>
            <w:tcW w:w="2226" w:type="dxa"/>
            <w:tcBorders>
              <w:top w:val="single" w:sz="4" w:space="0" w:color="auto"/>
              <w:left w:val="single" w:sz="4" w:space="0" w:color="auto"/>
              <w:bottom w:val="single" w:sz="4" w:space="0" w:color="auto"/>
              <w:right w:val="single" w:sz="4" w:space="0" w:color="auto"/>
            </w:tcBorders>
          </w:tcPr>
          <w:p w14:paraId="639A0A97" w14:textId="77777777" w:rsidR="00B54F00" w:rsidRPr="003A7E48" w:rsidRDefault="00B54F00"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2795332D" w14:textId="77777777" w:rsidR="00B54F00" w:rsidRPr="003A7E48" w:rsidRDefault="00B54F00"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21D9038A" w14:textId="77777777" w:rsidR="00B54F00" w:rsidRPr="003A7E48" w:rsidRDefault="00B54F00" w:rsidP="00654220">
            <w:pPr>
              <w:pStyle w:val="Tabletext"/>
            </w:pPr>
          </w:p>
        </w:tc>
      </w:tr>
      <w:tr w:rsidR="00B54F00" w:rsidRPr="003A7E48" w14:paraId="72EE7C28" w14:textId="77777777" w:rsidTr="00040DC6">
        <w:tc>
          <w:tcPr>
            <w:tcW w:w="1129" w:type="dxa"/>
            <w:tcBorders>
              <w:top w:val="single" w:sz="4" w:space="0" w:color="auto"/>
              <w:left w:val="single" w:sz="4" w:space="0" w:color="auto"/>
              <w:right w:val="single" w:sz="4" w:space="0" w:color="auto"/>
            </w:tcBorders>
            <w:vAlign w:val="center"/>
          </w:tcPr>
          <w:p w14:paraId="639515B3" w14:textId="45953771" w:rsidR="00B54F00" w:rsidRPr="003A7E48" w:rsidRDefault="00B54F00" w:rsidP="00181FE6">
            <w:pPr>
              <w:pStyle w:val="Tabletext"/>
              <w:jc w:val="center"/>
            </w:pPr>
          </w:p>
        </w:tc>
        <w:tc>
          <w:tcPr>
            <w:tcW w:w="3546" w:type="dxa"/>
            <w:tcBorders>
              <w:top w:val="single" w:sz="4" w:space="0" w:color="auto"/>
              <w:left w:val="single" w:sz="4" w:space="0" w:color="auto"/>
              <w:bottom w:val="single" w:sz="4" w:space="0" w:color="auto"/>
              <w:right w:val="single" w:sz="4" w:space="0" w:color="auto"/>
            </w:tcBorders>
          </w:tcPr>
          <w:p w14:paraId="696E5090" w14:textId="7F2FC1FC" w:rsidR="00B54F00" w:rsidRPr="003A7E48" w:rsidRDefault="00B54F00" w:rsidP="00181FE6">
            <w:pPr>
              <w:pStyle w:val="Tabletext"/>
              <w:tabs>
                <w:tab w:val="left" w:pos="457"/>
                <w:tab w:val="left" w:pos="1024"/>
              </w:tabs>
              <w:rPr>
                <w:rFonts w:asciiTheme="minorHAnsi" w:hAnsiTheme="minorHAnsi" w:cstheme="minorHAnsi"/>
                <w:bCs/>
              </w:rPr>
            </w:pPr>
            <w:r w:rsidRPr="003A7E48">
              <w:rPr>
                <w:b/>
                <w:bCs/>
              </w:rPr>
              <w:t>2.1</w:t>
            </w:r>
            <w:r w:rsidRPr="003A7E48">
              <w:tab/>
              <w:t>A los efectos del presente Reglamento serán aplicables las definiciones siguientes. Estos términos y definiciones, sin embargo, no tienen que ser necesariamente aplicables a otros fines.</w:t>
            </w:r>
          </w:p>
        </w:tc>
        <w:tc>
          <w:tcPr>
            <w:tcW w:w="3551" w:type="dxa"/>
            <w:tcBorders>
              <w:top w:val="single" w:sz="4" w:space="0" w:color="auto"/>
              <w:left w:val="single" w:sz="4" w:space="0" w:color="auto"/>
              <w:bottom w:val="single" w:sz="4" w:space="0" w:color="auto"/>
              <w:right w:val="single" w:sz="4" w:space="0" w:color="auto"/>
            </w:tcBorders>
          </w:tcPr>
          <w:p w14:paraId="48158AAA" w14:textId="6631CD91" w:rsidR="00B54F00" w:rsidRPr="003A7E48" w:rsidRDefault="00B54F00" w:rsidP="003916DF">
            <w:pPr>
              <w:pStyle w:val="Tabletext"/>
              <w:tabs>
                <w:tab w:val="left" w:pos="457"/>
                <w:tab w:val="left" w:pos="1024"/>
              </w:tabs>
              <w:rPr>
                <w:rFonts w:asciiTheme="minorHAnsi" w:hAnsiTheme="minorHAnsi" w:cstheme="minorHAnsi"/>
                <w:bCs/>
              </w:rPr>
            </w:pPr>
            <w:r w:rsidRPr="003A7E48">
              <w:t>A los efectos del presente Reglamento serán aplicables las definiciones siguientes. Estos términos y definiciones, sin embargo, no tienen que ser necesariamente aplicables a otros fines.</w:t>
            </w:r>
          </w:p>
        </w:tc>
        <w:tc>
          <w:tcPr>
            <w:tcW w:w="2226" w:type="dxa"/>
            <w:tcBorders>
              <w:top w:val="single" w:sz="4" w:space="0" w:color="auto"/>
              <w:left w:val="single" w:sz="4" w:space="0" w:color="auto"/>
              <w:bottom w:val="single" w:sz="4" w:space="0" w:color="auto"/>
              <w:right w:val="single" w:sz="4" w:space="0" w:color="auto"/>
            </w:tcBorders>
          </w:tcPr>
          <w:p w14:paraId="7D757A3D" w14:textId="74FEA074"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1EDF783D" w14:textId="798EFCF1"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7E147C38" w14:textId="58ABBAB2" w:rsidR="00B54F00" w:rsidRPr="003A7E48" w:rsidRDefault="006C65F5" w:rsidP="00D378F1">
            <w:pPr>
              <w:pStyle w:val="Tabletext"/>
            </w:pPr>
            <w:r w:rsidRPr="003A7E48">
              <w:t>Mantener el texto sin cambios</w:t>
            </w:r>
          </w:p>
        </w:tc>
      </w:tr>
      <w:tr w:rsidR="00B54F00" w:rsidRPr="003A7E48" w14:paraId="3F481330" w14:textId="77777777" w:rsidTr="00040DC6">
        <w:trPr>
          <w:cantSplit/>
        </w:trPr>
        <w:tc>
          <w:tcPr>
            <w:tcW w:w="1129" w:type="dxa"/>
            <w:tcBorders>
              <w:left w:val="single" w:sz="4" w:space="0" w:color="auto"/>
              <w:right w:val="single" w:sz="4" w:space="0" w:color="auto"/>
            </w:tcBorders>
          </w:tcPr>
          <w:p w14:paraId="421E08A3" w14:textId="77777777" w:rsidR="00B54F00" w:rsidRPr="003A7E48" w:rsidRDefault="00B54F00"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53E23AB" w14:textId="6AF72842" w:rsidR="00B54F00" w:rsidRPr="003A7E48" w:rsidRDefault="00B54F00" w:rsidP="00181FE6">
            <w:pPr>
              <w:pStyle w:val="Tabletext"/>
              <w:tabs>
                <w:tab w:val="left" w:pos="457"/>
                <w:tab w:val="left" w:pos="1024"/>
              </w:tabs>
              <w:rPr>
                <w:rFonts w:asciiTheme="minorHAnsi" w:hAnsiTheme="minorHAnsi" w:cstheme="minorHAnsi"/>
                <w:bCs/>
              </w:rPr>
            </w:pPr>
            <w:r w:rsidRPr="003A7E48">
              <w:rPr>
                <w:b/>
                <w:bCs/>
              </w:rPr>
              <w:t>2.2</w:t>
            </w:r>
            <w:r w:rsidRPr="003A7E48">
              <w:tab/>
            </w:r>
            <w:r w:rsidRPr="003A7E48">
              <w:rPr>
                <w:i/>
                <w:iCs/>
              </w:rPr>
              <w:t>Telecomunicación:</w:t>
            </w:r>
            <w:r w:rsidRPr="003A7E48">
              <w:t xml:space="preserve"> Toda transmisión, emisión o recepción de signos, señales, escritos, imágenes, sonidos o informaciones de cualquier naturaleza por hilo, radioelectricidad, medio ópticos u otros sistemas electromagnéticos.</w:t>
            </w:r>
          </w:p>
        </w:tc>
        <w:tc>
          <w:tcPr>
            <w:tcW w:w="3551" w:type="dxa"/>
            <w:tcBorders>
              <w:top w:val="single" w:sz="4" w:space="0" w:color="auto"/>
              <w:left w:val="single" w:sz="4" w:space="0" w:color="auto"/>
              <w:bottom w:val="single" w:sz="4" w:space="0" w:color="auto"/>
              <w:right w:val="single" w:sz="4" w:space="0" w:color="auto"/>
            </w:tcBorders>
          </w:tcPr>
          <w:p w14:paraId="0BEB116B" w14:textId="7F0C7EA4" w:rsidR="00B54F00" w:rsidRPr="003A7E48" w:rsidRDefault="00B54F00" w:rsidP="003916DF">
            <w:pPr>
              <w:pStyle w:val="Tabletext"/>
              <w:tabs>
                <w:tab w:val="left" w:pos="457"/>
                <w:tab w:val="left" w:pos="1024"/>
              </w:tabs>
              <w:rPr>
                <w:rFonts w:asciiTheme="minorHAnsi" w:hAnsiTheme="minorHAnsi" w:cstheme="minorHAnsi"/>
                <w:bCs/>
              </w:rPr>
            </w:pPr>
            <w:r w:rsidRPr="003A7E48">
              <w:rPr>
                <w:rFonts w:asciiTheme="minorHAnsi" w:hAnsiTheme="minorHAnsi"/>
                <w:b/>
                <w:bCs/>
              </w:rPr>
              <w:t>2.1</w:t>
            </w:r>
            <w:r w:rsidRPr="003A7E48">
              <w:rPr>
                <w:rFonts w:asciiTheme="minorHAnsi" w:hAnsiTheme="minorHAnsi"/>
              </w:rPr>
              <w:tab/>
            </w:r>
            <w:r w:rsidRPr="003A7E48">
              <w:rPr>
                <w:i/>
                <w:iCs/>
              </w:rPr>
              <w:t>Telecomunicación:</w:t>
            </w:r>
            <w:r w:rsidRPr="003A7E48">
              <w:t xml:space="preserve"> Toda transmisión, emisión o recepción de signos, señales, escritos, imágenes, sonidos o informaciones de cualquier naturaleza por hilo, radioelectricidad, medio</w:t>
            </w:r>
            <w:r w:rsidR="00FE3928">
              <w:t>s</w:t>
            </w:r>
            <w:r w:rsidRPr="003A7E48">
              <w:t xml:space="preserve"> ópticos u otros sistemas electromagnéticos.</w:t>
            </w:r>
          </w:p>
        </w:tc>
        <w:tc>
          <w:tcPr>
            <w:tcW w:w="2226" w:type="dxa"/>
            <w:tcBorders>
              <w:top w:val="single" w:sz="4" w:space="0" w:color="auto"/>
              <w:left w:val="single" w:sz="4" w:space="0" w:color="auto"/>
              <w:bottom w:val="single" w:sz="4" w:space="0" w:color="auto"/>
              <w:right w:val="single" w:sz="4" w:space="0" w:color="auto"/>
            </w:tcBorders>
          </w:tcPr>
          <w:p w14:paraId="5407F57C" w14:textId="2F5F3FDB"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5061780D" w14:textId="4BEF9F3D"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46477B0A" w14:textId="0386DE8A" w:rsidR="00B54F00" w:rsidRPr="003A7E48" w:rsidRDefault="006C65F5" w:rsidP="00D378F1">
            <w:pPr>
              <w:pStyle w:val="Tabletext"/>
            </w:pPr>
            <w:r w:rsidRPr="003A7E48">
              <w:t>Mantener el texto sin cambios</w:t>
            </w:r>
          </w:p>
        </w:tc>
      </w:tr>
      <w:tr w:rsidR="00B54F00" w:rsidRPr="003A7E48" w14:paraId="54041E8A" w14:textId="77777777" w:rsidTr="00040DC6">
        <w:trPr>
          <w:cantSplit/>
        </w:trPr>
        <w:tc>
          <w:tcPr>
            <w:tcW w:w="1129" w:type="dxa"/>
            <w:tcBorders>
              <w:left w:val="single" w:sz="4" w:space="0" w:color="auto"/>
              <w:right w:val="single" w:sz="4" w:space="0" w:color="auto"/>
            </w:tcBorders>
          </w:tcPr>
          <w:p w14:paraId="4B14E923" w14:textId="77777777" w:rsidR="00B54F00" w:rsidRPr="003A7E48" w:rsidRDefault="00B54F00"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C40AF3D" w14:textId="6D497B22" w:rsidR="00B54F00" w:rsidRPr="003A7E48" w:rsidRDefault="00B54F00" w:rsidP="00181FE6">
            <w:pPr>
              <w:pStyle w:val="Tabletext"/>
              <w:tabs>
                <w:tab w:val="left" w:pos="457"/>
                <w:tab w:val="left" w:pos="1024"/>
              </w:tabs>
              <w:rPr>
                <w:rFonts w:asciiTheme="minorHAnsi" w:hAnsiTheme="minorHAnsi" w:cstheme="minorHAnsi"/>
                <w:bCs/>
              </w:rPr>
            </w:pPr>
            <w:r w:rsidRPr="003A7E48">
              <w:rPr>
                <w:b/>
                <w:bCs/>
              </w:rPr>
              <w:t>2.3</w:t>
            </w:r>
            <w:r w:rsidRPr="003A7E48">
              <w:tab/>
            </w:r>
            <w:r w:rsidRPr="003A7E48">
              <w:rPr>
                <w:i/>
                <w:iCs/>
              </w:rPr>
              <w:t>Servicio internacional de telecomunicación:</w:t>
            </w:r>
            <w:r w:rsidRPr="003A7E48">
              <w:t xml:space="preserve"> Prestación de telecomunicación entre oficinas o estaciones de telecomunicación de cualquier naturaleza, situadas en países distintos o pertenecientes a países distintos.</w:t>
            </w:r>
          </w:p>
        </w:tc>
        <w:tc>
          <w:tcPr>
            <w:tcW w:w="3551" w:type="dxa"/>
            <w:tcBorders>
              <w:top w:val="single" w:sz="4" w:space="0" w:color="auto"/>
              <w:left w:val="single" w:sz="4" w:space="0" w:color="auto"/>
              <w:bottom w:val="single" w:sz="4" w:space="0" w:color="auto"/>
              <w:right w:val="single" w:sz="4" w:space="0" w:color="auto"/>
            </w:tcBorders>
          </w:tcPr>
          <w:p w14:paraId="588FBAF5" w14:textId="3705B173" w:rsidR="00B54F00" w:rsidRPr="003A7E48" w:rsidRDefault="00B54F00" w:rsidP="003916DF">
            <w:pPr>
              <w:pStyle w:val="Tabletext"/>
              <w:tabs>
                <w:tab w:val="left" w:pos="457"/>
                <w:tab w:val="left" w:pos="1024"/>
              </w:tabs>
              <w:rPr>
                <w:rFonts w:asciiTheme="minorHAnsi" w:hAnsiTheme="minorHAnsi" w:cstheme="minorHAnsi"/>
                <w:bCs/>
              </w:rPr>
            </w:pPr>
            <w:r w:rsidRPr="003A7E48">
              <w:rPr>
                <w:rFonts w:asciiTheme="minorHAnsi" w:hAnsiTheme="minorHAnsi"/>
              </w:rPr>
              <w:t>2.2</w:t>
            </w:r>
            <w:r w:rsidRPr="003A7E48">
              <w:rPr>
                <w:rFonts w:asciiTheme="minorHAnsi" w:hAnsiTheme="minorHAnsi"/>
              </w:rPr>
              <w:tab/>
            </w:r>
            <w:r w:rsidRPr="003A7E48">
              <w:rPr>
                <w:i/>
                <w:iCs/>
              </w:rPr>
              <w:t>Servicio internacional de telecomunicación:</w:t>
            </w:r>
            <w:r w:rsidRPr="003A7E48">
              <w:t xml:space="preserve"> Prestación de telecomunicación entre oficinas o estaciones de telecomunicación de cualquier naturaleza, situadas en países distintos o pertenecientes a países distintos.</w:t>
            </w:r>
          </w:p>
        </w:tc>
        <w:tc>
          <w:tcPr>
            <w:tcW w:w="2226" w:type="dxa"/>
            <w:tcBorders>
              <w:top w:val="single" w:sz="4" w:space="0" w:color="auto"/>
              <w:left w:val="single" w:sz="4" w:space="0" w:color="auto"/>
              <w:bottom w:val="single" w:sz="4" w:space="0" w:color="auto"/>
              <w:right w:val="single" w:sz="4" w:space="0" w:color="auto"/>
            </w:tcBorders>
          </w:tcPr>
          <w:p w14:paraId="1D043654" w14:textId="441EEAB9"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45A4E884" w14:textId="5F3663CF"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6278EC0A" w14:textId="3246EA8F" w:rsidR="00B54F00" w:rsidRPr="003A7E48" w:rsidRDefault="0070177B" w:rsidP="00D378F1">
            <w:pPr>
              <w:pStyle w:val="Tabletext"/>
            </w:pPr>
            <w:r w:rsidRPr="003A7E48">
              <w:t>Mantener el texto</w:t>
            </w:r>
          </w:p>
        </w:tc>
      </w:tr>
      <w:tr w:rsidR="00B54F00" w:rsidRPr="003A7E48" w14:paraId="18CF0308" w14:textId="77777777" w:rsidTr="00040DC6">
        <w:trPr>
          <w:cantSplit/>
        </w:trPr>
        <w:tc>
          <w:tcPr>
            <w:tcW w:w="1129" w:type="dxa"/>
            <w:tcBorders>
              <w:left w:val="single" w:sz="4" w:space="0" w:color="auto"/>
              <w:right w:val="single" w:sz="4" w:space="0" w:color="auto"/>
            </w:tcBorders>
          </w:tcPr>
          <w:p w14:paraId="3D1464FB"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272CAA6" w14:textId="51384B50" w:rsidR="00B54F00" w:rsidRPr="003A7E48" w:rsidRDefault="00B54F00" w:rsidP="00181FE6">
            <w:pPr>
              <w:pStyle w:val="Tabletext"/>
              <w:tabs>
                <w:tab w:val="left" w:pos="457"/>
                <w:tab w:val="left" w:pos="1024"/>
              </w:tabs>
              <w:rPr>
                <w:rFonts w:asciiTheme="minorHAnsi" w:hAnsiTheme="minorHAnsi" w:cstheme="minorHAnsi"/>
                <w:bCs/>
                <w:highlight w:val="yellow"/>
              </w:rPr>
            </w:pPr>
            <w:r w:rsidRPr="003A7E48">
              <w:rPr>
                <w:rFonts w:asciiTheme="minorHAnsi" w:hAnsiTheme="minorHAnsi"/>
                <w:b/>
                <w:bCs/>
              </w:rPr>
              <w:t>2.</w:t>
            </w:r>
            <w:bookmarkStart w:id="10" w:name="lt_pId209"/>
            <w:r w:rsidRPr="003A7E48">
              <w:rPr>
                <w:b/>
                <w:bCs/>
              </w:rPr>
              <w:t>4</w:t>
            </w:r>
            <w:r w:rsidRPr="003A7E48">
              <w:tab/>
            </w:r>
            <w:r w:rsidRPr="003A7E48">
              <w:rPr>
                <w:i/>
                <w:iCs/>
              </w:rPr>
              <w:t>Telecomunicación de Estado:</w:t>
            </w:r>
            <w:r w:rsidRPr="003A7E48">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las respuestas a las citadas telecomunicaciones de Estado.</w:t>
            </w:r>
            <w:bookmarkEnd w:id="10"/>
          </w:p>
        </w:tc>
        <w:tc>
          <w:tcPr>
            <w:tcW w:w="3551" w:type="dxa"/>
            <w:tcBorders>
              <w:top w:val="single" w:sz="4" w:space="0" w:color="auto"/>
              <w:left w:val="single" w:sz="4" w:space="0" w:color="auto"/>
              <w:bottom w:val="single" w:sz="4" w:space="0" w:color="auto"/>
              <w:right w:val="single" w:sz="4" w:space="0" w:color="auto"/>
            </w:tcBorders>
          </w:tcPr>
          <w:p w14:paraId="18D51780" w14:textId="77AE2B54" w:rsidR="00B54F00" w:rsidRPr="003A7E48" w:rsidRDefault="00B54F00" w:rsidP="003916DF">
            <w:pPr>
              <w:pStyle w:val="Tabletext"/>
              <w:tabs>
                <w:tab w:val="left" w:pos="457"/>
                <w:tab w:val="left" w:pos="1024"/>
              </w:tabs>
              <w:rPr>
                <w:rFonts w:asciiTheme="minorHAnsi" w:hAnsiTheme="minorHAnsi" w:cstheme="minorHAnsi"/>
                <w:bCs/>
              </w:rPr>
            </w:pPr>
            <w:r w:rsidRPr="003A7E48">
              <w:rPr>
                <w:rFonts w:asciiTheme="minorHAnsi" w:hAnsiTheme="minorHAnsi"/>
              </w:rPr>
              <w:t>2.3</w:t>
            </w:r>
            <w:r w:rsidRPr="003A7E48">
              <w:rPr>
                <w:rFonts w:asciiTheme="minorHAnsi" w:hAnsiTheme="minorHAnsi"/>
              </w:rPr>
              <w:tab/>
            </w:r>
            <w:r w:rsidRPr="003A7E48">
              <w:rPr>
                <w:i/>
                <w:iCs/>
              </w:rPr>
              <w:t>Telecomunicación de Estado:</w:t>
            </w:r>
            <w:r w:rsidRPr="003A7E48">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tc>
        <w:tc>
          <w:tcPr>
            <w:tcW w:w="2226" w:type="dxa"/>
            <w:tcBorders>
              <w:top w:val="single" w:sz="4" w:space="0" w:color="auto"/>
              <w:left w:val="single" w:sz="4" w:space="0" w:color="auto"/>
              <w:bottom w:val="single" w:sz="4" w:space="0" w:color="auto"/>
              <w:right w:val="single" w:sz="4" w:space="0" w:color="auto"/>
            </w:tcBorders>
          </w:tcPr>
          <w:p w14:paraId="41F35122" w14:textId="613E9AB5"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2E7C51B4" w14:textId="42AF51A2"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725743C0" w14:textId="2E7D80D1" w:rsidR="00B54F00" w:rsidRPr="003A7E48" w:rsidRDefault="0070177B" w:rsidP="00D378F1">
            <w:pPr>
              <w:pStyle w:val="Tabletext"/>
            </w:pPr>
            <w:r w:rsidRPr="003A7E48">
              <w:t>Mantener el texto</w:t>
            </w:r>
          </w:p>
        </w:tc>
      </w:tr>
      <w:tr w:rsidR="00B54F00" w:rsidRPr="003A7E48" w14:paraId="430EF0C0" w14:textId="77777777" w:rsidTr="00040DC6">
        <w:tc>
          <w:tcPr>
            <w:tcW w:w="1129" w:type="dxa"/>
            <w:tcBorders>
              <w:left w:val="single" w:sz="4" w:space="0" w:color="auto"/>
              <w:right w:val="single" w:sz="4" w:space="0" w:color="auto"/>
            </w:tcBorders>
          </w:tcPr>
          <w:p w14:paraId="58B3FB22"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6B1C944" w14:textId="3E56BB2E" w:rsidR="00B54F00" w:rsidRPr="003A7E48" w:rsidRDefault="00B54F00" w:rsidP="00181FE6">
            <w:pPr>
              <w:pStyle w:val="Tabletext"/>
              <w:tabs>
                <w:tab w:val="left" w:pos="457"/>
                <w:tab w:val="left" w:pos="1024"/>
              </w:tabs>
            </w:pPr>
            <w:r w:rsidRPr="003A7E48">
              <w:t>2.5</w:t>
            </w:r>
            <w:r w:rsidRPr="003A7E48">
              <w:tab/>
            </w:r>
            <w:r w:rsidRPr="003A7E48">
              <w:rPr>
                <w:bCs/>
                <w:i/>
                <w:iCs/>
              </w:rPr>
              <w:t>Telecomunicación de servicio:</w:t>
            </w:r>
            <w:r w:rsidRPr="003A7E48">
              <w:t xml:space="preserve"> </w:t>
            </w:r>
            <w:r w:rsidRPr="003A7E48">
              <w:rPr>
                <w:bCs/>
              </w:rPr>
              <w:t xml:space="preserve">Telecomunicación relativa a las </w:t>
            </w:r>
            <w:r w:rsidRPr="003A7E48">
              <w:t>telecomunicaciones públicas internacionales y cursada entre las personas o entidades</w:t>
            </w:r>
            <w:r w:rsidRPr="003A7E48">
              <w:rPr>
                <w:bCs/>
              </w:rPr>
              <w:t xml:space="preserve"> siguientes</w:t>
            </w:r>
            <w:r w:rsidRPr="003A7E48">
              <w:t>:</w:t>
            </w:r>
          </w:p>
          <w:p w14:paraId="360D6D64" w14:textId="24C0E22E" w:rsidR="00B54F00" w:rsidRPr="003A7E48" w:rsidRDefault="00B54F00" w:rsidP="00181FE6">
            <w:pPr>
              <w:pStyle w:val="Tabletext"/>
              <w:tabs>
                <w:tab w:val="left" w:pos="457"/>
                <w:tab w:val="left" w:pos="1024"/>
              </w:tabs>
            </w:pPr>
            <w:r w:rsidRPr="003A7E48">
              <w:t>–</w:t>
            </w:r>
            <w:r w:rsidRPr="003A7E48">
              <w:tab/>
              <w:t>Estados Miembros;</w:t>
            </w:r>
          </w:p>
          <w:p w14:paraId="0C1AE839" w14:textId="6E9098B3" w:rsidR="00B54F00" w:rsidRPr="003A7E48" w:rsidRDefault="00B54F00" w:rsidP="003916DF">
            <w:pPr>
              <w:pStyle w:val="Tabletext"/>
              <w:tabs>
                <w:tab w:val="left" w:pos="457"/>
                <w:tab w:val="left" w:pos="1024"/>
              </w:tabs>
              <w:ind w:left="457" w:hanging="457"/>
            </w:pPr>
            <w:r w:rsidRPr="003A7E48">
              <w:t>–</w:t>
            </w:r>
            <w:r w:rsidRPr="003A7E48">
              <w:tab/>
              <w:t>empresas de explotación autorizadas;</w:t>
            </w:r>
          </w:p>
          <w:p w14:paraId="0BB62E28" w14:textId="694EB8F8" w:rsidR="00B54F00" w:rsidRPr="003A7E48" w:rsidRDefault="00B54F00" w:rsidP="003916DF">
            <w:pPr>
              <w:pStyle w:val="Tabletext"/>
              <w:tabs>
                <w:tab w:val="left" w:pos="457"/>
                <w:tab w:val="left" w:pos="1024"/>
              </w:tabs>
              <w:ind w:left="457" w:hanging="457"/>
              <w:rPr>
                <w:rFonts w:asciiTheme="minorHAnsi" w:hAnsiTheme="minorHAnsi" w:cstheme="minorHAnsi"/>
                <w:bCs/>
              </w:rPr>
            </w:pPr>
            <w:r w:rsidRPr="003A7E48">
              <w:br w:type="page"/>
              <w:t>–</w:t>
            </w:r>
            <w:r w:rsidRPr="003A7E48">
              <w:tab/>
              <w:t xml:space="preserve">el Presidente del Consejo, el Secretario General, el Vicesecretario General, los Directores de las Oficinas, los miembros de la Junta del </w:t>
            </w:r>
            <w:r w:rsidRPr="003A7E48">
              <w:lastRenderedPageBreak/>
              <w:t>Reglamento de Radiocomunicaciones, cualquier otro representante o funcionario autorizado de la Unión, incluidos los que se ocupan de asuntos oficiales fuera de la Sede de la Unión.</w:t>
            </w:r>
          </w:p>
        </w:tc>
        <w:tc>
          <w:tcPr>
            <w:tcW w:w="3551" w:type="dxa"/>
            <w:tcBorders>
              <w:top w:val="single" w:sz="4" w:space="0" w:color="auto"/>
              <w:left w:val="single" w:sz="4" w:space="0" w:color="auto"/>
              <w:bottom w:val="single" w:sz="4" w:space="0" w:color="auto"/>
              <w:right w:val="single" w:sz="4" w:space="0" w:color="auto"/>
            </w:tcBorders>
          </w:tcPr>
          <w:p w14:paraId="67157019" w14:textId="471CD82E" w:rsidR="00B54F00" w:rsidRPr="003A7E48" w:rsidRDefault="00B54F00" w:rsidP="003916DF">
            <w:pPr>
              <w:pStyle w:val="Tabletext"/>
              <w:tabs>
                <w:tab w:val="left" w:pos="457"/>
                <w:tab w:val="left" w:pos="1024"/>
              </w:tabs>
              <w:rPr>
                <w:rFonts w:asciiTheme="minorHAnsi" w:hAnsiTheme="minorHAnsi"/>
                <w:b/>
                <w:bCs/>
              </w:rPr>
            </w:pPr>
            <w:r w:rsidRPr="003A7E48">
              <w:rPr>
                <w:rFonts w:asciiTheme="minorHAnsi" w:hAnsiTheme="minorHAnsi"/>
                <w:b/>
                <w:bCs/>
              </w:rPr>
              <w:lastRenderedPageBreak/>
              <w:t>2.4</w:t>
            </w:r>
            <w:r w:rsidRPr="003A7E48">
              <w:rPr>
                <w:rFonts w:asciiTheme="minorHAnsi" w:hAnsiTheme="minorHAnsi"/>
                <w:b/>
                <w:bCs/>
              </w:rPr>
              <w:tab/>
            </w:r>
            <w:r w:rsidRPr="003A7E48">
              <w:rPr>
                <w:b/>
                <w:bCs/>
              </w:rPr>
              <w:t>Telecomunicación de servicio</w:t>
            </w:r>
          </w:p>
          <w:p w14:paraId="4030717F" w14:textId="77777777" w:rsidR="00B54F00" w:rsidRPr="003A7E48" w:rsidRDefault="00B54F00" w:rsidP="00D378F1">
            <w:pPr>
              <w:pStyle w:val="Tabletext"/>
            </w:pPr>
            <w:r w:rsidRPr="003A7E48">
              <w:t>Telecomunicación relativa a las telecomunicaciones públicas internacionales y cursada entre las personas o entidades siguientes:</w:t>
            </w:r>
          </w:p>
          <w:p w14:paraId="2890E71D" w14:textId="77777777" w:rsidR="00B54F00" w:rsidRPr="003A7E48" w:rsidRDefault="00B54F00" w:rsidP="003916DF">
            <w:pPr>
              <w:pStyle w:val="Tabletext"/>
              <w:tabs>
                <w:tab w:val="left" w:pos="457"/>
                <w:tab w:val="left" w:pos="1024"/>
              </w:tabs>
            </w:pPr>
            <w:r w:rsidRPr="003A7E48">
              <w:t>–</w:t>
            </w:r>
            <w:r w:rsidRPr="003A7E48">
              <w:tab/>
              <w:t>las administraciones;</w:t>
            </w:r>
          </w:p>
          <w:p w14:paraId="5DEF7D4D" w14:textId="77777777" w:rsidR="00B54F00" w:rsidRPr="003A7E48" w:rsidRDefault="00B54F00" w:rsidP="003916DF">
            <w:pPr>
              <w:pStyle w:val="Tabletext"/>
              <w:tabs>
                <w:tab w:val="left" w:pos="457"/>
                <w:tab w:val="left" w:pos="1024"/>
              </w:tabs>
              <w:ind w:left="457" w:hanging="457"/>
            </w:pPr>
            <w:r w:rsidRPr="003A7E48">
              <w:t>–</w:t>
            </w:r>
            <w:r w:rsidRPr="003A7E48">
              <w:tab/>
              <w:t>las empresas privadas de explotación reconocidas;</w:t>
            </w:r>
          </w:p>
          <w:p w14:paraId="3C7A586F" w14:textId="289E5A00" w:rsidR="00B54F00" w:rsidRPr="003A7E48" w:rsidRDefault="00B54F00" w:rsidP="003916DF">
            <w:pPr>
              <w:pStyle w:val="Tabletext"/>
              <w:tabs>
                <w:tab w:val="left" w:pos="457"/>
                <w:tab w:val="left" w:pos="1024"/>
              </w:tabs>
              <w:ind w:left="457" w:hanging="457"/>
              <w:rPr>
                <w:rFonts w:asciiTheme="minorHAnsi" w:hAnsiTheme="minorHAnsi" w:cstheme="minorHAnsi"/>
                <w:bCs/>
              </w:rPr>
            </w:pPr>
            <w:r w:rsidRPr="003A7E48">
              <w:t>–</w:t>
            </w:r>
            <w:r w:rsidRPr="003A7E48">
              <w:tab/>
              <w:t xml:space="preserve">el Presidente del Consejo de Administración, el Secretario General, el Vicesecretario General, los Directores de los Comités Consultivos </w:t>
            </w:r>
            <w:r w:rsidRPr="003A7E48">
              <w:lastRenderedPageBreak/>
              <w:t>Internacionales, los miembros de la Junta Internacional de Registro de Frecuencias, otros representantes o funcionarios autorizados de la Unión, comprendidos los que se ocupan de asuntos oficiales fuera de la Sede de la Unión.</w:t>
            </w:r>
          </w:p>
        </w:tc>
        <w:tc>
          <w:tcPr>
            <w:tcW w:w="2226" w:type="dxa"/>
            <w:tcBorders>
              <w:top w:val="single" w:sz="4" w:space="0" w:color="auto"/>
              <w:left w:val="single" w:sz="4" w:space="0" w:color="auto"/>
              <w:bottom w:val="single" w:sz="4" w:space="0" w:color="auto"/>
              <w:right w:val="single" w:sz="4" w:space="0" w:color="auto"/>
            </w:tcBorders>
          </w:tcPr>
          <w:p w14:paraId="3C9F5CA3" w14:textId="5F557971" w:rsidR="00B54F00" w:rsidRPr="003A7E48" w:rsidRDefault="006C65F5" w:rsidP="00D378F1">
            <w:pPr>
              <w:pStyle w:val="Tabletext"/>
            </w:pPr>
            <w:r w:rsidRPr="003A7E48">
              <w:lastRenderedPageBreak/>
              <w:t>El texto es aplicable</w:t>
            </w:r>
          </w:p>
        </w:tc>
        <w:tc>
          <w:tcPr>
            <w:tcW w:w="2053" w:type="dxa"/>
            <w:tcBorders>
              <w:top w:val="single" w:sz="4" w:space="0" w:color="auto"/>
              <w:left w:val="single" w:sz="4" w:space="0" w:color="auto"/>
              <w:bottom w:val="single" w:sz="4" w:space="0" w:color="auto"/>
              <w:right w:val="single" w:sz="4" w:space="0" w:color="auto"/>
            </w:tcBorders>
          </w:tcPr>
          <w:p w14:paraId="48B1A98A" w14:textId="33649626"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62C1E22E" w14:textId="63EBB4E9" w:rsidR="00B54F00" w:rsidRPr="003A7E48" w:rsidRDefault="0070177B" w:rsidP="00D378F1">
            <w:pPr>
              <w:pStyle w:val="Tabletext"/>
            </w:pPr>
            <w:r w:rsidRPr="003A7E48">
              <w:t>Mantener el texto</w:t>
            </w:r>
          </w:p>
        </w:tc>
      </w:tr>
      <w:tr w:rsidR="00B54F00" w:rsidRPr="003A7E48" w14:paraId="1152CDE3" w14:textId="77777777" w:rsidTr="00040DC6">
        <w:trPr>
          <w:cantSplit/>
        </w:trPr>
        <w:tc>
          <w:tcPr>
            <w:tcW w:w="1129" w:type="dxa"/>
            <w:tcBorders>
              <w:left w:val="single" w:sz="4" w:space="0" w:color="auto"/>
              <w:right w:val="single" w:sz="4" w:space="0" w:color="auto"/>
            </w:tcBorders>
          </w:tcPr>
          <w:p w14:paraId="2F36E120"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7674743" w14:textId="3CF2D607" w:rsidR="00B54F00" w:rsidRPr="003A7E48" w:rsidRDefault="00AE1145" w:rsidP="00AE1145">
            <w:pPr>
              <w:pStyle w:val="Tabletext"/>
              <w:tabs>
                <w:tab w:val="left" w:pos="457"/>
                <w:tab w:val="left" w:pos="1024"/>
              </w:tabs>
              <w:rPr>
                <w:b/>
                <w:bCs/>
                <w:strike/>
              </w:rPr>
            </w:pPr>
            <w:r w:rsidRPr="003A7E48">
              <w:rPr>
                <w:b/>
                <w:bCs/>
                <w:strike/>
              </w:rPr>
              <w:t>2.5</w:t>
            </w:r>
            <w:r w:rsidRPr="003A7E48">
              <w:rPr>
                <w:b/>
                <w:bCs/>
                <w:strike/>
              </w:rPr>
              <w:tab/>
              <w:t>Telecomunicación privilegiada:</w:t>
            </w:r>
          </w:p>
        </w:tc>
        <w:tc>
          <w:tcPr>
            <w:tcW w:w="3551" w:type="dxa"/>
            <w:tcBorders>
              <w:top w:val="single" w:sz="4" w:space="0" w:color="auto"/>
              <w:left w:val="single" w:sz="4" w:space="0" w:color="auto"/>
              <w:bottom w:val="single" w:sz="4" w:space="0" w:color="auto"/>
              <w:right w:val="single" w:sz="4" w:space="0" w:color="auto"/>
            </w:tcBorders>
          </w:tcPr>
          <w:p w14:paraId="0025CFDA" w14:textId="52F05E97" w:rsidR="00B54F00" w:rsidRPr="003A7E48" w:rsidRDefault="00B54F00" w:rsidP="003916DF">
            <w:pPr>
              <w:pStyle w:val="Tabletext"/>
              <w:tabs>
                <w:tab w:val="left" w:pos="457"/>
                <w:tab w:val="left" w:pos="1024"/>
              </w:tabs>
            </w:pPr>
            <w:r w:rsidRPr="003A7E48">
              <w:t>2.5</w:t>
            </w:r>
            <w:r w:rsidRPr="003A7E48">
              <w:tab/>
              <w:t>Telecomunicación privilegiada</w:t>
            </w:r>
          </w:p>
          <w:p w14:paraId="45A390FF" w14:textId="4B09AB20" w:rsidR="00B54F00" w:rsidRPr="003A7E48" w:rsidRDefault="00B54F00" w:rsidP="00181FE6">
            <w:pPr>
              <w:pStyle w:val="Tabletext"/>
              <w:tabs>
                <w:tab w:val="left" w:pos="457"/>
                <w:tab w:val="left" w:pos="1024"/>
              </w:tabs>
            </w:pPr>
            <w:r w:rsidRPr="003A7E48">
              <w:t>2.5.1</w:t>
            </w:r>
            <w:r w:rsidRPr="003A7E48">
              <w:tab/>
              <w:t>Telecomunicación que puede intercambiarse durante:</w:t>
            </w:r>
          </w:p>
          <w:p w14:paraId="48CE5285" w14:textId="77777777" w:rsidR="00B54F00" w:rsidRPr="003A7E48" w:rsidRDefault="00B54F00" w:rsidP="003916DF">
            <w:pPr>
              <w:pStyle w:val="Tabletext"/>
              <w:tabs>
                <w:tab w:val="left" w:pos="457"/>
                <w:tab w:val="left" w:pos="1024"/>
              </w:tabs>
              <w:ind w:left="457" w:hanging="457"/>
            </w:pPr>
            <w:r w:rsidRPr="003A7E48">
              <w:t>–</w:t>
            </w:r>
            <w:r w:rsidRPr="003A7E48">
              <w:tab/>
              <w:t>las reuniones del Consejo de Administración de la UIT;</w:t>
            </w:r>
          </w:p>
          <w:p w14:paraId="625ACB70" w14:textId="77777777" w:rsidR="00B54F00" w:rsidRPr="003A7E48" w:rsidRDefault="00B54F00" w:rsidP="003916DF">
            <w:pPr>
              <w:pStyle w:val="Tabletext"/>
              <w:tabs>
                <w:tab w:val="left" w:pos="457"/>
                <w:tab w:val="left" w:pos="1024"/>
              </w:tabs>
              <w:ind w:left="457" w:hanging="457"/>
            </w:pPr>
            <w:r w:rsidRPr="003A7E48">
              <w:t>–</w:t>
            </w:r>
            <w:r w:rsidRPr="003A7E48">
              <w:tab/>
              <w:t>las conferencias y reuniones de la UIT</w:t>
            </w:r>
          </w:p>
          <w:p w14:paraId="2EFE6653" w14:textId="02C061BC" w:rsidR="00B54F00" w:rsidRPr="003A7E48" w:rsidRDefault="00C714DA" w:rsidP="00C714DA">
            <w:pPr>
              <w:pStyle w:val="Tabletext"/>
              <w:tabs>
                <w:tab w:val="left" w:pos="457"/>
                <w:tab w:val="left" w:pos="1024"/>
              </w:tabs>
              <w:ind w:left="457" w:hanging="457"/>
            </w:pPr>
            <w:r w:rsidRPr="003A7E48">
              <w:t>–</w:t>
            </w:r>
            <w:r w:rsidRPr="003A7E48">
              <w:tab/>
            </w:r>
            <w:r w:rsidR="00B54F00" w:rsidRPr="003A7E48">
              <w: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t>
            </w:r>
          </w:p>
        </w:tc>
        <w:tc>
          <w:tcPr>
            <w:tcW w:w="2226" w:type="dxa"/>
            <w:tcBorders>
              <w:top w:val="single" w:sz="4" w:space="0" w:color="auto"/>
              <w:left w:val="single" w:sz="4" w:space="0" w:color="auto"/>
              <w:bottom w:val="single" w:sz="4" w:space="0" w:color="auto"/>
              <w:right w:val="single" w:sz="4" w:space="0" w:color="auto"/>
            </w:tcBorders>
          </w:tcPr>
          <w:p w14:paraId="70A83E4A" w14:textId="77777777" w:rsidR="00B54F00" w:rsidRPr="003A7E48" w:rsidRDefault="00B54F00"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016A894F" w14:textId="77777777" w:rsidR="00B54F00" w:rsidRPr="003A7E48" w:rsidRDefault="00B54F00"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6F2248E1" w14:textId="6B117D6C" w:rsidR="00B54F00" w:rsidRPr="003A7E48" w:rsidRDefault="00B54F00" w:rsidP="00D378F1">
            <w:pPr>
              <w:pStyle w:val="Tabletext"/>
            </w:pPr>
          </w:p>
        </w:tc>
      </w:tr>
      <w:tr w:rsidR="00B54F00" w:rsidRPr="003A7E48" w14:paraId="4B11B8A5" w14:textId="77777777" w:rsidTr="00040DC6">
        <w:trPr>
          <w:cantSplit/>
        </w:trPr>
        <w:tc>
          <w:tcPr>
            <w:tcW w:w="1129" w:type="dxa"/>
            <w:tcBorders>
              <w:left w:val="single" w:sz="4" w:space="0" w:color="auto"/>
              <w:right w:val="single" w:sz="4" w:space="0" w:color="auto"/>
            </w:tcBorders>
          </w:tcPr>
          <w:p w14:paraId="30B13CEE"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1A7B4A88" w14:textId="77777777" w:rsidR="00B54F00" w:rsidRPr="003A7E48" w:rsidRDefault="00B54F00" w:rsidP="003700C5">
            <w:pPr>
              <w:pStyle w:val="Tabletext"/>
            </w:pPr>
          </w:p>
        </w:tc>
        <w:tc>
          <w:tcPr>
            <w:tcW w:w="3551" w:type="dxa"/>
            <w:tcBorders>
              <w:top w:val="single" w:sz="4" w:space="0" w:color="auto"/>
              <w:left w:val="single" w:sz="4" w:space="0" w:color="auto"/>
              <w:bottom w:val="single" w:sz="4" w:space="0" w:color="auto"/>
              <w:right w:val="single" w:sz="4" w:space="0" w:color="auto"/>
            </w:tcBorders>
          </w:tcPr>
          <w:p w14:paraId="06E7159B" w14:textId="136433C4" w:rsidR="00B54F00" w:rsidRPr="003A7E48" w:rsidRDefault="00B54F00" w:rsidP="00181FE6">
            <w:pPr>
              <w:pStyle w:val="Tabletext"/>
              <w:tabs>
                <w:tab w:val="left" w:pos="457"/>
                <w:tab w:val="left" w:pos="1024"/>
              </w:tabs>
              <w:rPr>
                <w:rFonts w:asciiTheme="minorHAnsi" w:hAnsiTheme="minorHAnsi" w:cstheme="minorHAnsi"/>
                <w:bCs/>
              </w:rPr>
            </w:pPr>
            <w:r w:rsidRPr="003A7E48">
              <w:rPr>
                <w:rFonts w:asciiTheme="minorHAnsi" w:hAnsiTheme="minorHAnsi"/>
              </w:rPr>
              <w:t>2.5.2</w:t>
            </w:r>
            <w:r w:rsidRPr="003A7E48">
              <w:rPr>
                <w:rFonts w:asciiTheme="minorHAnsi" w:hAnsiTheme="minorHAnsi"/>
              </w:rPr>
              <w:tab/>
            </w:r>
            <w:r w:rsidRPr="003A7E48">
              <w:t>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t>
            </w:r>
          </w:p>
        </w:tc>
        <w:tc>
          <w:tcPr>
            <w:tcW w:w="2226" w:type="dxa"/>
            <w:tcBorders>
              <w:top w:val="single" w:sz="4" w:space="0" w:color="auto"/>
              <w:left w:val="single" w:sz="4" w:space="0" w:color="auto"/>
              <w:bottom w:val="single" w:sz="4" w:space="0" w:color="auto"/>
              <w:right w:val="single" w:sz="4" w:space="0" w:color="auto"/>
            </w:tcBorders>
          </w:tcPr>
          <w:p w14:paraId="6A3498BF" w14:textId="77777777" w:rsidR="00B54F00" w:rsidRPr="003A7E48" w:rsidRDefault="00B54F00"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7ED4D57D" w14:textId="77777777" w:rsidR="00B54F00" w:rsidRPr="003A7E48" w:rsidRDefault="00B54F00"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460F1126" w14:textId="19058E06" w:rsidR="00B54F00" w:rsidRPr="003A7E48" w:rsidRDefault="00B54F00" w:rsidP="00D378F1">
            <w:pPr>
              <w:pStyle w:val="Tabletext"/>
            </w:pPr>
          </w:p>
        </w:tc>
      </w:tr>
      <w:tr w:rsidR="00B54F00" w:rsidRPr="003A7E48" w14:paraId="2E636C31" w14:textId="77777777" w:rsidTr="00040DC6">
        <w:tc>
          <w:tcPr>
            <w:tcW w:w="1129" w:type="dxa"/>
            <w:tcBorders>
              <w:left w:val="single" w:sz="4" w:space="0" w:color="auto"/>
              <w:right w:val="single" w:sz="4" w:space="0" w:color="auto"/>
            </w:tcBorders>
          </w:tcPr>
          <w:p w14:paraId="01E5639E"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82B576C" w14:textId="198943B8" w:rsidR="00B54F00" w:rsidRPr="003A7E48" w:rsidRDefault="00B54F00" w:rsidP="00181FE6">
            <w:pPr>
              <w:pStyle w:val="Tabletext"/>
              <w:tabs>
                <w:tab w:val="left" w:pos="457"/>
                <w:tab w:val="left" w:pos="1024"/>
              </w:tabs>
              <w:rPr>
                <w:rFonts w:asciiTheme="minorHAnsi" w:hAnsiTheme="minorHAnsi" w:cstheme="minorHAnsi"/>
                <w:bCs/>
              </w:rPr>
            </w:pPr>
            <w:r w:rsidRPr="003A7E48">
              <w:rPr>
                <w:rFonts w:asciiTheme="minorHAnsi" w:hAnsiTheme="minorHAnsi"/>
              </w:rPr>
              <w:t>2.6</w:t>
            </w:r>
            <w:r w:rsidRPr="003A7E48">
              <w:rPr>
                <w:rFonts w:asciiTheme="minorHAnsi" w:hAnsiTheme="minorHAnsi"/>
              </w:rPr>
              <w:tab/>
            </w:r>
            <w:r w:rsidRPr="003A7E48">
              <w:rPr>
                <w:i/>
                <w:iCs/>
              </w:rPr>
              <w:t xml:space="preserve">Ruta internacional: </w:t>
            </w:r>
            <w:r w:rsidRPr="003A7E48">
              <w:t>Medios e instalaciones técnicos situados en diferentes países y utilizados para el tráfico de telecomunicaciones, entre dos centrales u oficinas terminales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11C5BED4" w14:textId="40B01535" w:rsidR="00B54F00" w:rsidRPr="003A7E48" w:rsidRDefault="00B54F00"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2.6</w:t>
            </w:r>
            <w:r w:rsidRPr="003A7E48">
              <w:rPr>
                <w:rFonts w:asciiTheme="minorHAnsi" w:hAnsiTheme="minorHAnsi"/>
              </w:rPr>
              <w:tab/>
            </w:r>
            <w:r w:rsidRPr="003A7E48">
              <w:rPr>
                <w:i/>
                <w:iCs/>
              </w:rPr>
              <w:t xml:space="preserve">Ruta internacional: </w:t>
            </w:r>
            <w:r w:rsidRPr="003A7E48">
              <w:t>Conjunto de medios técnicos situados en diferentes países y utilizados para el tráfico de telecomunicaciones, entre dos centrales u oficinas terminales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6A368768" w14:textId="1DB9D323"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48F58A0E" w14:textId="341FBFF3"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0EBE1CCC" w14:textId="4FF78C29" w:rsidR="00B54F00" w:rsidRPr="003A7E48" w:rsidRDefault="0070177B" w:rsidP="00D378F1">
            <w:pPr>
              <w:pStyle w:val="Tabletext"/>
            </w:pPr>
            <w:r w:rsidRPr="003A7E48">
              <w:t>Mantener el texto</w:t>
            </w:r>
          </w:p>
        </w:tc>
      </w:tr>
      <w:tr w:rsidR="00B54F00" w:rsidRPr="003A7E48" w14:paraId="0CBD2640" w14:textId="77777777" w:rsidTr="00040DC6">
        <w:trPr>
          <w:cantSplit/>
        </w:trPr>
        <w:tc>
          <w:tcPr>
            <w:tcW w:w="1129" w:type="dxa"/>
            <w:tcBorders>
              <w:left w:val="single" w:sz="4" w:space="0" w:color="auto"/>
              <w:right w:val="single" w:sz="4" w:space="0" w:color="auto"/>
            </w:tcBorders>
          </w:tcPr>
          <w:p w14:paraId="373A627A"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5E0B185" w14:textId="37DFA052" w:rsidR="00B54F00" w:rsidRPr="003A7E48" w:rsidRDefault="00B54F00" w:rsidP="00181FE6">
            <w:pPr>
              <w:pStyle w:val="Tabletext"/>
              <w:tabs>
                <w:tab w:val="left" w:pos="457"/>
                <w:tab w:val="left" w:pos="1024"/>
              </w:tabs>
              <w:rPr>
                <w:rFonts w:asciiTheme="minorHAnsi" w:hAnsiTheme="minorHAnsi" w:cstheme="minorHAnsi"/>
                <w:bCs/>
              </w:rPr>
            </w:pPr>
            <w:r w:rsidRPr="003A7E48">
              <w:rPr>
                <w:rFonts w:asciiTheme="minorHAnsi" w:hAnsiTheme="minorHAnsi"/>
              </w:rPr>
              <w:t>2.7</w:t>
            </w:r>
            <w:r w:rsidRPr="003A7E48">
              <w:rPr>
                <w:rFonts w:asciiTheme="minorHAnsi" w:hAnsiTheme="minorHAnsi"/>
              </w:rPr>
              <w:tab/>
            </w:r>
            <w:r w:rsidRPr="003A7E48">
              <w:rPr>
                <w:i/>
                <w:iCs/>
              </w:rPr>
              <w:t xml:space="preserve">Relación: </w:t>
            </w:r>
            <w:r w:rsidRPr="003A7E48">
              <w:t xml:space="preserve">Intercambio de tráfico entre dos países terminales, asociado siempre a un servicio específico cuando existe entre sus </w:t>
            </w:r>
            <w:r w:rsidRPr="003A7E48">
              <w:rPr>
                <w:iCs/>
              </w:rPr>
              <w:t>empresas de explotación autorizadas</w:t>
            </w:r>
            <w:r w:rsidRPr="003A7E48">
              <w:t>:</w:t>
            </w:r>
          </w:p>
        </w:tc>
        <w:tc>
          <w:tcPr>
            <w:tcW w:w="3551" w:type="dxa"/>
            <w:tcBorders>
              <w:top w:val="single" w:sz="4" w:space="0" w:color="auto"/>
              <w:left w:val="single" w:sz="4" w:space="0" w:color="auto"/>
              <w:bottom w:val="single" w:sz="4" w:space="0" w:color="auto"/>
              <w:right w:val="single" w:sz="4" w:space="0" w:color="auto"/>
            </w:tcBorders>
          </w:tcPr>
          <w:p w14:paraId="280714EF" w14:textId="00E4FC5A" w:rsidR="00B54F00" w:rsidRPr="003A7E48" w:rsidRDefault="00B54F00"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2.7</w:t>
            </w:r>
            <w:r w:rsidRPr="003A7E48">
              <w:rPr>
                <w:rFonts w:asciiTheme="minorHAnsi" w:hAnsiTheme="minorHAnsi"/>
              </w:rPr>
              <w:tab/>
            </w:r>
            <w:r w:rsidRPr="003A7E48">
              <w:rPr>
                <w:i/>
                <w:iCs/>
              </w:rPr>
              <w:t xml:space="preserve">Relación: </w:t>
            </w:r>
            <w:r w:rsidRPr="003A7E48">
              <w:t>Intercambio de tráfico entre dos países terminales, asociado siempre a un servicio específico cuando existe entre sus administraciones</w:t>
            </w:r>
            <w:r w:rsidRPr="003A7E48">
              <w:rPr>
                <w:rStyle w:val="FootnoteReference"/>
              </w:rPr>
              <w:t>*</w:t>
            </w:r>
            <w:r w:rsidRPr="003A7E48">
              <w:t>:</w:t>
            </w:r>
          </w:p>
        </w:tc>
        <w:tc>
          <w:tcPr>
            <w:tcW w:w="2226" w:type="dxa"/>
            <w:tcBorders>
              <w:top w:val="single" w:sz="4" w:space="0" w:color="auto"/>
              <w:left w:val="single" w:sz="4" w:space="0" w:color="auto"/>
              <w:bottom w:val="single" w:sz="4" w:space="0" w:color="auto"/>
              <w:right w:val="single" w:sz="4" w:space="0" w:color="auto"/>
            </w:tcBorders>
          </w:tcPr>
          <w:p w14:paraId="32BAD198" w14:textId="136B8DD9"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4407739C" w14:textId="25FFA99D"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6CEAF4C5" w14:textId="3CAFB35E" w:rsidR="00B54F00" w:rsidRPr="003A7E48" w:rsidRDefault="0070177B" w:rsidP="00D378F1">
            <w:pPr>
              <w:pStyle w:val="Tabletext"/>
            </w:pPr>
            <w:r w:rsidRPr="003A7E48">
              <w:t>Mantener el texto</w:t>
            </w:r>
          </w:p>
        </w:tc>
      </w:tr>
      <w:tr w:rsidR="00B54F00" w:rsidRPr="003A7E48" w14:paraId="217177CE" w14:textId="77777777" w:rsidTr="00040DC6">
        <w:tc>
          <w:tcPr>
            <w:tcW w:w="1129" w:type="dxa"/>
            <w:tcBorders>
              <w:left w:val="single" w:sz="4" w:space="0" w:color="auto"/>
              <w:right w:val="single" w:sz="4" w:space="0" w:color="auto"/>
            </w:tcBorders>
          </w:tcPr>
          <w:p w14:paraId="4F712251" w14:textId="77777777" w:rsidR="00B54F00" w:rsidRPr="003A7E48" w:rsidRDefault="00B54F00"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2D219D2B" w14:textId="1E7A1FC6" w:rsidR="00B54F00" w:rsidRPr="003A7E48" w:rsidRDefault="00B54F00" w:rsidP="00181FE6">
            <w:pPr>
              <w:pStyle w:val="Tabletext"/>
              <w:tabs>
                <w:tab w:val="left" w:pos="457"/>
                <w:tab w:val="left" w:pos="1024"/>
              </w:tabs>
            </w:pPr>
            <w:r w:rsidRPr="003A7E48">
              <w:rPr>
                <w:i/>
              </w:rPr>
              <w:t>a)</w:t>
            </w:r>
            <w:r w:rsidRPr="003A7E48">
              <w:tab/>
            </w:r>
            <w:r w:rsidRPr="003A7E48">
              <w:rPr>
                <w:bCs/>
              </w:rPr>
              <w:t>un medio de intercambiar el tráfico de este servicio específico</w:t>
            </w:r>
          </w:p>
          <w:p w14:paraId="61EE0E59" w14:textId="77777777" w:rsidR="00B54F00" w:rsidRPr="003A7E48" w:rsidRDefault="00B54F00" w:rsidP="003916DF">
            <w:pPr>
              <w:pStyle w:val="Tabletext"/>
              <w:tabs>
                <w:tab w:val="left" w:pos="457"/>
                <w:tab w:val="left" w:pos="1024"/>
              </w:tabs>
              <w:ind w:left="457" w:hanging="457"/>
            </w:pPr>
            <w:r w:rsidRPr="003A7E48">
              <w:t>–</w:t>
            </w:r>
            <w:r w:rsidRPr="003A7E48">
              <w:tab/>
              <w:t>por circuitos directos (relación directa), o</w:t>
            </w:r>
          </w:p>
          <w:p w14:paraId="423E58B0" w14:textId="2ED2A419" w:rsidR="00B54F00" w:rsidRPr="003A7E48" w:rsidRDefault="00B54F00" w:rsidP="003916DF">
            <w:pPr>
              <w:pStyle w:val="Tabletext"/>
              <w:tabs>
                <w:tab w:val="left" w:pos="457"/>
                <w:tab w:val="left" w:pos="1024"/>
              </w:tabs>
              <w:ind w:left="457" w:hanging="457"/>
            </w:pPr>
            <w:r w:rsidRPr="003A7E48">
              <w:t>–</w:t>
            </w:r>
            <w:r w:rsidRPr="003A7E48">
              <w:tab/>
              <w:t>por un punto de tránsito en un tercer país (relación indirecta), y</w:t>
            </w:r>
          </w:p>
        </w:tc>
        <w:tc>
          <w:tcPr>
            <w:tcW w:w="3551" w:type="dxa"/>
            <w:tcBorders>
              <w:top w:val="single" w:sz="4" w:space="0" w:color="auto"/>
              <w:left w:val="single" w:sz="4" w:space="0" w:color="auto"/>
              <w:bottom w:val="single" w:sz="4" w:space="0" w:color="auto"/>
              <w:right w:val="single" w:sz="4" w:space="0" w:color="auto"/>
            </w:tcBorders>
          </w:tcPr>
          <w:p w14:paraId="6CDD3AEA" w14:textId="06C74DF8" w:rsidR="00B54F00" w:rsidRPr="003A7E48" w:rsidRDefault="00B54F00" w:rsidP="00181FE6">
            <w:pPr>
              <w:pStyle w:val="Tabletext"/>
              <w:tabs>
                <w:tab w:val="left" w:pos="457"/>
                <w:tab w:val="left" w:pos="1024"/>
              </w:tabs>
              <w:rPr>
                <w:rFonts w:asciiTheme="minorHAnsi" w:hAnsiTheme="minorHAnsi"/>
              </w:rPr>
            </w:pPr>
            <w:bookmarkStart w:id="11" w:name="lt_pId275"/>
            <w:r w:rsidRPr="003A7E48">
              <w:rPr>
                <w:rFonts w:asciiTheme="minorHAnsi" w:hAnsiTheme="minorHAnsi"/>
                <w:i/>
                <w:iCs/>
              </w:rPr>
              <w:t>a)</w:t>
            </w:r>
            <w:r w:rsidRPr="003A7E48">
              <w:tab/>
              <w:t>un medio de intercambiar el tráfico de este servicio específico</w:t>
            </w:r>
            <w:bookmarkEnd w:id="11"/>
          </w:p>
          <w:p w14:paraId="7E2A212F" w14:textId="336FDB57" w:rsidR="00B54F00" w:rsidRPr="003A7E48" w:rsidRDefault="00B54F00" w:rsidP="003916DF">
            <w:pPr>
              <w:pStyle w:val="Tabletext"/>
              <w:tabs>
                <w:tab w:val="left" w:pos="457"/>
                <w:tab w:val="left" w:pos="1024"/>
              </w:tabs>
              <w:ind w:left="457" w:hanging="457"/>
              <w:rPr>
                <w:rFonts w:asciiTheme="minorHAnsi" w:hAnsiTheme="minorHAnsi"/>
              </w:rPr>
            </w:pPr>
            <w:bookmarkStart w:id="12" w:name="lt_pId276"/>
            <w:r w:rsidRPr="003A7E48">
              <w:rPr>
                <w:rFonts w:asciiTheme="minorHAnsi" w:hAnsiTheme="minorHAnsi"/>
              </w:rPr>
              <w:t>–</w:t>
            </w:r>
            <w:r w:rsidRPr="003A7E48">
              <w:rPr>
                <w:rFonts w:asciiTheme="minorHAnsi" w:hAnsiTheme="minorHAnsi"/>
              </w:rPr>
              <w:tab/>
            </w:r>
            <w:r w:rsidRPr="003A7E48">
              <w:t>por circuitos directos (relación directa), o</w:t>
            </w:r>
            <w:bookmarkEnd w:id="12"/>
          </w:p>
          <w:p w14:paraId="314803C8" w14:textId="06944623" w:rsidR="00B54F00" w:rsidRPr="003A7E48" w:rsidRDefault="00B54F00" w:rsidP="003916DF">
            <w:pPr>
              <w:pStyle w:val="Tabletext"/>
              <w:tabs>
                <w:tab w:val="left" w:pos="457"/>
                <w:tab w:val="left" w:pos="1024"/>
              </w:tabs>
              <w:ind w:left="457" w:hanging="457"/>
              <w:rPr>
                <w:rFonts w:asciiTheme="minorHAnsi" w:eastAsia="SimSun" w:hAnsiTheme="minorHAnsi" w:cs="Times New Roman Bold"/>
                <w:b/>
                <w:bCs/>
                <w:iCs/>
                <w:color w:val="000000"/>
              </w:rPr>
            </w:pPr>
            <w:bookmarkStart w:id="13" w:name="lt_pId277"/>
            <w:r w:rsidRPr="003A7E48">
              <w:rPr>
                <w:rFonts w:asciiTheme="minorHAnsi" w:hAnsiTheme="minorHAnsi"/>
              </w:rPr>
              <w:t>–</w:t>
            </w:r>
            <w:r w:rsidRPr="003A7E48">
              <w:rPr>
                <w:rFonts w:asciiTheme="minorHAnsi" w:hAnsiTheme="minorHAnsi"/>
              </w:rPr>
              <w:tab/>
            </w:r>
            <w:r w:rsidRPr="003A7E48">
              <w:t>por un punto de tránsito en un tercer país (relación indirecta), y</w:t>
            </w:r>
            <w:bookmarkEnd w:id="13"/>
          </w:p>
        </w:tc>
        <w:tc>
          <w:tcPr>
            <w:tcW w:w="2226" w:type="dxa"/>
            <w:tcBorders>
              <w:top w:val="single" w:sz="4" w:space="0" w:color="auto"/>
              <w:left w:val="single" w:sz="4" w:space="0" w:color="auto"/>
              <w:bottom w:val="single" w:sz="4" w:space="0" w:color="auto"/>
              <w:right w:val="single" w:sz="4" w:space="0" w:color="auto"/>
            </w:tcBorders>
          </w:tcPr>
          <w:p w14:paraId="32C5E54D" w14:textId="14208D7D" w:rsidR="00B54F00" w:rsidRPr="003A7E48" w:rsidRDefault="00B54F00"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6CFA860C" w14:textId="25F3C6DB" w:rsidR="00B54F00" w:rsidRPr="003A7E48" w:rsidRDefault="00B54F00"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61F57AB6" w14:textId="58E8B100" w:rsidR="00B54F00" w:rsidRPr="003A7E48" w:rsidRDefault="00B54F00" w:rsidP="00D378F1">
            <w:pPr>
              <w:pStyle w:val="Tabletext"/>
            </w:pPr>
          </w:p>
        </w:tc>
      </w:tr>
      <w:tr w:rsidR="00B54F00" w:rsidRPr="003A7E48" w14:paraId="30AFD182" w14:textId="77777777" w:rsidTr="00040DC6">
        <w:tc>
          <w:tcPr>
            <w:tcW w:w="1129" w:type="dxa"/>
            <w:tcBorders>
              <w:left w:val="single" w:sz="4" w:space="0" w:color="auto"/>
              <w:right w:val="single" w:sz="4" w:space="0" w:color="auto"/>
            </w:tcBorders>
          </w:tcPr>
          <w:p w14:paraId="190DCB97" w14:textId="77777777" w:rsidR="00B54F00" w:rsidRPr="003A7E48" w:rsidRDefault="00B54F00"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41482AB6" w14:textId="1CA6A594" w:rsidR="00B54F00" w:rsidRPr="003A7E48" w:rsidRDefault="00B54F00" w:rsidP="00181FE6">
            <w:pPr>
              <w:pStyle w:val="Tabletext"/>
              <w:tabs>
                <w:tab w:val="left" w:pos="457"/>
                <w:tab w:val="left" w:pos="1024"/>
              </w:tabs>
              <w:rPr>
                <w:rFonts w:asciiTheme="minorHAnsi" w:hAnsiTheme="minorHAnsi" w:cstheme="minorHAnsi"/>
                <w:bCs/>
              </w:rPr>
            </w:pPr>
            <w:bookmarkStart w:id="14" w:name="lt_pId283"/>
            <w:r w:rsidRPr="003A7E48">
              <w:rPr>
                <w:i/>
                <w:iCs/>
              </w:rPr>
              <w:t>b)</w:t>
            </w:r>
            <w:r w:rsidRPr="003A7E48">
              <w:tab/>
              <w:t>normalmente, liquidación de cuentas.</w:t>
            </w:r>
            <w:bookmarkEnd w:id="14"/>
          </w:p>
        </w:tc>
        <w:tc>
          <w:tcPr>
            <w:tcW w:w="3551" w:type="dxa"/>
            <w:tcBorders>
              <w:top w:val="single" w:sz="4" w:space="0" w:color="auto"/>
              <w:left w:val="single" w:sz="4" w:space="0" w:color="auto"/>
              <w:bottom w:val="single" w:sz="4" w:space="0" w:color="auto"/>
              <w:right w:val="single" w:sz="4" w:space="0" w:color="auto"/>
            </w:tcBorders>
          </w:tcPr>
          <w:p w14:paraId="089B4D34" w14:textId="4F02AED3" w:rsidR="00B54F00" w:rsidRPr="003A7E48" w:rsidRDefault="00B54F00" w:rsidP="00181FE6">
            <w:pPr>
              <w:pStyle w:val="Tabletext"/>
              <w:tabs>
                <w:tab w:val="left" w:pos="457"/>
                <w:tab w:val="left" w:pos="1024"/>
              </w:tabs>
              <w:rPr>
                <w:rFonts w:asciiTheme="minorHAnsi" w:eastAsia="SimSun" w:hAnsiTheme="minorHAnsi" w:cs="Times New Roman Bold"/>
                <w:b/>
                <w:bCs/>
                <w:iCs/>
                <w:color w:val="000000"/>
              </w:rPr>
            </w:pPr>
            <w:bookmarkStart w:id="15" w:name="lt_pId285"/>
            <w:r w:rsidRPr="003A7E48">
              <w:rPr>
                <w:rFonts w:asciiTheme="minorHAnsi" w:hAnsiTheme="minorHAnsi"/>
                <w:i/>
                <w:iCs/>
              </w:rPr>
              <w:t>b)</w:t>
            </w:r>
            <w:bookmarkEnd w:id="15"/>
            <w:r w:rsidRPr="003A7E48">
              <w:rPr>
                <w:rFonts w:asciiTheme="minorHAnsi" w:hAnsiTheme="minorHAnsi"/>
              </w:rPr>
              <w:tab/>
            </w:r>
            <w:r w:rsidRPr="003A7E48">
              <w:t>normalmente, liquidación de cuentas.</w:t>
            </w:r>
          </w:p>
        </w:tc>
        <w:tc>
          <w:tcPr>
            <w:tcW w:w="2226" w:type="dxa"/>
            <w:tcBorders>
              <w:top w:val="single" w:sz="4" w:space="0" w:color="auto"/>
              <w:left w:val="single" w:sz="4" w:space="0" w:color="auto"/>
              <w:bottom w:val="single" w:sz="4" w:space="0" w:color="auto"/>
              <w:right w:val="single" w:sz="4" w:space="0" w:color="auto"/>
            </w:tcBorders>
          </w:tcPr>
          <w:p w14:paraId="48ED8980" w14:textId="5D541A5A" w:rsidR="00B54F00" w:rsidRPr="003A7E48" w:rsidRDefault="00B54F00"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5BC0C386" w14:textId="280B8759" w:rsidR="00B54F00" w:rsidRPr="003A7E48" w:rsidRDefault="00B54F00"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0D19C539" w14:textId="71DB3E70" w:rsidR="00B54F00" w:rsidRPr="003A7E48" w:rsidRDefault="00B54F00" w:rsidP="00D378F1">
            <w:pPr>
              <w:pStyle w:val="Tabletext"/>
            </w:pPr>
          </w:p>
        </w:tc>
      </w:tr>
      <w:tr w:rsidR="00B54F00" w:rsidRPr="003A7E48" w14:paraId="50696A17" w14:textId="77777777" w:rsidTr="00040DC6">
        <w:tc>
          <w:tcPr>
            <w:tcW w:w="1129" w:type="dxa"/>
            <w:tcBorders>
              <w:left w:val="single" w:sz="4" w:space="0" w:color="auto"/>
              <w:right w:val="single" w:sz="4" w:space="0" w:color="auto"/>
            </w:tcBorders>
          </w:tcPr>
          <w:p w14:paraId="64052BBC" w14:textId="77777777" w:rsidR="00B54F00" w:rsidRPr="003A7E48" w:rsidRDefault="00B54F00"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56BBE63" w14:textId="6BEB858B" w:rsidR="00B54F00" w:rsidRPr="003A7E48" w:rsidRDefault="00B54F00" w:rsidP="00181FE6">
            <w:pPr>
              <w:pStyle w:val="Tabletext"/>
              <w:tabs>
                <w:tab w:val="left" w:pos="457"/>
                <w:tab w:val="left" w:pos="1024"/>
              </w:tabs>
              <w:rPr>
                <w:rFonts w:asciiTheme="minorHAnsi" w:hAnsiTheme="minorHAnsi" w:cstheme="minorHAnsi"/>
                <w:bCs/>
              </w:rPr>
            </w:pPr>
            <w:r w:rsidRPr="003A7E48">
              <w:rPr>
                <w:rFonts w:asciiTheme="minorHAnsi" w:hAnsiTheme="minorHAnsi"/>
              </w:rPr>
              <w:t>2.8</w:t>
            </w:r>
            <w:r w:rsidRPr="003A7E48">
              <w:rPr>
                <w:rFonts w:asciiTheme="minorHAnsi" w:hAnsiTheme="minorHAnsi"/>
              </w:rPr>
              <w:tab/>
            </w:r>
            <w:r w:rsidRPr="003A7E48">
              <w:rPr>
                <w:i/>
                <w:iCs/>
              </w:rPr>
              <w:t>Tasa de distribución:</w:t>
            </w:r>
            <w:r w:rsidRPr="003A7E48">
              <w:t xml:space="preserve"> Tasa fijada por acuerdo entre empresas de explotación autorizadas en una relación dada y que sirve para el establecimiento de las cuentas internacionales.</w:t>
            </w:r>
          </w:p>
        </w:tc>
        <w:tc>
          <w:tcPr>
            <w:tcW w:w="3551" w:type="dxa"/>
            <w:tcBorders>
              <w:top w:val="single" w:sz="4" w:space="0" w:color="auto"/>
              <w:left w:val="single" w:sz="4" w:space="0" w:color="auto"/>
              <w:bottom w:val="single" w:sz="4" w:space="0" w:color="auto"/>
              <w:right w:val="single" w:sz="4" w:space="0" w:color="auto"/>
            </w:tcBorders>
          </w:tcPr>
          <w:p w14:paraId="0173B5CF" w14:textId="131B8771" w:rsidR="00B54F00" w:rsidRPr="003A7E48" w:rsidRDefault="00B54F00"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2.8</w:t>
            </w:r>
            <w:r w:rsidRPr="003A7E48">
              <w:rPr>
                <w:rFonts w:asciiTheme="minorHAnsi" w:hAnsiTheme="minorHAnsi"/>
              </w:rPr>
              <w:tab/>
            </w:r>
            <w:r w:rsidRPr="003A7E48">
              <w:rPr>
                <w:i/>
                <w:iCs/>
              </w:rPr>
              <w:t>Tasa de distribución:</w:t>
            </w:r>
            <w:r w:rsidRPr="003A7E48">
              <w:t xml:space="preserve"> Tasa fijada por acuerdo entre administraciones</w:t>
            </w:r>
            <w:r w:rsidRPr="003A7E48">
              <w:rPr>
                <w:rStyle w:val="FootnoteReference"/>
              </w:rPr>
              <w:t>*</w:t>
            </w:r>
            <w:r w:rsidRPr="003A7E48">
              <w:t xml:space="preserve"> en una relación dada y que sirve para el establecimiento de las cuentas internacionales.</w:t>
            </w:r>
          </w:p>
        </w:tc>
        <w:tc>
          <w:tcPr>
            <w:tcW w:w="2226" w:type="dxa"/>
            <w:tcBorders>
              <w:top w:val="single" w:sz="4" w:space="0" w:color="auto"/>
              <w:left w:val="single" w:sz="4" w:space="0" w:color="auto"/>
              <w:bottom w:val="single" w:sz="4" w:space="0" w:color="auto"/>
              <w:right w:val="single" w:sz="4" w:space="0" w:color="auto"/>
            </w:tcBorders>
          </w:tcPr>
          <w:p w14:paraId="4F127182" w14:textId="0DD60D8B" w:rsidR="00B54F00"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1199619F" w14:textId="05B96701"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4442C416" w14:textId="3032BF9B" w:rsidR="00B54F00" w:rsidRPr="003A7E48" w:rsidRDefault="0070177B" w:rsidP="00D378F1">
            <w:pPr>
              <w:pStyle w:val="Tabletext"/>
            </w:pPr>
            <w:r w:rsidRPr="003A7E48">
              <w:t>Mantener el texto</w:t>
            </w:r>
          </w:p>
        </w:tc>
      </w:tr>
      <w:tr w:rsidR="00B54F00" w:rsidRPr="003A7E48" w14:paraId="2A5889EE" w14:textId="77777777" w:rsidTr="00040DC6">
        <w:tc>
          <w:tcPr>
            <w:tcW w:w="1129" w:type="dxa"/>
            <w:tcBorders>
              <w:left w:val="single" w:sz="4" w:space="0" w:color="auto"/>
              <w:right w:val="single" w:sz="4" w:space="0" w:color="auto"/>
            </w:tcBorders>
          </w:tcPr>
          <w:p w14:paraId="7717D5FC"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8791862" w14:textId="5CC873D6" w:rsidR="00B54F00" w:rsidRPr="003A7E48" w:rsidRDefault="00B54F00" w:rsidP="00181FE6">
            <w:pPr>
              <w:pStyle w:val="Tabletext"/>
              <w:tabs>
                <w:tab w:val="left" w:pos="457"/>
                <w:tab w:val="left" w:pos="1024"/>
              </w:tabs>
              <w:rPr>
                <w:rFonts w:asciiTheme="minorHAnsi" w:hAnsiTheme="minorHAnsi" w:cstheme="minorHAnsi"/>
                <w:bCs/>
              </w:rPr>
            </w:pPr>
            <w:r w:rsidRPr="003A7E48">
              <w:rPr>
                <w:rFonts w:asciiTheme="minorHAnsi" w:hAnsiTheme="minorHAnsi"/>
              </w:rPr>
              <w:t>2.9</w:t>
            </w:r>
            <w:r w:rsidRPr="003A7E48">
              <w:rPr>
                <w:rFonts w:asciiTheme="minorHAnsi" w:hAnsiTheme="minorHAnsi"/>
              </w:rPr>
              <w:tab/>
            </w:r>
            <w:r w:rsidRPr="003A7E48">
              <w:rPr>
                <w:i/>
                <w:iCs/>
              </w:rPr>
              <w:t>Tasa de percepción:</w:t>
            </w:r>
            <w:r w:rsidRPr="003A7E48">
              <w:t xml:space="preserve"> Tasa que las empresas de explotación autorizadas establecen y perciben de sus clientes por la utilización de los </w:t>
            </w:r>
            <w:r w:rsidRPr="003A7E48">
              <w:lastRenderedPageBreak/>
              <w:t>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08A960EA" w14:textId="3DA5754E" w:rsidR="00B54F00" w:rsidRPr="003A7E48" w:rsidRDefault="00B54F00"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lastRenderedPageBreak/>
              <w:t>2.9</w:t>
            </w:r>
            <w:r w:rsidRPr="003A7E48">
              <w:rPr>
                <w:rFonts w:asciiTheme="minorHAnsi" w:hAnsiTheme="minorHAnsi"/>
              </w:rPr>
              <w:tab/>
            </w:r>
            <w:r w:rsidRPr="003A7E48">
              <w:rPr>
                <w:i/>
                <w:iCs/>
              </w:rPr>
              <w:t>Tasa de percepción:</w:t>
            </w:r>
            <w:r w:rsidRPr="003A7E48">
              <w:t xml:space="preserve"> Tasa que las administraciones</w:t>
            </w:r>
            <w:r w:rsidRPr="003A7E48">
              <w:rPr>
                <w:rStyle w:val="FootnoteReference"/>
              </w:rPr>
              <w:t>*</w:t>
            </w:r>
            <w:r w:rsidRPr="003A7E48">
              <w:t xml:space="preserve"> establecen y perciben de sus clientes por la utilización de los servicios </w:t>
            </w:r>
            <w:r w:rsidRPr="003A7E48">
              <w:lastRenderedPageBreak/>
              <w:t>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64F7A767" w14:textId="0783A899" w:rsidR="00B54F00" w:rsidRPr="003A7E48" w:rsidRDefault="006C65F5" w:rsidP="00D378F1">
            <w:pPr>
              <w:pStyle w:val="Tabletext"/>
            </w:pPr>
            <w:r w:rsidRPr="003A7E48">
              <w:lastRenderedPageBreak/>
              <w:t>El texto es aplicable</w:t>
            </w:r>
          </w:p>
        </w:tc>
        <w:tc>
          <w:tcPr>
            <w:tcW w:w="2053" w:type="dxa"/>
            <w:tcBorders>
              <w:top w:val="single" w:sz="4" w:space="0" w:color="auto"/>
              <w:left w:val="single" w:sz="4" w:space="0" w:color="auto"/>
              <w:bottom w:val="single" w:sz="4" w:space="0" w:color="auto"/>
              <w:right w:val="single" w:sz="4" w:space="0" w:color="auto"/>
            </w:tcBorders>
          </w:tcPr>
          <w:p w14:paraId="0BDE15AE" w14:textId="1176A917" w:rsidR="00B54F00"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61F25FF8" w14:textId="176EC7B5" w:rsidR="00B54F00" w:rsidRPr="003A7E48" w:rsidRDefault="0070177B" w:rsidP="00D378F1">
            <w:pPr>
              <w:pStyle w:val="Tabletext"/>
            </w:pPr>
            <w:r w:rsidRPr="003A7E48">
              <w:t>Mantener el texto</w:t>
            </w:r>
          </w:p>
        </w:tc>
      </w:tr>
      <w:tr w:rsidR="00B54F00" w:rsidRPr="003A7E48" w14:paraId="5C3B015E" w14:textId="77777777" w:rsidTr="00040DC6">
        <w:tc>
          <w:tcPr>
            <w:tcW w:w="1129" w:type="dxa"/>
            <w:tcBorders>
              <w:left w:val="single" w:sz="4" w:space="0" w:color="auto"/>
              <w:right w:val="single" w:sz="4" w:space="0" w:color="auto"/>
            </w:tcBorders>
          </w:tcPr>
          <w:p w14:paraId="21B04B53" w14:textId="77777777" w:rsidR="00B54F00" w:rsidRPr="003A7E48" w:rsidRDefault="00B54F00"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3467D28" w14:textId="4C110919" w:rsidR="00B54F00" w:rsidRPr="003A7E48" w:rsidRDefault="00AE1145" w:rsidP="00E9121E">
            <w:pPr>
              <w:pStyle w:val="Tabletext"/>
              <w:rPr>
                <w:b/>
                <w:bCs/>
                <w:strike/>
              </w:rPr>
            </w:pPr>
            <w:r w:rsidRPr="003A7E48">
              <w:rPr>
                <w:b/>
                <w:bCs/>
                <w:strike/>
              </w:rPr>
              <w:t>2.10</w:t>
            </w:r>
            <w:r w:rsidRPr="003A7E48">
              <w:rPr>
                <w:b/>
                <w:bCs/>
                <w:strike/>
              </w:rPr>
              <w:tab/>
              <w:t>Instrucciones</w:t>
            </w:r>
          </w:p>
        </w:tc>
        <w:tc>
          <w:tcPr>
            <w:tcW w:w="3551" w:type="dxa"/>
            <w:tcBorders>
              <w:top w:val="single" w:sz="4" w:space="0" w:color="auto"/>
              <w:left w:val="single" w:sz="4" w:space="0" w:color="auto"/>
              <w:bottom w:val="single" w:sz="4" w:space="0" w:color="auto"/>
              <w:right w:val="single" w:sz="4" w:space="0" w:color="auto"/>
            </w:tcBorders>
          </w:tcPr>
          <w:p w14:paraId="423C1E61" w14:textId="4FF6A884" w:rsidR="00B54F00" w:rsidRPr="003A7E48" w:rsidRDefault="00B54F00"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2.10</w:t>
            </w:r>
            <w:r w:rsidRPr="003A7E48">
              <w:rPr>
                <w:rFonts w:asciiTheme="minorHAnsi" w:hAnsiTheme="minorHAnsi"/>
              </w:rPr>
              <w:tab/>
            </w:r>
            <w:r w:rsidRPr="003A7E48">
              <w:rPr>
                <w:i/>
                <w:iCs/>
              </w:rPr>
              <w:t>Instrucciones:</w:t>
            </w:r>
            <w:r w:rsidRPr="003A7E48">
              <w:t xml:space="preserve"> Conjunto de disposiciones tomadas de una o varias Recomendaciones del </w:t>
            </w:r>
            <w:proofErr w:type="spellStart"/>
            <w:r w:rsidRPr="003A7E48">
              <w:t>CCITT</w:t>
            </w:r>
            <w:proofErr w:type="spellEnd"/>
            <w:r w:rsidRPr="003A7E48">
              <w:t xml:space="preserve"> relativas a procedimientos prácticos de explotación para el despacho del tráfico de telecomunicaciones (por ejemplo, admisión, transmisión, contabilidad).</w:t>
            </w:r>
          </w:p>
        </w:tc>
        <w:tc>
          <w:tcPr>
            <w:tcW w:w="2226" w:type="dxa"/>
            <w:tcBorders>
              <w:top w:val="single" w:sz="4" w:space="0" w:color="auto"/>
              <w:left w:val="single" w:sz="4" w:space="0" w:color="auto"/>
              <w:bottom w:val="single" w:sz="4" w:space="0" w:color="auto"/>
              <w:right w:val="single" w:sz="4" w:space="0" w:color="auto"/>
            </w:tcBorders>
          </w:tcPr>
          <w:p w14:paraId="17664795" w14:textId="77777777" w:rsidR="00B54F00" w:rsidRPr="003A7E48" w:rsidRDefault="00B54F00"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49D4EF87" w14:textId="77777777" w:rsidR="00B54F00" w:rsidRPr="003A7E48" w:rsidRDefault="00B54F00"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08F5E410" w14:textId="3BED76F0" w:rsidR="00B54F00" w:rsidRPr="003A7E48" w:rsidRDefault="00B54F00" w:rsidP="00D378F1">
            <w:pPr>
              <w:pStyle w:val="Tabletext"/>
            </w:pPr>
          </w:p>
        </w:tc>
      </w:tr>
      <w:tr w:rsidR="00F3677F" w:rsidRPr="003A7E48" w14:paraId="1765BB6C" w14:textId="77777777" w:rsidTr="00040DC6">
        <w:tc>
          <w:tcPr>
            <w:tcW w:w="1129" w:type="dxa"/>
            <w:tcBorders>
              <w:left w:val="single" w:sz="4" w:space="0" w:color="auto"/>
              <w:right w:val="single" w:sz="4" w:space="0" w:color="auto"/>
            </w:tcBorders>
          </w:tcPr>
          <w:p w14:paraId="3B242256" w14:textId="77777777" w:rsidR="00F3677F" w:rsidRPr="003A7E48" w:rsidRDefault="00F3677F"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4461342" w14:textId="32F9029C" w:rsidR="00F3677F" w:rsidRPr="003A7E48" w:rsidRDefault="00F3677F" w:rsidP="00E9121E">
            <w:pPr>
              <w:pStyle w:val="Tabletext"/>
              <w:rPr>
                <w:b/>
                <w:bCs/>
                <w:strike/>
              </w:rPr>
            </w:pPr>
            <w:r w:rsidRPr="003A7E48">
              <w:rPr>
                <w:b/>
                <w:bCs/>
              </w:rPr>
              <w:t>Red internacional</w:t>
            </w:r>
          </w:p>
        </w:tc>
        <w:tc>
          <w:tcPr>
            <w:tcW w:w="3551" w:type="dxa"/>
            <w:tcBorders>
              <w:top w:val="single" w:sz="4" w:space="0" w:color="auto"/>
              <w:left w:val="single" w:sz="4" w:space="0" w:color="auto"/>
              <w:bottom w:val="single" w:sz="4" w:space="0" w:color="auto"/>
              <w:right w:val="single" w:sz="4" w:space="0" w:color="auto"/>
            </w:tcBorders>
          </w:tcPr>
          <w:p w14:paraId="3F5DB8E6" w14:textId="15E5DBF0" w:rsidR="00F3677F" w:rsidRPr="003A7E48" w:rsidRDefault="00F3677F" w:rsidP="00181FE6">
            <w:pPr>
              <w:pStyle w:val="Tabletext"/>
              <w:tabs>
                <w:tab w:val="left" w:pos="457"/>
                <w:tab w:val="left" w:pos="1024"/>
              </w:tabs>
              <w:rPr>
                <w:rFonts w:asciiTheme="minorHAnsi" w:hAnsiTheme="minorHAnsi"/>
              </w:rPr>
            </w:pPr>
            <w:r w:rsidRPr="003A7E48">
              <w:rPr>
                <w:b/>
                <w:bCs/>
              </w:rPr>
              <w:t>Red internacional</w:t>
            </w:r>
          </w:p>
        </w:tc>
        <w:tc>
          <w:tcPr>
            <w:tcW w:w="2226" w:type="dxa"/>
            <w:tcBorders>
              <w:top w:val="single" w:sz="4" w:space="0" w:color="auto"/>
              <w:left w:val="single" w:sz="4" w:space="0" w:color="auto"/>
              <w:bottom w:val="single" w:sz="4" w:space="0" w:color="auto"/>
              <w:right w:val="single" w:sz="4" w:space="0" w:color="auto"/>
            </w:tcBorders>
          </w:tcPr>
          <w:p w14:paraId="098B1504" w14:textId="77777777" w:rsidR="00F3677F" w:rsidRPr="003A7E48" w:rsidRDefault="00F3677F"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37B1FC8A" w14:textId="77777777" w:rsidR="00F3677F" w:rsidRPr="003A7E48" w:rsidRDefault="00F3677F"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42321BEA" w14:textId="77777777" w:rsidR="00F3677F" w:rsidRPr="003A7E48" w:rsidRDefault="00F3677F" w:rsidP="00D378F1">
            <w:pPr>
              <w:pStyle w:val="Tabletext"/>
            </w:pPr>
          </w:p>
        </w:tc>
      </w:tr>
      <w:tr w:rsidR="00F3677F" w:rsidRPr="003A7E48" w14:paraId="1B3B346E" w14:textId="77777777" w:rsidTr="00040DC6">
        <w:tc>
          <w:tcPr>
            <w:tcW w:w="1129" w:type="dxa"/>
            <w:tcBorders>
              <w:top w:val="single" w:sz="4" w:space="0" w:color="auto"/>
              <w:left w:val="single" w:sz="4" w:space="0" w:color="auto"/>
              <w:right w:val="single" w:sz="4" w:space="0" w:color="auto"/>
            </w:tcBorders>
          </w:tcPr>
          <w:p w14:paraId="1D4B01C9" w14:textId="6378F918" w:rsidR="00F3677F" w:rsidRPr="003A7E48" w:rsidRDefault="00F3677F" w:rsidP="00F3677F">
            <w:pPr>
              <w:pStyle w:val="Tabletext"/>
              <w:keepNext/>
              <w:keepLines/>
              <w:jc w:val="center"/>
            </w:pPr>
          </w:p>
        </w:tc>
        <w:tc>
          <w:tcPr>
            <w:tcW w:w="3546" w:type="dxa"/>
            <w:tcBorders>
              <w:top w:val="single" w:sz="4" w:space="0" w:color="auto"/>
              <w:left w:val="single" w:sz="4" w:space="0" w:color="auto"/>
              <w:bottom w:val="single" w:sz="4" w:space="0" w:color="auto"/>
              <w:right w:val="single" w:sz="4" w:space="0" w:color="auto"/>
            </w:tcBorders>
          </w:tcPr>
          <w:p w14:paraId="61903138" w14:textId="3258A466" w:rsidR="00F3677F" w:rsidRPr="003A7E48" w:rsidRDefault="00F3677F" w:rsidP="00181FE6">
            <w:pPr>
              <w:pStyle w:val="Tabletext"/>
              <w:tabs>
                <w:tab w:val="left" w:pos="457"/>
                <w:tab w:val="left" w:pos="1024"/>
              </w:tabs>
              <w:rPr>
                <w:rFonts w:asciiTheme="minorHAnsi" w:hAnsiTheme="minorHAnsi" w:cstheme="minorHAnsi"/>
              </w:rPr>
            </w:pPr>
            <w:r w:rsidRPr="003A7E48">
              <w:rPr>
                <w:rFonts w:asciiTheme="minorHAnsi" w:hAnsiTheme="minorHAnsi"/>
              </w:rPr>
              <w:t>3.1</w:t>
            </w:r>
            <w:r w:rsidRPr="003A7E48">
              <w:rPr>
                <w:rFonts w:asciiTheme="minorHAnsi" w:hAnsiTheme="minorHAnsi"/>
              </w:rPr>
              <w:tab/>
            </w:r>
            <w:r w:rsidRPr="003A7E48">
              <w:t>Los Estados Miembros procurarán velar por que las empresas de explotación autorizadas colaboren en el establecimiento, la explotación y el mantenimiento de la red internacional para proporcionar una calidad de servicio satisfactoria.</w:t>
            </w:r>
          </w:p>
        </w:tc>
        <w:tc>
          <w:tcPr>
            <w:tcW w:w="3551" w:type="dxa"/>
            <w:tcBorders>
              <w:top w:val="single" w:sz="4" w:space="0" w:color="auto"/>
              <w:left w:val="single" w:sz="4" w:space="0" w:color="auto"/>
              <w:bottom w:val="single" w:sz="4" w:space="0" w:color="auto"/>
              <w:right w:val="single" w:sz="4" w:space="0" w:color="auto"/>
            </w:tcBorders>
          </w:tcPr>
          <w:p w14:paraId="73BD09D5" w14:textId="0597FB2D" w:rsidR="00F3677F" w:rsidRPr="003A7E48" w:rsidRDefault="00F3677F"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3.1</w:t>
            </w:r>
            <w:r w:rsidRPr="003A7E48">
              <w:rPr>
                <w:rFonts w:asciiTheme="minorHAnsi" w:hAnsiTheme="minorHAnsi"/>
              </w:rPr>
              <w:tab/>
            </w:r>
            <w:r w:rsidRPr="003A7E48">
              <w:t>Los Miembros garantizarán que las administraciones</w:t>
            </w:r>
            <w:r w:rsidRPr="003A7E48">
              <w:rPr>
                <w:rStyle w:val="FootnoteReference"/>
              </w:rPr>
              <w:t>*</w:t>
            </w:r>
            <w:r w:rsidRPr="003A7E48">
              <w:t xml:space="preserve"> colaboren en el establecimiento, la explotación, el mantenimiento de la red internacional para proporcionar una calidad de servicio satisfactoria.</w:t>
            </w:r>
          </w:p>
        </w:tc>
        <w:tc>
          <w:tcPr>
            <w:tcW w:w="2226" w:type="dxa"/>
            <w:tcBorders>
              <w:top w:val="single" w:sz="4" w:space="0" w:color="auto"/>
              <w:left w:val="single" w:sz="4" w:space="0" w:color="auto"/>
              <w:bottom w:val="single" w:sz="4" w:space="0" w:color="auto"/>
              <w:right w:val="single" w:sz="4" w:space="0" w:color="auto"/>
            </w:tcBorders>
          </w:tcPr>
          <w:p w14:paraId="362F1E13" w14:textId="345E5E53" w:rsidR="00F3677F"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48A195BE" w14:textId="3C52AC3E" w:rsidR="00F3677F"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79FA87DD" w14:textId="2F56D933" w:rsidR="00F3677F" w:rsidRPr="003A7E48" w:rsidRDefault="0070177B" w:rsidP="00D378F1">
            <w:pPr>
              <w:pStyle w:val="Tabletext"/>
            </w:pPr>
            <w:r w:rsidRPr="003A7E48">
              <w:t>Mantener el texto</w:t>
            </w:r>
          </w:p>
        </w:tc>
      </w:tr>
      <w:tr w:rsidR="00F3677F" w:rsidRPr="003A7E48" w14:paraId="41AA5A5E" w14:textId="77777777" w:rsidTr="00040DC6">
        <w:tc>
          <w:tcPr>
            <w:tcW w:w="1129" w:type="dxa"/>
            <w:tcBorders>
              <w:left w:val="single" w:sz="4" w:space="0" w:color="auto"/>
              <w:right w:val="single" w:sz="4" w:space="0" w:color="auto"/>
            </w:tcBorders>
          </w:tcPr>
          <w:p w14:paraId="49571F46" w14:textId="77777777" w:rsidR="00F3677F" w:rsidRPr="003A7E48" w:rsidRDefault="00F3677F"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2E57ACED" w14:textId="02147FE6" w:rsidR="00F3677F" w:rsidRPr="003A7E48" w:rsidRDefault="00F3677F" w:rsidP="00181FE6">
            <w:pPr>
              <w:pStyle w:val="Tabletext"/>
              <w:tabs>
                <w:tab w:val="left" w:pos="457"/>
                <w:tab w:val="left" w:pos="1024"/>
              </w:tabs>
              <w:rPr>
                <w:rFonts w:asciiTheme="minorHAnsi" w:hAnsiTheme="minorHAnsi" w:cstheme="minorHAnsi"/>
                <w:bCs/>
              </w:rPr>
            </w:pPr>
            <w:r w:rsidRPr="003A7E48">
              <w:rPr>
                <w:rFonts w:asciiTheme="minorHAnsi" w:hAnsiTheme="minorHAnsi"/>
              </w:rPr>
              <w:t>3.2</w:t>
            </w:r>
            <w:r w:rsidRPr="003A7E48">
              <w:rPr>
                <w:rFonts w:asciiTheme="minorHAnsi" w:hAnsiTheme="minorHAnsi"/>
              </w:rPr>
              <w:tab/>
            </w:r>
            <w:r w:rsidRPr="003A7E48">
              <w:t xml:space="preserve">Los Estados Miembros se esforzarán en asegurar la provisión de suficientes medios de </w:t>
            </w:r>
            <w:r w:rsidRPr="003A7E48">
              <w:rPr>
                <w:bCs/>
              </w:rPr>
              <w:t>telecomunicación</w:t>
            </w:r>
            <w:r w:rsidRPr="003A7E48">
              <w:t xml:space="preserve"> para satisfacer la demanda de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7491DA89" w14:textId="143CA2D3" w:rsidR="00F3677F" w:rsidRPr="003A7E48" w:rsidRDefault="00F3677F"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3.2</w:t>
            </w:r>
            <w:r w:rsidRPr="003A7E48">
              <w:rPr>
                <w:rFonts w:asciiTheme="minorHAnsi" w:hAnsiTheme="minorHAnsi"/>
              </w:rPr>
              <w:tab/>
            </w:r>
            <w:r w:rsidRPr="003A7E48">
              <w:t>Las administraciones</w:t>
            </w:r>
            <w:r w:rsidRPr="003A7E48">
              <w:rPr>
                <w:rStyle w:val="FootnoteReference"/>
              </w:rPr>
              <w:t>*</w:t>
            </w:r>
            <w:r w:rsidRPr="003A7E48">
              <w:t xml:space="preserve"> deberán esforzarse en proporcionar suficientes medios de telecomunicación para satisfacer las exigencias y la demanda de los servicios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1A799CD4" w14:textId="20FDE634" w:rsidR="00F3677F"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46822996" w14:textId="75126513" w:rsidR="00F3677F"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0A823EA8" w14:textId="3A62A3FC" w:rsidR="00F3677F" w:rsidRPr="003A7E48" w:rsidRDefault="0070177B" w:rsidP="00D378F1">
            <w:pPr>
              <w:pStyle w:val="Tabletext"/>
            </w:pPr>
            <w:r w:rsidRPr="003A7E48">
              <w:t>Mantener el texto</w:t>
            </w:r>
          </w:p>
        </w:tc>
      </w:tr>
      <w:tr w:rsidR="00F3677F" w:rsidRPr="003A7E48" w14:paraId="6C39E6EE" w14:textId="77777777" w:rsidTr="00040DC6">
        <w:tc>
          <w:tcPr>
            <w:tcW w:w="1129" w:type="dxa"/>
            <w:tcBorders>
              <w:left w:val="single" w:sz="4" w:space="0" w:color="auto"/>
              <w:right w:val="single" w:sz="4" w:space="0" w:color="auto"/>
            </w:tcBorders>
          </w:tcPr>
          <w:p w14:paraId="3F59AFD9" w14:textId="77777777" w:rsidR="00F3677F" w:rsidRPr="003A7E48" w:rsidRDefault="00F3677F"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EBC00A7" w14:textId="718DE1E8" w:rsidR="00F3677F" w:rsidRPr="003A7E48" w:rsidRDefault="00F3677F" w:rsidP="00181FE6">
            <w:pPr>
              <w:pStyle w:val="Tabletext"/>
              <w:tabs>
                <w:tab w:val="left" w:pos="457"/>
                <w:tab w:val="left" w:pos="1024"/>
              </w:tabs>
              <w:rPr>
                <w:rFonts w:asciiTheme="minorHAnsi" w:hAnsiTheme="minorHAnsi" w:cstheme="minorHAnsi"/>
                <w:bCs/>
              </w:rPr>
            </w:pPr>
            <w:r w:rsidRPr="003A7E48">
              <w:rPr>
                <w:rFonts w:asciiTheme="minorHAnsi" w:hAnsiTheme="minorHAnsi"/>
              </w:rPr>
              <w:t>3.3</w:t>
            </w:r>
            <w:r w:rsidRPr="003A7E48">
              <w:rPr>
                <w:rFonts w:asciiTheme="minorHAnsi" w:hAnsiTheme="minorHAnsi"/>
              </w:rPr>
              <w:tab/>
            </w:r>
            <w:r w:rsidRPr="003A7E48">
              <w:t xml:space="preserve">Las empresas de explotación </w:t>
            </w:r>
            <w:r w:rsidRPr="003A7E48">
              <w:rPr>
                <w:bCs/>
              </w:rPr>
              <w:t>autorizadas</w:t>
            </w:r>
            <w:r w:rsidRPr="003A7E48">
              <w:t xml:space="preserve"> determinarán por acuerdo mutuo las rutas internacionales que han de utilizar. A reserva de acuerdo y a condición de que no exista una ruta directa entre las empresas de explotación </w:t>
            </w:r>
            <w:r w:rsidRPr="003A7E48">
              <w:rPr>
                <w:bCs/>
              </w:rPr>
              <w:t>autorizadas</w:t>
            </w:r>
            <w:r w:rsidRPr="003A7E48">
              <w:t xml:space="preserve"> de destino interesadas, la empresa de explotación autorizada de origen podrá elegir el encaminamiento de su tráfico saliente de telecomunicación, teniendo en cuenta los intereses respectivos de las empresas de explotación autorizadas de tránsito y de destino.</w:t>
            </w:r>
          </w:p>
        </w:tc>
        <w:tc>
          <w:tcPr>
            <w:tcW w:w="3551" w:type="dxa"/>
            <w:tcBorders>
              <w:top w:val="single" w:sz="4" w:space="0" w:color="auto"/>
              <w:left w:val="single" w:sz="4" w:space="0" w:color="auto"/>
              <w:bottom w:val="single" w:sz="4" w:space="0" w:color="auto"/>
              <w:right w:val="single" w:sz="4" w:space="0" w:color="auto"/>
            </w:tcBorders>
          </w:tcPr>
          <w:p w14:paraId="3D720B4B" w14:textId="1ED3B377" w:rsidR="00F3677F" w:rsidRPr="003A7E48" w:rsidRDefault="00F3677F"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3.3</w:t>
            </w:r>
            <w:r w:rsidRPr="003A7E48">
              <w:rPr>
                <w:rFonts w:asciiTheme="minorHAnsi" w:hAnsiTheme="minorHAnsi"/>
              </w:rPr>
              <w:tab/>
            </w:r>
            <w:r w:rsidRPr="003A7E48">
              <w:t>Las administraciones</w:t>
            </w:r>
            <w:r w:rsidRPr="003A7E48">
              <w:rPr>
                <w:rStyle w:val="FootnoteReference"/>
              </w:rPr>
              <w:t>*</w:t>
            </w:r>
            <w:r w:rsidRPr="003A7E48">
              <w:t xml:space="preserve"> determinarán por acuerdo mutuo las rutas internacionales que han de utilizar. A reserva de acuerdo y a condición de que no exista una ruta directa entre las administraciones</w:t>
            </w:r>
            <w:r w:rsidRPr="003A7E48">
              <w:rPr>
                <w:rStyle w:val="FootnoteReference"/>
              </w:rPr>
              <w:t>*</w:t>
            </w:r>
            <w:r w:rsidRPr="003A7E48">
              <w:t xml:space="preserve"> terminales interesadas, la administración</w:t>
            </w:r>
            <w:r w:rsidRPr="003A7E48">
              <w:rPr>
                <w:rStyle w:val="FootnoteReference"/>
              </w:rPr>
              <w:t>*</w:t>
            </w:r>
            <w:r w:rsidRPr="003A7E48">
              <w:t xml:space="preserve"> de origen podrá elegir el encaminamiento de su tráfico saliente de telecomunicación, teniendo en cuenta los intereses respectivos de las administraciones</w:t>
            </w:r>
            <w:r w:rsidRPr="003A7E48">
              <w:rPr>
                <w:rStyle w:val="FootnoteReference"/>
              </w:rPr>
              <w:t>*</w:t>
            </w:r>
            <w:r w:rsidRPr="003A7E48">
              <w:t xml:space="preserve"> de tránsito y de destino.</w:t>
            </w:r>
          </w:p>
        </w:tc>
        <w:tc>
          <w:tcPr>
            <w:tcW w:w="2226" w:type="dxa"/>
            <w:tcBorders>
              <w:top w:val="single" w:sz="4" w:space="0" w:color="auto"/>
              <w:left w:val="single" w:sz="4" w:space="0" w:color="auto"/>
              <w:bottom w:val="single" w:sz="4" w:space="0" w:color="auto"/>
              <w:right w:val="single" w:sz="4" w:space="0" w:color="auto"/>
            </w:tcBorders>
          </w:tcPr>
          <w:p w14:paraId="5B280334" w14:textId="74AC92AC" w:rsidR="00F3677F"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290FBC42" w14:textId="25053FD1" w:rsidR="00F3677F"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5BB5E5B3" w14:textId="733282C2" w:rsidR="00F3677F" w:rsidRPr="003A7E48" w:rsidRDefault="0070177B" w:rsidP="00D378F1">
            <w:pPr>
              <w:pStyle w:val="Tabletext"/>
            </w:pPr>
            <w:r w:rsidRPr="003A7E48">
              <w:t>Mantener el texto</w:t>
            </w:r>
          </w:p>
        </w:tc>
      </w:tr>
      <w:tr w:rsidR="00F3677F" w:rsidRPr="003A7E48" w14:paraId="581A4AEF" w14:textId="77777777" w:rsidTr="00040DC6">
        <w:trPr>
          <w:cantSplit/>
        </w:trPr>
        <w:tc>
          <w:tcPr>
            <w:tcW w:w="1129" w:type="dxa"/>
            <w:tcBorders>
              <w:left w:val="single" w:sz="4" w:space="0" w:color="auto"/>
              <w:right w:val="single" w:sz="4" w:space="0" w:color="auto"/>
            </w:tcBorders>
          </w:tcPr>
          <w:p w14:paraId="045D2FAD" w14:textId="77777777" w:rsidR="00F3677F" w:rsidRPr="003A7E48" w:rsidRDefault="00F3677F"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05FAB307" w14:textId="27BEFCAB" w:rsidR="00F3677F" w:rsidRPr="003A7E48" w:rsidRDefault="00F3677F" w:rsidP="00181FE6">
            <w:pPr>
              <w:pStyle w:val="Tabletext"/>
              <w:tabs>
                <w:tab w:val="left" w:pos="457"/>
                <w:tab w:val="left" w:pos="1024"/>
              </w:tabs>
              <w:rPr>
                <w:rFonts w:asciiTheme="minorHAnsi" w:hAnsiTheme="minorHAnsi" w:cstheme="minorHAnsi"/>
                <w:bCs/>
              </w:rPr>
            </w:pPr>
            <w:r w:rsidRPr="003A7E48">
              <w:rPr>
                <w:rFonts w:asciiTheme="minorHAnsi" w:hAnsiTheme="minorHAnsi"/>
              </w:rPr>
              <w:t>3.4</w:t>
            </w:r>
            <w:r w:rsidRPr="003A7E48">
              <w:rPr>
                <w:rFonts w:asciiTheme="minorHAnsi" w:hAnsiTheme="minorHAnsi"/>
              </w:rPr>
              <w:tab/>
            </w:r>
            <w:r w:rsidRPr="003A7E48">
              <w:t>De conformidad con la legislación nacional, todo usuario que goce de acceso a la red internacional tendrá derecho a cursar tráfico. Se debe mantener en la mayor medida posible una calidad de servicio satisfactoria, correspondiente a la de las Recomendaciones UIT-T pertinentes.</w:t>
            </w:r>
          </w:p>
        </w:tc>
        <w:tc>
          <w:tcPr>
            <w:tcW w:w="3551" w:type="dxa"/>
            <w:tcBorders>
              <w:top w:val="single" w:sz="4" w:space="0" w:color="auto"/>
              <w:left w:val="single" w:sz="4" w:space="0" w:color="auto"/>
              <w:bottom w:val="single" w:sz="4" w:space="0" w:color="auto"/>
              <w:right w:val="single" w:sz="4" w:space="0" w:color="auto"/>
            </w:tcBorders>
          </w:tcPr>
          <w:p w14:paraId="7DB2C957" w14:textId="6E3EB815" w:rsidR="00F3677F" w:rsidRPr="003A7E48" w:rsidRDefault="00F3677F"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3.4</w:t>
            </w:r>
            <w:r w:rsidRPr="003A7E48">
              <w:rPr>
                <w:rFonts w:asciiTheme="minorHAnsi" w:hAnsiTheme="minorHAnsi"/>
              </w:rPr>
              <w:tab/>
            </w:r>
            <w:r w:rsidR="00587820" w:rsidRPr="003A7E48">
              <w:t>A reserva de la legislación nacional, todo usuario que goce de acceso a la red internacional establecida por una administración</w:t>
            </w:r>
            <w:r w:rsidR="00587820" w:rsidRPr="003A7E48">
              <w:rPr>
                <w:vertAlign w:val="superscript"/>
              </w:rPr>
              <w:t>*</w:t>
            </w:r>
            <w:r w:rsidR="00587820" w:rsidRPr="003A7E48">
              <w:t xml:space="preserve"> tendrá derecho a cursar tráfico. Se debería mantener en la mayor medida posible una calidad de servicio satisfactoria, correspondiente a las Recomendaciones pertinentes del </w:t>
            </w:r>
            <w:proofErr w:type="spellStart"/>
            <w:r w:rsidR="00587820" w:rsidRPr="003A7E48">
              <w:t>CCITT</w:t>
            </w:r>
            <w:proofErr w:type="spellEnd"/>
            <w:r w:rsidR="00587820" w:rsidRPr="003A7E48">
              <w:t>.</w:t>
            </w:r>
          </w:p>
        </w:tc>
        <w:tc>
          <w:tcPr>
            <w:tcW w:w="2226" w:type="dxa"/>
            <w:tcBorders>
              <w:top w:val="single" w:sz="4" w:space="0" w:color="auto"/>
              <w:left w:val="single" w:sz="4" w:space="0" w:color="auto"/>
              <w:bottom w:val="single" w:sz="4" w:space="0" w:color="auto"/>
              <w:right w:val="single" w:sz="4" w:space="0" w:color="auto"/>
            </w:tcBorders>
          </w:tcPr>
          <w:p w14:paraId="4EE2F87B" w14:textId="2BE0F690" w:rsidR="00F3677F"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7463537B" w14:textId="09C1F6DC" w:rsidR="00F3677F" w:rsidRPr="003A7E48" w:rsidRDefault="006C65F5" w:rsidP="00D378F1">
            <w:pPr>
              <w:pStyle w:val="Tabletext"/>
            </w:pPr>
            <w:r w:rsidRPr="003A7E48">
              <w:t>El texto es flexible</w:t>
            </w:r>
            <w:r w:rsidR="006277F4" w:rsidRPr="003A7E48">
              <w:t xml:space="preserve">, </w:t>
            </w:r>
            <w:r w:rsidR="00040DC6" w:rsidRPr="003A7E48">
              <w:t xml:space="preserve">siempre que se cambie a </w:t>
            </w:r>
            <w:r w:rsidR="003A7E48">
              <w:t>"</w:t>
            </w:r>
            <w:r w:rsidR="00040DC6" w:rsidRPr="003A7E48">
              <w:t>Recomendaciones de la UIT</w:t>
            </w:r>
            <w:r w:rsidR="003A7E48">
              <w:t>"</w:t>
            </w:r>
            <w:r w:rsidR="00040DC6" w:rsidRPr="003A7E48">
              <w:t xml:space="preserve">. </w:t>
            </w:r>
          </w:p>
        </w:tc>
        <w:tc>
          <w:tcPr>
            <w:tcW w:w="1949" w:type="dxa"/>
            <w:tcBorders>
              <w:top w:val="single" w:sz="4" w:space="0" w:color="auto"/>
              <w:left w:val="single" w:sz="4" w:space="0" w:color="auto"/>
              <w:bottom w:val="single" w:sz="4" w:space="0" w:color="auto"/>
              <w:right w:val="single" w:sz="4" w:space="0" w:color="auto"/>
            </w:tcBorders>
          </w:tcPr>
          <w:p w14:paraId="443C4B1C" w14:textId="7CED7470" w:rsidR="00F3677F" w:rsidRPr="003A7E48" w:rsidRDefault="00040DC6" w:rsidP="00D378F1">
            <w:pPr>
              <w:pStyle w:val="Tabletext"/>
            </w:pPr>
            <w:r w:rsidRPr="003A7E48">
              <w:t>Cambiar a Recomendaciones de la UIT</w:t>
            </w:r>
            <w:r w:rsidR="006277F4" w:rsidRPr="003A7E48">
              <w:t>.</w:t>
            </w:r>
          </w:p>
        </w:tc>
      </w:tr>
      <w:tr w:rsidR="00F3677F" w:rsidRPr="003A7E48" w14:paraId="7C348F0F" w14:textId="77777777" w:rsidTr="00040DC6">
        <w:trPr>
          <w:cantSplit/>
        </w:trPr>
        <w:tc>
          <w:tcPr>
            <w:tcW w:w="1129" w:type="dxa"/>
            <w:tcBorders>
              <w:left w:val="single" w:sz="4" w:space="0" w:color="auto"/>
              <w:right w:val="single" w:sz="4" w:space="0" w:color="auto"/>
            </w:tcBorders>
          </w:tcPr>
          <w:p w14:paraId="03B9A3E5" w14:textId="77777777" w:rsidR="00F3677F" w:rsidRPr="003A7E48" w:rsidRDefault="00F3677F"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36D57E0" w14:textId="7F65848F" w:rsidR="00F3677F" w:rsidRPr="003A7E48" w:rsidRDefault="00F3677F" w:rsidP="00181FE6">
            <w:pPr>
              <w:pStyle w:val="Tabletext"/>
              <w:tabs>
                <w:tab w:val="left" w:pos="457"/>
                <w:tab w:val="left" w:pos="1024"/>
              </w:tabs>
              <w:rPr>
                <w:rFonts w:asciiTheme="minorHAnsi" w:hAnsiTheme="minorHAnsi" w:cstheme="minorHAnsi"/>
                <w:bCs/>
                <w:highlight w:val="cyan"/>
              </w:rPr>
            </w:pPr>
            <w:r w:rsidRPr="003A7E48">
              <w:rPr>
                <w:rFonts w:asciiTheme="minorHAnsi" w:hAnsiTheme="minorHAnsi"/>
              </w:rPr>
              <w:t>3.5</w:t>
            </w:r>
            <w:r w:rsidRPr="003A7E48">
              <w:rPr>
                <w:rFonts w:asciiTheme="minorHAnsi" w:hAnsiTheme="minorHAnsi"/>
              </w:rPr>
              <w:tab/>
            </w:r>
            <w:r w:rsidRPr="003A7E48">
              <w:t xml:space="preserve">Los Estados Miembros procurarán velar por que los recursos de numeración de telecomunicaciones internacionales especificados en las Recomendaciones UIT-T sean utilizados exclusivamente por los asignatarios y con el único propósito para los que fueron asignados; y </w:t>
            </w:r>
            <w:proofErr w:type="spellStart"/>
            <w:r w:rsidRPr="003A7E48">
              <w:t>por que</w:t>
            </w:r>
            <w:proofErr w:type="spellEnd"/>
            <w:r w:rsidRPr="003A7E48">
              <w:t xml:space="preserve"> no se utilicen recursos no asignados.</w:t>
            </w:r>
          </w:p>
        </w:tc>
        <w:tc>
          <w:tcPr>
            <w:tcW w:w="3551" w:type="dxa"/>
            <w:tcBorders>
              <w:top w:val="single" w:sz="4" w:space="0" w:color="auto"/>
              <w:left w:val="single" w:sz="4" w:space="0" w:color="auto"/>
              <w:bottom w:val="single" w:sz="4" w:space="0" w:color="auto"/>
              <w:right w:val="single" w:sz="4" w:space="0" w:color="auto"/>
            </w:tcBorders>
          </w:tcPr>
          <w:p w14:paraId="04D10B63" w14:textId="52D70B43" w:rsidR="00F3677F" w:rsidRPr="003A7E48" w:rsidRDefault="006277F4" w:rsidP="00181FE6">
            <w:pPr>
              <w:pStyle w:val="Tabletext"/>
              <w:tabs>
                <w:tab w:val="left" w:pos="457"/>
                <w:tab w:val="left" w:pos="1024"/>
              </w:tabs>
              <w:rPr>
                <w:rFonts w:asciiTheme="minorHAnsi" w:eastAsia="SimSun" w:hAnsiTheme="minorHAnsi" w:cs="Times New Roman Bold"/>
                <w:iCs/>
                <w:color w:val="000000"/>
              </w:rPr>
            </w:pPr>
            <w:r w:rsidRPr="003A7E48">
              <w:rPr>
                <w:rFonts w:asciiTheme="minorHAnsi" w:eastAsia="SimSun" w:hAnsiTheme="minorHAnsi" w:cs="Times New Roman Bold"/>
                <w:iCs/>
                <w:color w:val="000000"/>
              </w:rPr>
              <w:t>–</w:t>
            </w:r>
          </w:p>
        </w:tc>
        <w:tc>
          <w:tcPr>
            <w:tcW w:w="2226" w:type="dxa"/>
            <w:tcBorders>
              <w:top w:val="single" w:sz="4" w:space="0" w:color="auto"/>
              <w:left w:val="single" w:sz="4" w:space="0" w:color="auto"/>
              <w:bottom w:val="single" w:sz="4" w:space="0" w:color="auto"/>
              <w:right w:val="single" w:sz="4" w:space="0" w:color="auto"/>
            </w:tcBorders>
          </w:tcPr>
          <w:p w14:paraId="62AE94BA" w14:textId="25C32A5E" w:rsidR="00F3677F"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5E8C9383" w14:textId="0EC26C7D" w:rsidR="00F3677F" w:rsidRPr="003A7E48" w:rsidRDefault="00040DC6" w:rsidP="00D378F1">
            <w:pPr>
              <w:pStyle w:val="Tabletext"/>
            </w:pPr>
            <w:r w:rsidRPr="003A7E48">
              <w:t xml:space="preserve">La referencia a las Recomendaciones UIT-T limita la flexibilidad del texto. </w:t>
            </w:r>
          </w:p>
        </w:tc>
        <w:tc>
          <w:tcPr>
            <w:tcW w:w="1949" w:type="dxa"/>
            <w:tcBorders>
              <w:top w:val="single" w:sz="4" w:space="0" w:color="auto"/>
              <w:left w:val="single" w:sz="4" w:space="0" w:color="auto"/>
              <w:bottom w:val="single" w:sz="4" w:space="0" w:color="auto"/>
              <w:right w:val="single" w:sz="4" w:space="0" w:color="auto"/>
            </w:tcBorders>
          </w:tcPr>
          <w:p w14:paraId="5203F0AA" w14:textId="71951204" w:rsidR="00F3677F" w:rsidRPr="003A7E48" w:rsidRDefault="00040DC6" w:rsidP="001F143F">
            <w:pPr>
              <w:pStyle w:val="Tabletext"/>
            </w:pPr>
            <w:r w:rsidRPr="003A7E48">
              <w:t xml:space="preserve">No es necesario especificar las Recomendaciones UIT-T en esta disposición, y el texto puede ser más flexible con su eliminación. </w:t>
            </w:r>
          </w:p>
        </w:tc>
      </w:tr>
      <w:tr w:rsidR="006277F4" w:rsidRPr="003A7E48" w14:paraId="7F75F160" w14:textId="77777777" w:rsidTr="00040DC6">
        <w:trPr>
          <w:cantSplit/>
        </w:trPr>
        <w:tc>
          <w:tcPr>
            <w:tcW w:w="1129" w:type="dxa"/>
            <w:tcBorders>
              <w:left w:val="single" w:sz="4" w:space="0" w:color="auto"/>
              <w:right w:val="single" w:sz="4" w:space="0" w:color="auto"/>
            </w:tcBorders>
          </w:tcPr>
          <w:p w14:paraId="6C0FF01E" w14:textId="77777777" w:rsidR="006277F4" w:rsidRPr="003A7E48" w:rsidRDefault="006277F4"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A7BA43D" w14:textId="26B6186D" w:rsidR="006277F4" w:rsidRPr="003A7E48" w:rsidRDefault="00587820" w:rsidP="00181FE6">
            <w:pPr>
              <w:pStyle w:val="Tabletext"/>
              <w:tabs>
                <w:tab w:val="left" w:pos="457"/>
                <w:tab w:val="left" w:pos="1024"/>
              </w:tabs>
              <w:rPr>
                <w:rFonts w:asciiTheme="minorHAnsi" w:hAnsiTheme="minorHAnsi"/>
              </w:rPr>
            </w:pPr>
            <w:r w:rsidRPr="003A7E48">
              <w:rPr>
                <w:rFonts w:asciiTheme="minorHAnsi" w:hAnsiTheme="minorHAnsi"/>
              </w:rPr>
              <w:t>3.6</w:t>
            </w:r>
            <w:r w:rsidRPr="003A7E48">
              <w:rPr>
                <w:rFonts w:asciiTheme="minorHAnsi" w:hAnsiTheme="minorHAnsi"/>
              </w:rPr>
              <w:tab/>
              <w:t>Los Estados Miembros procurarán asegurar que la identificación de línea llamante internacional (CLI) se proporcione de acuerdo con las Recomendaciones UIT-T pertinentes.</w:t>
            </w:r>
          </w:p>
        </w:tc>
        <w:tc>
          <w:tcPr>
            <w:tcW w:w="3551" w:type="dxa"/>
            <w:tcBorders>
              <w:top w:val="single" w:sz="4" w:space="0" w:color="auto"/>
              <w:left w:val="single" w:sz="4" w:space="0" w:color="auto"/>
              <w:bottom w:val="single" w:sz="4" w:space="0" w:color="auto"/>
              <w:right w:val="single" w:sz="4" w:space="0" w:color="auto"/>
            </w:tcBorders>
          </w:tcPr>
          <w:p w14:paraId="34587D05" w14:textId="6E36FB0B" w:rsidR="006277F4" w:rsidRPr="003A7E48" w:rsidRDefault="006277F4" w:rsidP="00181FE6">
            <w:pPr>
              <w:pStyle w:val="Tabletext"/>
              <w:tabs>
                <w:tab w:val="left" w:pos="457"/>
                <w:tab w:val="left" w:pos="1024"/>
              </w:tabs>
              <w:rPr>
                <w:rFonts w:asciiTheme="minorHAnsi" w:eastAsia="SimSun" w:hAnsiTheme="minorHAnsi" w:cs="Times New Roman Bold"/>
                <w:iCs/>
                <w:color w:val="000000"/>
              </w:rPr>
            </w:pPr>
            <w:r w:rsidRPr="003A7E48">
              <w:rPr>
                <w:rFonts w:asciiTheme="minorHAnsi" w:eastAsia="SimSun" w:hAnsiTheme="minorHAnsi" w:cs="Times New Roman Bold"/>
                <w:iCs/>
                <w:color w:val="000000"/>
              </w:rPr>
              <w:t>–</w:t>
            </w:r>
          </w:p>
        </w:tc>
        <w:tc>
          <w:tcPr>
            <w:tcW w:w="2226" w:type="dxa"/>
            <w:tcBorders>
              <w:top w:val="single" w:sz="4" w:space="0" w:color="auto"/>
              <w:left w:val="single" w:sz="4" w:space="0" w:color="auto"/>
              <w:bottom w:val="single" w:sz="4" w:space="0" w:color="auto"/>
              <w:right w:val="single" w:sz="4" w:space="0" w:color="auto"/>
            </w:tcBorders>
          </w:tcPr>
          <w:p w14:paraId="2D67D1DE" w14:textId="77777777" w:rsidR="00040DC6" w:rsidRPr="003A7E48" w:rsidRDefault="006C65F5" w:rsidP="00040DC6">
            <w:pPr>
              <w:pStyle w:val="Tabletext"/>
            </w:pPr>
            <w:r w:rsidRPr="003A7E48">
              <w:t>El texto es aplicable</w:t>
            </w:r>
            <w:r w:rsidR="006277F4" w:rsidRPr="003A7E48">
              <w:t xml:space="preserve">, </w:t>
            </w:r>
            <w:r w:rsidR="00040DC6" w:rsidRPr="003A7E48">
              <w:t>pero puede ser más aplicable haciendo referencia a los identificadores de origen.</w:t>
            </w:r>
          </w:p>
          <w:p w14:paraId="41C0FFE2" w14:textId="1EDDD1E4" w:rsidR="006277F4" w:rsidRPr="003A7E48" w:rsidRDefault="00040DC6" w:rsidP="00040DC6">
            <w:pPr>
              <w:pStyle w:val="Tabletext"/>
            </w:pPr>
            <w:r w:rsidRPr="003A7E48">
              <w:t xml:space="preserve">Con los avances tecnológicos y la introducción de la aplicación de la </w:t>
            </w:r>
            <w:proofErr w:type="spellStart"/>
            <w:r w:rsidRPr="003A7E48">
              <w:t>IoT</w:t>
            </w:r>
            <w:proofErr w:type="spellEnd"/>
            <w:r w:rsidRPr="003A7E48">
              <w:t xml:space="preserve"> en el mercado de servicios de telecomunicaciones internacionales, debemos considerar también los identificadores de origen.</w:t>
            </w:r>
          </w:p>
        </w:tc>
        <w:tc>
          <w:tcPr>
            <w:tcW w:w="2053" w:type="dxa"/>
            <w:tcBorders>
              <w:top w:val="single" w:sz="4" w:space="0" w:color="auto"/>
              <w:left w:val="single" w:sz="4" w:space="0" w:color="auto"/>
              <w:bottom w:val="single" w:sz="4" w:space="0" w:color="auto"/>
              <w:right w:val="single" w:sz="4" w:space="0" w:color="auto"/>
            </w:tcBorders>
          </w:tcPr>
          <w:p w14:paraId="24255D7D" w14:textId="2C7B0432" w:rsidR="006277F4" w:rsidRPr="003A7E48" w:rsidRDefault="00040DC6" w:rsidP="00D378F1">
            <w:pPr>
              <w:pStyle w:val="Tabletext"/>
            </w:pPr>
            <w:r w:rsidRPr="003A7E48">
              <w:t>La referencia a las Recomendaciones UIT-T limita la flexibilidad del texto.</w:t>
            </w:r>
          </w:p>
        </w:tc>
        <w:tc>
          <w:tcPr>
            <w:tcW w:w="1949" w:type="dxa"/>
            <w:tcBorders>
              <w:top w:val="single" w:sz="4" w:space="0" w:color="auto"/>
              <w:left w:val="single" w:sz="4" w:space="0" w:color="auto"/>
              <w:bottom w:val="single" w:sz="4" w:space="0" w:color="auto"/>
              <w:right w:val="single" w:sz="4" w:space="0" w:color="auto"/>
            </w:tcBorders>
          </w:tcPr>
          <w:p w14:paraId="48805CD3" w14:textId="331879DA" w:rsidR="006277F4" w:rsidRPr="003A7E48" w:rsidRDefault="00040DC6" w:rsidP="001F143F">
            <w:pPr>
              <w:pStyle w:val="Tabletext"/>
            </w:pPr>
            <w:r w:rsidRPr="003A7E48">
              <w:t>No es necesario especificar las Recomendaciones UIT-T en esta disposición, y el texto puede ser más flexible con su eliminación.</w:t>
            </w:r>
          </w:p>
        </w:tc>
      </w:tr>
      <w:tr w:rsidR="00F3677F" w:rsidRPr="003A7E48" w14:paraId="311FCC2D" w14:textId="77777777" w:rsidTr="00040DC6">
        <w:tc>
          <w:tcPr>
            <w:tcW w:w="1129" w:type="dxa"/>
            <w:tcBorders>
              <w:left w:val="single" w:sz="4" w:space="0" w:color="auto"/>
              <w:bottom w:val="single" w:sz="4" w:space="0" w:color="auto"/>
              <w:right w:val="single" w:sz="4" w:space="0" w:color="auto"/>
            </w:tcBorders>
          </w:tcPr>
          <w:p w14:paraId="07612279" w14:textId="77777777" w:rsidR="00F3677F" w:rsidRPr="003A7E48" w:rsidRDefault="00F3677F" w:rsidP="00457218">
            <w:pPr>
              <w:tabs>
                <w:tab w:val="clear" w:pos="567"/>
                <w:tab w:val="clear" w:pos="1134"/>
                <w:tab w:val="clear" w:pos="1701"/>
                <w:tab w:val="clear" w:pos="2268"/>
                <w:tab w:val="clear" w:pos="2835"/>
              </w:tabs>
              <w:spacing w:before="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4741E5A" w14:textId="6122C4AD" w:rsidR="00F3677F" w:rsidRPr="003A7E48" w:rsidRDefault="00F3677F" w:rsidP="00927922">
            <w:pPr>
              <w:pStyle w:val="Tabletext"/>
              <w:tabs>
                <w:tab w:val="left" w:pos="457"/>
                <w:tab w:val="left" w:pos="1024"/>
              </w:tabs>
              <w:rPr>
                <w:rFonts w:asciiTheme="minorHAnsi" w:hAnsiTheme="minorHAnsi"/>
                <w:bCs/>
              </w:rPr>
            </w:pPr>
            <w:r w:rsidRPr="003A7E48">
              <w:rPr>
                <w:rFonts w:asciiTheme="minorHAnsi" w:hAnsiTheme="minorHAnsi"/>
              </w:rPr>
              <w:t>3.7</w:t>
            </w:r>
            <w:r w:rsidRPr="003A7E48">
              <w:rPr>
                <w:rFonts w:asciiTheme="minorHAnsi" w:hAnsiTheme="minorHAnsi"/>
              </w:rPr>
              <w:tab/>
            </w:r>
            <w:r w:rsidRPr="003A7E48">
              <w:t xml:space="preserve">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w:t>
            </w:r>
            <w:r w:rsidRPr="003A7E48">
              <w:lastRenderedPageBreak/>
              <w:t>interconexiones de las telecomunicaciones internacionales.</w:t>
            </w:r>
          </w:p>
        </w:tc>
        <w:tc>
          <w:tcPr>
            <w:tcW w:w="3551" w:type="dxa"/>
            <w:tcBorders>
              <w:top w:val="single" w:sz="4" w:space="0" w:color="auto"/>
              <w:left w:val="single" w:sz="4" w:space="0" w:color="auto"/>
              <w:bottom w:val="single" w:sz="4" w:space="0" w:color="auto"/>
              <w:right w:val="single" w:sz="4" w:space="0" w:color="auto"/>
            </w:tcBorders>
          </w:tcPr>
          <w:p w14:paraId="65BD247B" w14:textId="575EE2FD" w:rsidR="00F3677F" w:rsidRPr="003A7E48" w:rsidRDefault="006277F4" w:rsidP="00E9121E">
            <w:pPr>
              <w:pStyle w:val="Tabletext"/>
            </w:pPr>
            <w:r w:rsidRPr="003A7E48">
              <w:lastRenderedPageBreak/>
              <w:t>–</w:t>
            </w:r>
          </w:p>
        </w:tc>
        <w:tc>
          <w:tcPr>
            <w:tcW w:w="2226" w:type="dxa"/>
            <w:tcBorders>
              <w:top w:val="single" w:sz="4" w:space="0" w:color="auto"/>
              <w:left w:val="single" w:sz="4" w:space="0" w:color="auto"/>
              <w:bottom w:val="single" w:sz="4" w:space="0" w:color="auto"/>
              <w:right w:val="single" w:sz="4" w:space="0" w:color="auto"/>
            </w:tcBorders>
          </w:tcPr>
          <w:p w14:paraId="242D6EF5" w14:textId="3AC2A022" w:rsidR="00F3677F" w:rsidRPr="003A7E48" w:rsidRDefault="00040DC6" w:rsidP="00D378F1">
            <w:pPr>
              <w:pStyle w:val="Tabletext"/>
            </w:pPr>
            <w:r w:rsidRPr="003A7E48">
              <w:t xml:space="preserve">El texto es aplicable en la actualidad. </w:t>
            </w:r>
          </w:p>
        </w:tc>
        <w:tc>
          <w:tcPr>
            <w:tcW w:w="2053" w:type="dxa"/>
            <w:tcBorders>
              <w:top w:val="single" w:sz="4" w:space="0" w:color="auto"/>
              <w:left w:val="single" w:sz="4" w:space="0" w:color="auto"/>
              <w:bottom w:val="single" w:sz="4" w:space="0" w:color="auto"/>
              <w:right w:val="single" w:sz="4" w:space="0" w:color="auto"/>
            </w:tcBorders>
          </w:tcPr>
          <w:p w14:paraId="7E067289" w14:textId="323E30E1" w:rsidR="00F3677F" w:rsidRPr="003A7E48" w:rsidRDefault="00040DC6" w:rsidP="00D378F1">
            <w:pPr>
              <w:pStyle w:val="Tabletext"/>
            </w:pPr>
            <w:r w:rsidRPr="003A7E48">
              <w:t xml:space="preserve">El texto es específico y no es lo suficientemente flexible. </w:t>
            </w:r>
          </w:p>
        </w:tc>
        <w:tc>
          <w:tcPr>
            <w:tcW w:w="1949" w:type="dxa"/>
            <w:tcBorders>
              <w:top w:val="single" w:sz="4" w:space="0" w:color="auto"/>
              <w:left w:val="single" w:sz="4" w:space="0" w:color="auto"/>
              <w:bottom w:val="single" w:sz="4" w:space="0" w:color="auto"/>
              <w:right w:val="single" w:sz="4" w:space="0" w:color="auto"/>
            </w:tcBorders>
          </w:tcPr>
          <w:p w14:paraId="5864E130" w14:textId="71C57493" w:rsidR="00F3677F" w:rsidRPr="003A7E48" w:rsidRDefault="00F3677F" w:rsidP="00D378F1">
            <w:pPr>
              <w:pStyle w:val="Tabletext"/>
            </w:pPr>
          </w:p>
        </w:tc>
      </w:tr>
      <w:tr w:rsidR="006277F4" w:rsidRPr="003A7E48" w14:paraId="4E8751B0" w14:textId="77777777" w:rsidTr="00040DC6">
        <w:tc>
          <w:tcPr>
            <w:tcW w:w="1129" w:type="dxa"/>
            <w:tcBorders>
              <w:left w:val="single" w:sz="4" w:space="0" w:color="auto"/>
              <w:bottom w:val="single" w:sz="4" w:space="0" w:color="auto"/>
              <w:right w:val="single" w:sz="4" w:space="0" w:color="auto"/>
            </w:tcBorders>
          </w:tcPr>
          <w:p w14:paraId="4614B57A" w14:textId="0819249D" w:rsidR="006277F4" w:rsidRPr="003A7E48" w:rsidRDefault="006277F4" w:rsidP="00457218">
            <w:pPr>
              <w:tabs>
                <w:tab w:val="clear" w:pos="567"/>
                <w:tab w:val="clear" w:pos="1134"/>
                <w:tab w:val="clear" w:pos="1701"/>
                <w:tab w:val="clear" w:pos="2268"/>
                <w:tab w:val="clear" w:pos="2835"/>
              </w:tabs>
              <w:spacing w:before="0"/>
              <w:jc w:val="both"/>
              <w:rPr>
                <w:rFonts w:asciiTheme="minorHAnsi" w:hAnsiTheme="minorHAnsi"/>
                <w:b/>
                <w:sz w:val="22"/>
              </w:rPr>
            </w:pPr>
            <w:r w:rsidRPr="003A7E48">
              <w:rPr>
                <w:rFonts w:asciiTheme="minorHAnsi" w:hAnsiTheme="minorHAnsi"/>
                <w:b/>
                <w:sz w:val="22"/>
              </w:rPr>
              <w:t>4</w:t>
            </w:r>
          </w:p>
        </w:tc>
        <w:tc>
          <w:tcPr>
            <w:tcW w:w="3546" w:type="dxa"/>
            <w:tcBorders>
              <w:top w:val="single" w:sz="4" w:space="0" w:color="auto"/>
              <w:left w:val="single" w:sz="4" w:space="0" w:color="auto"/>
              <w:bottom w:val="single" w:sz="4" w:space="0" w:color="auto"/>
              <w:right w:val="single" w:sz="4" w:space="0" w:color="auto"/>
            </w:tcBorders>
          </w:tcPr>
          <w:p w14:paraId="2382E8EE" w14:textId="4AF24759" w:rsidR="006277F4" w:rsidRPr="003A7E48" w:rsidRDefault="006277F4" w:rsidP="00927922">
            <w:pPr>
              <w:pStyle w:val="Tabletext"/>
              <w:tabs>
                <w:tab w:val="left" w:pos="457"/>
                <w:tab w:val="left" w:pos="1024"/>
              </w:tabs>
              <w:rPr>
                <w:rFonts w:asciiTheme="minorHAnsi" w:hAnsiTheme="minorHAnsi"/>
              </w:rPr>
            </w:pPr>
            <w:r w:rsidRPr="003A7E48">
              <w:rPr>
                <w:b/>
                <w:bCs/>
              </w:rPr>
              <w:t>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702EC39B" w14:textId="4BA806C9" w:rsidR="006277F4" w:rsidRPr="003A7E48" w:rsidRDefault="006277F4" w:rsidP="00E9121E">
            <w:pPr>
              <w:pStyle w:val="Tabletext"/>
              <w:rPr>
                <w:b/>
                <w:bCs/>
              </w:rPr>
            </w:pPr>
            <w:r w:rsidRPr="003A7E48">
              <w:rPr>
                <w:b/>
                <w:bCs/>
              </w:rPr>
              <w:t>Servicios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4D1306A5" w14:textId="77777777" w:rsidR="006277F4" w:rsidRPr="003A7E48" w:rsidRDefault="006277F4" w:rsidP="00D378F1">
            <w:pPr>
              <w:pStyle w:val="Tabletext"/>
            </w:pPr>
          </w:p>
        </w:tc>
        <w:tc>
          <w:tcPr>
            <w:tcW w:w="2053" w:type="dxa"/>
            <w:tcBorders>
              <w:top w:val="single" w:sz="4" w:space="0" w:color="auto"/>
              <w:left w:val="single" w:sz="4" w:space="0" w:color="auto"/>
              <w:bottom w:val="single" w:sz="4" w:space="0" w:color="auto"/>
              <w:right w:val="single" w:sz="4" w:space="0" w:color="auto"/>
            </w:tcBorders>
          </w:tcPr>
          <w:p w14:paraId="6DF2D329" w14:textId="77777777" w:rsidR="006277F4" w:rsidRPr="003A7E48" w:rsidRDefault="006277F4" w:rsidP="00D378F1">
            <w:pPr>
              <w:pStyle w:val="Tabletext"/>
            </w:pPr>
          </w:p>
        </w:tc>
        <w:tc>
          <w:tcPr>
            <w:tcW w:w="1949" w:type="dxa"/>
            <w:tcBorders>
              <w:top w:val="single" w:sz="4" w:space="0" w:color="auto"/>
              <w:left w:val="single" w:sz="4" w:space="0" w:color="auto"/>
              <w:bottom w:val="single" w:sz="4" w:space="0" w:color="auto"/>
              <w:right w:val="single" w:sz="4" w:space="0" w:color="auto"/>
            </w:tcBorders>
          </w:tcPr>
          <w:p w14:paraId="179BC954" w14:textId="77777777" w:rsidR="006277F4" w:rsidRPr="003A7E48" w:rsidRDefault="006277F4" w:rsidP="00D378F1">
            <w:pPr>
              <w:pStyle w:val="Tabletext"/>
            </w:pPr>
          </w:p>
        </w:tc>
      </w:tr>
      <w:tr w:rsidR="006277F4" w:rsidRPr="003A7E48" w14:paraId="4F60C926" w14:textId="77777777" w:rsidTr="00040DC6">
        <w:tc>
          <w:tcPr>
            <w:tcW w:w="1129" w:type="dxa"/>
            <w:tcBorders>
              <w:top w:val="single" w:sz="4" w:space="0" w:color="auto"/>
              <w:left w:val="single" w:sz="4" w:space="0" w:color="auto"/>
              <w:right w:val="single" w:sz="4" w:space="0" w:color="auto"/>
            </w:tcBorders>
            <w:vAlign w:val="center"/>
          </w:tcPr>
          <w:p w14:paraId="31E720DA" w14:textId="0E9D7DDD" w:rsidR="006277F4" w:rsidRPr="003A7E48" w:rsidRDefault="006277F4" w:rsidP="00181FE6">
            <w:pPr>
              <w:pStyle w:val="Tabletext"/>
              <w:jc w:val="center"/>
              <w:rPr>
                <w:bCs/>
              </w:rPr>
            </w:pPr>
          </w:p>
        </w:tc>
        <w:tc>
          <w:tcPr>
            <w:tcW w:w="3546" w:type="dxa"/>
            <w:tcBorders>
              <w:top w:val="single" w:sz="4" w:space="0" w:color="auto"/>
              <w:left w:val="single" w:sz="4" w:space="0" w:color="auto"/>
              <w:bottom w:val="single" w:sz="4" w:space="0" w:color="auto"/>
              <w:right w:val="single" w:sz="4" w:space="0" w:color="auto"/>
            </w:tcBorders>
          </w:tcPr>
          <w:p w14:paraId="0AE419E0" w14:textId="4A829AEA" w:rsidR="006277F4" w:rsidRPr="003A7E48" w:rsidRDefault="006277F4" w:rsidP="00181FE6">
            <w:pPr>
              <w:pStyle w:val="Tabletext"/>
              <w:tabs>
                <w:tab w:val="left" w:pos="457"/>
                <w:tab w:val="left" w:pos="1024"/>
              </w:tabs>
              <w:rPr>
                <w:rFonts w:asciiTheme="minorHAnsi" w:hAnsiTheme="minorHAnsi" w:cstheme="minorHAnsi"/>
                <w:bCs/>
              </w:rPr>
            </w:pPr>
            <w:r w:rsidRPr="003A7E48">
              <w:rPr>
                <w:rFonts w:asciiTheme="minorHAnsi" w:hAnsiTheme="minorHAnsi"/>
              </w:rPr>
              <w:t>4.1</w:t>
            </w:r>
            <w:r w:rsidRPr="003A7E48">
              <w:rPr>
                <w:rFonts w:asciiTheme="minorHAnsi" w:hAnsiTheme="minorHAnsi"/>
              </w:rPr>
              <w:tab/>
            </w:r>
            <w:r w:rsidRPr="003A7E48">
              <w:t xml:space="preserve">Los Estados Miembros promoverán el desarrollo de servicios internacionales de telecomunicación </w:t>
            </w:r>
            <w:r w:rsidRPr="003A7E48">
              <w:rPr>
                <w:iCs/>
              </w:rPr>
              <w:t>y fomentarán su disponibilidad</w:t>
            </w:r>
            <w:r w:rsidRPr="003A7E48">
              <w:t xml:space="preserve"> para el público.</w:t>
            </w:r>
          </w:p>
        </w:tc>
        <w:tc>
          <w:tcPr>
            <w:tcW w:w="3551" w:type="dxa"/>
            <w:tcBorders>
              <w:top w:val="single" w:sz="4" w:space="0" w:color="auto"/>
              <w:left w:val="single" w:sz="4" w:space="0" w:color="auto"/>
              <w:bottom w:val="single" w:sz="4" w:space="0" w:color="auto"/>
              <w:right w:val="single" w:sz="4" w:space="0" w:color="auto"/>
            </w:tcBorders>
          </w:tcPr>
          <w:p w14:paraId="6BC14F35" w14:textId="01FFE6F5" w:rsidR="006277F4" w:rsidRPr="003A7E48" w:rsidRDefault="006277F4" w:rsidP="00E9121E">
            <w:pPr>
              <w:pStyle w:val="Tabletext"/>
            </w:pPr>
            <w:r w:rsidRPr="003A7E48">
              <w:rPr>
                <w:rFonts w:asciiTheme="minorHAnsi" w:hAnsiTheme="minorHAnsi"/>
              </w:rPr>
              <w:t>4.1</w:t>
            </w:r>
            <w:r w:rsidRPr="003A7E48">
              <w:rPr>
                <w:rFonts w:asciiTheme="minorHAnsi" w:hAnsiTheme="minorHAnsi"/>
              </w:rPr>
              <w:tab/>
            </w:r>
            <w:r w:rsidR="00587820" w:rsidRPr="003A7E48">
              <w:t>Los Miembros promoverán la prestación de los servicios internacionales de telecomunicación y procurarán facilitar generalmente esos servicios al público en sus redes nacionales.</w:t>
            </w:r>
          </w:p>
        </w:tc>
        <w:tc>
          <w:tcPr>
            <w:tcW w:w="2226" w:type="dxa"/>
            <w:tcBorders>
              <w:top w:val="single" w:sz="4" w:space="0" w:color="auto"/>
              <w:left w:val="single" w:sz="4" w:space="0" w:color="auto"/>
              <w:bottom w:val="single" w:sz="4" w:space="0" w:color="auto"/>
              <w:right w:val="single" w:sz="4" w:space="0" w:color="auto"/>
            </w:tcBorders>
          </w:tcPr>
          <w:p w14:paraId="7208A43B" w14:textId="06CBC397" w:rsidR="006277F4"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50914E90" w14:textId="4981F5B5" w:rsidR="006277F4"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717FD023" w14:textId="63637E1E" w:rsidR="006277F4" w:rsidRPr="003A7E48" w:rsidRDefault="006C65F5" w:rsidP="00D378F1">
            <w:pPr>
              <w:pStyle w:val="Tabletext"/>
            </w:pPr>
            <w:r w:rsidRPr="003A7E48">
              <w:t>Mantener el texto sin cambios</w:t>
            </w:r>
          </w:p>
        </w:tc>
      </w:tr>
      <w:tr w:rsidR="006277F4" w:rsidRPr="003A7E48" w14:paraId="39519134" w14:textId="77777777" w:rsidTr="00040DC6">
        <w:tc>
          <w:tcPr>
            <w:tcW w:w="1129" w:type="dxa"/>
            <w:tcBorders>
              <w:left w:val="single" w:sz="4" w:space="0" w:color="auto"/>
              <w:right w:val="single" w:sz="4" w:space="0" w:color="auto"/>
            </w:tcBorders>
          </w:tcPr>
          <w:p w14:paraId="4F118926" w14:textId="77777777" w:rsidR="006277F4" w:rsidRPr="003A7E48" w:rsidRDefault="006277F4"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EC7688B" w14:textId="4F535F80" w:rsidR="006277F4" w:rsidRPr="003A7E48" w:rsidRDefault="006277F4" w:rsidP="00181FE6">
            <w:pPr>
              <w:pStyle w:val="Tabletext"/>
              <w:tabs>
                <w:tab w:val="left" w:pos="457"/>
                <w:tab w:val="left" w:pos="1024"/>
              </w:tabs>
              <w:rPr>
                <w:rFonts w:asciiTheme="minorHAnsi" w:hAnsiTheme="minorHAnsi" w:cstheme="minorHAnsi"/>
                <w:bCs/>
              </w:rPr>
            </w:pPr>
            <w:r w:rsidRPr="003A7E48">
              <w:rPr>
                <w:rFonts w:asciiTheme="minorHAnsi" w:hAnsiTheme="minorHAnsi"/>
              </w:rPr>
              <w:t>4.2</w:t>
            </w:r>
            <w:r w:rsidRPr="003A7E48">
              <w:rPr>
                <w:rFonts w:asciiTheme="minorHAnsi" w:hAnsiTheme="minorHAnsi"/>
              </w:rPr>
              <w:tab/>
            </w:r>
            <w:r w:rsidRPr="003A7E48">
              <w:t>Los Estados Miembros se esforzarán por garantizar que las empresas de explotación autorizadas colaboren en el marco del presente Reglamento para ofrecer mediante acuerdo una amplia gama de servicios internacionales de telecomunicación, que deberían ajustarse en la mayor medida posible a las Recomendaciones UIT</w:t>
            </w:r>
            <w:r w:rsidRPr="003A7E48">
              <w:noBreakHyphen/>
              <w:t>T pertinentes.</w:t>
            </w:r>
          </w:p>
        </w:tc>
        <w:tc>
          <w:tcPr>
            <w:tcW w:w="3551" w:type="dxa"/>
            <w:tcBorders>
              <w:top w:val="single" w:sz="4" w:space="0" w:color="auto"/>
              <w:left w:val="single" w:sz="4" w:space="0" w:color="auto"/>
              <w:bottom w:val="single" w:sz="4" w:space="0" w:color="auto"/>
              <w:right w:val="single" w:sz="4" w:space="0" w:color="auto"/>
            </w:tcBorders>
          </w:tcPr>
          <w:p w14:paraId="7302925B" w14:textId="3780BF70"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t>4.2</w:t>
            </w:r>
            <w:r w:rsidRPr="003A7E48">
              <w:rPr>
                <w:rFonts w:asciiTheme="minorHAnsi" w:hAnsiTheme="minorHAnsi"/>
              </w:rPr>
              <w:tab/>
            </w:r>
            <w:r w:rsidRPr="003A7E48">
              <w:t>Los Miembros garantizarán que las administraciones</w:t>
            </w:r>
            <w:r w:rsidRPr="003A7E48">
              <w:rPr>
                <w:rStyle w:val="FootnoteReference"/>
              </w:rPr>
              <w:t>*</w:t>
            </w:r>
            <w:r w:rsidRPr="003A7E48">
              <w:t xml:space="preserve"> colaboren en el marco del presente Reglamento para ofrecer de común acuerdo una amplia gama de servicios internacionales de telecomunicación, que deberían ajustarse en la mayor medida posible a las Recomendaciones pertinentes del </w:t>
            </w:r>
            <w:proofErr w:type="spellStart"/>
            <w:r w:rsidRPr="003A7E48">
              <w:t>CCITT</w:t>
            </w:r>
            <w:proofErr w:type="spellEnd"/>
            <w:r w:rsidRPr="003A7E48">
              <w:t>.</w:t>
            </w:r>
          </w:p>
        </w:tc>
        <w:tc>
          <w:tcPr>
            <w:tcW w:w="2226" w:type="dxa"/>
            <w:tcBorders>
              <w:top w:val="single" w:sz="4" w:space="0" w:color="auto"/>
              <w:left w:val="single" w:sz="4" w:space="0" w:color="auto"/>
              <w:bottom w:val="single" w:sz="4" w:space="0" w:color="auto"/>
              <w:right w:val="single" w:sz="4" w:space="0" w:color="auto"/>
            </w:tcBorders>
          </w:tcPr>
          <w:p w14:paraId="44B5A29F" w14:textId="798D9433" w:rsidR="006277F4"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072C8774" w14:textId="0B20BE8E" w:rsidR="006277F4" w:rsidRPr="003A7E48" w:rsidRDefault="00040DC6" w:rsidP="00D378F1">
            <w:pPr>
              <w:pStyle w:val="Tabletext"/>
            </w:pPr>
            <w:r w:rsidRPr="003A7E48">
              <w:t xml:space="preserve">El texto puede ser más flexible si no nos limitamos a las Recomendaciones UIT-T. </w:t>
            </w:r>
          </w:p>
        </w:tc>
        <w:tc>
          <w:tcPr>
            <w:tcW w:w="1949" w:type="dxa"/>
            <w:tcBorders>
              <w:top w:val="single" w:sz="4" w:space="0" w:color="auto"/>
              <w:left w:val="single" w:sz="4" w:space="0" w:color="auto"/>
              <w:bottom w:val="single" w:sz="4" w:space="0" w:color="auto"/>
              <w:right w:val="single" w:sz="4" w:space="0" w:color="auto"/>
            </w:tcBorders>
          </w:tcPr>
          <w:p w14:paraId="2940E302" w14:textId="4EE92BB6" w:rsidR="006277F4" w:rsidRPr="003A7E48" w:rsidRDefault="002F0E44" w:rsidP="00D378F1">
            <w:pPr>
              <w:pStyle w:val="Tabletext"/>
            </w:pPr>
            <w:r w:rsidRPr="003A7E48">
              <w:t xml:space="preserve">Se sugiere ampliar el texto, que las empresas de explotación se ajusten a todas las Recomendaciones de la UIT, y no sólo a las Recomendaciones UIT-T, ya que puede haber otras Recomendaciones de la UIT pertinentes. </w:t>
            </w:r>
          </w:p>
        </w:tc>
      </w:tr>
      <w:tr w:rsidR="006277F4" w:rsidRPr="003A7E48" w14:paraId="5DA764FD" w14:textId="77777777" w:rsidTr="00040DC6">
        <w:tc>
          <w:tcPr>
            <w:tcW w:w="1129" w:type="dxa"/>
            <w:tcBorders>
              <w:left w:val="single" w:sz="4" w:space="0" w:color="auto"/>
              <w:right w:val="single" w:sz="4" w:space="0" w:color="auto"/>
            </w:tcBorders>
          </w:tcPr>
          <w:p w14:paraId="093C4AB1" w14:textId="77777777" w:rsidR="006277F4" w:rsidRPr="003A7E48" w:rsidRDefault="006277F4"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90A10C3" w14:textId="12AF70B6" w:rsidR="006277F4" w:rsidRPr="003A7E48" w:rsidRDefault="006277F4" w:rsidP="00181FE6">
            <w:pPr>
              <w:pStyle w:val="Tabletext"/>
              <w:tabs>
                <w:tab w:val="left" w:pos="457"/>
                <w:tab w:val="left" w:pos="1024"/>
              </w:tabs>
              <w:rPr>
                <w:rFonts w:asciiTheme="minorHAnsi" w:hAnsiTheme="minorHAnsi" w:cstheme="minorHAnsi"/>
                <w:bCs/>
              </w:rPr>
            </w:pPr>
            <w:r w:rsidRPr="003A7E48">
              <w:rPr>
                <w:rFonts w:asciiTheme="minorHAnsi" w:hAnsiTheme="minorHAnsi"/>
              </w:rPr>
              <w:t>4.3</w:t>
            </w:r>
            <w:r w:rsidRPr="003A7E48">
              <w:rPr>
                <w:rFonts w:asciiTheme="minorHAnsi" w:hAnsiTheme="minorHAnsi"/>
              </w:rPr>
              <w:tab/>
            </w:r>
            <w:r w:rsidRPr="003A7E48">
              <w:t xml:space="preserve">De acuerdo con la legislación nacional aplicable, los Estados Miembros procurarán velar por que </w:t>
            </w:r>
            <w:r w:rsidRPr="003A7E48">
              <w:lastRenderedPageBreak/>
              <w:t>las empresas de explotación autorizadas proporcionen y mantengan en la mayor medida posible una calidad de servicio satisfactoria correspondiente a la de las Recomendaciones UIT-T pertinentes en relación con:</w:t>
            </w:r>
          </w:p>
        </w:tc>
        <w:tc>
          <w:tcPr>
            <w:tcW w:w="3551" w:type="dxa"/>
            <w:tcBorders>
              <w:top w:val="single" w:sz="4" w:space="0" w:color="auto"/>
              <w:left w:val="single" w:sz="4" w:space="0" w:color="auto"/>
              <w:bottom w:val="single" w:sz="4" w:space="0" w:color="auto"/>
              <w:right w:val="single" w:sz="4" w:space="0" w:color="auto"/>
            </w:tcBorders>
          </w:tcPr>
          <w:p w14:paraId="4231E5FA" w14:textId="7CDEA9AB"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r w:rsidRPr="003A7E48">
              <w:rPr>
                <w:rFonts w:asciiTheme="minorHAnsi" w:hAnsiTheme="minorHAnsi"/>
              </w:rPr>
              <w:lastRenderedPageBreak/>
              <w:t>4.3</w:t>
            </w:r>
            <w:r w:rsidRPr="003A7E48">
              <w:rPr>
                <w:rFonts w:asciiTheme="minorHAnsi" w:hAnsiTheme="minorHAnsi"/>
              </w:rPr>
              <w:tab/>
            </w:r>
            <w:r w:rsidR="00587820" w:rsidRPr="003A7E48">
              <w:t xml:space="preserve">Sin perjuicio de la legislación nacional aplicable, los Miembros procurarán garantizar que las </w:t>
            </w:r>
            <w:r w:rsidR="00587820" w:rsidRPr="003A7E48">
              <w:lastRenderedPageBreak/>
              <w:t>administraciones</w:t>
            </w:r>
            <w:r w:rsidR="00587820" w:rsidRPr="003A7E48">
              <w:rPr>
                <w:vertAlign w:val="superscript"/>
              </w:rPr>
              <w:t>*</w:t>
            </w:r>
            <w:r w:rsidR="00587820" w:rsidRPr="003A7E48">
              <w:t xml:space="preserve"> proporcionen y mantengan en la mayor medida posible la calidad mínima de servicio correspondiente a las Recomendaciones pertinentes del </w:t>
            </w:r>
            <w:proofErr w:type="spellStart"/>
            <w:r w:rsidR="00587820" w:rsidRPr="003A7E48">
              <w:t>CCITT</w:t>
            </w:r>
            <w:proofErr w:type="spellEnd"/>
            <w:r w:rsidR="00587820" w:rsidRPr="003A7E48">
              <w:t xml:space="preserve"> en relación con:</w:t>
            </w:r>
          </w:p>
        </w:tc>
        <w:tc>
          <w:tcPr>
            <w:tcW w:w="2226" w:type="dxa"/>
            <w:tcBorders>
              <w:top w:val="single" w:sz="4" w:space="0" w:color="auto"/>
              <w:left w:val="single" w:sz="4" w:space="0" w:color="auto"/>
              <w:bottom w:val="single" w:sz="4" w:space="0" w:color="auto"/>
              <w:right w:val="single" w:sz="4" w:space="0" w:color="auto"/>
            </w:tcBorders>
          </w:tcPr>
          <w:p w14:paraId="0F507932" w14:textId="640BE413" w:rsidR="006277F4" w:rsidRPr="003A7E48" w:rsidRDefault="006C65F5" w:rsidP="00D378F1">
            <w:pPr>
              <w:pStyle w:val="Tabletext"/>
            </w:pPr>
            <w:r w:rsidRPr="003A7E48">
              <w:lastRenderedPageBreak/>
              <w:t>El texto es aplicable</w:t>
            </w:r>
          </w:p>
        </w:tc>
        <w:tc>
          <w:tcPr>
            <w:tcW w:w="2053" w:type="dxa"/>
            <w:tcBorders>
              <w:top w:val="single" w:sz="4" w:space="0" w:color="auto"/>
              <w:left w:val="single" w:sz="4" w:space="0" w:color="auto"/>
              <w:bottom w:val="single" w:sz="4" w:space="0" w:color="auto"/>
              <w:right w:val="single" w:sz="4" w:space="0" w:color="auto"/>
            </w:tcBorders>
          </w:tcPr>
          <w:p w14:paraId="1D4630AF" w14:textId="7184A5AA" w:rsidR="006277F4" w:rsidRPr="003A7E48" w:rsidRDefault="002F0E44" w:rsidP="00D378F1">
            <w:pPr>
              <w:pStyle w:val="Tabletext"/>
            </w:pPr>
            <w:r w:rsidRPr="003A7E48">
              <w:t xml:space="preserve">El texto puede ser más flexible si no nos limitamos a las </w:t>
            </w:r>
            <w:r w:rsidRPr="003A7E48">
              <w:lastRenderedPageBreak/>
              <w:t>Recomendaciones UIT-T.</w:t>
            </w:r>
          </w:p>
        </w:tc>
        <w:tc>
          <w:tcPr>
            <w:tcW w:w="1949" w:type="dxa"/>
            <w:tcBorders>
              <w:top w:val="single" w:sz="4" w:space="0" w:color="auto"/>
              <w:left w:val="single" w:sz="4" w:space="0" w:color="auto"/>
              <w:bottom w:val="single" w:sz="4" w:space="0" w:color="auto"/>
              <w:right w:val="single" w:sz="4" w:space="0" w:color="auto"/>
            </w:tcBorders>
          </w:tcPr>
          <w:p w14:paraId="28C661EC" w14:textId="4515C317" w:rsidR="006277F4" w:rsidRPr="003A7E48" w:rsidRDefault="002F0E44" w:rsidP="006803BE">
            <w:pPr>
              <w:pStyle w:val="Tabletext"/>
              <w:ind w:right="-57"/>
            </w:pPr>
            <w:r w:rsidRPr="003A7E48">
              <w:lastRenderedPageBreak/>
              <w:t xml:space="preserve">Se sugiere ampliar el texto para referirse a las </w:t>
            </w:r>
            <w:r w:rsidRPr="003A7E48">
              <w:lastRenderedPageBreak/>
              <w:t xml:space="preserve">Recomendaciones de la UIT en general, y no sólo a las Recomendaciones del Sector de Normalización. </w:t>
            </w:r>
          </w:p>
        </w:tc>
      </w:tr>
      <w:tr w:rsidR="006277F4" w:rsidRPr="003A7E48" w14:paraId="140A71D5" w14:textId="77777777" w:rsidTr="00040DC6">
        <w:tc>
          <w:tcPr>
            <w:tcW w:w="1129" w:type="dxa"/>
            <w:tcBorders>
              <w:left w:val="single" w:sz="4" w:space="0" w:color="auto"/>
              <w:right w:val="single" w:sz="4" w:space="0" w:color="auto"/>
            </w:tcBorders>
          </w:tcPr>
          <w:p w14:paraId="79DA17F9" w14:textId="77777777" w:rsidR="006277F4" w:rsidRPr="003A7E48" w:rsidRDefault="006277F4"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3ED69209" w14:textId="365D13D7" w:rsidR="006277F4" w:rsidRPr="003A7E48" w:rsidRDefault="006277F4" w:rsidP="00181FE6">
            <w:pPr>
              <w:pStyle w:val="Tabletext"/>
              <w:tabs>
                <w:tab w:val="left" w:pos="457"/>
                <w:tab w:val="left" w:pos="1024"/>
              </w:tabs>
              <w:rPr>
                <w:rFonts w:asciiTheme="minorHAnsi" w:hAnsiTheme="minorHAnsi" w:cstheme="minorHAnsi"/>
                <w:bCs/>
              </w:rPr>
            </w:pPr>
            <w:bookmarkStart w:id="16" w:name="lt_pId418"/>
            <w:r w:rsidRPr="003A7E48">
              <w:rPr>
                <w:rFonts w:asciiTheme="minorHAnsi" w:hAnsiTheme="minorHAnsi"/>
                <w:i/>
                <w:iCs/>
              </w:rPr>
              <w:t>a)</w:t>
            </w:r>
            <w:bookmarkEnd w:id="16"/>
            <w:r w:rsidRPr="003A7E48">
              <w:rPr>
                <w:rFonts w:asciiTheme="minorHAnsi" w:hAnsiTheme="minorHAnsi"/>
              </w:rPr>
              <w:tab/>
            </w:r>
            <w:r w:rsidRPr="003A7E48">
              <w:t>el acceso de los usuarios a la red internacional mediante terminales que hayan sido autorizados a conectarse a la red y que no causen daños a las instalaciones técnicas ni al personal;</w:t>
            </w:r>
          </w:p>
        </w:tc>
        <w:tc>
          <w:tcPr>
            <w:tcW w:w="3551" w:type="dxa"/>
            <w:tcBorders>
              <w:top w:val="single" w:sz="4" w:space="0" w:color="auto"/>
              <w:left w:val="single" w:sz="4" w:space="0" w:color="auto"/>
              <w:bottom w:val="single" w:sz="4" w:space="0" w:color="auto"/>
              <w:right w:val="single" w:sz="4" w:space="0" w:color="auto"/>
            </w:tcBorders>
          </w:tcPr>
          <w:p w14:paraId="48AD305F" w14:textId="21984C5C"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bookmarkStart w:id="17" w:name="lt_pId421"/>
            <w:r w:rsidRPr="003A7E48">
              <w:rPr>
                <w:rFonts w:asciiTheme="minorHAnsi" w:hAnsiTheme="minorHAnsi"/>
                <w:i/>
                <w:iCs/>
              </w:rPr>
              <w:t>a)</w:t>
            </w:r>
            <w:bookmarkEnd w:id="17"/>
            <w:r w:rsidRPr="003A7E48">
              <w:rPr>
                <w:rFonts w:asciiTheme="minorHAnsi" w:hAnsiTheme="minorHAnsi"/>
              </w:rPr>
              <w:tab/>
            </w:r>
            <w:r w:rsidRPr="003A7E48">
              <w:t>el acceso de los usuarios a la red internacional mediante terminales que hayan sido autorizados a conectarse a la red y que no causen daños a las instalaciones técnicas ni al personal;</w:t>
            </w:r>
          </w:p>
        </w:tc>
        <w:tc>
          <w:tcPr>
            <w:tcW w:w="2226" w:type="dxa"/>
            <w:tcBorders>
              <w:top w:val="single" w:sz="4" w:space="0" w:color="auto"/>
              <w:left w:val="single" w:sz="4" w:space="0" w:color="auto"/>
              <w:bottom w:val="single" w:sz="4" w:space="0" w:color="auto"/>
              <w:right w:val="single" w:sz="4" w:space="0" w:color="auto"/>
            </w:tcBorders>
          </w:tcPr>
          <w:p w14:paraId="372582D4" w14:textId="5EEEBA7B" w:rsidR="006277F4" w:rsidRPr="003A7E48" w:rsidRDefault="002F0E44" w:rsidP="00D378F1">
            <w:pPr>
              <w:pStyle w:val="Tabletext"/>
            </w:pPr>
            <w:r w:rsidRPr="003A7E48">
              <w:t xml:space="preserve">Es necesario aclarar el término </w:t>
            </w:r>
            <w:r w:rsidR="003A7E48">
              <w:t>"</w:t>
            </w:r>
            <w:r w:rsidRPr="003A7E48">
              <w:t>daños</w:t>
            </w:r>
            <w:r w:rsidR="003A7E48">
              <w:t>"</w:t>
            </w:r>
            <w:r w:rsidRPr="003A7E48">
              <w:t xml:space="preserve"> para garantizar la apropiada aplicabilidad de este texto. </w:t>
            </w:r>
          </w:p>
        </w:tc>
        <w:tc>
          <w:tcPr>
            <w:tcW w:w="2053" w:type="dxa"/>
            <w:tcBorders>
              <w:top w:val="single" w:sz="4" w:space="0" w:color="auto"/>
              <w:left w:val="single" w:sz="4" w:space="0" w:color="auto"/>
              <w:bottom w:val="single" w:sz="4" w:space="0" w:color="auto"/>
              <w:right w:val="single" w:sz="4" w:space="0" w:color="auto"/>
            </w:tcBorders>
          </w:tcPr>
          <w:p w14:paraId="3518E272" w14:textId="5B0810B5" w:rsidR="006277F4"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16B40AAE" w14:textId="785C0C9A" w:rsidR="006277F4" w:rsidRPr="003A7E48" w:rsidRDefault="002F0E44" w:rsidP="00D378F1">
            <w:pPr>
              <w:pStyle w:val="Tabletext"/>
            </w:pPr>
            <w:r w:rsidRPr="003A7E48">
              <w:t xml:space="preserve">Es </w:t>
            </w:r>
            <w:r w:rsidR="00FA09B7" w:rsidRPr="003A7E48">
              <w:t xml:space="preserve">necesario </w:t>
            </w:r>
            <w:r w:rsidRPr="003A7E48">
              <w:t xml:space="preserve">aclarar el término </w:t>
            </w:r>
            <w:r w:rsidR="003A7E48">
              <w:t>"</w:t>
            </w:r>
            <w:r w:rsidRPr="003A7E48">
              <w:t>daños</w:t>
            </w:r>
            <w:r w:rsidR="003A7E48">
              <w:t>"</w:t>
            </w:r>
            <w:r w:rsidRPr="003A7E48">
              <w:t>.</w:t>
            </w:r>
          </w:p>
        </w:tc>
      </w:tr>
      <w:tr w:rsidR="006277F4" w:rsidRPr="003A7E48" w14:paraId="65BF279C" w14:textId="77777777" w:rsidTr="00040DC6">
        <w:trPr>
          <w:cantSplit/>
        </w:trPr>
        <w:tc>
          <w:tcPr>
            <w:tcW w:w="1129" w:type="dxa"/>
            <w:tcBorders>
              <w:left w:val="single" w:sz="4" w:space="0" w:color="auto"/>
              <w:right w:val="single" w:sz="4" w:space="0" w:color="auto"/>
            </w:tcBorders>
          </w:tcPr>
          <w:p w14:paraId="6FBDA9D4" w14:textId="77777777" w:rsidR="006277F4" w:rsidRPr="003A7E48" w:rsidRDefault="006277F4"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5A2925B9" w14:textId="66A2FEC0" w:rsidR="006277F4" w:rsidRPr="003A7E48" w:rsidRDefault="006277F4" w:rsidP="00181FE6">
            <w:pPr>
              <w:pStyle w:val="Tabletext"/>
              <w:tabs>
                <w:tab w:val="left" w:pos="457"/>
                <w:tab w:val="left" w:pos="1024"/>
              </w:tabs>
              <w:rPr>
                <w:rFonts w:asciiTheme="minorHAnsi" w:hAnsiTheme="minorHAnsi" w:cstheme="minorHAnsi"/>
                <w:bCs/>
              </w:rPr>
            </w:pPr>
            <w:bookmarkStart w:id="18" w:name="lt_pId427"/>
            <w:r w:rsidRPr="003A7E48">
              <w:rPr>
                <w:rFonts w:asciiTheme="minorHAnsi" w:hAnsiTheme="minorHAnsi"/>
                <w:i/>
                <w:iCs/>
              </w:rPr>
              <w:t>b)</w:t>
            </w:r>
            <w:bookmarkEnd w:id="18"/>
            <w:r w:rsidRPr="003A7E48">
              <w:rPr>
                <w:rFonts w:asciiTheme="minorHAnsi" w:hAnsiTheme="minorHAnsi"/>
              </w:rPr>
              <w:tab/>
            </w:r>
            <w:r w:rsidRPr="003A7E48">
              <w:t>los medios y servicios internacionales de telecomunicación puestos a disposición de los usuarios para uso especializado;</w:t>
            </w:r>
          </w:p>
        </w:tc>
        <w:tc>
          <w:tcPr>
            <w:tcW w:w="3551" w:type="dxa"/>
            <w:tcBorders>
              <w:top w:val="single" w:sz="4" w:space="0" w:color="auto"/>
              <w:left w:val="single" w:sz="4" w:space="0" w:color="auto"/>
              <w:bottom w:val="single" w:sz="4" w:space="0" w:color="auto"/>
              <w:right w:val="single" w:sz="4" w:space="0" w:color="auto"/>
            </w:tcBorders>
          </w:tcPr>
          <w:p w14:paraId="7798FFD9" w14:textId="7B98E378"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bookmarkStart w:id="19" w:name="lt_pId430"/>
            <w:r w:rsidRPr="003A7E48">
              <w:rPr>
                <w:rFonts w:asciiTheme="minorHAnsi" w:hAnsiTheme="minorHAnsi"/>
                <w:i/>
                <w:iCs/>
              </w:rPr>
              <w:t>b)</w:t>
            </w:r>
            <w:bookmarkEnd w:id="19"/>
            <w:r w:rsidRPr="003A7E48">
              <w:rPr>
                <w:rFonts w:asciiTheme="minorHAnsi" w:hAnsiTheme="minorHAnsi"/>
              </w:rPr>
              <w:tab/>
            </w:r>
            <w:r w:rsidRPr="003A7E48">
              <w:t>los medios y servicios internacionales de telecomunicación puestos a disposición de los clientes para uso especializado;</w:t>
            </w:r>
          </w:p>
        </w:tc>
        <w:tc>
          <w:tcPr>
            <w:tcW w:w="2226" w:type="dxa"/>
            <w:tcBorders>
              <w:top w:val="single" w:sz="4" w:space="0" w:color="auto"/>
              <w:left w:val="single" w:sz="4" w:space="0" w:color="auto"/>
              <w:bottom w:val="single" w:sz="4" w:space="0" w:color="auto"/>
              <w:right w:val="single" w:sz="4" w:space="0" w:color="auto"/>
            </w:tcBorders>
          </w:tcPr>
          <w:p w14:paraId="439C1946" w14:textId="39AD2240" w:rsidR="006277F4"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56826C91" w14:textId="497DC772" w:rsidR="006277F4"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648BE438" w14:textId="444408F2" w:rsidR="006277F4" w:rsidRPr="003A7E48" w:rsidRDefault="0070177B" w:rsidP="00927922">
            <w:pPr>
              <w:pStyle w:val="Tabletext"/>
            </w:pPr>
            <w:r w:rsidRPr="003A7E48">
              <w:t>Mantener el texto</w:t>
            </w:r>
          </w:p>
        </w:tc>
      </w:tr>
      <w:tr w:rsidR="006277F4" w:rsidRPr="003A7E48" w14:paraId="1B6FEDE2" w14:textId="77777777" w:rsidTr="00040DC6">
        <w:tc>
          <w:tcPr>
            <w:tcW w:w="1129" w:type="dxa"/>
            <w:tcBorders>
              <w:left w:val="single" w:sz="4" w:space="0" w:color="auto"/>
              <w:right w:val="single" w:sz="4" w:space="0" w:color="auto"/>
            </w:tcBorders>
          </w:tcPr>
          <w:p w14:paraId="715F81C2" w14:textId="77777777" w:rsidR="006277F4" w:rsidRPr="003A7E48" w:rsidRDefault="006277F4"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7801D381" w14:textId="028497AF" w:rsidR="006277F4" w:rsidRPr="003A7E48" w:rsidRDefault="006277F4" w:rsidP="00181FE6">
            <w:pPr>
              <w:pStyle w:val="Tabletext"/>
              <w:tabs>
                <w:tab w:val="left" w:pos="457"/>
                <w:tab w:val="left" w:pos="1024"/>
              </w:tabs>
              <w:rPr>
                <w:rFonts w:asciiTheme="minorHAnsi" w:hAnsiTheme="minorHAnsi" w:cstheme="minorHAnsi"/>
                <w:bCs/>
              </w:rPr>
            </w:pPr>
            <w:bookmarkStart w:id="20" w:name="lt_pId438"/>
            <w:r w:rsidRPr="003A7E48">
              <w:rPr>
                <w:rFonts w:asciiTheme="minorHAnsi" w:hAnsiTheme="minorHAnsi"/>
                <w:i/>
                <w:iCs/>
              </w:rPr>
              <w:t>c)</w:t>
            </w:r>
            <w:bookmarkEnd w:id="20"/>
            <w:r w:rsidRPr="003A7E48">
              <w:rPr>
                <w:rFonts w:asciiTheme="minorHAnsi" w:hAnsiTheme="minorHAnsi"/>
              </w:rPr>
              <w:tab/>
            </w:r>
            <w:r w:rsidRPr="003A7E48">
              <w:t>al menos una forma de servicio de telecomunicación razonablemente accesible al público, comprendidas las personas que puedan no estar abonadas a un servicio específico de telecomunicación; y</w:t>
            </w:r>
          </w:p>
        </w:tc>
        <w:tc>
          <w:tcPr>
            <w:tcW w:w="3551" w:type="dxa"/>
            <w:tcBorders>
              <w:top w:val="single" w:sz="4" w:space="0" w:color="auto"/>
              <w:left w:val="single" w:sz="4" w:space="0" w:color="auto"/>
              <w:bottom w:val="single" w:sz="4" w:space="0" w:color="auto"/>
              <w:right w:val="single" w:sz="4" w:space="0" w:color="auto"/>
            </w:tcBorders>
          </w:tcPr>
          <w:p w14:paraId="791BE895" w14:textId="5913345F"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bookmarkStart w:id="21" w:name="lt_pId441"/>
            <w:r w:rsidRPr="003A7E48">
              <w:rPr>
                <w:rFonts w:asciiTheme="minorHAnsi" w:hAnsiTheme="minorHAnsi"/>
                <w:i/>
                <w:iCs/>
              </w:rPr>
              <w:t>c)</w:t>
            </w:r>
            <w:bookmarkEnd w:id="21"/>
            <w:r w:rsidRPr="003A7E48">
              <w:rPr>
                <w:rFonts w:asciiTheme="minorHAnsi" w:hAnsiTheme="minorHAnsi"/>
              </w:rPr>
              <w:tab/>
            </w:r>
            <w:r w:rsidRPr="003A7E48">
              <w:t>al menos una forma de telecomunicación razonablemente accesible al público, comprendidas las personas que puedan no estar abonadas a un servicio específico de telecomunicación; y</w:t>
            </w:r>
          </w:p>
        </w:tc>
        <w:tc>
          <w:tcPr>
            <w:tcW w:w="2226" w:type="dxa"/>
            <w:tcBorders>
              <w:top w:val="single" w:sz="4" w:space="0" w:color="auto"/>
              <w:left w:val="single" w:sz="4" w:space="0" w:color="auto"/>
              <w:bottom w:val="single" w:sz="4" w:space="0" w:color="auto"/>
              <w:right w:val="single" w:sz="4" w:space="0" w:color="auto"/>
            </w:tcBorders>
          </w:tcPr>
          <w:p w14:paraId="3EB68B8C" w14:textId="39D14F65" w:rsidR="006277F4" w:rsidRPr="003A7E48" w:rsidRDefault="00FA09B7" w:rsidP="00D378F1">
            <w:pPr>
              <w:pStyle w:val="Tabletext"/>
            </w:pPr>
            <w:r w:rsidRPr="003A7E48">
              <w:t xml:space="preserve">La palabra </w:t>
            </w:r>
            <w:r w:rsidR="003A7E48">
              <w:t>"</w:t>
            </w:r>
            <w:r w:rsidRPr="003A7E48">
              <w:t>razonablemente</w:t>
            </w:r>
            <w:r w:rsidR="003A7E48">
              <w:t>"</w:t>
            </w:r>
            <w:r w:rsidRPr="003A7E48">
              <w:t xml:space="preserve"> no es medible y por tanto puede crear confusión y tener un efecto negativo sobre la aplicabilidad</w:t>
            </w:r>
            <w:r w:rsidR="006277F4" w:rsidRPr="003A7E48">
              <w:t>.</w:t>
            </w:r>
            <w:r w:rsidRPr="003A7E48">
              <w:t xml:space="preserve"> </w:t>
            </w:r>
            <w:proofErr w:type="spellStart"/>
            <w:r w:rsidR="006277F4" w:rsidRPr="003A7E48">
              <w:t>wwwwet5v</w:t>
            </w:r>
            <w:proofErr w:type="spellEnd"/>
          </w:p>
        </w:tc>
        <w:tc>
          <w:tcPr>
            <w:tcW w:w="2053" w:type="dxa"/>
            <w:tcBorders>
              <w:top w:val="single" w:sz="4" w:space="0" w:color="auto"/>
              <w:left w:val="single" w:sz="4" w:space="0" w:color="auto"/>
              <w:bottom w:val="single" w:sz="4" w:space="0" w:color="auto"/>
              <w:right w:val="single" w:sz="4" w:space="0" w:color="auto"/>
            </w:tcBorders>
          </w:tcPr>
          <w:p w14:paraId="7C145797" w14:textId="6DC0D0EE" w:rsidR="006277F4"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337144FA" w14:textId="5A5916AD" w:rsidR="006277F4" w:rsidRPr="003A7E48" w:rsidRDefault="00FA09B7" w:rsidP="00927922">
            <w:pPr>
              <w:pStyle w:val="Tabletext"/>
            </w:pPr>
            <w:r w:rsidRPr="003A7E48">
              <w:t xml:space="preserve">Se sugiere suprimir </w:t>
            </w:r>
            <w:r w:rsidR="003A7E48">
              <w:t>"</w:t>
            </w:r>
            <w:r w:rsidRPr="003A7E48">
              <w:t>razonablemente</w:t>
            </w:r>
            <w:r w:rsidR="003A7E48">
              <w:t>"</w:t>
            </w:r>
            <w:r w:rsidRPr="003A7E48">
              <w:t xml:space="preserve">. </w:t>
            </w:r>
          </w:p>
        </w:tc>
      </w:tr>
      <w:tr w:rsidR="006277F4" w:rsidRPr="003A7E48" w14:paraId="6E791D62" w14:textId="77777777" w:rsidTr="00040DC6">
        <w:trPr>
          <w:cantSplit/>
        </w:trPr>
        <w:tc>
          <w:tcPr>
            <w:tcW w:w="1129" w:type="dxa"/>
            <w:tcBorders>
              <w:left w:val="single" w:sz="4" w:space="0" w:color="auto"/>
              <w:bottom w:val="single" w:sz="4" w:space="0" w:color="auto"/>
              <w:right w:val="single" w:sz="4" w:space="0" w:color="auto"/>
            </w:tcBorders>
          </w:tcPr>
          <w:p w14:paraId="3005C062" w14:textId="77777777" w:rsidR="006277F4" w:rsidRPr="003A7E48" w:rsidRDefault="006277F4"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tcPr>
          <w:p w14:paraId="67B23BCD" w14:textId="31F84BDE"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bookmarkStart w:id="22" w:name="lt_pId450"/>
            <w:r w:rsidRPr="003A7E48">
              <w:rPr>
                <w:rFonts w:asciiTheme="minorHAnsi" w:hAnsiTheme="minorHAnsi"/>
                <w:i/>
                <w:iCs/>
              </w:rPr>
              <w:t>d)</w:t>
            </w:r>
            <w:bookmarkEnd w:id="22"/>
            <w:r w:rsidRPr="003A7E48">
              <w:rPr>
                <w:rFonts w:asciiTheme="minorHAnsi" w:hAnsiTheme="minorHAnsi"/>
              </w:rPr>
              <w:tab/>
            </w:r>
            <w:r w:rsidRPr="003A7E48">
              <w:t xml:space="preserve">en su caso, una posibilidad de </w:t>
            </w:r>
            <w:proofErr w:type="spellStart"/>
            <w:r w:rsidRPr="003A7E48">
              <w:t>interfuncionamiento</w:t>
            </w:r>
            <w:proofErr w:type="spellEnd"/>
            <w:r w:rsidRPr="003A7E48">
              <w:t xml:space="preserve"> entre servicios diferentes, para facilitar los servicios de telecomunicaciones internacionales.</w:t>
            </w:r>
          </w:p>
        </w:tc>
        <w:tc>
          <w:tcPr>
            <w:tcW w:w="3551" w:type="dxa"/>
            <w:tcBorders>
              <w:top w:val="single" w:sz="4" w:space="0" w:color="auto"/>
              <w:left w:val="single" w:sz="4" w:space="0" w:color="auto"/>
              <w:bottom w:val="single" w:sz="4" w:space="0" w:color="auto"/>
              <w:right w:val="single" w:sz="4" w:space="0" w:color="auto"/>
            </w:tcBorders>
          </w:tcPr>
          <w:p w14:paraId="3BAD1D43" w14:textId="458349E6" w:rsidR="006277F4" w:rsidRPr="003A7E48" w:rsidRDefault="006277F4" w:rsidP="00181FE6">
            <w:pPr>
              <w:pStyle w:val="Tabletext"/>
              <w:tabs>
                <w:tab w:val="left" w:pos="457"/>
                <w:tab w:val="left" w:pos="1024"/>
              </w:tabs>
              <w:rPr>
                <w:rFonts w:asciiTheme="minorHAnsi" w:eastAsia="SimSun" w:hAnsiTheme="minorHAnsi" w:cs="Times New Roman Bold"/>
                <w:b/>
                <w:bCs/>
                <w:iCs/>
                <w:color w:val="000000"/>
              </w:rPr>
            </w:pPr>
            <w:bookmarkStart w:id="23" w:name="lt_pId453"/>
            <w:r w:rsidRPr="003A7E48">
              <w:rPr>
                <w:rFonts w:asciiTheme="minorHAnsi" w:hAnsiTheme="minorHAnsi"/>
                <w:i/>
                <w:iCs/>
              </w:rPr>
              <w:t>d)</w:t>
            </w:r>
            <w:bookmarkEnd w:id="23"/>
            <w:r w:rsidRPr="003A7E48">
              <w:rPr>
                <w:rFonts w:asciiTheme="minorHAnsi" w:hAnsiTheme="minorHAnsi"/>
              </w:rPr>
              <w:tab/>
            </w:r>
            <w:r w:rsidRPr="003A7E48">
              <w:t xml:space="preserve">en su caso, una posibilidad de </w:t>
            </w:r>
            <w:proofErr w:type="spellStart"/>
            <w:r w:rsidRPr="003A7E48">
              <w:t>interfuncionamiento</w:t>
            </w:r>
            <w:proofErr w:type="spellEnd"/>
            <w:r w:rsidRPr="003A7E48">
              <w:t xml:space="preserve"> entre servicios diferentes, para facilitar las comunicaciones internacionales.</w:t>
            </w:r>
          </w:p>
        </w:tc>
        <w:tc>
          <w:tcPr>
            <w:tcW w:w="2226" w:type="dxa"/>
            <w:tcBorders>
              <w:top w:val="single" w:sz="4" w:space="0" w:color="auto"/>
              <w:left w:val="single" w:sz="4" w:space="0" w:color="auto"/>
              <w:bottom w:val="single" w:sz="4" w:space="0" w:color="auto"/>
              <w:right w:val="single" w:sz="4" w:space="0" w:color="auto"/>
            </w:tcBorders>
          </w:tcPr>
          <w:p w14:paraId="7B485B7E" w14:textId="3EAB32AD" w:rsidR="006277F4"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tcPr>
          <w:p w14:paraId="21EAEDE8" w14:textId="6AF21E47" w:rsidR="006277F4"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tcPr>
          <w:p w14:paraId="4CB59DF2" w14:textId="0C613AE7" w:rsidR="006277F4" w:rsidRPr="003A7E48" w:rsidRDefault="0070177B" w:rsidP="006803BE">
            <w:pPr>
              <w:pStyle w:val="Tabletext"/>
            </w:pPr>
            <w:r w:rsidRPr="003A7E48">
              <w:t>Mantener el texto</w:t>
            </w:r>
          </w:p>
        </w:tc>
      </w:tr>
      <w:tr w:rsidR="00AE6A66" w:rsidRPr="003A7E48" w14:paraId="3814BDC2" w14:textId="77777777" w:rsidTr="00040DC6">
        <w:tc>
          <w:tcPr>
            <w:tcW w:w="1129" w:type="dxa"/>
            <w:vMerge w:val="restart"/>
            <w:tcBorders>
              <w:top w:val="single" w:sz="4" w:space="0" w:color="auto"/>
              <w:left w:val="single" w:sz="4" w:space="0" w:color="auto"/>
              <w:right w:val="single" w:sz="4" w:space="0" w:color="auto"/>
            </w:tcBorders>
            <w:shd w:val="clear" w:color="auto" w:fill="auto"/>
          </w:tcPr>
          <w:p w14:paraId="37693BF4" w14:textId="77777777" w:rsidR="00AE6A66" w:rsidRPr="003A7E48"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5B2DC326" w14:textId="1D3B615D" w:rsidR="00AE6A66" w:rsidRPr="003A7E48" w:rsidRDefault="00AE6A66" w:rsidP="00181FE6">
            <w:pPr>
              <w:pStyle w:val="Tabletext"/>
              <w:tabs>
                <w:tab w:val="left" w:pos="457"/>
                <w:tab w:val="left" w:pos="1024"/>
              </w:tabs>
              <w:rPr>
                <w:rFonts w:asciiTheme="minorHAnsi" w:eastAsia="SimSun" w:hAnsiTheme="minorHAnsi" w:cs="Times New Roman Bold"/>
                <w:b/>
                <w:bCs/>
                <w:iCs/>
                <w:highlight w:val="yellow"/>
                <w:lang w:eastAsia="ru-RU"/>
              </w:rPr>
            </w:pPr>
            <w:bookmarkStart w:id="24" w:name="lt_pId459"/>
            <w:r w:rsidRPr="003A7E48">
              <w:t>4.4</w:t>
            </w:r>
            <w:r w:rsidRPr="003A7E48">
              <w:tab/>
            </w:r>
            <w:r w:rsidR="00884546" w:rsidRPr="003A7E48">
              <w:t>Los Estados Miembros fomentarán medidas para asegurar que las empresas de explotación autorizadas suministren una información gratuita, transparente, actualizada y precisa a los usuarios finales sobre servicios internacionales de telecomunicación, incluidas las tarifas de itinerancia internacional y las condiciones aplicables relevantes, de manera oportuna.</w:t>
            </w:r>
            <w:bookmarkEnd w:id="24"/>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05A47BE6" w14:textId="077B5C01" w:rsidR="00AE6A66" w:rsidRPr="003A7E48" w:rsidRDefault="0070177B" w:rsidP="00E9121E">
            <w:pPr>
              <w:pStyle w:val="Tabletext"/>
            </w:pPr>
            <w:r w:rsidRPr="003A7E48">
              <w:t>No hay disposición análoga</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1231DA09" w14:textId="1FE14284" w:rsidR="00AE6A66"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D863695" w14:textId="0E29B999" w:rsidR="00AE6A66"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0E8A528" w14:textId="4CE26346" w:rsidR="00AE6A66" w:rsidRPr="003A7E48" w:rsidRDefault="0070177B" w:rsidP="00D378F1">
            <w:pPr>
              <w:pStyle w:val="Tabletext"/>
            </w:pPr>
            <w:r w:rsidRPr="003A7E48">
              <w:t>Mantener el texto</w:t>
            </w:r>
          </w:p>
        </w:tc>
      </w:tr>
      <w:tr w:rsidR="006018B0" w:rsidRPr="003A7E48" w14:paraId="51CB501E" w14:textId="77777777" w:rsidTr="00040DC6">
        <w:trPr>
          <w:cantSplit/>
        </w:trPr>
        <w:tc>
          <w:tcPr>
            <w:tcW w:w="1129" w:type="dxa"/>
            <w:vMerge/>
            <w:tcBorders>
              <w:left w:val="single" w:sz="4" w:space="0" w:color="auto"/>
              <w:right w:val="single" w:sz="4" w:space="0" w:color="auto"/>
            </w:tcBorders>
            <w:shd w:val="clear" w:color="auto" w:fill="auto"/>
          </w:tcPr>
          <w:p w14:paraId="0EC0873B" w14:textId="77777777" w:rsidR="006018B0" w:rsidRPr="003A7E48" w:rsidRDefault="006018B0" w:rsidP="006018B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0B10AE6A" w14:textId="54C3DEF4" w:rsidR="006018B0" w:rsidRPr="003A7E48" w:rsidRDefault="006018B0" w:rsidP="006018B0">
            <w:pPr>
              <w:pStyle w:val="Tabletext"/>
              <w:tabs>
                <w:tab w:val="left" w:pos="457"/>
                <w:tab w:val="left" w:pos="1024"/>
              </w:tabs>
              <w:rPr>
                <w:rFonts w:asciiTheme="minorHAnsi" w:eastAsia="SimSun" w:hAnsiTheme="minorHAnsi" w:cs="Times New Roman Bold"/>
                <w:b/>
                <w:bCs/>
                <w:iCs/>
                <w:highlight w:val="yellow"/>
                <w:lang w:eastAsia="ru-RU"/>
              </w:rPr>
            </w:pPr>
            <w:bookmarkStart w:id="25" w:name="lt_pId464"/>
            <w:r w:rsidRPr="003A7E48">
              <w:t>4.5</w:t>
            </w:r>
            <w:r w:rsidRPr="003A7E48">
              <w:tab/>
              <w:t>Los Estados Miembros fomentarán medidas para asegurar que los servicios de telecomunicaciones en itinerancia internacional se presten en condiciones de calidad satisfactorias a los usuarios visitantes.</w:t>
            </w:r>
            <w:bookmarkEnd w:id="25"/>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19FFD308" w14:textId="6EDAAF02" w:rsidR="006018B0" w:rsidRPr="003A7E48" w:rsidRDefault="0070177B" w:rsidP="006018B0">
            <w:pPr>
              <w:pStyle w:val="Tabletext"/>
            </w:pPr>
            <w:r w:rsidRPr="003A7E48">
              <w:t>No hay disposición análoga</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064F8811" w14:textId="60043D9E" w:rsidR="006018B0" w:rsidRPr="003A7E48" w:rsidRDefault="006C65F5" w:rsidP="006018B0">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423A375" w14:textId="355A6252" w:rsidR="006018B0" w:rsidRPr="003A7E48" w:rsidRDefault="006C65F5" w:rsidP="006018B0">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6428A95" w14:textId="5CC6CACC" w:rsidR="006018B0" w:rsidRPr="003A7E48" w:rsidRDefault="0070177B" w:rsidP="006018B0">
            <w:pPr>
              <w:pStyle w:val="Tabletext"/>
            </w:pPr>
            <w:r w:rsidRPr="003A7E48">
              <w:t>Mantener el texto</w:t>
            </w:r>
          </w:p>
        </w:tc>
      </w:tr>
      <w:tr w:rsidR="006018B0" w:rsidRPr="003A7E48" w14:paraId="1E0E55D6" w14:textId="77777777" w:rsidTr="00040DC6">
        <w:tc>
          <w:tcPr>
            <w:tcW w:w="1129" w:type="dxa"/>
            <w:vMerge/>
            <w:tcBorders>
              <w:left w:val="single" w:sz="4" w:space="0" w:color="auto"/>
              <w:right w:val="single" w:sz="4" w:space="0" w:color="auto"/>
            </w:tcBorders>
            <w:shd w:val="clear" w:color="auto" w:fill="FFFFFF" w:themeFill="background1"/>
          </w:tcPr>
          <w:p w14:paraId="7FCD6E81" w14:textId="77777777" w:rsidR="006018B0" w:rsidRPr="003A7E48" w:rsidRDefault="006018B0" w:rsidP="006018B0">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4261" w14:textId="607237ED" w:rsidR="006018B0" w:rsidRPr="003A7E48" w:rsidRDefault="006018B0" w:rsidP="006018B0">
            <w:pPr>
              <w:pStyle w:val="Tabletext"/>
              <w:tabs>
                <w:tab w:val="left" w:pos="457"/>
                <w:tab w:val="left" w:pos="1024"/>
              </w:tabs>
              <w:rPr>
                <w:rFonts w:asciiTheme="minorHAnsi" w:eastAsia="SimSun" w:hAnsiTheme="minorHAnsi" w:cs="Times New Roman Bold"/>
                <w:b/>
                <w:bCs/>
                <w:iCs/>
                <w:highlight w:val="yellow"/>
                <w:lang w:eastAsia="ru-RU"/>
              </w:rPr>
            </w:pPr>
            <w:bookmarkStart w:id="26" w:name="lt_pId469"/>
            <w:r w:rsidRPr="003A7E48">
              <w:t>4.6</w:t>
            </w:r>
            <w:r w:rsidRPr="003A7E48">
              <w:tab/>
              <w:t xml:space="preserve">Los Estados Miembros deben fomentar la cooperación entre empresas de explotación autorizadas </w:t>
            </w:r>
            <w:r w:rsidRPr="003A7E48">
              <w:lastRenderedPageBreak/>
              <w:t>a fin de evitar o reducir los costos de itinerancia inadvertida en zonas fronterizas.</w:t>
            </w:r>
            <w:bookmarkEnd w:id="26"/>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55A02BEC" w14:textId="71AD1340" w:rsidR="006018B0" w:rsidRPr="003A7E48" w:rsidRDefault="0070177B" w:rsidP="006018B0">
            <w:pPr>
              <w:pStyle w:val="Tabletext"/>
            </w:pPr>
            <w:r w:rsidRPr="003A7E48">
              <w:lastRenderedPageBreak/>
              <w:t>No hay disposición análoga</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1EEC6" w14:textId="6C573398" w:rsidR="006018B0" w:rsidRPr="003A7E48" w:rsidRDefault="006C65F5" w:rsidP="006018B0">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shd w:val="clear" w:color="auto" w:fill="FFFFFF" w:themeFill="background1"/>
          </w:tcPr>
          <w:p w14:paraId="36F20D4E" w14:textId="671505D6" w:rsidR="006018B0" w:rsidRPr="003A7E48" w:rsidRDefault="006C65F5" w:rsidP="006018B0">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EF5280C" w14:textId="4F6016D4" w:rsidR="006018B0" w:rsidRPr="003A7E48" w:rsidRDefault="0070177B" w:rsidP="006018B0">
            <w:pPr>
              <w:pStyle w:val="Tabletext"/>
            </w:pPr>
            <w:r w:rsidRPr="003A7E48">
              <w:t>Mantener el texto</w:t>
            </w:r>
          </w:p>
        </w:tc>
      </w:tr>
      <w:tr w:rsidR="0027089C" w:rsidRPr="003A7E48" w14:paraId="114008EA" w14:textId="77777777" w:rsidTr="00040DC6">
        <w:tc>
          <w:tcPr>
            <w:tcW w:w="1129" w:type="dxa"/>
            <w:vMerge/>
            <w:tcBorders>
              <w:left w:val="single" w:sz="4" w:space="0" w:color="auto"/>
              <w:bottom w:val="single" w:sz="4" w:space="0" w:color="auto"/>
              <w:right w:val="single" w:sz="4" w:space="0" w:color="auto"/>
            </w:tcBorders>
            <w:shd w:val="clear" w:color="auto" w:fill="FFFFFF" w:themeFill="background1"/>
          </w:tcPr>
          <w:p w14:paraId="26FFC7CA" w14:textId="77777777" w:rsidR="0027089C" w:rsidRPr="003A7E48" w:rsidRDefault="0027089C" w:rsidP="0027089C">
            <w:pPr>
              <w:tabs>
                <w:tab w:val="clear" w:pos="567"/>
                <w:tab w:val="clear" w:pos="1134"/>
                <w:tab w:val="clear" w:pos="1701"/>
                <w:tab w:val="clear" w:pos="2268"/>
                <w:tab w:val="clear" w:pos="2835"/>
              </w:tabs>
              <w:spacing w:before="40" w:after="40"/>
              <w:jc w:val="both"/>
              <w:rPr>
                <w:rFonts w:asciiTheme="minorHAnsi" w:hAnsiTheme="minorHAnsi"/>
                <w:bCs/>
                <w:sz w:val="22"/>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04A14" w14:textId="64DB767D" w:rsidR="0027089C" w:rsidRPr="003A7E48" w:rsidRDefault="0027089C" w:rsidP="00181FE6">
            <w:pPr>
              <w:pStyle w:val="Tabletext"/>
              <w:tabs>
                <w:tab w:val="left" w:pos="457"/>
                <w:tab w:val="left" w:pos="1024"/>
              </w:tabs>
              <w:rPr>
                <w:rFonts w:asciiTheme="minorHAnsi" w:eastAsia="SimSun" w:hAnsiTheme="minorHAnsi" w:cs="Times New Roman Bold"/>
                <w:b/>
                <w:bCs/>
                <w:iCs/>
                <w:lang w:eastAsia="ru-RU"/>
              </w:rPr>
            </w:pPr>
            <w:bookmarkStart w:id="27" w:name="lt_pId474"/>
            <w:r w:rsidRPr="003A7E48">
              <w:t>4.7</w:t>
            </w:r>
            <w:r w:rsidRPr="003A7E48">
              <w:rPr>
                <w:b/>
              </w:rPr>
              <w:tab/>
            </w:r>
            <w:r w:rsidRPr="003A7E48">
              <w:t>Los Estados Miembros procurarán fomentar la competencia en la prestación de servicios de itinerancia internacional, y se los alienta a formular políticas que impulsen precios competitivos en materia de itinerancia en beneficio de los usuarios finales.</w:t>
            </w:r>
            <w:bookmarkEnd w:id="27"/>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946B5DC" w14:textId="748964CE" w:rsidR="0027089C" w:rsidRPr="003A7E48" w:rsidRDefault="0070177B" w:rsidP="00E9121E">
            <w:pPr>
              <w:pStyle w:val="Tabletext"/>
            </w:pPr>
            <w:r w:rsidRPr="003A7E48">
              <w:t>No hay disposición análoga</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B9589" w14:textId="43DB8188" w:rsidR="0027089C" w:rsidRPr="003A7E48" w:rsidRDefault="006C65F5" w:rsidP="00D378F1">
            <w:pPr>
              <w:pStyle w:val="Tabletext"/>
            </w:pPr>
            <w:r w:rsidRPr="003A7E48">
              <w:t>El texto es aplicable</w:t>
            </w:r>
          </w:p>
        </w:tc>
        <w:tc>
          <w:tcPr>
            <w:tcW w:w="20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646FBB" w14:textId="570C54D5" w:rsidR="0027089C" w:rsidRPr="003A7E48" w:rsidRDefault="006C65F5" w:rsidP="00D378F1">
            <w:pPr>
              <w:pStyle w:val="Tabletext"/>
            </w:pPr>
            <w:r w:rsidRPr="003A7E48">
              <w:t>El texto es flexible</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B1F0CF0" w14:textId="534B9BC1" w:rsidR="0027089C" w:rsidRPr="003A7E48" w:rsidRDefault="0070177B" w:rsidP="00D378F1">
            <w:pPr>
              <w:pStyle w:val="Tabletext"/>
            </w:pPr>
            <w:r w:rsidRPr="003A7E48">
              <w:t>Mantener el texto</w:t>
            </w:r>
          </w:p>
        </w:tc>
      </w:tr>
    </w:tbl>
    <w:p w14:paraId="5A513D5E" w14:textId="77777777" w:rsidR="00884546" w:rsidRPr="003A7E48" w:rsidRDefault="00884546" w:rsidP="00457218">
      <w:pPr>
        <w:pStyle w:val="Reasons"/>
      </w:pPr>
      <w:bookmarkStart w:id="28" w:name="_GoBack"/>
      <w:bookmarkEnd w:id="8"/>
      <w:bookmarkEnd w:id="28"/>
    </w:p>
    <w:p w14:paraId="79AC3814" w14:textId="77777777" w:rsidR="00884546" w:rsidRPr="003A7E48" w:rsidRDefault="00884546">
      <w:pPr>
        <w:jc w:val="center"/>
      </w:pPr>
      <w:r w:rsidRPr="003A7E48">
        <w:t>______________</w:t>
      </w:r>
    </w:p>
    <w:sectPr w:rsidR="00884546" w:rsidRPr="003A7E48" w:rsidSect="00AE6A66">
      <w:headerReference w:type="first" r:id="rId11"/>
      <w:footerReference w:type="first" r:id="rId1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DC31" w14:textId="77777777" w:rsidR="003916DF" w:rsidRDefault="003916DF">
      <w:r>
        <w:separator/>
      </w:r>
    </w:p>
  </w:endnote>
  <w:endnote w:type="continuationSeparator" w:id="0">
    <w:p w14:paraId="3253C40A" w14:textId="77777777" w:rsidR="003916DF" w:rsidRDefault="0039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474B" w14:textId="6B21CDF6" w:rsidR="00BF185B" w:rsidRPr="00F13C7F" w:rsidRDefault="00BF185B" w:rsidP="00BF185B">
    <w:pPr>
      <w:pStyle w:val="Footer"/>
      <w:rPr>
        <w:lang w:val="en-US"/>
      </w:rPr>
    </w:pPr>
    <w:r w:rsidRPr="00BF185B">
      <w:rPr>
        <w:lang w:val="en-US"/>
      </w:rPr>
      <w:fldChar w:fldCharType="begin"/>
    </w:r>
    <w:r w:rsidRPr="00BF185B">
      <w:rPr>
        <w:lang w:val="en-US"/>
      </w:rPr>
      <w:instrText xml:space="preserve"> FILENAME \p  \* MERGEFORMAT </w:instrText>
    </w:r>
    <w:r w:rsidRPr="00BF185B">
      <w:rPr>
        <w:lang w:val="en-US"/>
      </w:rPr>
      <w:fldChar w:fldCharType="separate"/>
    </w:r>
    <w:r>
      <w:rPr>
        <w:lang w:val="en-US"/>
      </w:rPr>
      <w:t>P:\ESP\SG\CONSEIL\EG-ITR\EG-ITR-2\000\010S.docx</w:t>
    </w:r>
    <w:r w:rsidRPr="00BF185B">
      <w:rPr>
        <w:lang w:val="en-US"/>
      </w:rPr>
      <w:fldChar w:fldCharType="end"/>
    </w:r>
    <w:r w:rsidRPr="00BF185B">
      <w:rPr>
        <w:lang w:val="en-US"/>
      </w:rPr>
      <w:t xml:space="preserve"> (</w:t>
    </w:r>
    <w:r>
      <w:rPr>
        <w:lang w:val="en-US"/>
      </w:rPr>
      <w:t>467163</w:t>
    </w:r>
    <w:r w:rsidRPr="00BF185B">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58D5" w14:textId="48A72FA3" w:rsidR="003916DF" w:rsidRDefault="003916DF" w:rsidP="00D378F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FC08" w14:textId="71DF653A" w:rsidR="00BF185B" w:rsidRPr="006018B0" w:rsidRDefault="00BF185B" w:rsidP="00BF185B">
    <w:pPr>
      <w:pStyle w:val="Footer"/>
      <w:rPr>
        <w:lang w:val="en-US"/>
      </w:rPr>
    </w:pPr>
    <w:r w:rsidRPr="00BF185B">
      <w:rPr>
        <w:lang w:val="en-US"/>
      </w:rPr>
      <w:fldChar w:fldCharType="begin"/>
    </w:r>
    <w:r w:rsidRPr="00BF185B">
      <w:rPr>
        <w:lang w:val="en-US"/>
      </w:rPr>
      <w:instrText xml:space="preserve"> FILENAME \p  \* MERGEFORMAT </w:instrText>
    </w:r>
    <w:r w:rsidRPr="00BF185B">
      <w:rPr>
        <w:lang w:val="en-US"/>
      </w:rPr>
      <w:fldChar w:fldCharType="separate"/>
    </w:r>
    <w:r>
      <w:rPr>
        <w:lang w:val="en-US"/>
      </w:rPr>
      <w:t>P:\ESP\SG\CONSEIL\EG-ITR\EG-ITR-2\000\010S.docx</w:t>
    </w:r>
    <w:r w:rsidRPr="00BF185B">
      <w:rPr>
        <w:lang w:val="en-US"/>
      </w:rPr>
      <w:fldChar w:fldCharType="end"/>
    </w:r>
    <w:r w:rsidRPr="00BF185B">
      <w:rPr>
        <w:lang w:val="en-US"/>
      </w:rPr>
      <w:t xml:space="preserve"> (</w:t>
    </w:r>
    <w:r>
      <w:rPr>
        <w:lang w:val="en-US"/>
      </w:rPr>
      <w:t>467163</w:t>
    </w:r>
    <w:r w:rsidRPr="00BF185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1771" w14:textId="77777777" w:rsidR="003916DF" w:rsidRDefault="003916DF">
      <w:r>
        <w:t>____________________</w:t>
      </w:r>
    </w:p>
  </w:footnote>
  <w:footnote w:type="continuationSeparator" w:id="0">
    <w:p w14:paraId="7BE59CAE" w14:textId="77777777" w:rsidR="003916DF" w:rsidRDefault="003916DF">
      <w:r>
        <w:continuationSeparator/>
      </w:r>
    </w:p>
  </w:footnote>
  <w:footnote w:id="1">
    <w:p w14:paraId="3756C3F8" w14:textId="706B2D73" w:rsidR="00AD2708" w:rsidRPr="00AD2708" w:rsidRDefault="00AD2708">
      <w:pPr>
        <w:pStyle w:val="FootnoteText"/>
        <w:rPr>
          <w:lang w:val="es-ES"/>
        </w:rPr>
      </w:pPr>
      <w:r>
        <w:rPr>
          <w:rStyle w:val="FootnoteReference"/>
        </w:rPr>
        <w:t>*</w:t>
      </w:r>
      <w:r>
        <w:t xml:space="preserve"> </w:t>
      </w:r>
      <w:r>
        <w:tab/>
      </w:r>
      <w:r w:rsidRPr="00AD2708">
        <w:rPr>
          <w:lang w:val="es-ES"/>
        </w:rPr>
        <w:t>o empresa(s) privada(s) de explotación reconocida(s)</w:t>
      </w:r>
      <w:r w:rsidR="00AC27C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E82D" w14:textId="77777777" w:rsidR="003916DF" w:rsidRDefault="003916DF" w:rsidP="007657F0">
    <w:pPr>
      <w:pStyle w:val="Header"/>
    </w:pPr>
    <w:r>
      <w:fldChar w:fldCharType="begin"/>
    </w:r>
    <w:r>
      <w:instrText>PAGE</w:instrText>
    </w:r>
    <w:r>
      <w:fldChar w:fldCharType="separate"/>
    </w:r>
    <w:r>
      <w:rPr>
        <w:noProof/>
      </w:rPr>
      <w:t>2</w:t>
    </w:r>
    <w:r>
      <w:rPr>
        <w:noProof/>
      </w:rPr>
      <w:fldChar w:fldCharType="end"/>
    </w:r>
  </w:p>
  <w:p w14:paraId="029ADB2C" w14:textId="53E0A7DC" w:rsidR="003916DF" w:rsidRDefault="003916DF" w:rsidP="00654220">
    <w:pPr>
      <w:pStyle w:val="Header"/>
      <w:spacing w:after="120"/>
    </w:pPr>
    <w:r>
      <w:rPr>
        <w:noProof/>
      </w:rPr>
      <w:t>EG-ITRs-2\</w:t>
    </w:r>
    <w:r w:rsidR="006018B0">
      <w:rPr>
        <w:noProof/>
      </w:rPr>
      <w:t>10</w:t>
    </w:r>
    <w:r>
      <w:rPr>
        <w:noProof/>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191B" w14:textId="77777777" w:rsidR="003916DF" w:rsidRPr="00AE6A66" w:rsidRDefault="003916DF" w:rsidP="00AE6A66">
    <w:pPr>
      <w:pStyle w:val="Header"/>
    </w:pPr>
    <w:r w:rsidRPr="00AE6A66">
      <w:fldChar w:fldCharType="begin"/>
    </w:r>
    <w:r w:rsidRPr="00AE6A66">
      <w:instrText>PAGE</w:instrText>
    </w:r>
    <w:r w:rsidRPr="00AE6A66">
      <w:fldChar w:fldCharType="separate"/>
    </w:r>
    <w:r w:rsidRPr="00AE6A66">
      <w:t>2</w:t>
    </w:r>
    <w:r w:rsidRPr="00AE6A66">
      <w:fldChar w:fldCharType="end"/>
    </w:r>
  </w:p>
  <w:p w14:paraId="46225878" w14:textId="172A30E0" w:rsidR="003916DF" w:rsidRDefault="003916DF" w:rsidP="00C3630F">
    <w:pPr>
      <w:pStyle w:val="Header"/>
      <w:spacing w:after="120"/>
    </w:pPr>
    <w:r w:rsidRPr="00AE6A66">
      <w:t>EG-ITRs-2\</w:t>
    </w:r>
    <w:r w:rsidR="006018B0">
      <w:t>10</w:t>
    </w:r>
    <w:r w:rsidRPr="00AE6A66">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66"/>
    <w:rsid w:val="00012E27"/>
    <w:rsid w:val="00026F40"/>
    <w:rsid w:val="00040DC6"/>
    <w:rsid w:val="00057E10"/>
    <w:rsid w:val="00093EEB"/>
    <w:rsid w:val="000B0D00"/>
    <w:rsid w:val="000B7C15"/>
    <w:rsid w:val="000C449B"/>
    <w:rsid w:val="000D1D0F"/>
    <w:rsid w:val="000F5290"/>
    <w:rsid w:val="000F761E"/>
    <w:rsid w:val="0010165C"/>
    <w:rsid w:val="00121365"/>
    <w:rsid w:val="001304D3"/>
    <w:rsid w:val="00132DA1"/>
    <w:rsid w:val="00146BFB"/>
    <w:rsid w:val="00153D3D"/>
    <w:rsid w:val="001814D0"/>
    <w:rsid w:val="00181FE6"/>
    <w:rsid w:val="001B446D"/>
    <w:rsid w:val="001F143F"/>
    <w:rsid w:val="001F14A2"/>
    <w:rsid w:val="001F60AD"/>
    <w:rsid w:val="002249E4"/>
    <w:rsid w:val="00236925"/>
    <w:rsid w:val="0027089C"/>
    <w:rsid w:val="002801AA"/>
    <w:rsid w:val="00293D1B"/>
    <w:rsid w:val="002A2ED9"/>
    <w:rsid w:val="002C4676"/>
    <w:rsid w:val="002C70B0"/>
    <w:rsid w:val="002D23EA"/>
    <w:rsid w:val="002F0E44"/>
    <w:rsid w:val="002F3CC4"/>
    <w:rsid w:val="0033497A"/>
    <w:rsid w:val="003700C5"/>
    <w:rsid w:val="003916DF"/>
    <w:rsid w:val="003A7E48"/>
    <w:rsid w:val="003C63A2"/>
    <w:rsid w:val="003E71C4"/>
    <w:rsid w:val="003F54CC"/>
    <w:rsid w:val="00457218"/>
    <w:rsid w:val="004D55EF"/>
    <w:rsid w:val="00513630"/>
    <w:rsid w:val="005262CD"/>
    <w:rsid w:val="00560125"/>
    <w:rsid w:val="00585553"/>
    <w:rsid w:val="00587820"/>
    <w:rsid w:val="005B34D9"/>
    <w:rsid w:val="005D0CCF"/>
    <w:rsid w:val="005D52EA"/>
    <w:rsid w:val="005F410F"/>
    <w:rsid w:val="0060149A"/>
    <w:rsid w:val="006018B0"/>
    <w:rsid w:val="00601924"/>
    <w:rsid w:val="0062570D"/>
    <w:rsid w:val="006277F4"/>
    <w:rsid w:val="006441C7"/>
    <w:rsid w:val="00644509"/>
    <w:rsid w:val="006447EA"/>
    <w:rsid w:val="0064731F"/>
    <w:rsid w:val="00654220"/>
    <w:rsid w:val="00670DDF"/>
    <w:rsid w:val="006710F6"/>
    <w:rsid w:val="0067129F"/>
    <w:rsid w:val="006803BE"/>
    <w:rsid w:val="00687355"/>
    <w:rsid w:val="006C1B56"/>
    <w:rsid w:val="006C65F5"/>
    <w:rsid w:val="006D077E"/>
    <w:rsid w:val="006D4761"/>
    <w:rsid w:val="006F421F"/>
    <w:rsid w:val="0070177B"/>
    <w:rsid w:val="00726872"/>
    <w:rsid w:val="00760F1C"/>
    <w:rsid w:val="007657F0"/>
    <w:rsid w:val="0077252D"/>
    <w:rsid w:val="007964A2"/>
    <w:rsid w:val="007E5DD3"/>
    <w:rsid w:val="007F350B"/>
    <w:rsid w:val="00820BE4"/>
    <w:rsid w:val="008451E8"/>
    <w:rsid w:val="0085057C"/>
    <w:rsid w:val="00884546"/>
    <w:rsid w:val="008854C2"/>
    <w:rsid w:val="008D0F84"/>
    <w:rsid w:val="00913B9C"/>
    <w:rsid w:val="00927922"/>
    <w:rsid w:val="00930A2B"/>
    <w:rsid w:val="00956E77"/>
    <w:rsid w:val="009D2B30"/>
    <w:rsid w:val="00AA390C"/>
    <w:rsid w:val="00AA69D0"/>
    <w:rsid w:val="00AC27CA"/>
    <w:rsid w:val="00AD2708"/>
    <w:rsid w:val="00AE1145"/>
    <w:rsid w:val="00AE6A66"/>
    <w:rsid w:val="00B0200A"/>
    <w:rsid w:val="00B10108"/>
    <w:rsid w:val="00B54F00"/>
    <w:rsid w:val="00B574DB"/>
    <w:rsid w:val="00B76F8E"/>
    <w:rsid w:val="00B826C2"/>
    <w:rsid w:val="00B8298E"/>
    <w:rsid w:val="00BA4764"/>
    <w:rsid w:val="00BD0723"/>
    <w:rsid w:val="00BD2518"/>
    <w:rsid w:val="00BF185B"/>
    <w:rsid w:val="00BF1D1C"/>
    <w:rsid w:val="00C20C59"/>
    <w:rsid w:val="00C3630F"/>
    <w:rsid w:val="00C55B1F"/>
    <w:rsid w:val="00C714DA"/>
    <w:rsid w:val="00C85B97"/>
    <w:rsid w:val="00CC6A3B"/>
    <w:rsid w:val="00CE0A8C"/>
    <w:rsid w:val="00CF1A67"/>
    <w:rsid w:val="00D2750E"/>
    <w:rsid w:val="00D378F1"/>
    <w:rsid w:val="00D62364"/>
    <w:rsid w:val="00D62446"/>
    <w:rsid w:val="00D92832"/>
    <w:rsid w:val="00DA4EA2"/>
    <w:rsid w:val="00DB74E7"/>
    <w:rsid w:val="00DC3D3E"/>
    <w:rsid w:val="00DC47DA"/>
    <w:rsid w:val="00DE2C90"/>
    <w:rsid w:val="00DE3B24"/>
    <w:rsid w:val="00E06947"/>
    <w:rsid w:val="00E3592D"/>
    <w:rsid w:val="00E549B0"/>
    <w:rsid w:val="00E64E3C"/>
    <w:rsid w:val="00E67211"/>
    <w:rsid w:val="00E9121E"/>
    <w:rsid w:val="00E92DE8"/>
    <w:rsid w:val="00EB1212"/>
    <w:rsid w:val="00ED65AB"/>
    <w:rsid w:val="00EF2E1F"/>
    <w:rsid w:val="00F12850"/>
    <w:rsid w:val="00F13C7F"/>
    <w:rsid w:val="00F33BF4"/>
    <w:rsid w:val="00F3677F"/>
    <w:rsid w:val="00F70229"/>
    <w:rsid w:val="00F7105E"/>
    <w:rsid w:val="00F75F57"/>
    <w:rsid w:val="00F82FEE"/>
    <w:rsid w:val="00F974D5"/>
    <w:rsid w:val="00FA09B7"/>
    <w:rsid w:val="00FA7D0A"/>
    <w:rsid w:val="00FC4FA1"/>
    <w:rsid w:val="00FE392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E8A012"/>
  <w15:docId w15:val="{863DF798-C55D-45CD-95B6-259559E9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916DF"/>
    <w:pPr>
      <w:keepNext/>
      <w:spacing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AE6A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AE6A6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3BB9-D75D-4C6D-90E0-8FFFFCFA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22</TotalTime>
  <Pages>22</Pages>
  <Words>4033</Words>
  <Characters>23662</Characters>
  <Application>Microsoft Office Word</Application>
  <DocSecurity>0</DocSecurity>
  <Lines>197</Lines>
  <Paragraphs>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27640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Spanish1</cp:lastModifiedBy>
  <cp:revision>9</cp:revision>
  <cp:lastPrinted>2020-02-11T13:58:00Z</cp:lastPrinted>
  <dcterms:created xsi:type="dcterms:W3CDTF">2020-02-11T14:12:00Z</dcterms:created>
  <dcterms:modified xsi:type="dcterms:W3CDTF">2020-02-11T15:51:00Z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