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517"/>
        <w:bidiVisual/>
        <w:tblW w:w="5017" w:type="pct"/>
        <w:tblLayout w:type="fixed"/>
        <w:tblLook w:val="0000" w:firstRow="0" w:lastRow="0" w:firstColumn="0" w:lastColumn="0" w:noHBand="0" w:noVBand="0"/>
      </w:tblPr>
      <w:tblGrid>
        <w:gridCol w:w="6620"/>
        <w:gridCol w:w="3052"/>
      </w:tblGrid>
      <w:tr w:rsidR="005A0F49" w:rsidRPr="00AF6B5C" w14:paraId="005C9D33" w14:textId="77777777" w:rsidTr="00C332F7">
        <w:trPr>
          <w:cantSplit/>
          <w:trHeight w:val="1306"/>
        </w:trPr>
        <w:tc>
          <w:tcPr>
            <w:tcW w:w="6620" w:type="dxa"/>
          </w:tcPr>
          <w:p w14:paraId="68321E2E" w14:textId="77777777" w:rsidR="005A0F49" w:rsidRPr="00AF6B5C" w:rsidRDefault="005A0F49" w:rsidP="00AF6B5C">
            <w:pPr>
              <w:spacing w:before="300"/>
              <w:rPr>
                <w:b/>
                <w:bCs/>
                <w:sz w:val="28"/>
                <w:szCs w:val="28"/>
                <w:rtl/>
                <w:lang w:bidi="ar-SY"/>
              </w:rPr>
            </w:pPr>
            <w:r w:rsidRPr="005A0F49">
              <w:rPr>
                <w:rFonts w:hint="cs"/>
                <w:b/>
                <w:bCs/>
                <w:sz w:val="30"/>
                <w:szCs w:val="30"/>
                <w:rtl/>
                <w:lang w:bidi="ar-EG"/>
              </w:rPr>
              <w:t xml:space="preserve">فريق الخبراء المعني بلوائح الاتصالات الدولية </w:t>
            </w:r>
            <w:r w:rsidRPr="005A0F49">
              <w:rPr>
                <w:b/>
                <w:bCs/>
                <w:sz w:val="30"/>
                <w:szCs w:val="30"/>
                <w:lang w:bidi="ar-EG"/>
              </w:rPr>
              <w:t>(EG</w:t>
            </w:r>
            <w:r w:rsidRPr="005A0F49">
              <w:rPr>
                <w:b/>
                <w:bCs/>
                <w:sz w:val="30"/>
                <w:szCs w:val="30"/>
                <w:lang w:bidi="ar-EG"/>
              </w:rPr>
              <w:noBreakHyphen/>
              <w:t>ITR)</w:t>
            </w:r>
          </w:p>
          <w:p w14:paraId="65BCB076" w14:textId="77777777" w:rsidR="005A0F49" w:rsidRPr="00AF6B5C" w:rsidRDefault="005A0F49" w:rsidP="005A0F49">
            <w:pPr>
              <w:spacing w:before="160"/>
              <w:rPr>
                <w:b/>
                <w:bCs/>
                <w:sz w:val="28"/>
                <w:szCs w:val="28"/>
                <w:rtl/>
                <w:lang w:bidi="ar-SY"/>
              </w:rPr>
            </w:pPr>
            <w:r w:rsidRPr="00AF6B5C">
              <w:rPr>
                <w:rFonts w:hint="cs"/>
                <w:b/>
                <w:bCs/>
                <w:sz w:val="24"/>
                <w:szCs w:val="24"/>
                <w:rtl/>
                <w:lang w:bidi="ar-EG"/>
              </w:rPr>
              <w:t xml:space="preserve">الاجتماع </w:t>
            </w:r>
            <w:r>
              <w:rPr>
                <w:rFonts w:hint="cs"/>
                <w:b/>
                <w:bCs/>
                <w:sz w:val="24"/>
                <w:szCs w:val="24"/>
                <w:rtl/>
              </w:rPr>
              <w:t>الثاني</w:t>
            </w:r>
            <w:r w:rsidRPr="00AF6B5C">
              <w:rPr>
                <w:rFonts w:hint="cs"/>
                <w:b/>
                <w:bCs/>
                <w:sz w:val="24"/>
                <w:szCs w:val="24"/>
                <w:rtl/>
                <w:lang w:bidi="ar-EG"/>
              </w:rPr>
              <w:t xml:space="preserve"> </w:t>
            </w:r>
            <w:r>
              <w:rPr>
                <w:rFonts w:hint="eastAsia"/>
                <w:b/>
                <w:bCs/>
                <w:sz w:val="24"/>
                <w:szCs w:val="24"/>
                <w:rtl/>
                <w:lang w:bidi="ar-EG"/>
              </w:rPr>
              <w:t>–</w:t>
            </w:r>
            <w:r w:rsidRPr="00AF6B5C">
              <w:rPr>
                <w:rFonts w:hint="cs"/>
                <w:b/>
                <w:bCs/>
                <w:sz w:val="24"/>
                <w:szCs w:val="24"/>
                <w:rtl/>
                <w:lang w:bidi="ar-EG"/>
              </w:rPr>
              <w:t xml:space="preserve"> جنيف، </w:t>
            </w:r>
            <w:r>
              <w:rPr>
                <w:b/>
                <w:bCs/>
                <w:sz w:val="24"/>
                <w:szCs w:val="24"/>
                <w:lang w:bidi="ar-EG"/>
              </w:rPr>
              <w:t>13-12</w:t>
            </w:r>
            <w:r w:rsidRPr="00AF6B5C">
              <w:rPr>
                <w:rFonts w:hint="cs"/>
                <w:b/>
                <w:bCs/>
                <w:sz w:val="24"/>
                <w:szCs w:val="24"/>
                <w:rtl/>
                <w:lang w:bidi="ar-EG"/>
              </w:rPr>
              <w:t xml:space="preserve"> </w:t>
            </w:r>
            <w:r>
              <w:rPr>
                <w:rFonts w:hint="cs"/>
                <w:b/>
                <w:bCs/>
                <w:sz w:val="24"/>
                <w:szCs w:val="24"/>
                <w:rtl/>
                <w:lang w:bidi="ar-EG"/>
              </w:rPr>
              <w:t xml:space="preserve">فبراير </w:t>
            </w:r>
            <w:r>
              <w:rPr>
                <w:b/>
                <w:bCs/>
                <w:sz w:val="24"/>
                <w:szCs w:val="24"/>
                <w:lang w:bidi="ar-EG"/>
              </w:rPr>
              <w:t>2020</w:t>
            </w:r>
          </w:p>
        </w:tc>
        <w:tc>
          <w:tcPr>
            <w:tcW w:w="3052" w:type="dxa"/>
            <w:vAlign w:val="center"/>
          </w:tcPr>
          <w:p w14:paraId="12CA9256" w14:textId="77777777" w:rsidR="005A0F49" w:rsidRPr="00AF6B5C" w:rsidRDefault="005A0F49" w:rsidP="00AF6B5C">
            <w:pPr>
              <w:spacing w:after="120"/>
              <w:jc w:val="right"/>
              <w:rPr>
                <w:rtl/>
                <w:lang w:bidi="ar-EG"/>
              </w:rPr>
            </w:pPr>
            <w:bookmarkStart w:id="0" w:name="ditulogo"/>
            <w:bookmarkEnd w:id="0"/>
            <w:r w:rsidRPr="00AF6B5C">
              <w:rPr>
                <w:noProof/>
                <w:lang w:bidi="ar-EG"/>
              </w:rPr>
              <w:drawing>
                <wp:inline distT="0" distB="0" distL="0" distR="0" wp14:anchorId="15293D32" wp14:editId="6A1D5578">
                  <wp:extent cx="684000" cy="720000"/>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00" cy="720000"/>
                          </a:xfrm>
                          <a:prstGeom prst="rect">
                            <a:avLst/>
                          </a:prstGeom>
                        </pic:spPr>
                      </pic:pic>
                    </a:graphicData>
                  </a:graphic>
                </wp:inline>
              </w:drawing>
            </w:r>
          </w:p>
        </w:tc>
      </w:tr>
      <w:tr w:rsidR="00AF6B5C" w:rsidRPr="00AF6B5C" w14:paraId="3231740D" w14:textId="77777777" w:rsidTr="00F03E94">
        <w:trPr>
          <w:cantSplit/>
          <w:trHeight w:val="20"/>
        </w:trPr>
        <w:tc>
          <w:tcPr>
            <w:tcW w:w="6620" w:type="dxa"/>
            <w:tcBorders>
              <w:top w:val="single" w:sz="12" w:space="0" w:color="auto"/>
            </w:tcBorders>
          </w:tcPr>
          <w:p w14:paraId="7C076A97" w14:textId="77777777" w:rsidR="00AF6B5C" w:rsidRPr="00AF6B5C" w:rsidRDefault="00AF6B5C" w:rsidP="00AF6B5C">
            <w:pPr>
              <w:rPr>
                <w:b/>
                <w:bCs/>
                <w:rtl/>
                <w:lang w:bidi="ar-EG"/>
              </w:rPr>
            </w:pPr>
          </w:p>
        </w:tc>
        <w:tc>
          <w:tcPr>
            <w:tcW w:w="3052" w:type="dxa"/>
            <w:tcBorders>
              <w:top w:val="single" w:sz="12" w:space="0" w:color="auto"/>
            </w:tcBorders>
          </w:tcPr>
          <w:p w14:paraId="4391247C" w14:textId="77777777" w:rsidR="00AF6B5C" w:rsidRPr="00AF6B5C" w:rsidRDefault="00AF6B5C" w:rsidP="00AF6B5C">
            <w:pPr>
              <w:rPr>
                <w:b/>
                <w:bCs/>
                <w:lang w:bidi="ar-EG"/>
              </w:rPr>
            </w:pPr>
          </w:p>
        </w:tc>
      </w:tr>
      <w:tr w:rsidR="00AF6B5C" w:rsidRPr="00AF6B5C" w14:paraId="777919E2" w14:textId="77777777" w:rsidTr="00F03E94">
        <w:trPr>
          <w:cantSplit/>
        </w:trPr>
        <w:tc>
          <w:tcPr>
            <w:tcW w:w="6620" w:type="dxa"/>
            <w:vMerge w:val="restart"/>
          </w:tcPr>
          <w:p w14:paraId="2E3DE9BF" w14:textId="77777777" w:rsidR="00AF6B5C" w:rsidRPr="00AF6B5C" w:rsidRDefault="00AF6B5C" w:rsidP="00AF6B5C">
            <w:pPr>
              <w:spacing w:before="40" w:after="40" w:line="300" w:lineRule="exact"/>
              <w:rPr>
                <w:b/>
                <w:bCs/>
                <w:rtl/>
                <w:lang w:bidi="ar-EG"/>
              </w:rPr>
            </w:pPr>
          </w:p>
        </w:tc>
        <w:tc>
          <w:tcPr>
            <w:tcW w:w="3052" w:type="dxa"/>
            <w:vAlign w:val="center"/>
          </w:tcPr>
          <w:p w14:paraId="183D01C1" w14:textId="77777777" w:rsidR="00AF6B5C" w:rsidRPr="00AF6B5C" w:rsidRDefault="00AF6B5C" w:rsidP="00AF6B5C">
            <w:pPr>
              <w:spacing w:before="40" w:after="40" w:line="300" w:lineRule="exact"/>
              <w:rPr>
                <w:b/>
                <w:bCs/>
                <w:lang w:bidi="ar-EG"/>
              </w:rPr>
            </w:pPr>
            <w:r w:rsidRPr="00AF6B5C">
              <w:rPr>
                <w:rFonts w:hint="cs"/>
                <w:b/>
                <w:bCs/>
                <w:rtl/>
                <w:lang w:bidi="ar-EG"/>
              </w:rPr>
              <w:t xml:space="preserve">الوثيقة </w:t>
            </w:r>
            <w:r w:rsidRPr="00AF6B5C">
              <w:rPr>
                <w:b/>
                <w:bCs/>
                <w:lang w:bidi="ar-EG"/>
              </w:rPr>
              <w:t>EG-ITR-</w:t>
            </w:r>
            <w:r>
              <w:rPr>
                <w:b/>
                <w:bCs/>
                <w:lang w:bidi="ar-EG"/>
              </w:rPr>
              <w:t>2</w:t>
            </w:r>
            <w:r w:rsidRPr="00AF6B5C">
              <w:rPr>
                <w:b/>
                <w:bCs/>
                <w:lang w:bidi="ar-EG"/>
              </w:rPr>
              <w:t>/</w:t>
            </w:r>
            <w:r w:rsidR="007150E5">
              <w:rPr>
                <w:b/>
                <w:bCs/>
                <w:lang w:bidi="ar-EG"/>
              </w:rPr>
              <w:t>12</w:t>
            </w:r>
            <w:r w:rsidRPr="00AF6B5C">
              <w:rPr>
                <w:b/>
                <w:bCs/>
                <w:lang w:bidi="ar-EG"/>
              </w:rPr>
              <w:t>-A</w:t>
            </w:r>
          </w:p>
        </w:tc>
      </w:tr>
      <w:tr w:rsidR="00AF6B5C" w:rsidRPr="00AF6B5C" w14:paraId="7EE681C6" w14:textId="77777777" w:rsidTr="00F03E94">
        <w:trPr>
          <w:cantSplit/>
        </w:trPr>
        <w:tc>
          <w:tcPr>
            <w:tcW w:w="6620" w:type="dxa"/>
            <w:vMerge/>
          </w:tcPr>
          <w:p w14:paraId="7BE2EBF5" w14:textId="77777777" w:rsidR="00AF6B5C" w:rsidRPr="00AF6B5C" w:rsidRDefault="00AF6B5C" w:rsidP="00AF6B5C">
            <w:pPr>
              <w:spacing w:before="40" w:after="40" w:line="300" w:lineRule="exact"/>
              <w:rPr>
                <w:b/>
                <w:bCs/>
                <w:lang w:bidi="ar-EG"/>
              </w:rPr>
            </w:pPr>
          </w:p>
        </w:tc>
        <w:tc>
          <w:tcPr>
            <w:tcW w:w="3052" w:type="dxa"/>
            <w:vAlign w:val="center"/>
          </w:tcPr>
          <w:p w14:paraId="4B8315C2" w14:textId="77777777" w:rsidR="00AF6B5C" w:rsidRPr="00AF6B5C" w:rsidRDefault="007150E5" w:rsidP="00AF6B5C">
            <w:pPr>
              <w:spacing w:before="40" w:after="40" w:line="300" w:lineRule="exact"/>
              <w:rPr>
                <w:b/>
                <w:bCs/>
                <w:rtl/>
                <w:lang w:bidi="ar-EG"/>
              </w:rPr>
            </w:pPr>
            <w:r>
              <w:rPr>
                <w:b/>
                <w:bCs/>
                <w:lang w:bidi="ar-EG"/>
              </w:rPr>
              <w:t>8</w:t>
            </w:r>
            <w:r w:rsidR="00AF6B5C" w:rsidRPr="00AF6B5C">
              <w:rPr>
                <w:rFonts w:hint="cs"/>
                <w:b/>
                <w:bCs/>
                <w:rtl/>
                <w:lang w:bidi="ar-EG"/>
              </w:rPr>
              <w:t xml:space="preserve"> </w:t>
            </w:r>
            <w:r>
              <w:rPr>
                <w:rFonts w:hint="cs"/>
                <w:b/>
                <w:bCs/>
                <w:rtl/>
                <w:lang w:bidi="ar-EG"/>
              </w:rPr>
              <w:t xml:space="preserve">فبراير </w:t>
            </w:r>
            <w:r w:rsidR="00AF6B5C">
              <w:rPr>
                <w:b/>
                <w:bCs/>
                <w:lang w:bidi="ar-EG"/>
              </w:rPr>
              <w:t>2020</w:t>
            </w:r>
          </w:p>
        </w:tc>
      </w:tr>
      <w:tr w:rsidR="00AF6B5C" w:rsidRPr="00AF6B5C" w14:paraId="38F00708" w14:textId="77777777" w:rsidTr="00F03E94">
        <w:trPr>
          <w:cantSplit/>
        </w:trPr>
        <w:tc>
          <w:tcPr>
            <w:tcW w:w="6620" w:type="dxa"/>
            <w:vMerge/>
          </w:tcPr>
          <w:p w14:paraId="6C0D8203" w14:textId="77777777" w:rsidR="00AF6B5C" w:rsidRPr="00AF6B5C" w:rsidRDefault="00AF6B5C" w:rsidP="00AF6B5C">
            <w:pPr>
              <w:spacing w:before="40" w:after="40" w:line="300" w:lineRule="exact"/>
              <w:rPr>
                <w:b/>
                <w:bCs/>
                <w:lang w:bidi="ar-EG"/>
              </w:rPr>
            </w:pPr>
          </w:p>
        </w:tc>
        <w:tc>
          <w:tcPr>
            <w:tcW w:w="3052" w:type="dxa"/>
            <w:vAlign w:val="center"/>
          </w:tcPr>
          <w:p w14:paraId="5D419B4F" w14:textId="77777777" w:rsidR="00AF6B5C" w:rsidRPr="00AF6B5C" w:rsidRDefault="00AF6B5C" w:rsidP="00AF6B5C">
            <w:pPr>
              <w:spacing w:before="40" w:after="40" w:line="300" w:lineRule="exact"/>
              <w:rPr>
                <w:b/>
                <w:bCs/>
                <w:lang w:bidi="ar-EG"/>
              </w:rPr>
            </w:pPr>
            <w:r w:rsidRPr="00AF6B5C">
              <w:rPr>
                <w:b/>
                <w:bCs/>
                <w:rtl/>
                <w:lang w:bidi="ar-EG"/>
              </w:rPr>
              <w:t xml:space="preserve">الأصل: </w:t>
            </w:r>
            <w:r w:rsidRPr="00AF6B5C">
              <w:rPr>
                <w:rFonts w:hint="cs"/>
                <w:b/>
                <w:bCs/>
                <w:rtl/>
                <w:lang w:bidi="ar-EG"/>
              </w:rPr>
              <w:t>بالإنكليزية</w:t>
            </w:r>
          </w:p>
        </w:tc>
      </w:tr>
      <w:tr w:rsidR="00AF6B5C" w:rsidRPr="00AF6B5C" w14:paraId="27646F4B" w14:textId="77777777" w:rsidTr="00F03E94">
        <w:trPr>
          <w:cantSplit/>
        </w:trPr>
        <w:tc>
          <w:tcPr>
            <w:tcW w:w="9672" w:type="dxa"/>
            <w:gridSpan w:val="2"/>
          </w:tcPr>
          <w:p w14:paraId="6B4A95DF" w14:textId="6417E86A" w:rsidR="00AF6B5C" w:rsidRPr="00AF6B5C" w:rsidRDefault="007150E5" w:rsidP="00AF6B5C">
            <w:pPr>
              <w:pStyle w:val="Source"/>
              <w:rPr>
                <w:lang w:bidi="ar-EG"/>
              </w:rPr>
            </w:pPr>
            <w:r>
              <w:rPr>
                <w:rFonts w:hint="cs"/>
                <w:rtl/>
                <w:lang w:bidi="ar-EG"/>
              </w:rPr>
              <w:t>المكسيك</w:t>
            </w:r>
          </w:p>
        </w:tc>
      </w:tr>
      <w:tr w:rsidR="00AF6B5C" w:rsidRPr="00AF6B5C" w14:paraId="692B7521" w14:textId="77777777" w:rsidTr="00F03E94">
        <w:trPr>
          <w:cantSplit/>
        </w:trPr>
        <w:tc>
          <w:tcPr>
            <w:tcW w:w="9672" w:type="dxa"/>
            <w:gridSpan w:val="2"/>
          </w:tcPr>
          <w:p w14:paraId="530E5DA5" w14:textId="29CDA3D1" w:rsidR="00AF6B5C" w:rsidRPr="00AF6B5C" w:rsidRDefault="007150E5" w:rsidP="007150E5">
            <w:pPr>
              <w:pStyle w:val="Title1"/>
              <w:rPr>
                <w:rtl/>
                <w:lang w:bidi="ar-EG"/>
              </w:rPr>
            </w:pPr>
            <w:r w:rsidRPr="007150E5">
              <w:rPr>
                <w:rFonts w:hint="cs"/>
                <w:rtl/>
                <w:lang w:bidi="ar-EG"/>
              </w:rPr>
              <w:t xml:space="preserve">رد على </w:t>
            </w:r>
            <w:r>
              <w:rPr>
                <w:rFonts w:hint="cs"/>
                <w:rtl/>
                <w:lang w:bidi="ar-EG"/>
              </w:rPr>
              <w:t xml:space="preserve">استبيان لجنة البلدان </w:t>
            </w:r>
            <w:r w:rsidRPr="007150E5">
              <w:rPr>
                <w:rFonts w:hint="cs"/>
                <w:rtl/>
                <w:lang w:bidi="ar-EG"/>
              </w:rPr>
              <w:t>الأمريكية للاتصالات</w:t>
            </w:r>
            <w:r>
              <w:rPr>
                <w:rFonts w:hint="cs"/>
                <w:rtl/>
                <w:lang w:bidi="ar-EG"/>
              </w:rPr>
              <w:t xml:space="preserve"> </w:t>
            </w:r>
            <w:r>
              <w:rPr>
                <w:lang w:bidi="ar-EG"/>
              </w:rPr>
              <w:t>(CITEL)</w:t>
            </w:r>
          </w:p>
        </w:tc>
      </w:tr>
      <w:tr w:rsidR="00AF6B5C" w:rsidRPr="00AF6B5C" w14:paraId="0CFC7C60" w14:textId="77777777" w:rsidTr="00F03E94">
        <w:trPr>
          <w:cantSplit/>
        </w:trPr>
        <w:tc>
          <w:tcPr>
            <w:tcW w:w="9672" w:type="dxa"/>
            <w:gridSpan w:val="2"/>
          </w:tcPr>
          <w:p w14:paraId="43396C4C" w14:textId="77777777" w:rsidR="00AF6B5C" w:rsidRPr="007150E5" w:rsidRDefault="00AF6B5C" w:rsidP="00AF6B5C">
            <w:pPr>
              <w:rPr>
                <w:rtl/>
              </w:rPr>
            </w:pPr>
          </w:p>
        </w:tc>
      </w:tr>
    </w:tbl>
    <w:p w14:paraId="2450F07A" w14:textId="77777777" w:rsidR="007150E5" w:rsidRDefault="007150E5" w:rsidP="007150E5">
      <w:pPr>
        <w:pStyle w:val="Headingb"/>
        <w:rPr>
          <w:rtl/>
          <w:lang w:bidi="ar-EG"/>
        </w:rPr>
      </w:pPr>
      <w:r>
        <w:rPr>
          <w:rFonts w:hint="cs"/>
          <w:rtl/>
          <w:lang w:bidi="ar-SY"/>
        </w:rPr>
        <w:t>ملخص</w:t>
      </w:r>
    </w:p>
    <w:p w14:paraId="5466AAC1" w14:textId="329B13A5" w:rsidR="007150E5" w:rsidRDefault="007150E5" w:rsidP="007150E5">
      <w:pPr>
        <w:rPr>
          <w:rtl/>
          <w:lang w:bidi="ar-SY"/>
        </w:rPr>
      </w:pPr>
      <w:r>
        <w:rPr>
          <w:rFonts w:hint="cs"/>
          <w:rtl/>
          <w:lang w:bidi="ar-SY"/>
        </w:rPr>
        <w:t>أثناء اجتماع</w:t>
      </w:r>
      <w:r w:rsidRPr="007150E5">
        <w:rPr>
          <w:rFonts w:hint="cs"/>
          <w:rtl/>
          <w:lang w:bidi="ar-SY"/>
        </w:rPr>
        <w:t xml:space="preserve"> </w:t>
      </w:r>
      <w:r w:rsidRPr="007150E5">
        <w:rPr>
          <w:rtl/>
          <w:lang w:bidi="ar-SY"/>
        </w:rPr>
        <w:t>فريق الخبراء المعني بلوائح الاتصالات الدولية (</w:t>
      </w:r>
      <w:r w:rsidRPr="007150E5">
        <w:rPr>
          <w:lang w:bidi="ar-EG"/>
        </w:rPr>
        <w:t>EG</w:t>
      </w:r>
      <w:r w:rsidR="00DC4403">
        <w:rPr>
          <w:lang w:bidi="ar-EG"/>
        </w:rPr>
        <w:t>-</w:t>
      </w:r>
      <w:r w:rsidRPr="007150E5">
        <w:rPr>
          <w:lang w:bidi="ar-EG"/>
        </w:rPr>
        <w:t>ITR</w:t>
      </w:r>
      <w:r w:rsidRPr="007150E5">
        <w:rPr>
          <w:rtl/>
          <w:lang w:bidi="ar-SY"/>
        </w:rPr>
        <w:t>)</w:t>
      </w:r>
      <w:r w:rsidRPr="007150E5">
        <w:rPr>
          <w:rFonts w:hint="cs"/>
          <w:rtl/>
          <w:lang w:bidi="ar-SY"/>
        </w:rPr>
        <w:t xml:space="preserve"> </w:t>
      </w:r>
      <w:r>
        <w:rPr>
          <w:rFonts w:hint="cs"/>
          <w:rtl/>
          <w:lang w:bidi="ar-EG"/>
        </w:rPr>
        <w:t xml:space="preserve">في سبتمبر </w:t>
      </w:r>
      <w:r>
        <w:rPr>
          <w:lang w:bidi="ar-EG"/>
        </w:rPr>
        <w:t>2019</w:t>
      </w:r>
      <w:r>
        <w:rPr>
          <w:rFonts w:hint="cs"/>
          <w:rtl/>
          <w:lang w:bidi="ar-EG"/>
        </w:rPr>
        <w:t>، اتفقت إدارات كومنولث جزر البهاما والبرازيل وكندا والمكسيك وباراغواي والولايات المتحدة الأمريكية على تعميم الأسئلة أدناه على جميع الإدارات والأعضاء</w:t>
      </w:r>
      <w:r>
        <w:rPr>
          <w:rFonts w:hint="cs"/>
          <w:rtl/>
          <w:lang w:bidi="ar-SY"/>
        </w:rPr>
        <w:t xml:space="preserve"> المنتسبين للجنة </w:t>
      </w:r>
      <w:r w:rsidRPr="007150E5">
        <w:rPr>
          <w:rFonts w:hint="cs"/>
          <w:rtl/>
          <w:lang w:bidi="ar-SY"/>
        </w:rPr>
        <w:t xml:space="preserve">البلدان الأمريكية للاتصالات </w:t>
      </w:r>
      <w:r>
        <w:rPr>
          <w:lang w:bidi="ar-SY"/>
        </w:rPr>
        <w:t>(CITEL)</w:t>
      </w:r>
      <w:r w:rsidRPr="007150E5">
        <w:rPr>
          <w:rFonts w:hint="cs"/>
          <w:rtl/>
          <w:lang w:bidi="ar-SY"/>
        </w:rPr>
        <w:t>.</w:t>
      </w:r>
    </w:p>
    <w:p w14:paraId="024D78FC" w14:textId="41BA20F9" w:rsidR="00DC4403" w:rsidRPr="007150E5" w:rsidRDefault="00DC4403" w:rsidP="00DC4403">
      <w:pPr>
        <w:spacing w:before="240" w:after="240"/>
        <w:rPr>
          <w:rtl/>
          <w:lang w:bidi="ar-SY"/>
        </w:rPr>
      </w:pPr>
      <w:r>
        <w:rPr>
          <w:rFonts w:hint="cs"/>
          <w:rtl/>
          <w:lang w:bidi="ar-SY"/>
        </w:rPr>
        <w:t>ويسر المكسيك أن ترد أدناه على الأسئلة المشار إليها أعلاه:</w:t>
      </w:r>
    </w:p>
    <w:p w14:paraId="01B189FB" w14:textId="77777777" w:rsidR="007150E5" w:rsidRPr="007150E5" w:rsidRDefault="007150E5" w:rsidP="00227511">
      <w:pPr>
        <w:spacing w:before="240"/>
        <w:rPr>
          <w:b/>
          <w:bCs/>
          <w:rtl/>
          <w:lang w:bidi="ar-EG"/>
        </w:rPr>
      </w:pPr>
      <w:r w:rsidRPr="007150E5">
        <w:rPr>
          <w:rFonts w:hint="cs"/>
          <w:b/>
          <w:bCs/>
          <w:rtl/>
        </w:rPr>
        <w:t>س</w:t>
      </w:r>
      <w:r w:rsidRPr="007150E5">
        <w:rPr>
          <w:b/>
          <w:bCs/>
          <w:lang w:bidi="ar-EG"/>
        </w:rPr>
        <w:t>1</w:t>
      </w:r>
      <w:r w:rsidRPr="007150E5">
        <w:rPr>
          <w:b/>
          <w:bCs/>
          <w:rtl/>
          <w:lang w:bidi="ar-EG"/>
        </w:rPr>
        <w:tab/>
      </w:r>
      <w:r w:rsidRPr="007150E5">
        <w:rPr>
          <w:rFonts w:hint="cs"/>
          <w:b/>
          <w:bCs/>
          <w:rtl/>
          <w:lang w:bidi="ar-EG"/>
        </w:rPr>
        <w:t>هل تستخدمون لوائح الاتصالات الدولية؟ إذا كان الجواب بنعم، كيف ذلك؟ وإذا كان الجواب بلا، لماذا؟</w:t>
      </w:r>
    </w:p>
    <w:p w14:paraId="130709D3" w14:textId="1FB7E801" w:rsidR="007150E5" w:rsidRPr="007150E5" w:rsidRDefault="007150E5" w:rsidP="007150E5">
      <w:pPr>
        <w:rPr>
          <w:rtl/>
        </w:rPr>
      </w:pPr>
      <w:r w:rsidRPr="007150E5">
        <w:rPr>
          <w:rFonts w:hint="cs"/>
          <w:rtl/>
        </w:rPr>
        <w:t>طبقاً للدستور السياسي للولايات المكسيكية المتحدة، تعد الاتصالات في المكسيك" خدمات عمومية ذات أهمية عامة، حيث يجب أن تضمن الدولة توفيرها ضمن شروط الأهلية والتعددية الجودة والتغطية والتوصيل البيني والتقارب والاستمرارية والنفاذ المجاني وبدون تداخلات عشوائية". وهذا هو السبب، في إطار أحكام فعلية، الذي يجعل المكسيك ترى أن لوائح الاتصالات الدولية متسقة في ظل هذه المبادئ، ولذا، فإن اللوائح لا تزال تستخدم كمرجع لإصدار الأحكام والقواعد الإدارية العامة.</w:t>
      </w:r>
    </w:p>
    <w:p w14:paraId="10109A81" w14:textId="77777777" w:rsidR="007150E5" w:rsidRPr="007150E5" w:rsidRDefault="007150E5" w:rsidP="00227511">
      <w:pPr>
        <w:spacing w:before="240"/>
        <w:rPr>
          <w:b/>
          <w:bCs/>
          <w:rtl/>
        </w:rPr>
      </w:pPr>
      <w:r w:rsidRPr="007150E5">
        <w:rPr>
          <w:rFonts w:hint="cs"/>
          <w:b/>
          <w:bCs/>
          <w:rtl/>
        </w:rPr>
        <w:t>س</w:t>
      </w:r>
      <w:r w:rsidRPr="007150E5">
        <w:rPr>
          <w:b/>
          <w:bCs/>
          <w:lang w:bidi="ar-EG"/>
        </w:rPr>
        <w:t>2</w:t>
      </w:r>
      <w:r w:rsidRPr="007150E5">
        <w:rPr>
          <w:b/>
          <w:bCs/>
          <w:rtl/>
        </w:rPr>
        <w:tab/>
      </w:r>
      <w:r w:rsidRPr="007150E5">
        <w:rPr>
          <w:rFonts w:hint="cs"/>
          <w:b/>
          <w:bCs/>
          <w:rtl/>
        </w:rPr>
        <w:t>في البيئة الدولية الحالية للاتصالات/تكنولوجيا المعلومات والاتصالات، هل تنطبق لوائح الاتصالات الدولية لعام</w:t>
      </w:r>
      <w:r w:rsidRPr="007150E5">
        <w:rPr>
          <w:rFonts w:hint="eastAsia"/>
          <w:b/>
          <w:bCs/>
          <w:rtl/>
        </w:rPr>
        <w:t> </w:t>
      </w:r>
      <w:r w:rsidRPr="007150E5">
        <w:rPr>
          <w:b/>
          <w:bCs/>
          <w:lang w:bidi="ar-EG"/>
        </w:rPr>
        <w:t>2012</w:t>
      </w:r>
      <w:r w:rsidRPr="007150E5">
        <w:rPr>
          <w:rFonts w:hint="cs"/>
          <w:b/>
          <w:bCs/>
          <w:rtl/>
        </w:rPr>
        <w:t xml:space="preserve"> في</w:t>
      </w:r>
      <w:r w:rsidRPr="007150E5">
        <w:rPr>
          <w:rFonts w:hint="eastAsia"/>
          <w:b/>
          <w:bCs/>
          <w:rtl/>
        </w:rPr>
        <w:t> </w:t>
      </w:r>
      <w:r w:rsidRPr="007150E5">
        <w:rPr>
          <w:rFonts w:hint="cs"/>
          <w:b/>
          <w:bCs/>
          <w:rtl/>
        </w:rPr>
        <w:t>تعزيز توفير وتطوير خدمات وشبكات الاتصالات/تكنولوجيا المعلومات والاتصالات على الصعيد الدولي؟ يرجى إعطاء أمثلة.</w:t>
      </w:r>
    </w:p>
    <w:p w14:paraId="68040FD7" w14:textId="027245C3" w:rsidR="007150E5" w:rsidRDefault="007150E5" w:rsidP="007150E5">
      <w:pPr>
        <w:rPr>
          <w:rtl/>
          <w:lang w:bidi="ar-EG"/>
        </w:rPr>
      </w:pPr>
      <w:r>
        <w:rPr>
          <w:rFonts w:hint="cs"/>
          <w:rtl/>
        </w:rPr>
        <w:t xml:space="preserve">ترى المكسيك أن هناك عناصر في لوائح الاتصالات الدولية لعام </w:t>
      </w:r>
      <w:r>
        <w:rPr>
          <w:rFonts w:hint="cs"/>
          <w:rtl/>
          <w:lang w:bidi="ar-EG"/>
        </w:rPr>
        <w:t>2012 لا تزال صالحة في السياق الدولي ل</w:t>
      </w:r>
      <w:r w:rsidR="0003792F">
        <w:rPr>
          <w:rFonts w:hint="cs"/>
          <w:rtl/>
          <w:lang w:bidi="ar-EG"/>
        </w:rPr>
        <w:t>ق</w:t>
      </w:r>
      <w:r>
        <w:rPr>
          <w:rFonts w:hint="cs"/>
          <w:rtl/>
          <w:lang w:bidi="ar-EG"/>
        </w:rPr>
        <w:t xml:space="preserve">طاع الاتصالات حيث إنه من خلال زيادة التماسك التنظيمي؛ </w:t>
      </w:r>
      <w:r w:rsidR="0003792F">
        <w:rPr>
          <w:rFonts w:hint="cs"/>
          <w:rtl/>
          <w:lang w:bidi="ar-EG"/>
        </w:rPr>
        <w:t>ستضفي اليقين على الاتصالات الدولية.</w:t>
      </w:r>
    </w:p>
    <w:p w14:paraId="04B3696F" w14:textId="173EB3F8" w:rsidR="0003792F" w:rsidRDefault="0003792F" w:rsidP="007150E5">
      <w:pPr>
        <w:rPr>
          <w:rtl/>
          <w:lang w:bidi="ar-EG"/>
        </w:rPr>
      </w:pPr>
      <w:r>
        <w:rPr>
          <w:rFonts w:hint="cs"/>
          <w:rtl/>
          <w:lang w:bidi="ar-EG"/>
        </w:rPr>
        <w:t>والصكوك القانونية الدولية الحالية في أيامنا هذه مثل معاهدات التجارة الحرة لا تتضمن عادة الاتجاهات الحالية والقضايا الناشئة في قطاع الاتصالات. من هنا: نعتنق لوائح الاتصالات الدولية أحكاماً لا تتضمنها هذه المعاهدات ولا ترد في ملحق الاتصالات بالاتفاق العام المتعلق بالتجارة في الخدمات لمنظمة التجارة العالمية. ومن جهة أخرى، فإن لوائح الاتصالات الدولية، مقارنة بالصكوك الخرى، تتضمن أحكاماً تتعلق بأمن حياة الإنسان فيما يخص اتصالات الإغاثة في حالات الكوارث أو أمن الشبكات ومقارنتها أو الاتصالات الإلكترونية الكثيفة غير المرغوبة أو تعليق الخدمات أو قضايا إمكانية النفاذ.</w:t>
      </w:r>
    </w:p>
    <w:p w14:paraId="5B8AE325" w14:textId="2AB92AEE" w:rsidR="0003792F" w:rsidRDefault="0003792F" w:rsidP="004C776C">
      <w:pPr>
        <w:keepNext/>
        <w:keepLines/>
        <w:rPr>
          <w:rtl/>
          <w:lang w:bidi="ar-EG"/>
        </w:rPr>
      </w:pPr>
      <w:r>
        <w:rPr>
          <w:rFonts w:hint="cs"/>
          <w:rtl/>
          <w:lang w:bidi="ar-EG"/>
        </w:rPr>
        <w:t>فمثلاً، بالنسبة لأمن الشبكات ومتانتها، تنص لوائح الاتصالات الدولية أن أمن شبكات الاتصالات الدولية ومتانتها واجب على الدول الأعضاء فرادى وجماعا</w:t>
      </w:r>
      <w:bookmarkStart w:id="1" w:name="_GoBack"/>
      <w:bookmarkEnd w:id="1"/>
      <w:r>
        <w:rPr>
          <w:rFonts w:hint="cs"/>
          <w:rtl/>
          <w:lang w:bidi="ar-EG"/>
        </w:rPr>
        <w:t>ت حيث يتعين عليها العمل على تطوير الخدمات المقدمة للجمهور. ومن منظور إمكانية النفاذ، تشير لوائح الاتصالات الدولية إلى أنه يجب على الدول الأعضاء النهوض بنفاذ الأشخاص ذوي الإعاقة إلى خدمات الاتصالات الدولية. وفيما يتعلق بالتجوال، تشترط لوائح الاتصالات الدولية أن تعمل الدول على زيادة المنافسة وأن تشجع التعاون من أجل تجنب تكاليف التجوال غير المعلنة في المناطق الحدودية أو خفضها.</w:t>
      </w:r>
    </w:p>
    <w:p w14:paraId="1CB0ABC7" w14:textId="6EDD70A7" w:rsidR="0003792F" w:rsidRDefault="0003792F" w:rsidP="007150E5">
      <w:pPr>
        <w:rPr>
          <w:rtl/>
          <w:lang w:bidi="ar-EG"/>
        </w:rPr>
      </w:pPr>
      <w:r>
        <w:rPr>
          <w:rFonts w:hint="cs"/>
          <w:rtl/>
          <w:lang w:bidi="ar-EG"/>
        </w:rPr>
        <w:t>وفي نهاية المطاف هناك أحكام أخرى ذات صلة من أجل تعزيز تطوير شبكات الاتصالات، كما يلي:</w:t>
      </w:r>
    </w:p>
    <w:p w14:paraId="4037ADA8" w14:textId="73E4C901" w:rsidR="0003792F" w:rsidRDefault="0003792F" w:rsidP="00C06AB8">
      <w:pPr>
        <w:pStyle w:val="enumlev1"/>
        <w:rPr>
          <w:rtl/>
        </w:rPr>
      </w:pPr>
      <w:r>
        <w:lastRenderedPageBreak/>
        <w:sym w:font="Symbol" w:char="F0B7"/>
      </w:r>
      <w:r>
        <w:rPr>
          <w:rtl/>
        </w:rPr>
        <w:tab/>
      </w:r>
      <w:r w:rsidR="00C06AB8">
        <w:rPr>
          <w:rFonts w:hint="cs"/>
          <w:rtl/>
        </w:rPr>
        <w:t>يجب على الدول الأعضاء أن تسعى إلى تشجيع الاستثمارات في شبكات الاتصالات الدولية وفي تحقيق أسعار تنافسية للبيع بالجملة للحركة المنقولة على شبكات الاتصالات تلك.</w:t>
      </w:r>
    </w:p>
    <w:p w14:paraId="2B002041" w14:textId="152A86F9" w:rsidR="00C06AB8" w:rsidRDefault="00C06AB8" w:rsidP="00C06AB8">
      <w:pPr>
        <w:pStyle w:val="enumlev1"/>
        <w:rPr>
          <w:rtl/>
        </w:rPr>
      </w:pPr>
      <w:r>
        <w:sym w:font="Symbol" w:char="F0B7"/>
      </w:r>
      <w:r>
        <w:rPr>
          <w:rtl/>
        </w:rPr>
        <w:tab/>
      </w:r>
      <w:r>
        <w:rPr>
          <w:rFonts w:hint="cs"/>
          <w:rtl/>
        </w:rPr>
        <w:t>فيما يتعلق بقطاع الاتصالات ونموه الاقتصادي، تشترط لوائح الاتصالات الدولية أن تحدد "شركات التشغيل المرخص لها" "أسعار للتوزيع والإنهاء" وكذلك المسيرات الدولية؛ ويستوعب ذلك وقائع سوق الاتصالات ويشجع المنافسة.</w:t>
      </w:r>
    </w:p>
    <w:p w14:paraId="1B88C963" w14:textId="67725869" w:rsidR="00C06AB8" w:rsidRDefault="00C06AB8" w:rsidP="00C06AB8">
      <w:pPr>
        <w:pStyle w:val="enumlev1"/>
        <w:rPr>
          <w:rtl/>
        </w:rPr>
      </w:pPr>
      <w:r>
        <w:sym w:font="Symbol" w:char="F0B7"/>
      </w:r>
      <w:r>
        <w:rPr>
          <w:rtl/>
        </w:rPr>
        <w:tab/>
      </w:r>
      <w:r>
        <w:rPr>
          <w:rFonts w:hint="cs"/>
          <w:rtl/>
        </w:rPr>
        <w:t>تتضمن لوائح الاتصالات الدولية أحكاماً تتعلق بضمان تعرف هوية أي خط دولي طالب، بما يضمن الاستعمال الأمثل لموارد الترقيم ويوفر بيئات مبشرة لإنشاء مراكز إقليمية لتبادل حركة الاتصالات والسعي نحو اتخاذ تدابير لمنع انتشار الاتصالات الإلكترونية غير المرغوبة الكثيفة.</w:t>
      </w:r>
    </w:p>
    <w:p w14:paraId="28B6A0CB" w14:textId="29A207FB" w:rsidR="00C06AB8" w:rsidRPr="007150E5" w:rsidRDefault="00C06AB8" w:rsidP="00C06AB8">
      <w:pPr>
        <w:pStyle w:val="enumlev1"/>
        <w:rPr>
          <w:rtl/>
        </w:rPr>
      </w:pPr>
      <w:r>
        <w:sym w:font="Symbol" w:char="F0B7"/>
      </w:r>
      <w:r>
        <w:rPr>
          <w:rtl/>
        </w:rPr>
        <w:tab/>
      </w:r>
      <w:r>
        <w:rPr>
          <w:rFonts w:hint="cs"/>
          <w:rtl/>
        </w:rPr>
        <w:t>تحث لوائح الاتصالات الدولية الأعضاء على تشجيع "شركات التشغيل المرخص لها" على إبلاغ المستعملين النهائيين في الوقت المناسب وبالمجان بأرقام نداءات خدمات الطوارئ، وعلى التعاون من أجل توفير طائفة واسعة من خدمات الاتصالات الدولية بجودة مرضية</w:t>
      </w:r>
      <w:r w:rsidR="004C776C">
        <w:rPr>
          <w:rFonts w:hint="cs"/>
          <w:rtl/>
        </w:rPr>
        <w:t>.</w:t>
      </w:r>
    </w:p>
    <w:p w14:paraId="7EE0A828" w14:textId="77777777" w:rsidR="007150E5" w:rsidRPr="007150E5" w:rsidRDefault="007150E5" w:rsidP="00227511">
      <w:pPr>
        <w:spacing w:before="240"/>
        <w:rPr>
          <w:b/>
          <w:bCs/>
          <w:rtl/>
          <w:lang w:bidi="ar-EG"/>
        </w:rPr>
      </w:pPr>
      <w:r w:rsidRPr="007150E5">
        <w:rPr>
          <w:rFonts w:hint="cs"/>
          <w:b/>
          <w:bCs/>
          <w:rtl/>
        </w:rPr>
        <w:t>س</w:t>
      </w:r>
      <w:r w:rsidRPr="007150E5">
        <w:rPr>
          <w:b/>
          <w:bCs/>
          <w:lang w:bidi="ar-EG"/>
        </w:rPr>
        <w:t>3</w:t>
      </w:r>
      <w:r w:rsidRPr="007150E5">
        <w:rPr>
          <w:b/>
          <w:bCs/>
          <w:rtl/>
        </w:rPr>
        <w:tab/>
      </w:r>
      <w:r w:rsidRPr="007150E5">
        <w:rPr>
          <w:rFonts w:hint="cs"/>
          <w:b/>
          <w:bCs/>
          <w:rtl/>
          <w:lang w:bidi="ar-EG"/>
        </w:rPr>
        <w:t>في البيئة الدولية الحالية للاتصالات/تكنولوجيا المعلومات والاتصالات، هل تتسم لوائح الاتصالات الدولية لعام</w:t>
      </w:r>
      <w:r w:rsidRPr="007150E5">
        <w:rPr>
          <w:rFonts w:hint="eastAsia"/>
          <w:b/>
          <w:bCs/>
          <w:rtl/>
          <w:lang w:bidi="ar-EG"/>
        </w:rPr>
        <w:t> </w:t>
      </w:r>
      <w:r w:rsidRPr="007150E5">
        <w:rPr>
          <w:b/>
          <w:bCs/>
          <w:lang w:bidi="ar-EG"/>
        </w:rPr>
        <w:t>2012</w:t>
      </w:r>
      <w:r w:rsidRPr="007150E5">
        <w:rPr>
          <w:rFonts w:hint="cs"/>
          <w:b/>
          <w:bCs/>
          <w:rtl/>
        </w:rPr>
        <w:t xml:space="preserve"> بالمرونة لاستيعاب الاتجاهات الجديدة في مجال الاتصالات/تكنولوجيا المعلومات والاتصالات والقضايا الناشئة؟ يرجى إعطاء أمثلة.</w:t>
      </w:r>
    </w:p>
    <w:p w14:paraId="0BA00CCE" w14:textId="19A00E20" w:rsidR="007150E5" w:rsidRPr="007150E5" w:rsidRDefault="0003792F" w:rsidP="007150E5">
      <w:pPr>
        <w:rPr>
          <w:rtl/>
          <w:lang w:bidi="ar-EG"/>
        </w:rPr>
      </w:pPr>
      <w:r>
        <w:rPr>
          <w:rFonts w:hint="cs"/>
          <w:rtl/>
          <w:lang w:bidi="ar-EG"/>
        </w:rPr>
        <w:t>ت</w:t>
      </w:r>
      <w:r w:rsidR="00C06AB8">
        <w:rPr>
          <w:rFonts w:hint="cs"/>
          <w:rtl/>
          <w:lang w:bidi="ar-EG"/>
        </w:rPr>
        <w:t>عد لوائح الاتصالات الدولية غير مرنة في الوقت الراهن لاستيعاب الاتجاهات الجديدة في قطاع الاتصالات وتكنولوجيا المعلومات والاتصالات؛ فهناك موضوعات مثل التعاون الدولي والإنترنت وتطوير الشبكات وخدمات النطاق العريض وتوفير الحماية الفعالة للبيانات والمعلومات الشخصية، ضمن موضوعات أخرى، يمكن مراعاتها في مراجعة محتملة للوائح، وذلك بغية تعديل الأحكام ذات الصلة ووضع صياغة بالتزامات أقوى وأوضح، حسب الاقتضاء.</w:t>
      </w:r>
    </w:p>
    <w:p w14:paraId="1618017F" w14:textId="77777777" w:rsidR="00AF6B5C" w:rsidRPr="00C06AB8" w:rsidRDefault="007150E5" w:rsidP="00C06AB8">
      <w:pPr>
        <w:spacing w:before="600"/>
        <w:jc w:val="center"/>
        <w:rPr>
          <w:rFonts w:ascii="Traditional Arabic" w:hAnsi="Traditional Arabic" w:cs="Traditional Arabic"/>
          <w:rtl/>
          <w:lang w:bidi="ar-EG"/>
        </w:rPr>
      </w:pPr>
      <w:r w:rsidRPr="00C06AB8">
        <w:rPr>
          <w:rFonts w:ascii="Traditional Arabic" w:hAnsi="Traditional Arabic" w:cs="Traditional Arabic"/>
          <w:rtl/>
          <w:lang w:bidi="ar-EG"/>
        </w:rPr>
        <w:t>_______________</w:t>
      </w:r>
    </w:p>
    <w:sectPr w:rsidR="00AF6B5C" w:rsidRPr="00C06AB8" w:rsidSect="006C3242">
      <w:headerReference w:type="default" r:id="rId9"/>
      <w:footerReference w:type="default" r:id="rId10"/>
      <w:footerReference w:type="first" r:id="rId1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F8967" w14:textId="77777777" w:rsidR="007150E5" w:rsidRDefault="007150E5" w:rsidP="006C3242">
      <w:pPr>
        <w:spacing w:before="0" w:line="240" w:lineRule="auto"/>
      </w:pPr>
      <w:r>
        <w:separator/>
      </w:r>
    </w:p>
  </w:endnote>
  <w:endnote w:type="continuationSeparator" w:id="0">
    <w:p w14:paraId="086F9D0A" w14:textId="77777777" w:rsidR="007150E5" w:rsidRDefault="007150E5"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C2888" w14:textId="6FEF0639" w:rsidR="006C3242" w:rsidRPr="0026373E" w:rsidRDefault="006C3242" w:rsidP="00FE5872">
    <w:pPr>
      <w:pStyle w:val="Footer"/>
      <w:tabs>
        <w:tab w:val="clear" w:pos="4153"/>
        <w:tab w:val="clear" w:pos="8306"/>
        <w:tab w:val="center" w:pos="5103"/>
        <w:tab w:val="right" w:pos="9639"/>
      </w:tabs>
      <w:spacing w:before="120"/>
      <w:rPr>
        <w:sz w:val="16"/>
        <w:szCs w:val="16"/>
        <w:lang w:val="fr-FR"/>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24768C">
      <w:rPr>
        <w:noProof/>
        <w:sz w:val="16"/>
        <w:szCs w:val="16"/>
        <w:lang w:val="fr-FR"/>
      </w:rPr>
      <w:t>P:\ARA\SG\CONSEIL\EG-ITR\EG-ITR-2\000\012A.docx</w:t>
    </w:r>
    <w:r w:rsidRPr="0026373E">
      <w:rPr>
        <w:sz w:val="16"/>
        <w:szCs w:val="16"/>
      </w:rPr>
      <w:fldChar w:fldCharType="end"/>
    </w:r>
    <w:proofErr w:type="gramStart"/>
    <w:r w:rsidRPr="0026373E">
      <w:rPr>
        <w:sz w:val="16"/>
        <w:szCs w:val="16"/>
      </w:rPr>
      <w:t xml:space="preserve">  </w:t>
    </w:r>
    <w:r w:rsidRPr="0026373E">
      <w:rPr>
        <w:sz w:val="16"/>
        <w:szCs w:val="16"/>
        <w:lang w:val="fr-FR"/>
      </w:rPr>
      <w:t xml:space="preserve"> (</w:t>
    </w:r>
    <w:proofErr w:type="gramEnd"/>
    <w:r w:rsidR="0024768C">
      <w:rPr>
        <w:sz w:val="16"/>
        <w:szCs w:val="16"/>
        <w:lang w:val="fr-FR"/>
      </w:rPr>
      <w:t>467634</w:t>
    </w:r>
    <w:r w:rsidRPr="0026373E">
      <w:rPr>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60B21" w14:textId="77777777" w:rsidR="00AF6B5C" w:rsidRPr="00AF6B5C" w:rsidRDefault="00AF6B5C" w:rsidP="00AF6B5C">
    <w:pPr>
      <w:tabs>
        <w:tab w:val="clear" w:pos="794"/>
        <w:tab w:val="left" w:pos="567"/>
        <w:tab w:val="left" w:pos="1134"/>
        <w:tab w:val="left" w:pos="1701"/>
        <w:tab w:val="left" w:pos="2268"/>
        <w:tab w:val="left" w:pos="2835"/>
      </w:tabs>
      <w:overflowPunct w:val="0"/>
      <w:autoSpaceDE w:val="0"/>
      <w:autoSpaceDN w:val="0"/>
      <w:bidi w:val="0"/>
      <w:adjustRightInd w:val="0"/>
      <w:spacing w:line="240" w:lineRule="auto"/>
      <w:jc w:val="center"/>
      <w:textAlignment w:val="baseline"/>
      <w:rPr>
        <w:rFonts w:eastAsia="Times New Roman"/>
        <w:sz w:val="20"/>
        <w:szCs w:val="20"/>
        <w:lang w:val="en-GB" w:eastAsia="en-US"/>
      </w:rPr>
    </w:pPr>
    <w:r w:rsidRPr="00AF6B5C">
      <w:rPr>
        <w:rFonts w:eastAsia="Times New Roman"/>
        <w:sz w:val="20"/>
        <w:szCs w:val="20"/>
        <w:lang w:val="en-GB" w:eastAsia="en-US"/>
      </w:rPr>
      <w:t xml:space="preserve">• </w:t>
    </w:r>
    <w:hyperlink r:id="rId1" w:history="1">
      <w:r w:rsidRPr="00AF6B5C">
        <w:rPr>
          <w:rFonts w:eastAsia="Times New Roman"/>
          <w:color w:val="0000FF"/>
          <w:sz w:val="20"/>
          <w:szCs w:val="20"/>
          <w:u w:val="single"/>
          <w:lang w:val="en-GB" w:eastAsia="en-US"/>
        </w:rPr>
        <w:t>http://www.itu.int/council</w:t>
      </w:r>
    </w:hyperlink>
    <w:r w:rsidRPr="00AF6B5C">
      <w:rPr>
        <w:rFonts w:eastAsia="Times New Roman"/>
        <w:sz w:val="20"/>
        <w:szCs w:val="20"/>
        <w:lang w:val="en-GB" w:eastAsia="en-US"/>
      </w:rPr>
      <w:t xml:space="preserve"> •</w:t>
    </w:r>
  </w:p>
  <w:p w14:paraId="54A5DB29" w14:textId="03194199" w:rsidR="0006468A" w:rsidRPr="0026373E" w:rsidRDefault="0006468A" w:rsidP="0006468A">
    <w:pPr>
      <w:pStyle w:val="Footer"/>
      <w:tabs>
        <w:tab w:val="clear" w:pos="4153"/>
        <w:tab w:val="clear" w:pos="8306"/>
        <w:tab w:val="center" w:pos="5103"/>
        <w:tab w:val="right" w:pos="9639"/>
      </w:tabs>
      <w:spacing w:before="120"/>
      <w:rPr>
        <w:sz w:val="16"/>
        <w:szCs w:val="16"/>
        <w:lang w:val="fr-FR"/>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24768C">
      <w:rPr>
        <w:noProof/>
        <w:sz w:val="16"/>
        <w:szCs w:val="16"/>
        <w:lang w:val="fr-FR"/>
      </w:rPr>
      <w:t>P:\ARA\SG\CONSEIL\EG-ITR\EG-ITR-2\000\012A.docx</w:t>
    </w:r>
    <w:r w:rsidRPr="0026373E">
      <w:rPr>
        <w:sz w:val="16"/>
        <w:szCs w:val="16"/>
      </w:rPr>
      <w:fldChar w:fldCharType="end"/>
    </w:r>
    <w:proofErr w:type="gramStart"/>
    <w:r w:rsidRPr="0026373E">
      <w:rPr>
        <w:sz w:val="16"/>
        <w:szCs w:val="16"/>
      </w:rPr>
      <w:t xml:space="preserve">  </w:t>
    </w:r>
    <w:r w:rsidRPr="0026373E">
      <w:rPr>
        <w:sz w:val="16"/>
        <w:szCs w:val="16"/>
        <w:lang w:val="fr-FR"/>
      </w:rPr>
      <w:t xml:space="preserve"> (</w:t>
    </w:r>
    <w:proofErr w:type="gramEnd"/>
    <w:r w:rsidR="00C06AB8">
      <w:rPr>
        <w:sz w:val="16"/>
        <w:szCs w:val="16"/>
        <w:lang w:val="fr-FR"/>
      </w:rPr>
      <w:t>467634</w:t>
    </w:r>
    <w:r w:rsidRPr="0026373E">
      <w:rPr>
        <w:sz w:val="16"/>
        <w:szCs w:val="16"/>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22DC5" w14:textId="77777777" w:rsidR="007150E5" w:rsidRDefault="007150E5" w:rsidP="006C3242">
      <w:pPr>
        <w:spacing w:before="0" w:line="240" w:lineRule="auto"/>
      </w:pPr>
      <w:r>
        <w:separator/>
      </w:r>
    </w:p>
  </w:footnote>
  <w:footnote w:type="continuationSeparator" w:id="0">
    <w:p w14:paraId="183BE797" w14:textId="77777777" w:rsidR="007150E5" w:rsidRDefault="007150E5"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979CE" w14:textId="33029C3E" w:rsidR="00447F32" w:rsidRPr="00447F32" w:rsidRDefault="004C776C" w:rsidP="0026373E">
    <w:pPr>
      <w:pStyle w:val="Header"/>
      <w:bidi w:val="0"/>
      <w:spacing w:before="120" w:after="240" w:line="192" w:lineRule="auto"/>
      <w:jc w:val="center"/>
      <w:rPr>
        <w:rFonts w:cs="Calibri"/>
        <w:sz w:val="20"/>
        <w:szCs w:val="20"/>
      </w:rPr>
    </w:pPr>
    <w:sdt>
      <w:sdtPr>
        <w:rPr>
          <w:sz w:val="20"/>
          <w:szCs w:val="20"/>
        </w:rPr>
        <w:id w:val="-1375531529"/>
        <w:docPartObj>
          <w:docPartGallery w:val="Page Numbers (Top of Page)"/>
          <w:docPartUnique/>
        </w:docPartObj>
      </w:sdtPr>
      <w:sdtEndPr>
        <w:rPr>
          <w:rFonts w:cs="Calibri"/>
          <w:noProof/>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r w:rsidR="00AF6B5C">
          <w:rPr>
            <w:rFonts w:cs="Calibri"/>
            <w:noProof/>
            <w:sz w:val="20"/>
            <w:szCs w:val="20"/>
          </w:rPr>
          <w:br/>
          <w:t>EG-ITR-2</w:t>
        </w:r>
        <w:r w:rsidR="00056A9A">
          <w:rPr>
            <w:rFonts w:cs="Calibri"/>
            <w:noProof/>
            <w:sz w:val="20"/>
            <w:szCs w:val="20"/>
          </w:rPr>
          <w:t>\</w:t>
        </w:r>
        <w:r w:rsidR="0024768C">
          <w:rPr>
            <w:rFonts w:cs="Calibri"/>
            <w:noProof/>
            <w:sz w:val="20"/>
            <w:szCs w:val="20"/>
          </w:rPr>
          <w:t>12</w:t>
        </w:r>
        <w:r w:rsidR="00AF6B5C">
          <w:rPr>
            <w:rFonts w:cs="Calibri"/>
            <w:noProof/>
            <w:sz w:val="20"/>
            <w:szCs w:val="20"/>
          </w:rPr>
          <w:t>-A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E5"/>
    <w:rsid w:val="0003792F"/>
    <w:rsid w:val="00056A9A"/>
    <w:rsid w:val="0006468A"/>
    <w:rsid w:val="00090574"/>
    <w:rsid w:val="000C1C0E"/>
    <w:rsid w:val="000C548A"/>
    <w:rsid w:val="001C0169"/>
    <w:rsid w:val="001D1D50"/>
    <w:rsid w:val="001D6745"/>
    <w:rsid w:val="001E446E"/>
    <w:rsid w:val="002154EE"/>
    <w:rsid w:val="00227511"/>
    <w:rsid w:val="002276D2"/>
    <w:rsid w:val="0023283D"/>
    <w:rsid w:val="0024768C"/>
    <w:rsid w:val="0026373E"/>
    <w:rsid w:val="00271C43"/>
    <w:rsid w:val="00290728"/>
    <w:rsid w:val="002978F4"/>
    <w:rsid w:val="002B028D"/>
    <w:rsid w:val="002E196B"/>
    <w:rsid w:val="002E6541"/>
    <w:rsid w:val="00334924"/>
    <w:rsid w:val="003409BC"/>
    <w:rsid w:val="00357185"/>
    <w:rsid w:val="00383829"/>
    <w:rsid w:val="003F4B29"/>
    <w:rsid w:val="0042686F"/>
    <w:rsid w:val="004317D8"/>
    <w:rsid w:val="00434183"/>
    <w:rsid w:val="00443869"/>
    <w:rsid w:val="00447F32"/>
    <w:rsid w:val="004C776C"/>
    <w:rsid w:val="004E11DC"/>
    <w:rsid w:val="00525DDD"/>
    <w:rsid w:val="005409AC"/>
    <w:rsid w:val="0055516A"/>
    <w:rsid w:val="0058491B"/>
    <w:rsid w:val="00592EA5"/>
    <w:rsid w:val="005A0F49"/>
    <w:rsid w:val="005A3170"/>
    <w:rsid w:val="00677396"/>
    <w:rsid w:val="0069200F"/>
    <w:rsid w:val="006A65CB"/>
    <w:rsid w:val="006C3242"/>
    <w:rsid w:val="006C7CC0"/>
    <w:rsid w:val="006F3BD6"/>
    <w:rsid w:val="006F63F7"/>
    <w:rsid w:val="007025C7"/>
    <w:rsid w:val="00706D7A"/>
    <w:rsid w:val="007150E5"/>
    <w:rsid w:val="00722F0D"/>
    <w:rsid w:val="0074420E"/>
    <w:rsid w:val="00783E26"/>
    <w:rsid w:val="007C3BC7"/>
    <w:rsid w:val="007C3BCD"/>
    <w:rsid w:val="007D4ACF"/>
    <w:rsid w:val="007F0787"/>
    <w:rsid w:val="00810B7B"/>
    <w:rsid w:val="0082358A"/>
    <w:rsid w:val="008235CD"/>
    <w:rsid w:val="008247DE"/>
    <w:rsid w:val="00840B10"/>
    <w:rsid w:val="008513CB"/>
    <w:rsid w:val="008A7F84"/>
    <w:rsid w:val="0091702E"/>
    <w:rsid w:val="00923B0C"/>
    <w:rsid w:val="0094021C"/>
    <w:rsid w:val="00952F86"/>
    <w:rsid w:val="00982B28"/>
    <w:rsid w:val="009D313F"/>
    <w:rsid w:val="00A47A5A"/>
    <w:rsid w:val="00A6683B"/>
    <w:rsid w:val="00A97F94"/>
    <w:rsid w:val="00AA7EA2"/>
    <w:rsid w:val="00AF6B5C"/>
    <w:rsid w:val="00B03099"/>
    <w:rsid w:val="00B05BC8"/>
    <w:rsid w:val="00B64B47"/>
    <w:rsid w:val="00C002DE"/>
    <w:rsid w:val="00C06AB8"/>
    <w:rsid w:val="00C53BF8"/>
    <w:rsid w:val="00C66157"/>
    <w:rsid w:val="00C674FE"/>
    <w:rsid w:val="00C67501"/>
    <w:rsid w:val="00C75633"/>
    <w:rsid w:val="00CE2EE1"/>
    <w:rsid w:val="00CE3349"/>
    <w:rsid w:val="00CE36E5"/>
    <w:rsid w:val="00CF27F5"/>
    <w:rsid w:val="00CF3FFD"/>
    <w:rsid w:val="00D10CCF"/>
    <w:rsid w:val="00D77D0F"/>
    <w:rsid w:val="00DA1CF0"/>
    <w:rsid w:val="00DC1E02"/>
    <w:rsid w:val="00DC24B4"/>
    <w:rsid w:val="00DC4403"/>
    <w:rsid w:val="00DC5FB0"/>
    <w:rsid w:val="00DF16DC"/>
    <w:rsid w:val="00E45211"/>
    <w:rsid w:val="00E473C5"/>
    <w:rsid w:val="00E92863"/>
    <w:rsid w:val="00EB796D"/>
    <w:rsid w:val="00F058DC"/>
    <w:rsid w:val="00F24FC4"/>
    <w:rsid w:val="00F2676C"/>
    <w:rsid w:val="00F84366"/>
    <w:rsid w:val="00F85089"/>
    <w:rsid w:val="00F974C5"/>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0DE86C"/>
  <w15:chartTrackingRefBased/>
  <w15:docId w15:val="{180C113B-CAF4-4031-994C-2F1140EF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20\SG\PA_EG-I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DC9E7-696B-4B07-9150-327808BF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PA_EG-ITR.dotx</Template>
  <TotalTime>46</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Al-Midani, Mohammad Haitham</dc:creator>
  <cp:keywords/>
  <dc:description/>
  <cp:lastModifiedBy>Riz, Imad</cp:lastModifiedBy>
  <cp:revision>4</cp:revision>
  <dcterms:created xsi:type="dcterms:W3CDTF">2020-02-10T15:19:00Z</dcterms:created>
  <dcterms:modified xsi:type="dcterms:W3CDTF">2020-02-11T07:48:00Z</dcterms:modified>
</cp:coreProperties>
</file>