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F65796" w14:paraId="558EFCB4" w14:textId="77777777" w:rsidTr="009C0C70">
        <w:trPr>
          <w:cantSplit/>
        </w:trPr>
        <w:tc>
          <w:tcPr>
            <w:tcW w:w="6911" w:type="dxa"/>
          </w:tcPr>
          <w:p w14:paraId="3BAFD7C4" w14:textId="77777777" w:rsidR="00205911" w:rsidRPr="00F65796" w:rsidRDefault="00205911" w:rsidP="00205911">
            <w:pPr>
              <w:spacing w:before="360" w:after="48"/>
              <w:rPr>
                <w:rFonts w:ascii="Calibri" w:eastAsia="SimSun" w:hAnsi="Calibri"/>
                <w:position w:val="6"/>
                <w:lang w:eastAsia="zh-CN"/>
              </w:rPr>
            </w:pPr>
            <w:r w:rsidRPr="00F65796">
              <w:rPr>
                <w:rFonts w:ascii="Calibri" w:eastAsia="SimSun" w:hAnsi="Calibri"/>
                <w:b/>
                <w:bCs/>
                <w:sz w:val="26"/>
                <w:szCs w:val="26"/>
                <w:lang w:val="en-US" w:eastAsia="zh-CN"/>
              </w:rPr>
              <w:t>《国际电信规则》专家组（</w:t>
            </w:r>
            <w:r w:rsidRPr="00F65796">
              <w:rPr>
                <w:rFonts w:ascii="Calibri" w:eastAsia="SimSun" w:hAnsi="Calibri"/>
                <w:b/>
                <w:bCs/>
                <w:sz w:val="26"/>
                <w:szCs w:val="26"/>
                <w:lang w:val="en-US" w:eastAsia="zh-CN"/>
              </w:rPr>
              <w:t>EG</w:t>
            </w:r>
            <w:r w:rsidRPr="00F65796">
              <w:rPr>
                <w:rFonts w:ascii="Calibri" w:eastAsia="SimSun" w:hAnsi="Calibri"/>
                <w:b/>
                <w:bCs/>
                <w:sz w:val="26"/>
                <w:szCs w:val="26"/>
                <w:lang w:val="en-US" w:eastAsia="zh-CN"/>
              </w:rPr>
              <w:noBreakHyphen/>
              <w:t>ITR</w:t>
            </w:r>
            <w:r w:rsidR="004E2BB6" w:rsidRPr="00F65796">
              <w:rPr>
                <w:rFonts w:ascii="Calibri" w:eastAsia="SimSun" w:hAnsi="Calibri"/>
                <w:b/>
                <w:bCs/>
                <w:sz w:val="26"/>
                <w:szCs w:val="26"/>
                <w:lang w:val="en-US" w:eastAsia="zh-CN"/>
              </w:rPr>
              <w:t>s</w:t>
            </w:r>
            <w:r w:rsidRPr="00F65796">
              <w:rPr>
                <w:rFonts w:ascii="Calibri" w:eastAsia="SimSun" w:hAnsi="Calibri"/>
                <w:b/>
                <w:bCs/>
                <w:sz w:val="26"/>
                <w:szCs w:val="26"/>
                <w:lang w:val="en-US" w:eastAsia="zh-CN"/>
              </w:rPr>
              <w:t>）</w:t>
            </w:r>
          </w:p>
        </w:tc>
        <w:tc>
          <w:tcPr>
            <w:tcW w:w="3120" w:type="dxa"/>
          </w:tcPr>
          <w:p w14:paraId="63F55371" w14:textId="03EB8A35" w:rsidR="00205911" w:rsidRPr="00F65796" w:rsidRDefault="001154D3" w:rsidP="001154D3">
            <w:pPr>
              <w:spacing w:before="0"/>
              <w:rPr>
                <w:rFonts w:ascii="Calibri" w:eastAsia="SimSun" w:hAnsi="Calibri"/>
              </w:rPr>
            </w:pPr>
            <w:bookmarkStart w:id="0" w:name="ditulogo"/>
            <w:bookmarkEnd w:id="0"/>
            <w:r w:rsidRPr="00F65796">
              <w:rPr>
                <w:noProof/>
                <w:lang w:val="en-US"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F65796" w14:paraId="4A479DBA" w14:textId="77777777" w:rsidTr="009C0C70">
        <w:trPr>
          <w:cantSplit/>
        </w:trPr>
        <w:tc>
          <w:tcPr>
            <w:tcW w:w="6911" w:type="dxa"/>
            <w:tcBorders>
              <w:bottom w:val="single" w:sz="12" w:space="0" w:color="auto"/>
            </w:tcBorders>
          </w:tcPr>
          <w:p w14:paraId="69815962" w14:textId="00DDF1CD" w:rsidR="00205911" w:rsidRPr="00F65796" w:rsidRDefault="00205911" w:rsidP="00205911">
            <w:pPr>
              <w:spacing w:before="0" w:after="48"/>
              <w:rPr>
                <w:rFonts w:ascii="Calibri" w:eastAsia="SimSun" w:hAnsi="Calibri"/>
                <w:b/>
                <w:smallCaps/>
                <w:szCs w:val="24"/>
                <w:lang w:eastAsia="zh-CN"/>
              </w:rPr>
            </w:pPr>
            <w:r w:rsidRPr="00F65796">
              <w:rPr>
                <w:rFonts w:ascii="Calibri" w:eastAsia="SimSun" w:hAnsi="Calibri" w:hint="eastAsia"/>
                <w:b/>
                <w:smallCaps/>
                <w:szCs w:val="24"/>
                <w:lang w:eastAsia="zh-CN"/>
              </w:rPr>
              <w:t>第</w:t>
            </w:r>
            <w:r w:rsidR="009C0C70" w:rsidRPr="00F65796">
              <w:rPr>
                <w:rFonts w:ascii="Calibri" w:eastAsia="SimSun" w:hAnsi="Calibri" w:hint="eastAsia"/>
                <w:b/>
                <w:smallCaps/>
                <w:szCs w:val="24"/>
                <w:lang w:eastAsia="zh-CN"/>
              </w:rPr>
              <w:t>二</w:t>
            </w:r>
            <w:r w:rsidRPr="00F65796">
              <w:rPr>
                <w:rFonts w:ascii="Calibri" w:eastAsia="SimSun" w:hAnsi="Calibri" w:hint="eastAsia"/>
                <w:b/>
                <w:smallCaps/>
                <w:szCs w:val="24"/>
                <w:lang w:eastAsia="zh-CN"/>
              </w:rPr>
              <w:t>次</w:t>
            </w:r>
            <w:r w:rsidRPr="00F65796">
              <w:rPr>
                <w:rFonts w:ascii="Calibri" w:eastAsia="SimSun" w:hAnsi="Calibri"/>
                <w:b/>
                <w:smallCaps/>
                <w:szCs w:val="24"/>
                <w:lang w:eastAsia="zh-CN"/>
              </w:rPr>
              <w:t>会议</w:t>
            </w:r>
            <w:r w:rsidRPr="00F65796">
              <w:rPr>
                <w:rFonts w:ascii="Calibri" w:eastAsia="SimSun" w:hAnsi="Calibri" w:hint="eastAsia"/>
                <w:b/>
                <w:smallCaps/>
                <w:szCs w:val="24"/>
                <w:lang w:eastAsia="zh-CN"/>
              </w:rPr>
              <w:t xml:space="preserve"> </w:t>
            </w:r>
            <w:r w:rsidRPr="00F65796">
              <w:rPr>
                <w:rFonts w:ascii="Calibri" w:eastAsia="SimSun" w:hAnsi="Calibri"/>
                <w:b/>
                <w:smallCaps/>
                <w:szCs w:val="24"/>
                <w:lang w:eastAsia="zh-CN"/>
              </w:rPr>
              <w:t>– 20</w:t>
            </w:r>
            <w:r w:rsidR="009C0C70" w:rsidRPr="00F65796">
              <w:rPr>
                <w:rFonts w:ascii="Calibri" w:eastAsia="SimSun" w:hAnsi="Calibri"/>
                <w:b/>
                <w:smallCaps/>
                <w:szCs w:val="24"/>
                <w:lang w:eastAsia="zh-CN"/>
              </w:rPr>
              <w:t>20</w:t>
            </w:r>
            <w:r w:rsidRPr="00F65796">
              <w:rPr>
                <w:rFonts w:ascii="Calibri" w:eastAsia="SimSun" w:hAnsi="Calibri"/>
                <w:b/>
                <w:smallCaps/>
                <w:szCs w:val="24"/>
                <w:lang w:eastAsia="zh-CN"/>
              </w:rPr>
              <w:t>年</w:t>
            </w:r>
            <w:r w:rsidR="009C0C70" w:rsidRPr="00F65796">
              <w:rPr>
                <w:rFonts w:ascii="Calibri" w:eastAsia="SimSun" w:hAnsi="Calibri" w:hint="eastAsia"/>
                <w:b/>
                <w:smallCaps/>
                <w:szCs w:val="24"/>
                <w:lang w:eastAsia="zh-CN"/>
              </w:rPr>
              <w:t>2</w:t>
            </w:r>
            <w:r w:rsidRPr="00F65796">
              <w:rPr>
                <w:rFonts w:ascii="Calibri" w:eastAsia="SimSun" w:hAnsi="Calibri"/>
                <w:b/>
                <w:smallCaps/>
                <w:szCs w:val="24"/>
                <w:lang w:eastAsia="zh-CN"/>
              </w:rPr>
              <w:t>月</w:t>
            </w:r>
            <w:r w:rsidRPr="00F65796">
              <w:rPr>
                <w:rFonts w:ascii="Calibri" w:eastAsia="SimSun" w:hAnsi="Calibri"/>
                <w:b/>
                <w:smallCaps/>
                <w:szCs w:val="24"/>
                <w:lang w:eastAsia="zh-CN"/>
              </w:rPr>
              <w:t>1</w:t>
            </w:r>
            <w:r w:rsidR="009C0C70" w:rsidRPr="00F65796">
              <w:rPr>
                <w:rFonts w:ascii="Calibri" w:eastAsia="SimSun" w:hAnsi="Calibri"/>
                <w:b/>
                <w:smallCaps/>
                <w:szCs w:val="24"/>
                <w:lang w:eastAsia="zh-CN"/>
              </w:rPr>
              <w:t>2</w:t>
            </w:r>
            <w:r w:rsidRPr="00F65796">
              <w:rPr>
                <w:rFonts w:ascii="Calibri" w:eastAsia="SimSun" w:hAnsi="Calibri"/>
                <w:b/>
                <w:smallCaps/>
                <w:szCs w:val="24"/>
                <w:lang w:eastAsia="zh-CN"/>
              </w:rPr>
              <w:t>-1</w:t>
            </w:r>
            <w:r w:rsidR="009C0C70" w:rsidRPr="00F65796">
              <w:rPr>
                <w:rFonts w:ascii="Calibri" w:eastAsia="SimSun" w:hAnsi="Calibri"/>
                <w:b/>
                <w:smallCaps/>
                <w:szCs w:val="24"/>
                <w:lang w:eastAsia="zh-CN"/>
              </w:rPr>
              <w:t>3</w:t>
            </w:r>
            <w:r w:rsidRPr="00F65796">
              <w:rPr>
                <w:rFonts w:ascii="Calibri" w:eastAsia="SimSun" w:hAnsi="Calibri"/>
                <w:b/>
                <w:smallCaps/>
                <w:szCs w:val="24"/>
                <w:lang w:eastAsia="zh-CN"/>
              </w:rPr>
              <w:t>日，日内瓦</w:t>
            </w:r>
          </w:p>
        </w:tc>
        <w:tc>
          <w:tcPr>
            <w:tcW w:w="3120" w:type="dxa"/>
            <w:tcBorders>
              <w:bottom w:val="single" w:sz="12" w:space="0" w:color="auto"/>
            </w:tcBorders>
          </w:tcPr>
          <w:p w14:paraId="224EF632" w14:textId="77777777" w:rsidR="00205911" w:rsidRPr="00F65796" w:rsidRDefault="00205911" w:rsidP="00205911">
            <w:pPr>
              <w:spacing w:before="0"/>
              <w:rPr>
                <w:rFonts w:ascii="Verdana" w:eastAsia="SimSun" w:hAnsi="Verdana"/>
                <w:szCs w:val="24"/>
                <w:lang w:eastAsia="zh-CN"/>
              </w:rPr>
            </w:pPr>
          </w:p>
        </w:tc>
      </w:tr>
      <w:tr w:rsidR="00205911" w:rsidRPr="00F65796" w14:paraId="32020FED" w14:textId="77777777" w:rsidTr="009C0C70">
        <w:trPr>
          <w:cantSplit/>
        </w:trPr>
        <w:tc>
          <w:tcPr>
            <w:tcW w:w="6911" w:type="dxa"/>
            <w:tcBorders>
              <w:top w:val="single" w:sz="12" w:space="0" w:color="auto"/>
            </w:tcBorders>
          </w:tcPr>
          <w:p w14:paraId="387ABFF0" w14:textId="77777777" w:rsidR="00205911" w:rsidRPr="00F65796" w:rsidRDefault="00205911" w:rsidP="00205911">
            <w:pPr>
              <w:spacing w:before="0" w:after="48"/>
              <w:rPr>
                <w:rFonts w:ascii="Calibri" w:eastAsia="SimSun" w:hAnsi="Calibri"/>
                <w:b/>
                <w:smallCaps/>
                <w:szCs w:val="24"/>
                <w:lang w:eastAsia="zh-CN"/>
              </w:rPr>
            </w:pPr>
          </w:p>
        </w:tc>
        <w:tc>
          <w:tcPr>
            <w:tcW w:w="3120" w:type="dxa"/>
            <w:tcBorders>
              <w:top w:val="single" w:sz="12" w:space="0" w:color="auto"/>
            </w:tcBorders>
          </w:tcPr>
          <w:p w14:paraId="58222C15" w14:textId="77777777" w:rsidR="00205911" w:rsidRPr="00F65796" w:rsidRDefault="00205911" w:rsidP="00205911">
            <w:pPr>
              <w:spacing w:before="0"/>
              <w:rPr>
                <w:rFonts w:ascii="Verdana" w:eastAsia="SimSun" w:hAnsi="Verdana"/>
                <w:szCs w:val="24"/>
                <w:lang w:eastAsia="zh-CN"/>
              </w:rPr>
            </w:pPr>
          </w:p>
        </w:tc>
      </w:tr>
      <w:tr w:rsidR="00205911" w:rsidRPr="00F65796" w14:paraId="44F66C4D" w14:textId="77777777" w:rsidTr="009C0C70">
        <w:trPr>
          <w:cantSplit/>
          <w:trHeight w:val="23"/>
        </w:trPr>
        <w:tc>
          <w:tcPr>
            <w:tcW w:w="6911" w:type="dxa"/>
            <w:vMerge w:val="restart"/>
          </w:tcPr>
          <w:p w14:paraId="1429B8F6" w14:textId="77777777" w:rsidR="00205911" w:rsidRPr="00F65796" w:rsidRDefault="00205911" w:rsidP="00205911">
            <w:pPr>
              <w:tabs>
                <w:tab w:val="left" w:pos="851"/>
              </w:tabs>
              <w:rPr>
                <w:rFonts w:ascii="Calibri" w:eastAsia="SimSun" w:hAnsi="Calibri"/>
                <w:b/>
                <w:szCs w:val="24"/>
                <w:lang w:eastAsia="zh-CN"/>
              </w:rPr>
            </w:pPr>
            <w:bookmarkStart w:id="1" w:name="dmeeting" w:colFirst="0" w:colLast="0"/>
          </w:p>
        </w:tc>
        <w:tc>
          <w:tcPr>
            <w:tcW w:w="3120" w:type="dxa"/>
          </w:tcPr>
          <w:p w14:paraId="1FA9823F" w14:textId="24840432" w:rsidR="00205911" w:rsidRPr="00F65796" w:rsidRDefault="00205911" w:rsidP="00486526">
            <w:pPr>
              <w:tabs>
                <w:tab w:val="left" w:pos="851"/>
              </w:tabs>
              <w:spacing w:before="0"/>
              <w:rPr>
                <w:rFonts w:ascii="Calibri" w:hAnsi="Calibri"/>
                <w:b/>
                <w:bCs/>
                <w:lang w:eastAsia="zh-CN"/>
              </w:rPr>
            </w:pPr>
            <w:r w:rsidRPr="00F65796">
              <w:rPr>
                <w:rFonts w:ascii="Calibri" w:eastAsia="SimSun" w:hAnsi="Calibri" w:hint="eastAsia"/>
                <w:b/>
                <w:bCs/>
                <w:szCs w:val="24"/>
                <w:lang w:val="fr-CH" w:eastAsia="zh-CN"/>
              </w:rPr>
              <w:t>文件</w:t>
            </w:r>
            <w:r w:rsidR="00E1694D" w:rsidRPr="00F65796">
              <w:rPr>
                <w:rFonts w:ascii="Calibri" w:eastAsia="SimSun" w:hAnsi="Calibri" w:hint="eastAsia"/>
                <w:b/>
                <w:bCs/>
                <w:szCs w:val="24"/>
                <w:lang w:eastAsia="zh-CN"/>
              </w:rPr>
              <w:t xml:space="preserve"> </w:t>
            </w:r>
            <w:r w:rsidR="00FD687B" w:rsidRPr="00F65796">
              <w:rPr>
                <w:rFonts w:ascii="Calibri" w:eastAsia="Calibri" w:hAnsi="Calibri" w:cs="Calibri"/>
                <w:b/>
                <w:bCs/>
                <w:color w:val="000000"/>
                <w:szCs w:val="24"/>
                <w:lang w:val="en-US" w:eastAsia="zh-CN"/>
              </w:rPr>
              <w:t>EG-ITRs-</w:t>
            </w:r>
            <w:r w:rsidR="009C0C70" w:rsidRPr="00F65796">
              <w:rPr>
                <w:rFonts w:ascii="Calibri" w:eastAsia="Calibri" w:hAnsi="Calibri" w:cs="Calibri"/>
                <w:b/>
                <w:bCs/>
                <w:color w:val="000000"/>
                <w:szCs w:val="24"/>
                <w:lang w:val="en-US" w:eastAsia="zh-CN"/>
              </w:rPr>
              <w:t>2</w:t>
            </w:r>
            <w:r w:rsidR="00F710A6" w:rsidRPr="00F65796">
              <w:rPr>
                <w:rFonts w:asciiTheme="minorEastAsia" w:hAnsiTheme="minorEastAsia" w:cs="Calibri" w:hint="eastAsia"/>
                <w:b/>
                <w:bCs/>
                <w:color w:val="000000"/>
                <w:szCs w:val="24"/>
                <w:lang w:val="en-US" w:eastAsia="zh-CN"/>
              </w:rPr>
              <w:t>/</w:t>
            </w:r>
            <w:r w:rsidR="003C2174" w:rsidRPr="00F65796">
              <w:rPr>
                <w:rFonts w:ascii="Calibri" w:eastAsia="Calibri" w:hAnsi="Calibri" w:cs="Calibri"/>
                <w:b/>
                <w:bCs/>
                <w:color w:val="000000"/>
                <w:szCs w:val="24"/>
                <w:lang w:val="en-US" w:eastAsia="zh-CN"/>
              </w:rPr>
              <w:t>12</w:t>
            </w:r>
            <w:r w:rsidR="00FD687B" w:rsidRPr="00F65796">
              <w:rPr>
                <w:rFonts w:ascii="Calibri" w:eastAsia="Calibri" w:hAnsi="Calibri" w:cs="Calibri"/>
                <w:b/>
                <w:bCs/>
                <w:color w:val="000000"/>
                <w:szCs w:val="24"/>
                <w:lang w:val="en-US" w:eastAsia="zh-CN"/>
              </w:rPr>
              <w:t>-C</w:t>
            </w:r>
          </w:p>
        </w:tc>
      </w:tr>
      <w:bookmarkEnd w:id="1"/>
      <w:tr w:rsidR="00205911" w:rsidRPr="00F65796" w14:paraId="30CF0122" w14:textId="77777777" w:rsidTr="009C0C70">
        <w:trPr>
          <w:cantSplit/>
          <w:trHeight w:val="23"/>
        </w:trPr>
        <w:tc>
          <w:tcPr>
            <w:tcW w:w="6911" w:type="dxa"/>
            <w:vMerge/>
          </w:tcPr>
          <w:p w14:paraId="3CA58F67" w14:textId="77777777" w:rsidR="00205911" w:rsidRPr="00F65796" w:rsidRDefault="00205911" w:rsidP="00205911">
            <w:pPr>
              <w:tabs>
                <w:tab w:val="left" w:pos="851"/>
              </w:tabs>
              <w:rPr>
                <w:rFonts w:ascii="Calibri" w:eastAsia="SimSun" w:hAnsi="Calibri"/>
                <w:b/>
                <w:lang w:eastAsia="zh-CN"/>
              </w:rPr>
            </w:pPr>
          </w:p>
        </w:tc>
        <w:tc>
          <w:tcPr>
            <w:tcW w:w="3120" w:type="dxa"/>
          </w:tcPr>
          <w:p w14:paraId="367B3C8F" w14:textId="73B021C9" w:rsidR="00205911" w:rsidRPr="00F65796" w:rsidRDefault="00205911" w:rsidP="001F5636">
            <w:pPr>
              <w:tabs>
                <w:tab w:val="left" w:pos="993"/>
              </w:tabs>
              <w:spacing w:before="0"/>
              <w:rPr>
                <w:rFonts w:ascii="Calibri" w:eastAsia="SimSun" w:hAnsi="Calibri"/>
                <w:b/>
                <w:bCs/>
                <w:szCs w:val="24"/>
                <w:lang w:eastAsia="zh-CN"/>
              </w:rPr>
            </w:pPr>
            <w:r w:rsidRPr="00F65796">
              <w:rPr>
                <w:rFonts w:ascii="Calibri" w:eastAsia="SimSun" w:hAnsi="Calibri"/>
                <w:b/>
                <w:bCs/>
                <w:szCs w:val="24"/>
                <w:lang w:eastAsia="zh-CN"/>
              </w:rPr>
              <w:t>20</w:t>
            </w:r>
            <w:r w:rsidR="000A1E67" w:rsidRPr="00F65796">
              <w:rPr>
                <w:rFonts w:ascii="Calibri" w:eastAsia="SimSun" w:hAnsi="Calibri"/>
                <w:b/>
                <w:bCs/>
                <w:szCs w:val="24"/>
                <w:lang w:eastAsia="zh-CN"/>
              </w:rPr>
              <w:t>20</w:t>
            </w:r>
            <w:r w:rsidRPr="00F65796">
              <w:rPr>
                <w:rFonts w:ascii="Calibri" w:eastAsia="SimSun" w:hAnsi="Calibri" w:hint="eastAsia"/>
                <w:b/>
                <w:bCs/>
                <w:szCs w:val="24"/>
                <w:lang w:eastAsia="zh-CN"/>
              </w:rPr>
              <w:t>年</w:t>
            </w:r>
            <w:r w:rsidR="003C2174" w:rsidRPr="00F65796">
              <w:rPr>
                <w:rFonts w:ascii="Calibri" w:eastAsia="SimSun" w:hAnsi="Calibri"/>
                <w:b/>
                <w:bCs/>
                <w:szCs w:val="24"/>
                <w:lang w:eastAsia="zh-CN"/>
              </w:rPr>
              <w:t>2</w:t>
            </w:r>
            <w:r w:rsidRPr="00F65796">
              <w:rPr>
                <w:rFonts w:ascii="Calibri" w:eastAsia="SimSun" w:hAnsi="Calibri" w:hint="eastAsia"/>
                <w:b/>
                <w:bCs/>
                <w:szCs w:val="24"/>
                <w:lang w:eastAsia="zh-CN"/>
              </w:rPr>
              <w:t>月</w:t>
            </w:r>
            <w:r w:rsidR="003C2174" w:rsidRPr="00F65796">
              <w:rPr>
                <w:rFonts w:ascii="Calibri" w:eastAsia="SimSun" w:hAnsi="Calibri"/>
                <w:b/>
                <w:bCs/>
                <w:szCs w:val="24"/>
                <w:lang w:eastAsia="zh-CN"/>
              </w:rPr>
              <w:t>8</w:t>
            </w:r>
            <w:r w:rsidRPr="00F65796">
              <w:rPr>
                <w:rFonts w:ascii="Calibri" w:eastAsia="SimSun" w:hAnsi="Calibri" w:hint="eastAsia"/>
                <w:b/>
                <w:bCs/>
                <w:szCs w:val="24"/>
                <w:lang w:eastAsia="zh-CN"/>
              </w:rPr>
              <w:t>日</w:t>
            </w:r>
          </w:p>
        </w:tc>
      </w:tr>
      <w:tr w:rsidR="00205911" w:rsidRPr="00F65796" w14:paraId="23F26C0F" w14:textId="77777777" w:rsidTr="009C0C70">
        <w:trPr>
          <w:cantSplit/>
          <w:trHeight w:val="23"/>
        </w:trPr>
        <w:tc>
          <w:tcPr>
            <w:tcW w:w="6911" w:type="dxa"/>
            <w:vMerge/>
          </w:tcPr>
          <w:p w14:paraId="106B3E43" w14:textId="77777777" w:rsidR="00205911" w:rsidRPr="00F65796" w:rsidRDefault="00205911" w:rsidP="00205911">
            <w:pPr>
              <w:tabs>
                <w:tab w:val="left" w:pos="851"/>
              </w:tabs>
              <w:rPr>
                <w:rFonts w:ascii="Calibri" w:eastAsia="SimSun" w:hAnsi="Calibri"/>
                <w:b/>
                <w:lang w:eastAsia="zh-CN"/>
              </w:rPr>
            </w:pPr>
          </w:p>
        </w:tc>
        <w:tc>
          <w:tcPr>
            <w:tcW w:w="3120" w:type="dxa"/>
          </w:tcPr>
          <w:p w14:paraId="7D4039B2" w14:textId="77777777" w:rsidR="00205911" w:rsidRPr="00F65796" w:rsidRDefault="00205911" w:rsidP="00205911">
            <w:pPr>
              <w:tabs>
                <w:tab w:val="left" w:pos="993"/>
              </w:tabs>
              <w:spacing w:before="0"/>
              <w:rPr>
                <w:rFonts w:ascii="SimSun" w:eastAsia="SimSun" w:hAnsi="SimSun"/>
                <w:b/>
                <w:bCs/>
                <w:szCs w:val="24"/>
                <w:lang w:eastAsia="zh-CN"/>
              </w:rPr>
            </w:pPr>
            <w:r w:rsidRPr="00F65796">
              <w:rPr>
                <w:rFonts w:ascii="Calibri" w:eastAsia="SimSun" w:hAnsi="Calibri" w:hint="eastAsia"/>
                <w:b/>
                <w:bCs/>
                <w:szCs w:val="24"/>
                <w:lang w:eastAsia="zh-CN"/>
              </w:rPr>
              <w:t>原文：英文</w:t>
            </w:r>
          </w:p>
        </w:tc>
      </w:tr>
    </w:tbl>
    <w:tbl>
      <w:tblPr>
        <w:tblW w:w="10065" w:type="dxa"/>
        <w:tblLayout w:type="fixed"/>
        <w:tblLook w:val="0000" w:firstRow="0" w:lastRow="0" w:firstColumn="0" w:lastColumn="0" w:noHBand="0" w:noVBand="0"/>
      </w:tblPr>
      <w:tblGrid>
        <w:gridCol w:w="10065"/>
      </w:tblGrid>
      <w:tr w:rsidR="000A1E67" w:rsidRPr="00F65796" w14:paraId="3A4AEDBF" w14:textId="77777777" w:rsidTr="000A1E67">
        <w:trPr>
          <w:cantSplit/>
          <w:trHeight w:val="138"/>
        </w:trPr>
        <w:tc>
          <w:tcPr>
            <w:tcW w:w="10065" w:type="dxa"/>
          </w:tcPr>
          <w:p w14:paraId="79A7ED63" w14:textId="70CF0B71" w:rsidR="000A1E67" w:rsidRPr="00F65796" w:rsidRDefault="003C2174" w:rsidP="00346179">
            <w:pPr>
              <w:pStyle w:val="Source"/>
              <w:rPr>
                <w:rFonts w:cstheme="minorHAnsi"/>
                <w:lang w:eastAsia="zh-CN"/>
              </w:rPr>
            </w:pPr>
            <w:r w:rsidRPr="00F65796">
              <w:rPr>
                <w:rFonts w:cstheme="minorHAnsi" w:hint="eastAsia"/>
                <w:lang w:eastAsia="zh-CN"/>
              </w:rPr>
              <w:t>墨西哥</w:t>
            </w:r>
          </w:p>
        </w:tc>
      </w:tr>
      <w:tr w:rsidR="000A1E67" w:rsidRPr="00F65796" w14:paraId="061838B8" w14:textId="77777777" w:rsidTr="000A1E67">
        <w:trPr>
          <w:cantSplit/>
          <w:trHeight w:val="138"/>
        </w:trPr>
        <w:tc>
          <w:tcPr>
            <w:tcW w:w="10065" w:type="dxa"/>
          </w:tcPr>
          <w:p w14:paraId="678F78BF" w14:textId="6D28F3C8" w:rsidR="000A1E67" w:rsidRPr="00F65796" w:rsidRDefault="00B27DC0" w:rsidP="00E042B3">
            <w:pPr>
              <w:pStyle w:val="Title1"/>
              <w:rPr>
                <w:rFonts w:cstheme="minorHAnsi"/>
                <w:b/>
                <w:lang w:eastAsia="zh-CN"/>
              </w:rPr>
            </w:pPr>
            <w:r w:rsidRPr="00F65796">
              <w:rPr>
                <w:rFonts w:cstheme="minorHAnsi"/>
                <w:b/>
                <w:lang w:eastAsia="zh-CN"/>
              </w:rPr>
              <w:t>对</w:t>
            </w:r>
            <w:r w:rsidR="00E042B3" w:rsidRPr="00F65796">
              <w:rPr>
                <w:rFonts w:cstheme="minorHAnsi"/>
                <w:b/>
                <w:lang w:eastAsia="zh-CN"/>
              </w:rPr>
              <w:t>美洲国家电信委员会</w:t>
            </w:r>
            <w:r w:rsidR="00E042B3" w:rsidRPr="00F65796">
              <w:rPr>
                <w:rFonts w:cstheme="minorHAnsi" w:hint="eastAsia"/>
                <w:b/>
                <w:lang w:eastAsia="zh-CN"/>
              </w:rPr>
              <w:t>（</w:t>
            </w:r>
            <w:r w:rsidRPr="00F65796">
              <w:rPr>
                <w:rFonts w:cstheme="minorHAnsi"/>
                <w:b/>
                <w:lang w:eastAsia="zh-CN"/>
              </w:rPr>
              <w:t>CITEL</w:t>
            </w:r>
            <w:r w:rsidR="00E042B3" w:rsidRPr="00F65796">
              <w:rPr>
                <w:rFonts w:cstheme="minorHAnsi" w:hint="eastAsia"/>
                <w:b/>
                <w:lang w:eastAsia="zh-CN"/>
              </w:rPr>
              <w:t>）</w:t>
            </w:r>
            <w:r w:rsidR="00E042B3" w:rsidRPr="00F65796">
              <w:rPr>
                <w:rFonts w:cstheme="minorHAnsi"/>
                <w:b/>
                <w:lang w:eastAsia="zh-CN"/>
              </w:rPr>
              <w:t>问卷调查表</w:t>
            </w:r>
            <w:r w:rsidRPr="00F65796">
              <w:rPr>
                <w:rFonts w:cstheme="minorHAnsi"/>
                <w:b/>
                <w:lang w:eastAsia="zh-CN"/>
              </w:rPr>
              <w:t>的</w:t>
            </w:r>
            <w:r w:rsidR="00D31901" w:rsidRPr="00F65796">
              <w:rPr>
                <w:rFonts w:cstheme="minorHAnsi"/>
                <w:b/>
                <w:lang w:eastAsia="zh-CN"/>
              </w:rPr>
              <w:t>答复</w:t>
            </w:r>
          </w:p>
        </w:tc>
      </w:tr>
    </w:tbl>
    <w:p w14:paraId="75E714A3" w14:textId="5AA8BCF9" w:rsidR="003C2174" w:rsidRPr="00F65796" w:rsidRDefault="00B62288" w:rsidP="003C2174">
      <w:pPr>
        <w:pStyle w:val="Headingb"/>
        <w:rPr>
          <w:lang w:val="en-US" w:eastAsia="zh-CN"/>
        </w:rPr>
      </w:pPr>
      <w:r w:rsidRPr="00F65796">
        <w:rPr>
          <w:lang w:val="en-US" w:eastAsia="zh-CN"/>
        </w:rPr>
        <w:t>概要：</w:t>
      </w:r>
    </w:p>
    <w:p w14:paraId="656A129D" w14:textId="2A1472AC" w:rsidR="00B62288" w:rsidRPr="00F65796" w:rsidRDefault="00B62288" w:rsidP="00F65796">
      <w:pPr>
        <w:ind w:firstLineChars="200" w:firstLine="480"/>
        <w:rPr>
          <w:szCs w:val="24"/>
          <w:lang w:val="en-US" w:eastAsia="zh-CN"/>
        </w:rPr>
      </w:pPr>
      <w:r w:rsidRPr="00F65796">
        <w:rPr>
          <w:rFonts w:hint="eastAsia"/>
          <w:szCs w:val="24"/>
          <w:lang w:val="en-US" w:eastAsia="zh-CN"/>
        </w:rPr>
        <w:t>在</w:t>
      </w:r>
      <w:r w:rsidRPr="00F65796">
        <w:rPr>
          <w:rFonts w:hint="eastAsia"/>
          <w:szCs w:val="24"/>
          <w:lang w:val="en-US" w:eastAsia="zh-CN"/>
        </w:rPr>
        <w:t>2019</w:t>
      </w:r>
      <w:r w:rsidRPr="00F65796">
        <w:rPr>
          <w:rFonts w:hint="eastAsia"/>
          <w:szCs w:val="24"/>
          <w:lang w:val="en-US" w:eastAsia="zh-CN"/>
        </w:rPr>
        <w:t>年</w:t>
      </w:r>
      <w:r w:rsidRPr="00F65796">
        <w:rPr>
          <w:rFonts w:hint="eastAsia"/>
          <w:szCs w:val="24"/>
          <w:lang w:val="en-US" w:eastAsia="zh-CN"/>
        </w:rPr>
        <w:t>9</w:t>
      </w:r>
      <w:r w:rsidRPr="00F65796">
        <w:rPr>
          <w:rFonts w:hint="eastAsia"/>
          <w:szCs w:val="24"/>
          <w:lang w:val="en-US" w:eastAsia="zh-CN"/>
        </w:rPr>
        <w:t>月举行的</w:t>
      </w:r>
      <w:r w:rsidR="003C6B78" w:rsidRPr="00F65796">
        <w:rPr>
          <w:szCs w:val="24"/>
          <w:lang w:val="en-US" w:eastAsia="zh-CN"/>
        </w:rPr>
        <w:t>EG-ITRs</w:t>
      </w:r>
      <w:r w:rsidRPr="00F65796">
        <w:rPr>
          <w:rFonts w:hint="eastAsia"/>
          <w:szCs w:val="24"/>
          <w:lang w:val="en-US" w:eastAsia="zh-CN"/>
        </w:rPr>
        <w:t>会议上，巴哈马联邦、巴西、加拿大、墨西哥、巴拉圭和美利坚合众国</w:t>
      </w:r>
      <w:r w:rsidR="00D31901" w:rsidRPr="00F65796">
        <w:rPr>
          <w:rFonts w:hint="eastAsia"/>
          <w:szCs w:val="24"/>
          <w:lang w:val="en-US" w:eastAsia="zh-CN"/>
        </w:rPr>
        <w:t>主管部门</w:t>
      </w:r>
      <w:r w:rsidRPr="00F65796">
        <w:rPr>
          <w:rFonts w:hint="eastAsia"/>
          <w:szCs w:val="24"/>
          <w:lang w:val="en-US" w:eastAsia="zh-CN"/>
        </w:rPr>
        <w:t>同意将以下问题分发给</w:t>
      </w:r>
      <w:r w:rsidRPr="00F65796">
        <w:rPr>
          <w:rFonts w:hint="eastAsia"/>
          <w:szCs w:val="24"/>
          <w:lang w:val="en-US" w:eastAsia="zh-CN"/>
        </w:rPr>
        <w:t>CITEL</w:t>
      </w:r>
      <w:r w:rsidR="00D31901" w:rsidRPr="00F65796">
        <w:rPr>
          <w:rFonts w:hint="eastAsia"/>
          <w:szCs w:val="24"/>
          <w:lang w:val="en-US" w:eastAsia="zh-CN"/>
        </w:rPr>
        <w:t>所有</w:t>
      </w:r>
      <w:r w:rsidR="003C6B78" w:rsidRPr="00F65796">
        <w:rPr>
          <w:rFonts w:hint="eastAsia"/>
          <w:szCs w:val="24"/>
          <w:lang w:val="en-US" w:eastAsia="zh-CN"/>
        </w:rPr>
        <w:t>主管部门</w:t>
      </w:r>
      <w:r w:rsidR="00D31901" w:rsidRPr="00F65796">
        <w:rPr>
          <w:rFonts w:hint="eastAsia"/>
          <w:szCs w:val="24"/>
          <w:lang w:val="en-US" w:eastAsia="zh-CN"/>
        </w:rPr>
        <w:t>和准成员。</w:t>
      </w:r>
    </w:p>
    <w:p w14:paraId="1F15FC09" w14:textId="62621016" w:rsidR="003C2174" w:rsidRPr="00F65796" w:rsidRDefault="00B62288" w:rsidP="00F65796">
      <w:pPr>
        <w:ind w:firstLineChars="200" w:firstLine="480"/>
        <w:jc w:val="both"/>
        <w:rPr>
          <w:szCs w:val="24"/>
          <w:lang w:val="en-US" w:eastAsia="zh-CN"/>
        </w:rPr>
      </w:pPr>
      <w:r w:rsidRPr="00F65796">
        <w:rPr>
          <w:rFonts w:hint="eastAsia"/>
          <w:szCs w:val="24"/>
          <w:lang w:val="en-US" w:eastAsia="zh-CN"/>
        </w:rPr>
        <w:t>墨西哥高兴地对上述问题答复如下</w:t>
      </w:r>
      <w:r w:rsidR="003C6B78" w:rsidRPr="00F65796">
        <w:rPr>
          <w:rFonts w:hint="eastAsia"/>
          <w:szCs w:val="24"/>
          <w:lang w:val="en-US" w:eastAsia="zh-CN"/>
        </w:rPr>
        <w:t>：</w:t>
      </w:r>
    </w:p>
    <w:p w14:paraId="2972A928" w14:textId="21A5F521" w:rsidR="003C2174" w:rsidRPr="00F65796" w:rsidRDefault="005D0BBF" w:rsidP="003C2174">
      <w:pPr>
        <w:pStyle w:val="Headingb"/>
        <w:rPr>
          <w:lang w:val="en-US" w:eastAsia="zh-CN"/>
        </w:rPr>
      </w:pPr>
      <w:r w:rsidRPr="00F65796">
        <w:rPr>
          <w:lang w:val="en-US" w:eastAsia="zh-CN"/>
        </w:rPr>
        <w:t>问题</w:t>
      </w:r>
      <w:r w:rsidRPr="00F65796">
        <w:rPr>
          <w:lang w:val="en-US" w:eastAsia="zh-CN"/>
        </w:rPr>
        <w:t>1</w:t>
      </w:r>
      <w:r w:rsidRPr="00F65796">
        <w:rPr>
          <w:lang w:val="en-US" w:eastAsia="zh-CN"/>
        </w:rPr>
        <w:t>：</w:t>
      </w:r>
      <w:r w:rsidR="003C2174" w:rsidRPr="00F65796">
        <w:rPr>
          <w:rFonts w:hint="eastAsia"/>
          <w:lang w:eastAsia="zh-CN"/>
        </w:rPr>
        <w:t>贵方使用《国际电信规则》吗？如使用，如何使用？如不使用，为何不使用？</w:t>
      </w:r>
    </w:p>
    <w:p w14:paraId="2ED02CBD" w14:textId="58225968" w:rsidR="003C2174" w:rsidRPr="00F65796" w:rsidRDefault="00B62288" w:rsidP="00F65796">
      <w:pPr>
        <w:ind w:firstLineChars="200" w:firstLine="480"/>
        <w:jc w:val="both"/>
        <w:rPr>
          <w:lang w:val="en-US" w:eastAsia="zh-CN"/>
        </w:rPr>
      </w:pPr>
      <w:r w:rsidRPr="00F65796">
        <w:rPr>
          <w:rFonts w:hint="eastAsia"/>
          <w:lang w:val="en-US" w:eastAsia="zh-CN"/>
        </w:rPr>
        <w:t>根据《墨西哥合众国政治宪法》，在墨西哥，电信被视为“具有普遍利益的公共服务，因此国家</w:t>
      </w:r>
      <w:r w:rsidR="00341CCD" w:rsidRPr="00F65796">
        <w:rPr>
          <w:rFonts w:hint="eastAsia"/>
          <w:lang w:val="en-US" w:eastAsia="zh-CN"/>
        </w:rPr>
        <w:t>须</w:t>
      </w:r>
      <w:r w:rsidRPr="00F65796">
        <w:rPr>
          <w:rFonts w:hint="eastAsia"/>
          <w:lang w:val="en-US" w:eastAsia="zh-CN"/>
        </w:rPr>
        <w:t>保证在胜任、多元化、质量、覆盖面、互</w:t>
      </w:r>
      <w:r w:rsidR="00341CCD" w:rsidRPr="00F65796">
        <w:rPr>
          <w:rFonts w:hint="eastAsia"/>
          <w:lang w:val="en-US" w:eastAsia="zh-CN"/>
        </w:rPr>
        <w:t>连</w:t>
      </w:r>
      <w:r w:rsidRPr="00F65796">
        <w:rPr>
          <w:rFonts w:hint="eastAsia"/>
          <w:lang w:val="en-US" w:eastAsia="zh-CN"/>
        </w:rPr>
        <w:t>、融合、连续性、自由接入和不受任意</w:t>
      </w:r>
      <w:r w:rsidR="00C4513C" w:rsidRPr="00F65796">
        <w:rPr>
          <w:rFonts w:hint="eastAsia"/>
          <w:lang w:val="en-US" w:eastAsia="zh-CN"/>
        </w:rPr>
        <w:t>干扰</w:t>
      </w:r>
      <w:r w:rsidRPr="00F65796">
        <w:rPr>
          <w:rFonts w:hint="eastAsia"/>
          <w:lang w:val="en-US" w:eastAsia="zh-CN"/>
        </w:rPr>
        <w:t>的条件下提供这些服务”。</w:t>
      </w:r>
      <w:r w:rsidR="00C4513C" w:rsidRPr="00F65796">
        <w:rPr>
          <w:rFonts w:hint="eastAsia"/>
          <w:lang w:val="en-US" w:eastAsia="zh-CN"/>
        </w:rPr>
        <w:t>有鉴于此</w:t>
      </w:r>
      <w:r w:rsidRPr="00F65796">
        <w:rPr>
          <w:rFonts w:hint="eastAsia"/>
          <w:lang w:val="en-US" w:eastAsia="zh-CN"/>
        </w:rPr>
        <w:t>，根据执行条款，墨西哥认为</w:t>
      </w:r>
      <w:r w:rsidRPr="00F65796">
        <w:rPr>
          <w:rFonts w:hint="eastAsia"/>
          <w:lang w:val="en-US" w:eastAsia="zh-CN"/>
        </w:rPr>
        <w:t>ITR</w:t>
      </w:r>
      <w:r w:rsidRPr="00F65796">
        <w:rPr>
          <w:rFonts w:hint="eastAsia"/>
          <w:lang w:val="en-US" w:eastAsia="zh-CN"/>
        </w:rPr>
        <w:t>符合这些原则，这就是为什么</w:t>
      </w:r>
      <w:r w:rsidRPr="00F65796">
        <w:rPr>
          <w:rFonts w:hint="eastAsia"/>
          <w:lang w:val="en-US" w:eastAsia="zh-CN"/>
        </w:rPr>
        <w:t>ITR</w:t>
      </w:r>
      <w:r w:rsidR="00341CCD" w:rsidRPr="00F65796">
        <w:rPr>
          <w:rFonts w:hint="eastAsia"/>
          <w:lang w:val="en-US" w:eastAsia="zh-CN"/>
        </w:rPr>
        <w:t>仍被</w:t>
      </w:r>
      <w:r w:rsidR="00C4513C" w:rsidRPr="00F65796">
        <w:rPr>
          <w:rFonts w:hint="eastAsia"/>
          <w:lang w:val="en-US" w:eastAsia="zh-CN"/>
        </w:rPr>
        <w:t>用来作为</w:t>
      </w:r>
      <w:r w:rsidR="00341CCD" w:rsidRPr="00F65796">
        <w:rPr>
          <w:rFonts w:hint="eastAsia"/>
          <w:lang w:val="en-US" w:eastAsia="zh-CN"/>
        </w:rPr>
        <w:t>一般行政规定和规则的</w:t>
      </w:r>
      <w:r w:rsidR="00C4513C" w:rsidRPr="00F65796">
        <w:rPr>
          <w:rFonts w:hint="eastAsia"/>
          <w:lang w:val="en-US" w:eastAsia="zh-CN"/>
        </w:rPr>
        <w:t>参考</w:t>
      </w:r>
      <w:r w:rsidR="00341CCD" w:rsidRPr="00F65796">
        <w:rPr>
          <w:rFonts w:hint="eastAsia"/>
          <w:lang w:val="en-US" w:eastAsia="zh-CN"/>
        </w:rPr>
        <w:t>。</w:t>
      </w:r>
    </w:p>
    <w:p w14:paraId="035113E6" w14:textId="53878D5F" w:rsidR="003C2174" w:rsidRPr="00F65796" w:rsidRDefault="00AF2EF7" w:rsidP="003C2174">
      <w:pPr>
        <w:pStyle w:val="Headingb"/>
        <w:rPr>
          <w:rFonts w:ascii="Calibri" w:hAnsi="Calibri" w:cs="Calibri"/>
          <w:color w:val="800000"/>
          <w:lang w:val="en-US" w:eastAsia="zh-CN"/>
        </w:rPr>
      </w:pPr>
      <w:r w:rsidRPr="00F65796">
        <w:rPr>
          <w:lang w:val="en-US" w:eastAsia="zh-CN"/>
        </w:rPr>
        <w:t>问题</w:t>
      </w:r>
      <w:r w:rsidRPr="00F65796">
        <w:rPr>
          <w:lang w:val="en-US" w:eastAsia="zh-CN"/>
        </w:rPr>
        <w:t>2</w:t>
      </w:r>
      <w:r w:rsidRPr="00F65796">
        <w:rPr>
          <w:lang w:val="en-US" w:eastAsia="zh-CN"/>
        </w:rPr>
        <w:t>：</w:t>
      </w:r>
      <w:r w:rsidR="003C2174" w:rsidRPr="00F65796">
        <w:rPr>
          <w:rFonts w:hint="eastAsia"/>
          <w:lang w:eastAsia="zh-CN"/>
        </w:rPr>
        <w:t>在当前国际电信</w:t>
      </w:r>
      <w:r w:rsidR="003C2174" w:rsidRPr="00F65796">
        <w:rPr>
          <w:lang w:eastAsia="zh-CN"/>
        </w:rPr>
        <w:t>/ICT</w:t>
      </w:r>
      <w:r w:rsidR="003C2174" w:rsidRPr="00F65796">
        <w:rPr>
          <w:rFonts w:hint="eastAsia"/>
          <w:lang w:eastAsia="zh-CN"/>
        </w:rPr>
        <w:t>环境中，</w:t>
      </w:r>
      <w:r w:rsidR="003C2174" w:rsidRPr="00F65796">
        <w:rPr>
          <w:lang w:eastAsia="zh-CN"/>
        </w:rPr>
        <w:t>2012</w:t>
      </w:r>
      <w:r w:rsidR="003C2174" w:rsidRPr="00F65796">
        <w:rPr>
          <w:rFonts w:hint="eastAsia"/>
          <w:lang w:eastAsia="zh-CN"/>
        </w:rPr>
        <w:t>年版《国际电信规则》在促进国际电信</w:t>
      </w:r>
      <w:r w:rsidR="003C2174" w:rsidRPr="00F65796">
        <w:rPr>
          <w:lang w:eastAsia="zh-CN"/>
        </w:rPr>
        <w:t>/ICT</w:t>
      </w:r>
      <w:r w:rsidR="003C2174" w:rsidRPr="00F65796">
        <w:rPr>
          <w:rFonts w:hint="eastAsia"/>
          <w:lang w:eastAsia="zh-CN"/>
        </w:rPr>
        <w:t>业务和网络的提供和发展中是否适用？请给出示例。</w:t>
      </w:r>
    </w:p>
    <w:p w14:paraId="58750BBC" w14:textId="07E428E2" w:rsidR="003C2174" w:rsidRPr="00F65796" w:rsidRDefault="003C2174" w:rsidP="00F65796">
      <w:pPr>
        <w:ind w:firstLineChars="200" w:firstLine="480"/>
        <w:rPr>
          <w:lang w:eastAsia="zh-CN"/>
        </w:rPr>
      </w:pPr>
      <w:r w:rsidRPr="00F65796">
        <w:rPr>
          <w:rFonts w:hint="eastAsia"/>
          <w:lang w:eastAsia="zh-CN"/>
        </w:rPr>
        <w:t>墨西哥认为，</w:t>
      </w:r>
      <w:r w:rsidR="00586F22" w:rsidRPr="00F65796">
        <w:rPr>
          <w:rFonts w:hint="eastAsia"/>
          <w:lang w:eastAsia="zh-CN"/>
        </w:rPr>
        <w:t>2012</w:t>
      </w:r>
      <w:r w:rsidR="00586F22" w:rsidRPr="00F65796">
        <w:rPr>
          <w:rFonts w:hint="eastAsia"/>
          <w:lang w:eastAsia="zh-CN"/>
        </w:rPr>
        <w:t>年版</w:t>
      </w:r>
      <w:r w:rsidRPr="00F65796">
        <w:rPr>
          <w:rFonts w:hint="eastAsia"/>
          <w:lang w:eastAsia="zh-CN"/>
        </w:rPr>
        <w:t>《国际电信规则》中的有些内容在国际电信行业环境中依然有效，因为这些内容能够促进国际电信监管的</w:t>
      </w:r>
      <w:r w:rsidR="00586F22" w:rsidRPr="00F65796">
        <w:rPr>
          <w:rFonts w:hint="eastAsia"/>
          <w:lang w:eastAsia="zh-CN"/>
        </w:rPr>
        <w:t>更广泛的</w:t>
      </w:r>
      <w:r w:rsidRPr="00F65796">
        <w:rPr>
          <w:rFonts w:hint="eastAsia"/>
          <w:lang w:eastAsia="zh-CN"/>
        </w:rPr>
        <w:t>连贯一致性并为之带来确定性；</w:t>
      </w:r>
    </w:p>
    <w:p w14:paraId="1D501972" w14:textId="4F02C57F" w:rsidR="003C2174" w:rsidRPr="00F65796" w:rsidRDefault="004946C6" w:rsidP="00F65796">
      <w:pPr>
        <w:ind w:firstLineChars="200" w:firstLine="480"/>
        <w:jc w:val="both"/>
        <w:rPr>
          <w:lang w:val="en-US" w:eastAsia="zh-CN"/>
        </w:rPr>
      </w:pPr>
      <w:r w:rsidRPr="00F65796">
        <w:rPr>
          <w:rFonts w:hint="eastAsia"/>
          <w:lang w:val="en-US" w:eastAsia="zh-CN"/>
        </w:rPr>
        <w:t>当前</w:t>
      </w:r>
      <w:r w:rsidR="00B62288" w:rsidRPr="00F65796">
        <w:rPr>
          <w:rFonts w:hint="eastAsia"/>
          <w:lang w:val="en-US" w:eastAsia="zh-CN"/>
        </w:rPr>
        <w:t>，自由贸易条约等现行国际法律文书并不总是</w:t>
      </w:r>
      <w:r w:rsidRPr="00F65796">
        <w:rPr>
          <w:rFonts w:hint="eastAsia"/>
          <w:lang w:val="en-US" w:eastAsia="zh-CN"/>
        </w:rPr>
        <w:t>包含</w:t>
      </w:r>
      <w:r w:rsidR="00B62288" w:rsidRPr="00F65796">
        <w:rPr>
          <w:rFonts w:hint="eastAsia"/>
          <w:lang w:val="en-US" w:eastAsia="zh-CN"/>
        </w:rPr>
        <w:t>电信部门的</w:t>
      </w:r>
      <w:r w:rsidRPr="00F65796">
        <w:rPr>
          <w:rFonts w:hint="eastAsia"/>
          <w:lang w:val="en-US" w:eastAsia="zh-CN"/>
        </w:rPr>
        <w:t>现有</w:t>
      </w:r>
      <w:r w:rsidR="00B62288" w:rsidRPr="00F65796">
        <w:rPr>
          <w:rFonts w:hint="eastAsia"/>
          <w:lang w:val="en-US" w:eastAsia="zh-CN"/>
        </w:rPr>
        <w:t>趋势和问题。然而，</w:t>
      </w:r>
      <w:r w:rsidR="00B62288" w:rsidRPr="00F65796">
        <w:rPr>
          <w:rFonts w:hint="eastAsia"/>
          <w:lang w:val="en-US" w:eastAsia="zh-CN"/>
        </w:rPr>
        <w:t>ITR</w:t>
      </w:r>
      <w:r w:rsidRPr="00F65796">
        <w:rPr>
          <w:rFonts w:hint="eastAsia"/>
          <w:lang w:val="en-US" w:eastAsia="zh-CN"/>
        </w:rPr>
        <w:t>确立了</w:t>
      </w:r>
      <w:r w:rsidR="00B62288" w:rsidRPr="00F65796">
        <w:rPr>
          <w:rFonts w:hint="eastAsia"/>
          <w:lang w:val="en-US" w:eastAsia="zh-CN"/>
        </w:rPr>
        <w:t>这些条约或世贸组织《服务贸易总协定》电信附件中未</w:t>
      </w:r>
      <w:r w:rsidRPr="00F65796">
        <w:rPr>
          <w:rFonts w:hint="eastAsia"/>
          <w:lang w:val="en-US" w:eastAsia="zh-CN"/>
        </w:rPr>
        <w:t>予</w:t>
      </w:r>
      <w:r w:rsidR="00B62288" w:rsidRPr="00F65796">
        <w:rPr>
          <w:rFonts w:hint="eastAsia"/>
          <w:lang w:val="en-US" w:eastAsia="zh-CN"/>
        </w:rPr>
        <w:t>包括的条款。另一方面，与其他文书相比，</w:t>
      </w:r>
      <w:r w:rsidR="00B62288" w:rsidRPr="00F65796">
        <w:rPr>
          <w:rFonts w:hint="eastAsia"/>
          <w:lang w:val="en-US" w:eastAsia="zh-CN"/>
        </w:rPr>
        <w:t>ITR</w:t>
      </w:r>
      <w:r w:rsidR="00E8457F" w:rsidRPr="00F65796">
        <w:rPr>
          <w:rFonts w:hint="eastAsia"/>
          <w:lang w:val="en-US" w:eastAsia="zh-CN"/>
        </w:rPr>
        <w:t>纳入了与人的生命安全有关的条款，具体体现在</w:t>
      </w:r>
      <w:r w:rsidR="00B62288" w:rsidRPr="00F65796">
        <w:rPr>
          <w:rFonts w:hint="eastAsia"/>
          <w:lang w:val="en-US" w:eastAsia="zh-CN"/>
        </w:rPr>
        <w:t>救灾电信、网络安全</w:t>
      </w:r>
      <w:r w:rsidR="00E8457F" w:rsidRPr="00F65796">
        <w:rPr>
          <w:rFonts w:hint="eastAsia"/>
          <w:lang w:val="en-US" w:eastAsia="zh-CN"/>
        </w:rPr>
        <w:t>性</w:t>
      </w:r>
      <w:r w:rsidR="00B62288" w:rsidRPr="00F65796">
        <w:rPr>
          <w:rFonts w:hint="eastAsia"/>
          <w:lang w:val="en-US" w:eastAsia="zh-CN"/>
        </w:rPr>
        <w:t>和</w:t>
      </w:r>
      <w:r w:rsidR="00E8457F" w:rsidRPr="00F65796">
        <w:rPr>
          <w:rFonts w:hint="eastAsia"/>
          <w:lang w:val="en-US" w:eastAsia="zh-CN"/>
        </w:rPr>
        <w:t>强健</w:t>
      </w:r>
      <w:r w:rsidR="00B62288" w:rsidRPr="00F65796">
        <w:rPr>
          <w:rFonts w:hint="eastAsia"/>
          <w:lang w:val="en-US" w:eastAsia="zh-CN"/>
        </w:rPr>
        <w:t>性、未经请求的大规模电子通信、暂停服务、电子</w:t>
      </w:r>
      <w:r w:rsidR="00E8457F" w:rsidRPr="00F65796">
        <w:rPr>
          <w:rFonts w:hint="eastAsia"/>
          <w:lang w:val="en-US" w:eastAsia="zh-CN"/>
        </w:rPr>
        <w:t>废弃物</w:t>
      </w:r>
      <w:r w:rsidR="00B62288" w:rsidRPr="00F65796">
        <w:rPr>
          <w:rFonts w:hint="eastAsia"/>
          <w:lang w:val="en-US" w:eastAsia="zh-CN"/>
        </w:rPr>
        <w:t>或无障碍问题方面。</w:t>
      </w:r>
    </w:p>
    <w:p w14:paraId="24ECF558" w14:textId="671B3DA8" w:rsidR="003C2174" w:rsidRPr="00F65796" w:rsidRDefault="00B62288" w:rsidP="00F65796">
      <w:pPr>
        <w:ind w:firstLineChars="200" w:firstLine="480"/>
        <w:jc w:val="both"/>
        <w:rPr>
          <w:lang w:val="en-US" w:eastAsia="zh-CN"/>
        </w:rPr>
      </w:pPr>
      <w:r w:rsidRPr="00F65796">
        <w:rPr>
          <w:rFonts w:hint="eastAsia"/>
          <w:lang w:val="en-US" w:eastAsia="zh-CN"/>
        </w:rPr>
        <w:t>例如，在网络的安全</w:t>
      </w:r>
      <w:r w:rsidR="008D48C8" w:rsidRPr="00F65796">
        <w:rPr>
          <w:rFonts w:hint="eastAsia"/>
          <w:lang w:val="en-US" w:eastAsia="zh-CN"/>
        </w:rPr>
        <w:t>性</w:t>
      </w:r>
      <w:r w:rsidRPr="00F65796">
        <w:rPr>
          <w:rFonts w:hint="eastAsia"/>
          <w:lang w:val="en-US" w:eastAsia="zh-CN"/>
        </w:rPr>
        <w:t>和</w:t>
      </w:r>
      <w:r w:rsidR="008D48C8" w:rsidRPr="00F65796">
        <w:rPr>
          <w:rFonts w:hint="eastAsia"/>
          <w:lang w:val="en-US" w:eastAsia="zh-CN"/>
        </w:rPr>
        <w:t>强健</w:t>
      </w:r>
      <w:r w:rsidRPr="00F65796">
        <w:rPr>
          <w:rFonts w:hint="eastAsia"/>
          <w:lang w:val="en-US" w:eastAsia="zh-CN"/>
        </w:rPr>
        <w:t>性问题上，</w:t>
      </w:r>
      <w:r w:rsidRPr="00F65796">
        <w:rPr>
          <w:rFonts w:hint="eastAsia"/>
          <w:lang w:val="en-US" w:eastAsia="zh-CN"/>
        </w:rPr>
        <w:t>ITR</w:t>
      </w:r>
      <w:r w:rsidRPr="00F65796">
        <w:rPr>
          <w:rFonts w:hint="eastAsia"/>
          <w:lang w:val="en-US" w:eastAsia="zh-CN"/>
        </w:rPr>
        <w:t>规定，国际电信网络的安全</w:t>
      </w:r>
      <w:r w:rsidR="008D48C8" w:rsidRPr="00F65796">
        <w:rPr>
          <w:rFonts w:hint="eastAsia"/>
          <w:lang w:val="en-US" w:eastAsia="zh-CN"/>
        </w:rPr>
        <w:t>性</w:t>
      </w:r>
      <w:r w:rsidRPr="00F65796">
        <w:rPr>
          <w:rFonts w:hint="eastAsia"/>
          <w:lang w:val="en-US" w:eastAsia="zh-CN"/>
        </w:rPr>
        <w:t>和</w:t>
      </w:r>
      <w:r w:rsidR="008D48C8" w:rsidRPr="00F65796">
        <w:rPr>
          <w:rFonts w:hint="eastAsia"/>
          <w:lang w:val="en-US" w:eastAsia="zh-CN"/>
        </w:rPr>
        <w:t>强健</w:t>
      </w:r>
      <w:r w:rsidRPr="00F65796">
        <w:rPr>
          <w:rFonts w:hint="eastAsia"/>
          <w:lang w:val="en-US" w:eastAsia="zh-CN"/>
        </w:rPr>
        <w:t>性是</w:t>
      </w:r>
      <w:r w:rsidR="008D48C8" w:rsidRPr="00F65796">
        <w:rPr>
          <w:rFonts w:hint="eastAsia"/>
          <w:lang w:val="en-US" w:eastAsia="zh-CN"/>
        </w:rPr>
        <w:t>成员国</w:t>
      </w:r>
      <w:r w:rsidRPr="00F65796">
        <w:rPr>
          <w:rFonts w:hint="eastAsia"/>
          <w:lang w:val="en-US" w:eastAsia="zh-CN"/>
        </w:rPr>
        <w:t>的单独和集体义务，</w:t>
      </w:r>
      <w:r w:rsidR="008D48C8" w:rsidRPr="00F65796">
        <w:rPr>
          <w:rFonts w:hint="eastAsia"/>
          <w:lang w:val="en-US" w:eastAsia="zh-CN"/>
        </w:rPr>
        <w:t>他们须</w:t>
      </w:r>
      <w:r w:rsidRPr="00F65796">
        <w:rPr>
          <w:rFonts w:hint="eastAsia"/>
          <w:lang w:val="en-US" w:eastAsia="zh-CN"/>
        </w:rPr>
        <w:t>寻求</w:t>
      </w:r>
      <w:r w:rsidR="008D48C8" w:rsidRPr="00F65796">
        <w:rPr>
          <w:rFonts w:hint="eastAsia"/>
          <w:lang w:val="en-US" w:eastAsia="zh-CN"/>
        </w:rPr>
        <w:t>实现</w:t>
      </w:r>
      <w:r w:rsidRPr="00F65796">
        <w:rPr>
          <w:rFonts w:hint="eastAsia"/>
          <w:lang w:val="en-US" w:eastAsia="zh-CN"/>
        </w:rPr>
        <w:t>向公众提供的服务的和谐发展。在无障碍方面，</w:t>
      </w:r>
      <w:r w:rsidRPr="00F65796">
        <w:rPr>
          <w:rFonts w:hint="eastAsia"/>
          <w:lang w:val="en-US" w:eastAsia="zh-CN"/>
        </w:rPr>
        <w:t>ITR</w:t>
      </w:r>
      <w:r w:rsidRPr="00F65796">
        <w:rPr>
          <w:rFonts w:hint="eastAsia"/>
          <w:lang w:val="en-US" w:eastAsia="zh-CN"/>
        </w:rPr>
        <w:t>指出，成员国</w:t>
      </w:r>
      <w:proofErr w:type="gramStart"/>
      <w:r w:rsidR="008D48C8" w:rsidRPr="00F65796">
        <w:rPr>
          <w:rFonts w:hint="eastAsia"/>
          <w:lang w:val="en-US" w:eastAsia="zh-CN"/>
        </w:rPr>
        <w:t>须</w:t>
      </w:r>
      <w:r w:rsidRPr="00F65796">
        <w:rPr>
          <w:rFonts w:hint="eastAsia"/>
          <w:lang w:val="en-US" w:eastAsia="zh-CN"/>
        </w:rPr>
        <w:t>促进</w:t>
      </w:r>
      <w:proofErr w:type="gramEnd"/>
      <w:r w:rsidRPr="00F65796">
        <w:rPr>
          <w:rFonts w:hint="eastAsia"/>
          <w:lang w:val="en-US" w:eastAsia="zh-CN"/>
        </w:rPr>
        <w:t>残疾人</w:t>
      </w:r>
      <w:r w:rsidR="008D48C8" w:rsidRPr="00F65796">
        <w:rPr>
          <w:rFonts w:hint="eastAsia"/>
          <w:lang w:val="en-US" w:eastAsia="zh-CN"/>
        </w:rPr>
        <w:t>对</w:t>
      </w:r>
      <w:r w:rsidRPr="00F65796">
        <w:rPr>
          <w:rFonts w:hint="eastAsia"/>
          <w:lang w:val="en-US" w:eastAsia="zh-CN"/>
        </w:rPr>
        <w:t>国际电信</w:t>
      </w:r>
      <w:r w:rsidR="008D48C8" w:rsidRPr="00F65796">
        <w:rPr>
          <w:rFonts w:hint="eastAsia"/>
          <w:lang w:val="en-US" w:eastAsia="zh-CN"/>
        </w:rPr>
        <w:t>业务的获取</w:t>
      </w:r>
      <w:r w:rsidRPr="00F65796">
        <w:rPr>
          <w:rFonts w:hint="eastAsia"/>
          <w:lang w:val="en-US" w:eastAsia="zh-CN"/>
        </w:rPr>
        <w:t>。关于漫游，</w:t>
      </w:r>
      <w:r w:rsidRPr="00F65796">
        <w:rPr>
          <w:rFonts w:hint="eastAsia"/>
          <w:lang w:val="en-US" w:eastAsia="zh-CN"/>
        </w:rPr>
        <w:t>ITR</w:t>
      </w:r>
      <w:r w:rsidRPr="00F65796">
        <w:rPr>
          <w:rFonts w:hint="eastAsia"/>
          <w:lang w:val="en-US" w:eastAsia="zh-CN"/>
        </w:rPr>
        <w:t>规定，各国将寻求提高能力，并鼓励合作，以避免或减少边境地区</w:t>
      </w:r>
      <w:r w:rsidR="008D48C8" w:rsidRPr="00F65796">
        <w:rPr>
          <w:rFonts w:hint="eastAsia"/>
          <w:lang w:val="en-US" w:eastAsia="zh-CN"/>
        </w:rPr>
        <w:t>未留意到</w:t>
      </w:r>
      <w:r w:rsidRPr="00F65796">
        <w:rPr>
          <w:rFonts w:hint="eastAsia"/>
          <w:lang w:val="en-US" w:eastAsia="zh-CN"/>
        </w:rPr>
        <w:t>的漫游费用。</w:t>
      </w:r>
    </w:p>
    <w:p w14:paraId="318CFD06" w14:textId="1559C843" w:rsidR="003C2174" w:rsidRPr="00F65796" w:rsidRDefault="00B62288" w:rsidP="00F65796">
      <w:pPr>
        <w:ind w:firstLineChars="200" w:firstLine="480"/>
        <w:jc w:val="both"/>
        <w:rPr>
          <w:lang w:val="en-US" w:eastAsia="zh-CN"/>
        </w:rPr>
      </w:pPr>
      <w:r w:rsidRPr="00F65796">
        <w:rPr>
          <w:rFonts w:hint="eastAsia"/>
          <w:lang w:val="en-US" w:eastAsia="zh-CN"/>
        </w:rPr>
        <w:t>最后，还有其他促进电信网络发展的相关</w:t>
      </w:r>
      <w:r w:rsidR="00DD412F" w:rsidRPr="00F65796">
        <w:rPr>
          <w:rFonts w:hint="eastAsia"/>
          <w:lang w:val="en-US" w:eastAsia="zh-CN"/>
        </w:rPr>
        <w:t>条款</w:t>
      </w:r>
      <w:r w:rsidRPr="00F65796">
        <w:rPr>
          <w:rFonts w:hint="eastAsia"/>
          <w:lang w:val="en-US" w:eastAsia="zh-CN"/>
        </w:rPr>
        <w:t>，</w:t>
      </w:r>
      <w:r w:rsidR="00DD412F" w:rsidRPr="00F65796">
        <w:rPr>
          <w:rFonts w:hint="eastAsia"/>
          <w:lang w:val="en-US" w:eastAsia="zh-CN"/>
        </w:rPr>
        <w:t>具体</w:t>
      </w:r>
      <w:r w:rsidRPr="00F65796">
        <w:rPr>
          <w:rFonts w:hint="eastAsia"/>
          <w:lang w:val="en-US" w:eastAsia="zh-CN"/>
        </w:rPr>
        <w:t>如下</w:t>
      </w:r>
      <w:r w:rsidR="00DD412F" w:rsidRPr="00F65796">
        <w:rPr>
          <w:rFonts w:hint="eastAsia"/>
          <w:lang w:val="en-US" w:eastAsia="zh-CN"/>
        </w:rPr>
        <w:t>：</w:t>
      </w:r>
    </w:p>
    <w:p w14:paraId="08D390AC" w14:textId="1B619B3E" w:rsidR="003C2174" w:rsidRPr="00F65796" w:rsidRDefault="003C2174" w:rsidP="007F03BB">
      <w:pPr>
        <w:pStyle w:val="enumlev1"/>
        <w:rPr>
          <w:lang w:val="en-US" w:eastAsia="zh-CN"/>
        </w:rPr>
      </w:pPr>
      <w:bookmarkStart w:id="2" w:name="lt_pId030"/>
      <w:r w:rsidRPr="00F65796">
        <w:rPr>
          <w:lang w:val="en-US" w:eastAsia="zh-CN"/>
        </w:rPr>
        <w:t>•</w:t>
      </w:r>
      <w:r w:rsidRPr="00F65796">
        <w:rPr>
          <w:lang w:val="en-US" w:eastAsia="zh-CN"/>
        </w:rPr>
        <w:tab/>
      </w:r>
      <w:bookmarkEnd w:id="2"/>
      <w:r w:rsidRPr="00F65796">
        <w:rPr>
          <w:rFonts w:hint="eastAsia"/>
          <w:lang w:eastAsia="zh-CN"/>
        </w:rPr>
        <w:t>成员国</w:t>
      </w:r>
      <w:r w:rsidR="007F03BB" w:rsidRPr="00F65796">
        <w:rPr>
          <w:rFonts w:hint="eastAsia"/>
          <w:lang w:eastAsia="zh-CN"/>
        </w:rPr>
        <w:t>应</w:t>
      </w:r>
      <w:r w:rsidRPr="00F65796">
        <w:rPr>
          <w:rFonts w:hint="eastAsia"/>
          <w:lang w:eastAsia="zh-CN"/>
        </w:rPr>
        <w:t>鼓励国际电信网络投资，并促进为此类电信网络所承载的业务量制定竞争性批发价格。</w:t>
      </w:r>
    </w:p>
    <w:p w14:paraId="3761C085" w14:textId="4307523C" w:rsidR="003C2174" w:rsidRPr="00F65796" w:rsidRDefault="003C2174" w:rsidP="007F03BB">
      <w:pPr>
        <w:pStyle w:val="enumlev1"/>
        <w:rPr>
          <w:lang w:val="en-US" w:eastAsia="zh-CN"/>
        </w:rPr>
      </w:pPr>
      <w:bookmarkStart w:id="3" w:name="lt_pId031"/>
      <w:r w:rsidRPr="00F65796">
        <w:rPr>
          <w:lang w:val="en-US" w:eastAsia="zh-CN"/>
        </w:rPr>
        <w:t>•</w:t>
      </w:r>
      <w:r w:rsidRPr="00F65796">
        <w:rPr>
          <w:lang w:val="en-US" w:eastAsia="zh-CN"/>
        </w:rPr>
        <w:tab/>
      </w:r>
      <w:bookmarkEnd w:id="3"/>
      <w:r w:rsidR="00B62288" w:rsidRPr="00F65796">
        <w:rPr>
          <w:rFonts w:hint="eastAsia"/>
          <w:lang w:val="en-US" w:eastAsia="zh-CN"/>
        </w:rPr>
        <w:t>关于电信部门及其经济发展，</w:t>
      </w:r>
      <w:r w:rsidR="00B62288" w:rsidRPr="00F65796">
        <w:rPr>
          <w:rFonts w:hint="eastAsia"/>
          <w:lang w:val="en-US" w:eastAsia="zh-CN"/>
        </w:rPr>
        <w:t>ITR</w:t>
      </w:r>
      <w:r w:rsidR="00B62288" w:rsidRPr="00F65796">
        <w:rPr>
          <w:rFonts w:hint="eastAsia"/>
          <w:lang w:val="en-US" w:eastAsia="zh-CN"/>
        </w:rPr>
        <w:t>规定</w:t>
      </w:r>
      <w:proofErr w:type="gramStart"/>
      <w:r w:rsidR="00B62288" w:rsidRPr="00F65796">
        <w:rPr>
          <w:rFonts w:hint="eastAsia"/>
          <w:lang w:val="en-US" w:eastAsia="zh-CN"/>
        </w:rPr>
        <w:t>，“</w:t>
      </w:r>
      <w:proofErr w:type="gramEnd"/>
      <w:r w:rsidR="00950F3C" w:rsidRPr="00F65796">
        <w:rPr>
          <w:rFonts w:hint="eastAsia"/>
          <w:lang w:val="en-US" w:eastAsia="zh-CN"/>
        </w:rPr>
        <w:t>经</w:t>
      </w:r>
      <w:r w:rsidR="00B62288" w:rsidRPr="00F65796">
        <w:rPr>
          <w:rFonts w:hint="eastAsia"/>
          <w:lang w:val="en-US" w:eastAsia="zh-CN"/>
        </w:rPr>
        <w:t>授权</w:t>
      </w:r>
      <w:r w:rsidR="00950F3C" w:rsidRPr="00F65796">
        <w:rPr>
          <w:rFonts w:hint="eastAsia"/>
          <w:lang w:val="en-US" w:eastAsia="zh-CN"/>
        </w:rPr>
        <w:t>运营</w:t>
      </w:r>
      <w:r w:rsidR="00B62288" w:rsidRPr="00F65796">
        <w:rPr>
          <w:rFonts w:hint="eastAsia"/>
          <w:lang w:val="en-US" w:eastAsia="zh-CN"/>
        </w:rPr>
        <w:t>公司”</w:t>
      </w:r>
      <w:r w:rsidR="00950F3C" w:rsidRPr="00F65796">
        <w:rPr>
          <w:lang w:val="en-US" w:eastAsia="zh-CN"/>
        </w:rPr>
        <w:t xml:space="preserve"> </w:t>
      </w:r>
      <w:r w:rsidR="00950F3C" w:rsidRPr="00F65796">
        <w:rPr>
          <w:lang w:val="en-US" w:eastAsia="zh-CN"/>
        </w:rPr>
        <w:t>（</w:t>
      </w:r>
      <w:r w:rsidR="00950F3C" w:rsidRPr="00F65796">
        <w:rPr>
          <w:lang w:val="en-US" w:eastAsia="zh-CN"/>
        </w:rPr>
        <w:t>authorized exploitation companies</w:t>
      </w:r>
      <w:r w:rsidR="00950F3C" w:rsidRPr="00F65796">
        <w:rPr>
          <w:lang w:val="en-US" w:eastAsia="zh-CN"/>
        </w:rPr>
        <w:t>）</w:t>
      </w:r>
      <w:r w:rsidR="00B62288" w:rsidRPr="00F65796">
        <w:rPr>
          <w:rFonts w:hint="eastAsia"/>
          <w:lang w:val="en-US" w:eastAsia="zh-CN"/>
        </w:rPr>
        <w:t>将确定“分销和</w:t>
      </w:r>
      <w:r w:rsidR="00950F3C" w:rsidRPr="00F65796">
        <w:rPr>
          <w:rFonts w:hint="eastAsia"/>
          <w:lang w:val="en-US" w:eastAsia="zh-CN"/>
        </w:rPr>
        <w:t>认知费率</w:t>
      </w:r>
      <w:r w:rsidR="00B62288" w:rsidRPr="00F65796">
        <w:rPr>
          <w:rFonts w:hint="eastAsia"/>
          <w:lang w:val="en-US" w:eastAsia="zh-CN"/>
        </w:rPr>
        <w:t>”</w:t>
      </w:r>
      <w:r w:rsidR="00950F3C" w:rsidRPr="00F65796">
        <w:rPr>
          <w:rFonts w:hint="eastAsia"/>
          <w:lang w:val="en-US" w:eastAsia="zh-CN"/>
        </w:rPr>
        <w:t>以及</w:t>
      </w:r>
      <w:r w:rsidR="00B62288" w:rsidRPr="00F65796">
        <w:rPr>
          <w:rFonts w:hint="eastAsia"/>
          <w:lang w:val="en-US" w:eastAsia="zh-CN"/>
        </w:rPr>
        <w:t>国际</w:t>
      </w:r>
      <w:r w:rsidR="00950F3C" w:rsidRPr="00F65796">
        <w:rPr>
          <w:rFonts w:hint="eastAsia"/>
          <w:lang w:val="en-US" w:eastAsia="zh-CN"/>
        </w:rPr>
        <w:t>路由</w:t>
      </w:r>
      <w:r w:rsidR="00B62288" w:rsidRPr="00F65796">
        <w:rPr>
          <w:rFonts w:hint="eastAsia"/>
          <w:lang w:val="en-US" w:eastAsia="zh-CN"/>
        </w:rPr>
        <w:t>；这面临着电信市场的现实和竞争力的提升。</w:t>
      </w:r>
    </w:p>
    <w:p w14:paraId="3C238456" w14:textId="73EB3D1E" w:rsidR="003C2174" w:rsidRPr="00F65796" w:rsidRDefault="003C2174" w:rsidP="00E42BCE">
      <w:pPr>
        <w:pStyle w:val="enumlev1"/>
        <w:rPr>
          <w:lang w:val="en-US" w:eastAsia="zh-CN"/>
        </w:rPr>
      </w:pPr>
      <w:bookmarkStart w:id="4" w:name="lt_pId032"/>
      <w:r w:rsidRPr="00F65796">
        <w:rPr>
          <w:lang w:val="en-US" w:eastAsia="zh-CN"/>
        </w:rPr>
        <w:lastRenderedPageBreak/>
        <w:t>•</w:t>
      </w:r>
      <w:r w:rsidRPr="00F65796">
        <w:rPr>
          <w:lang w:val="en-US" w:eastAsia="zh-CN"/>
        </w:rPr>
        <w:tab/>
      </w:r>
      <w:bookmarkEnd w:id="4"/>
      <w:r w:rsidR="00B62288" w:rsidRPr="00F65796">
        <w:rPr>
          <w:rFonts w:hint="eastAsia"/>
          <w:lang w:val="en-US" w:eastAsia="zh-CN"/>
        </w:rPr>
        <w:t>ITR</w:t>
      </w:r>
      <w:r w:rsidR="00E42BCE" w:rsidRPr="00F65796">
        <w:rPr>
          <w:rFonts w:hint="eastAsia"/>
          <w:lang w:val="en-US" w:eastAsia="zh-CN"/>
        </w:rPr>
        <w:t>确立的一些条款涉及</w:t>
      </w:r>
      <w:r w:rsidR="00B62288" w:rsidRPr="00F65796">
        <w:rPr>
          <w:rFonts w:hint="eastAsia"/>
          <w:lang w:val="en-US" w:eastAsia="zh-CN"/>
        </w:rPr>
        <w:t>确保识别国际</w:t>
      </w:r>
      <w:r w:rsidR="00E42BCE" w:rsidRPr="00F65796">
        <w:rPr>
          <w:rFonts w:hint="eastAsia"/>
          <w:lang w:val="en-US" w:eastAsia="zh-CN"/>
        </w:rPr>
        <w:t>主叫</w:t>
      </w:r>
      <w:r w:rsidR="00B62288" w:rsidRPr="00F65796">
        <w:rPr>
          <w:rFonts w:hint="eastAsia"/>
          <w:lang w:val="en-US" w:eastAsia="zh-CN"/>
        </w:rPr>
        <w:t>线路、确保正确使用号码资源、为建立区域</w:t>
      </w:r>
      <w:r w:rsidR="00E42BCE" w:rsidRPr="00F65796">
        <w:rPr>
          <w:rFonts w:hint="eastAsia"/>
          <w:lang w:val="en-US" w:eastAsia="zh-CN"/>
        </w:rPr>
        <w:t>性</w:t>
      </w:r>
      <w:r w:rsidR="00B62288" w:rsidRPr="00F65796">
        <w:rPr>
          <w:rFonts w:hint="eastAsia"/>
          <w:lang w:val="en-US" w:eastAsia="zh-CN"/>
        </w:rPr>
        <w:t>电信</w:t>
      </w:r>
      <w:r w:rsidR="00E42BCE" w:rsidRPr="00F65796">
        <w:rPr>
          <w:rFonts w:hint="eastAsia"/>
          <w:lang w:val="en-US" w:eastAsia="zh-CN"/>
        </w:rPr>
        <w:t>流量</w:t>
      </w:r>
      <w:r w:rsidR="00B62288" w:rsidRPr="00F65796">
        <w:rPr>
          <w:rFonts w:hint="eastAsia"/>
          <w:lang w:val="en-US" w:eastAsia="zh-CN"/>
        </w:rPr>
        <w:t>交换中心创造有利环境以及寻求防止未经请求的大规模电子通信传播的措施。</w:t>
      </w:r>
    </w:p>
    <w:p w14:paraId="39989ECD" w14:textId="63F5800E" w:rsidR="003C2174" w:rsidRPr="00F65796" w:rsidRDefault="003C2174" w:rsidP="00FC52C8">
      <w:pPr>
        <w:pStyle w:val="enumlev1"/>
        <w:rPr>
          <w:lang w:val="en-US" w:eastAsia="zh-CN"/>
        </w:rPr>
      </w:pPr>
      <w:bookmarkStart w:id="5" w:name="lt_pId033"/>
      <w:r w:rsidRPr="00F65796">
        <w:rPr>
          <w:lang w:val="en-US" w:eastAsia="zh-CN"/>
        </w:rPr>
        <w:t>•</w:t>
      </w:r>
      <w:r w:rsidRPr="00F65796">
        <w:rPr>
          <w:lang w:val="en-US" w:eastAsia="zh-CN"/>
        </w:rPr>
        <w:tab/>
      </w:r>
      <w:bookmarkEnd w:id="5"/>
      <w:r w:rsidR="00B62288" w:rsidRPr="00F65796">
        <w:rPr>
          <w:rFonts w:hint="eastAsia"/>
          <w:lang w:val="en-US" w:eastAsia="zh-CN"/>
        </w:rPr>
        <w:t>ITR</w:t>
      </w:r>
      <w:r w:rsidR="007D44AF" w:rsidRPr="00F65796">
        <w:rPr>
          <w:rFonts w:hint="eastAsia"/>
          <w:lang w:val="en-US" w:eastAsia="zh-CN"/>
        </w:rPr>
        <w:t>要求成员国做出</w:t>
      </w:r>
      <w:r w:rsidR="00B62288" w:rsidRPr="00F65796">
        <w:rPr>
          <w:rFonts w:hint="eastAsia"/>
          <w:lang w:val="en-US" w:eastAsia="zh-CN"/>
        </w:rPr>
        <w:t>妥协，</w:t>
      </w:r>
      <w:proofErr w:type="gramStart"/>
      <w:r w:rsidR="00B62288" w:rsidRPr="00F65796">
        <w:rPr>
          <w:rFonts w:hint="eastAsia"/>
          <w:lang w:val="en-US" w:eastAsia="zh-CN"/>
        </w:rPr>
        <w:t>鼓励“</w:t>
      </w:r>
      <w:proofErr w:type="gramEnd"/>
      <w:r w:rsidR="007D44AF" w:rsidRPr="00F65796">
        <w:rPr>
          <w:rFonts w:hint="eastAsia"/>
          <w:lang w:val="en-US" w:eastAsia="zh-CN"/>
        </w:rPr>
        <w:t>经</w:t>
      </w:r>
      <w:r w:rsidR="00B62288" w:rsidRPr="00F65796">
        <w:rPr>
          <w:rFonts w:hint="eastAsia"/>
          <w:lang w:val="en-US" w:eastAsia="zh-CN"/>
        </w:rPr>
        <w:t>授权</w:t>
      </w:r>
      <w:r w:rsidR="007D44AF" w:rsidRPr="00F65796">
        <w:rPr>
          <w:rFonts w:hint="eastAsia"/>
          <w:lang w:val="en-US" w:eastAsia="zh-CN"/>
        </w:rPr>
        <w:t>运营</w:t>
      </w:r>
      <w:r w:rsidR="00B62288" w:rsidRPr="00F65796">
        <w:rPr>
          <w:rFonts w:hint="eastAsia"/>
          <w:lang w:val="en-US" w:eastAsia="zh-CN"/>
        </w:rPr>
        <w:t>公司”</w:t>
      </w:r>
      <w:r w:rsidR="007D44AF" w:rsidRPr="00F65796">
        <w:rPr>
          <w:lang w:val="en-US" w:eastAsia="zh-CN"/>
        </w:rPr>
        <w:t>（</w:t>
      </w:r>
      <w:r w:rsidR="007D44AF" w:rsidRPr="00F65796">
        <w:rPr>
          <w:lang w:val="en-US" w:eastAsia="zh-CN"/>
        </w:rPr>
        <w:t>authorized exploitation companies</w:t>
      </w:r>
      <w:r w:rsidR="007D44AF" w:rsidRPr="00F65796">
        <w:rPr>
          <w:lang w:val="en-US" w:eastAsia="zh-CN"/>
        </w:rPr>
        <w:t>）</w:t>
      </w:r>
      <w:r w:rsidR="00B62288" w:rsidRPr="00F65796">
        <w:rPr>
          <w:rFonts w:hint="eastAsia"/>
          <w:lang w:val="en-US" w:eastAsia="zh-CN"/>
        </w:rPr>
        <w:t>及时</w:t>
      </w:r>
      <w:r w:rsidR="007D44AF" w:rsidRPr="00F65796">
        <w:rPr>
          <w:rFonts w:hint="eastAsia"/>
          <w:lang w:val="en-US" w:eastAsia="zh-CN"/>
        </w:rPr>
        <w:t>地免费</w:t>
      </w:r>
      <w:r w:rsidR="00B62288" w:rsidRPr="00F65796">
        <w:rPr>
          <w:rFonts w:hint="eastAsia"/>
          <w:lang w:val="en-US" w:eastAsia="zh-CN"/>
        </w:rPr>
        <w:t>向最终用户通报紧急服务电话号码，并合作提供</w:t>
      </w:r>
      <w:r w:rsidR="007D44AF" w:rsidRPr="00F65796">
        <w:rPr>
          <w:rFonts w:hint="eastAsia"/>
          <w:lang w:val="en-US" w:eastAsia="zh-CN"/>
        </w:rPr>
        <w:t>广泛</w:t>
      </w:r>
      <w:r w:rsidR="00B62288" w:rsidRPr="00F65796">
        <w:rPr>
          <w:rFonts w:hint="eastAsia"/>
          <w:lang w:val="en-US" w:eastAsia="zh-CN"/>
        </w:rPr>
        <w:t>系列</w:t>
      </w:r>
      <w:r w:rsidR="007D44AF" w:rsidRPr="00F65796">
        <w:rPr>
          <w:rFonts w:hint="eastAsia"/>
          <w:lang w:val="en-US" w:eastAsia="zh-CN"/>
        </w:rPr>
        <w:t>的</w:t>
      </w:r>
      <w:r w:rsidR="00B62288" w:rsidRPr="00F65796">
        <w:rPr>
          <w:rFonts w:hint="eastAsia"/>
          <w:lang w:val="en-US" w:eastAsia="zh-CN"/>
        </w:rPr>
        <w:t>质量令人满意的国际电信</w:t>
      </w:r>
      <w:r w:rsidR="007D44AF" w:rsidRPr="00F65796">
        <w:rPr>
          <w:rFonts w:hint="eastAsia"/>
          <w:lang w:val="en-US" w:eastAsia="zh-CN"/>
        </w:rPr>
        <w:t>业务</w:t>
      </w:r>
      <w:r w:rsidR="00B62288" w:rsidRPr="00F65796">
        <w:rPr>
          <w:rFonts w:hint="eastAsia"/>
          <w:lang w:val="en-US" w:eastAsia="zh-CN"/>
        </w:rPr>
        <w:t>。</w:t>
      </w:r>
    </w:p>
    <w:p w14:paraId="2F10E3DC" w14:textId="14999BAA" w:rsidR="003C2174" w:rsidRPr="00F65796" w:rsidRDefault="00BB512C" w:rsidP="00BB512C">
      <w:pPr>
        <w:pStyle w:val="Headingb"/>
        <w:rPr>
          <w:lang w:val="en-US" w:eastAsia="zh-CN"/>
        </w:rPr>
      </w:pPr>
      <w:bookmarkStart w:id="6" w:name="lt_pId034"/>
      <w:r w:rsidRPr="00F65796">
        <w:rPr>
          <w:lang w:val="en-US" w:eastAsia="zh-CN"/>
        </w:rPr>
        <w:t>问题</w:t>
      </w:r>
      <w:r w:rsidR="003C2174" w:rsidRPr="00F65796">
        <w:rPr>
          <w:lang w:val="en-US" w:eastAsia="zh-CN"/>
        </w:rPr>
        <w:t>3</w:t>
      </w:r>
      <w:bookmarkEnd w:id="6"/>
      <w:r w:rsidRPr="00F65796">
        <w:rPr>
          <w:lang w:val="en-US" w:eastAsia="zh-CN"/>
        </w:rPr>
        <w:t>：</w:t>
      </w:r>
      <w:r w:rsidR="003C2174" w:rsidRPr="00F65796">
        <w:rPr>
          <w:rFonts w:hint="eastAsia"/>
          <w:lang w:eastAsia="zh-CN"/>
        </w:rPr>
        <w:t>当前国际电信</w:t>
      </w:r>
      <w:r w:rsidR="003C2174" w:rsidRPr="00F65796">
        <w:rPr>
          <w:lang w:eastAsia="zh-CN"/>
        </w:rPr>
        <w:t>/ICT</w:t>
      </w:r>
      <w:r w:rsidR="003C2174" w:rsidRPr="00F65796">
        <w:rPr>
          <w:rFonts w:hint="eastAsia"/>
          <w:lang w:eastAsia="zh-CN"/>
        </w:rPr>
        <w:t>环境中，</w:t>
      </w:r>
      <w:r w:rsidR="003C2174" w:rsidRPr="00F65796">
        <w:rPr>
          <w:lang w:eastAsia="zh-CN"/>
        </w:rPr>
        <w:t>2012</w:t>
      </w:r>
      <w:r w:rsidR="003C2174" w:rsidRPr="00F65796">
        <w:rPr>
          <w:rFonts w:hint="eastAsia"/>
          <w:lang w:eastAsia="zh-CN"/>
        </w:rPr>
        <w:t>年版《国际电信规则》在适应电信</w:t>
      </w:r>
      <w:r w:rsidR="003C2174" w:rsidRPr="00F65796">
        <w:rPr>
          <w:lang w:eastAsia="zh-CN"/>
        </w:rPr>
        <w:t>/ICT</w:t>
      </w:r>
      <w:r w:rsidR="003C2174" w:rsidRPr="00F65796">
        <w:rPr>
          <w:rFonts w:hint="eastAsia"/>
          <w:lang w:eastAsia="zh-CN"/>
        </w:rPr>
        <w:t>新趋势和新出现问题方面是否灵活？请给出示例。</w:t>
      </w:r>
    </w:p>
    <w:p w14:paraId="36022A0B" w14:textId="68800845" w:rsidR="003C2174" w:rsidRPr="00F65796" w:rsidRDefault="00B62288" w:rsidP="00F65796">
      <w:pPr>
        <w:ind w:firstLineChars="200" w:firstLine="480"/>
        <w:rPr>
          <w:lang w:eastAsia="zh-CN"/>
        </w:rPr>
      </w:pPr>
      <w:r w:rsidRPr="00F65796">
        <w:rPr>
          <w:rFonts w:hint="eastAsia"/>
          <w:lang w:eastAsia="zh-CN"/>
        </w:rPr>
        <w:t>据认为，</w:t>
      </w:r>
      <w:r w:rsidRPr="00F65796">
        <w:rPr>
          <w:rFonts w:hint="eastAsia"/>
          <w:lang w:eastAsia="zh-CN"/>
        </w:rPr>
        <w:t>ITR</w:t>
      </w:r>
      <w:r w:rsidRPr="00F65796">
        <w:rPr>
          <w:rFonts w:hint="eastAsia"/>
          <w:lang w:eastAsia="zh-CN"/>
        </w:rPr>
        <w:t>目前不具备面对电信和</w:t>
      </w:r>
      <w:r w:rsidR="00BB512C" w:rsidRPr="00F65796">
        <w:rPr>
          <w:rFonts w:hint="eastAsia"/>
          <w:lang w:eastAsia="zh-CN"/>
        </w:rPr>
        <w:t>ICT</w:t>
      </w:r>
      <w:r w:rsidRPr="00F65796">
        <w:rPr>
          <w:rFonts w:hint="eastAsia"/>
          <w:lang w:eastAsia="zh-CN"/>
        </w:rPr>
        <w:t>部门新趋势的灵活性；在对</w:t>
      </w:r>
      <w:r w:rsidRPr="00F65796">
        <w:rPr>
          <w:rFonts w:hint="eastAsia"/>
          <w:lang w:eastAsia="zh-CN"/>
        </w:rPr>
        <w:t>ITR</w:t>
      </w:r>
      <w:r w:rsidRPr="00F65796">
        <w:rPr>
          <w:rFonts w:hint="eastAsia"/>
          <w:lang w:eastAsia="zh-CN"/>
        </w:rPr>
        <w:t>进行的</w:t>
      </w:r>
      <w:r w:rsidR="003627E9" w:rsidRPr="00F65796">
        <w:rPr>
          <w:rFonts w:hint="eastAsia"/>
          <w:lang w:eastAsia="zh-CN"/>
        </w:rPr>
        <w:t>可能</w:t>
      </w:r>
      <w:r w:rsidR="00BB512C" w:rsidRPr="00F65796">
        <w:rPr>
          <w:rFonts w:hint="eastAsia"/>
          <w:lang w:eastAsia="zh-CN"/>
        </w:rPr>
        <w:t>审议</w:t>
      </w:r>
      <w:r w:rsidRPr="00F65796">
        <w:rPr>
          <w:rFonts w:hint="eastAsia"/>
          <w:lang w:eastAsia="zh-CN"/>
        </w:rPr>
        <w:t>中，可以考虑国际合作、互联网、网络发展和宽带服务、有效保护数据和个人信息等主题，以便在必要时修订相关条款，并</w:t>
      </w:r>
      <w:r w:rsidR="00BB512C" w:rsidRPr="00F65796">
        <w:rPr>
          <w:rFonts w:hint="eastAsia"/>
          <w:lang w:eastAsia="zh-CN"/>
        </w:rPr>
        <w:t>确定</w:t>
      </w:r>
      <w:r w:rsidRPr="00F65796">
        <w:rPr>
          <w:rFonts w:hint="eastAsia"/>
          <w:lang w:eastAsia="zh-CN"/>
        </w:rPr>
        <w:t>一种义务</w:t>
      </w:r>
      <w:r w:rsidR="003627E9" w:rsidRPr="00F65796">
        <w:rPr>
          <w:rFonts w:hint="eastAsia"/>
          <w:lang w:eastAsia="zh-CN"/>
        </w:rPr>
        <w:t>性更强、更明确的用语。</w:t>
      </w:r>
    </w:p>
    <w:p w14:paraId="4C5BDACE" w14:textId="77777777" w:rsidR="00F710A6" w:rsidRPr="00F65796" w:rsidRDefault="00F710A6" w:rsidP="00411C49">
      <w:pPr>
        <w:pStyle w:val="Reasons"/>
        <w:rPr>
          <w:lang w:eastAsia="zh-CN"/>
        </w:rPr>
      </w:pPr>
    </w:p>
    <w:p w14:paraId="7AE5E401" w14:textId="77777777" w:rsidR="00F710A6" w:rsidRDefault="00F710A6">
      <w:pPr>
        <w:jc w:val="center"/>
      </w:pPr>
      <w:r w:rsidRPr="00F65796">
        <w:t>______________</w:t>
      </w:r>
    </w:p>
    <w:p w14:paraId="0C13A78A" w14:textId="77777777" w:rsidR="003C2174" w:rsidRDefault="003C2174" w:rsidP="003C2174">
      <w:pPr>
        <w:pStyle w:val="ListParagraph"/>
        <w:jc w:val="center"/>
        <w:rPr>
          <w:lang w:val="en-US"/>
        </w:rPr>
      </w:pPr>
      <w:bookmarkStart w:id="7" w:name="_GoBack"/>
      <w:bookmarkEnd w:id="7"/>
    </w:p>
    <w:sectPr w:rsidR="003C2174" w:rsidSect="0039397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3EB2" w14:textId="77777777" w:rsidR="009C0C70" w:rsidRDefault="009C0C70">
      <w:r>
        <w:separator/>
      </w:r>
    </w:p>
  </w:endnote>
  <w:endnote w:type="continuationSeparator" w:id="0">
    <w:p w14:paraId="4462D799" w14:textId="77777777" w:rsidR="009C0C70" w:rsidRDefault="009C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E808" w14:textId="341CEB16" w:rsidR="00D9076B" w:rsidRPr="00B27DC0" w:rsidRDefault="00B875F1" w:rsidP="000C0D88">
    <w:pPr>
      <w:pStyle w:val="Footer"/>
      <w:rPr>
        <w:rFonts w:cstheme="minorHAnsi"/>
      </w:rPr>
    </w:pPr>
    <w:r w:rsidRPr="00B27DC0">
      <w:rPr>
        <w:rFonts w:cstheme="minorHAnsi"/>
      </w:rPr>
      <w:fldChar w:fldCharType="begin"/>
    </w:r>
    <w:r w:rsidRPr="00B27DC0">
      <w:rPr>
        <w:rFonts w:cstheme="minorHAnsi"/>
      </w:rPr>
      <w:instrText xml:space="preserve"> FILENAME \p  \* MERGEFORMAT </w:instrText>
    </w:r>
    <w:r w:rsidRPr="00B27DC0">
      <w:rPr>
        <w:rFonts w:cstheme="minorHAnsi"/>
      </w:rPr>
      <w:fldChar w:fldCharType="separate"/>
    </w:r>
    <w:r w:rsidR="00AE1845">
      <w:rPr>
        <w:rFonts w:cstheme="minorHAnsi"/>
      </w:rPr>
      <w:t>P:\CHI\SG\CONSEIL\EG-ITR\EG-ITR-2\000\012C.docx</w:t>
    </w:r>
    <w:r w:rsidRPr="00B27DC0">
      <w:rPr>
        <w:rFonts w:cstheme="minorHAnsi"/>
      </w:rPr>
      <w:fldChar w:fldCharType="end"/>
    </w:r>
    <w:r w:rsidR="000C0D88" w:rsidRPr="00B27DC0">
      <w:rPr>
        <w:rFonts w:cstheme="minorHAnsi"/>
      </w:rPr>
      <w:t xml:space="preserve"> </w:t>
    </w:r>
    <w:r w:rsidRPr="00B27DC0">
      <w:rPr>
        <w:rFonts w:cstheme="minorHAnsi"/>
      </w:rPr>
      <w:t>(</w:t>
    </w:r>
    <w:r w:rsidRPr="00B27DC0">
      <w:rPr>
        <w:rFonts w:cstheme="minorHAnsi"/>
        <w:lang w:eastAsia="zh-CN"/>
      </w:rPr>
      <w:t>467</w:t>
    </w:r>
    <w:r w:rsidR="00F710A6">
      <w:rPr>
        <w:rFonts w:cstheme="minorHAnsi"/>
        <w:lang w:eastAsia="zh-CN"/>
      </w:rPr>
      <w:t>634</w:t>
    </w:r>
    <w:r w:rsidRPr="00B27DC0">
      <w:rPr>
        <w:rFonts w:cstheme="minorHAns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F6D" w14:textId="77777777" w:rsidR="009C0C70" w:rsidRPr="00E603D2" w:rsidRDefault="009C0C70" w:rsidP="00E603D2">
    <w:pPr>
      <w:spacing w:after="120"/>
      <w:jc w:val="center"/>
    </w:pPr>
    <w:r w:rsidRPr="00E603D2">
      <w:t xml:space="preserve">• </w:t>
    </w:r>
    <w:hyperlink r:id="rId1" w:history="1">
      <w:r w:rsidRPr="00E603D2">
        <w:rPr>
          <w:rStyle w:val="Hyperlink"/>
        </w:rPr>
        <w:t>http://www.itu.int/council</w:t>
      </w:r>
    </w:hyperlink>
    <w:r w:rsidRPr="00E603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029" w14:textId="77777777" w:rsidR="009C0C70" w:rsidRDefault="009C0C70">
      <w:r>
        <w:t>____________________</w:t>
      </w:r>
    </w:p>
  </w:footnote>
  <w:footnote w:type="continuationSeparator" w:id="0">
    <w:p w14:paraId="44FCC02F" w14:textId="77777777" w:rsidR="009C0C70" w:rsidRDefault="009C0C70">
      <w:r>
        <w:continuationSeparator/>
      </w:r>
    </w:p>
  </w:footnote>
  <w:footnote w:type="continuationNotice" w:id="1">
    <w:p w14:paraId="3CEC78E8" w14:textId="77777777" w:rsidR="00B27DC0" w:rsidRPr="00B27DC0" w:rsidRDefault="00B27DC0" w:rsidP="00B27DC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052E" w14:textId="005C1C77" w:rsidR="009C0C70" w:rsidRPr="001F5636" w:rsidRDefault="009C0C70">
    <w:pPr>
      <w:pStyle w:val="Header"/>
      <w:rPr>
        <w:rFonts w:ascii="Calibri" w:hAnsi="Calibri" w:cs="Calibri"/>
      </w:rPr>
    </w:pPr>
    <w:r w:rsidRPr="001F5636">
      <w:rPr>
        <w:rFonts w:ascii="Calibri" w:hAnsi="Calibri" w:cs="Calibri"/>
      </w:rPr>
      <w:fldChar w:fldCharType="begin"/>
    </w:r>
    <w:r w:rsidRPr="001F5636">
      <w:rPr>
        <w:rFonts w:ascii="Calibri" w:hAnsi="Calibri" w:cs="Calibri"/>
      </w:rPr>
      <w:instrText>PAGE</w:instrText>
    </w:r>
    <w:r w:rsidRPr="001F5636">
      <w:rPr>
        <w:rFonts w:ascii="Calibri" w:hAnsi="Calibri" w:cs="Calibri"/>
      </w:rPr>
      <w:fldChar w:fldCharType="separate"/>
    </w:r>
    <w:r w:rsidR="00097DA0">
      <w:rPr>
        <w:rFonts w:ascii="Calibri" w:hAnsi="Calibri" w:cs="Calibri"/>
        <w:noProof/>
      </w:rPr>
      <w:t>2</w:t>
    </w:r>
    <w:r w:rsidRPr="001F5636">
      <w:rPr>
        <w:rFonts w:ascii="Calibri" w:hAnsi="Calibri" w:cs="Calibri"/>
      </w:rPr>
      <w:fldChar w:fldCharType="end"/>
    </w:r>
  </w:p>
  <w:p w14:paraId="15D68D4E" w14:textId="0CD1B9D5" w:rsidR="009C0C70" w:rsidRPr="001F5636" w:rsidRDefault="000A1E67" w:rsidP="00C374DE">
    <w:pPr>
      <w:pStyle w:val="Header"/>
      <w:rPr>
        <w:rFonts w:ascii="Calibri" w:hAnsi="Calibri" w:cs="Calibri"/>
      </w:rPr>
    </w:pPr>
    <w:r w:rsidRPr="000A1E67">
      <w:rPr>
        <w:rFonts w:ascii="Calibri" w:hAnsi="Calibri" w:cs="Calibri"/>
        <w:noProof/>
        <w:lang w:val="en-GB"/>
      </w:rPr>
      <w:t>EG-ITRs-2</w:t>
    </w:r>
    <w:r w:rsidR="00F710A6">
      <w:rPr>
        <w:rFonts w:ascii="Calibri" w:hAnsi="Calibri" w:cs="Calibri" w:hint="eastAsia"/>
        <w:noProof/>
        <w:lang w:val="en-GB" w:eastAsia="zh-CN"/>
      </w:rPr>
      <w:t>/12</w:t>
    </w:r>
    <w:r w:rsidRPr="000A1E67">
      <w:rPr>
        <w:rFonts w:ascii="Calibri" w:hAnsi="Calibri" w:cs="Calibri"/>
        <w:noProof/>
        <w:lang w:val="en-GB"/>
      </w:rPr>
      <w:t>-</w:t>
    </w:r>
    <w:r>
      <w:rPr>
        <w:rFonts w:ascii="Calibri" w:hAnsi="Calibri" w:cs="Calibri" w:hint="eastAsia"/>
        <w:noProof/>
        <w:lang w:val="en-GB"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7D5F"/>
    <w:rsid w:val="00022BBD"/>
    <w:rsid w:val="00023E69"/>
    <w:rsid w:val="00025E8E"/>
    <w:rsid w:val="000328CB"/>
    <w:rsid w:val="0003367B"/>
    <w:rsid w:val="00033C1E"/>
    <w:rsid w:val="000363F6"/>
    <w:rsid w:val="00036E6C"/>
    <w:rsid w:val="000406CF"/>
    <w:rsid w:val="000406DA"/>
    <w:rsid w:val="00044742"/>
    <w:rsid w:val="00047B52"/>
    <w:rsid w:val="00051135"/>
    <w:rsid w:val="0005330D"/>
    <w:rsid w:val="0005586D"/>
    <w:rsid w:val="00056AF7"/>
    <w:rsid w:val="0006006C"/>
    <w:rsid w:val="00060490"/>
    <w:rsid w:val="00060642"/>
    <w:rsid w:val="000625EC"/>
    <w:rsid w:val="00080890"/>
    <w:rsid w:val="00082487"/>
    <w:rsid w:val="00085CF2"/>
    <w:rsid w:val="00087BB2"/>
    <w:rsid w:val="00090DB1"/>
    <w:rsid w:val="000914EE"/>
    <w:rsid w:val="00093C5E"/>
    <w:rsid w:val="00095455"/>
    <w:rsid w:val="00096678"/>
    <w:rsid w:val="00097DA0"/>
    <w:rsid w:val="000A1E67"/>
    <w:rsid w:val="000A523E"/>
    <w:rsid w:val="000A6C3C"/>
    <w:rsid w:val="000B1705"/>
    <w:rsid w:val="000B1804"/>
    <w:rsid w:val="000C0550"/>
    <w:rsid w:val="000C0D88"/>
    <w:rsid w:val="000D034D"/>
    <w:rsid w:val="000D1B19"/>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759E"/>
    <w:rsid w:val="00155EF2"/>
    <w:rsid w:val="0015615B"/>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9C2"/>
    <w:rsid w:val="00197BEB"/>
    <w:rsid w:val="001A258D"/>
    <w:rsid w:val="001A44BC"/>
    <w:rsid w:val="001A4F5D"/>
    <w:rsid w:val="001A5A86"/>
    <w:rsid w:val="001B1348"/>
    <w:rsid w:val="001B404B"/>
    <w:rsid w:val="001B731C"/>
    <w:rsid w:val="001C0E28"/>
    <w:rsid w:val="001C20D1"/>
    <w:rsid w:val="001C2533"/>
    <w:rsid w:val="001C628E"/>
    <w:rsid w:val="001D0282"/>
    <w:rsid w:val="001D311E"/>
    <w:rsid w:val="001E0873"/>
    <w:rsid w:val="001E0F7B"/>
    <w:rsid w:val="001E3D67"/>
    <w:rsid w:val="001E5A96"/>
    <w:rsid w:val="001E5BEE"/>
    <w:rsid w:val="001F212B"/>
    <w:rsid w:val="001F4859"/>
    <w:rsid w:val="001F5636"/>
    <w:rsid w:val="001F565C"/>
    <w:rsid w:val="001F59DB"/>
    <w:rsid w:val="002009E4"/>
    <w:rsid w:val="002034FE"/>
    <w:rsid w:val="00204837"/>
    <w:rsid w:val="00205911"/>
    <w:rsid w:val="0020628E"/>
    <w:rsid w:val="00207B40"/>
    <w:rsid w:val="00211C39"/>
    <w:rsid w:val="00213E72"/>
    <w:rsid w:val="00216668"/>
    <w:rsid w:val="002178B8"/>
    <w:rsid w:val="00223D03"/>
    <w:rsid w:val="00224812"/>
    <w:rsid w:val="00224F52"/>
    <w:rsid w:val="00230211"/>
    <w:rsid w:val="002323A7"/>
    <w:rsid w:val="0023345C"/>
    <w:rsid w:val="00233546"/>
    <w:rsid w:val="002372ED"/>
    <w:rsid w:val="00241C31"/>
    <w:rsid w:val="002426F3"/>
    <w:rsid w:val="002461BA"/>
    <w:rsid w:val="002509C9"/>
    <w:rsid w:val="00252CDA"/>
    <w:rsid w:val="00262C55"/>
    <w:rsid w:val="00265875"/>
    <w:rsid w:val="002664D2"/>
    <w:rsid w:val="00266544"/>
    <w:rsid w:val="00266A38"/>
    <w:rsid w:val="0026797B"/>
    <w:rsid w:val="00270D09"/>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7052"/>
    <w:rsid w:val="002D7FCC"/>
    <w:rsid w:val="002E0872"/>
    <w:rsid w:val="002E5A5D"/>
    <w:rsid w:val="002E5AC3"/>
    <w:rsid w:val="002E7E71"/>
    <w:rsid w:val="002F17BD"/>
    <w:rsid w:val="00302EB0"/>
    <w:rsid w:val="003104AE"/>
    <w:rsid w:val="003109EE"/>
    <w:rsid w:val="00311C3B"/>
    <w:rsid w:val="00311DA1"/>
    <w:rsid w:val="0031367D"/>
    <w:rsid w:val="003137E7"/>
    <w:rsid w:val="00314813"/>
    <w:rsid w:val="00314D4F"/>
    <w:rsid w:val="0032203B"/>
    <w:rsid w:val="003221B7"/>
    <w:rsid w:val="003259C3"/>
    <w:rsid w:val="00325F02"/>
    <w:rsid w:val="003334B9"/>
    <w:rsid w:val="0033378B"/>
    <w:rsid w:val="0033535B"/>
    <w:rsid w:val="00341CCD"/>
    <w:rsid w:val="0034515A"/>
    <w:rsid w:val="00346A46"/>
    <w:rsid w:val="00352973"/>
    <w:rsid w:val="0036205D"/>
    <w:rsid w:val="003627E9"/>
    <w:rsid w:val="0036286A"/>
    <w:rsid w:val="00362FE9"/>
    <w:rsid w:val="003642D8"/>
    <w:rsid w:val="00370861"/>
    <w:rsid w:val="00375038"/>
    <w:rsid w:val="00375CE5"/>
    <w:rsid w:val="003811CD"/>
    <w:rsid w:val="00382DA7"/>
    <w:rsid w:val="0038348E"/>
    <w:rsid w:val="00384EED"/>
    <w:rsid w:val="00390C61"/>
    <w:rsid w:val="0039397C"/>
    <w:rsid w:val="003942D4"/>
    <w:rsid w:val="00394A9C"/>
    <w:rsid w:val="003958A8"/>
    <w:rsid w:val="0039606B"/>
    <w:rsid w:val="003969A8"/>
    <w:rsid w:val="003A0D4B"/>
    <w:rsid w:val="003A0F60"/>
    <w:rsid w:val="003A4E18"/>
    <w:rsid w:val="003A6515"/>
    <w:rsid w:val="003A77D9"/>
    <w:rsid w:val="003A7BA2"/>
    <w:rsid w:val="003C1736"/>
    <w:rsid w:val="003C2174"/>
    <w:rsid w:val="003C3D8D"/>
    <w:rsid w:val="003C5406"/>
    <w:rsid w:val="003C6B78"/>
    <w:rsid w:val="003C7021"/>
    <w:rsid w:val="003D34FB"/>
    <w:rsid w:val="003D5EE4"/>
    <w:rsid w:val="003E103B"/>
    <w:rsid w:val="003E417E"/>
    <w:rsid w:val="003E6A2A"/>
    <w:rsid w:val="003E6D41"/>
    <w:rsid w:val="003F59E8"/>
    <w:rsid w:val="003F5F61"/>
    <w:rsid w:val="004002BF"/>
    <w:rsid w:val="00412BB3"/>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522A4"/>
    <w:rsid w:val="004524CB"/>
    <w:rsid w:val="004544D9"/>
    <w:rsid w:val="00454720"/>
    <w:rsid w:val="00454CE8"/>
    <w:rsid w:val="00460BB5"/>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6C6"/>
    <w:rsid w:val="00494F0E"/>
    <w:rsid w:val="00495DB6"/>
    <w:rsid w:val="00497457"/>
    <w:rsid w:val="004A0168"/>
    <w:rsid w:val="004A2A4A"/>
    <w:rsid w:val="004A2D22"/>
    <w:rsid w:val="004A4AAA"/>
    <w:rsid w:val="004A7476"/>
    <w:rsid w:val="004B413A"/>
    <w:rsid w:val="004B7CF2"/>
    <w:rsid w:val="004C1374"/>
    <w:rsid w:val="004C4CD5"/>
    <w:rsid w:val="004C581A"/>
    <w:rsid w:val="004C5F8D"/>
    <w:rsid w:val="004D672B"/>
    <w:rsid w:val="004D7E9F"/>
    <w:rsid w:val="004E1229"/>
    <w:rsid w:val="004E1AA9"/>
    <w:rsid w:val="004E1AEE"/>
    <w:rsid w:val="004E276F"/>
    <w:rsid w:val="004E2BB6"/>
    <w:rsid w:val="004E2EA5"/>
    <w:rsid w:val="004E317E"/>
    <w:rsid w:val="004E3A5D"/>
    <w:rsid w:val="004E7D16"/>
    <w:rsid w:val="004F3682"/>
    <w:rsid w:val="0050223C"/>
    <w:rsid w:val="00502618"/>
    <w:rsid w:val="005030F2"/>
    <w:rsid w:val="0051396C"/>
    <w:rsid w:val="005166BA"/>
    <w:rsid w:val="00516BE8"/>
    <w:rsid w:val="00525421"/>
    <w:rsid w:val="0052758B"/>
    <w:rsid w:val="00530883"/>
    <w:rsid w:val="00534E85"/>
    <w:rsid w:val="005352F1"/>
    <w:rsid w:val="00542420"/>
    <w:rsid w:val="005431C5"/>
    <w:rsid w:val="0054413F"/>
    <w:rsid w:val="00546E2C"/>
    <w:rsid w:val="005476DB"/>
    <w:rsid w:val="005546E9"/>
    <w:rsid w:val="00555654"/>
    <w:rsid w:val="00557E06"/>
    <w:rsid w:val="00560C43"/>
    <w:rsid w:val="0056199E"/>
    <w:rsid w:val="00563D37"/>
    <w:rsid w:val="00564FBC"/>
    <w:rsid w:val="0056725A"/>
    <w:rsid w:val="005703B3"/>
    <w:rsid w:val="00571358"/>
    <w:rsid w:val="00572976"/>
    <w:rsid w:val="00573657"/>
    <w:rsid w:val="00573F30"/>
    <w:rsid w:val="0057486A"/>
    <w:rsid w:val="00577EE5"/>
    <w:rsid w:val="00582442"/>
    <w:rsid w:val="00586F2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BBF"/>
    <w:rsid w:val="005D0EF5"/>
    <w:rsid w:val="005D0F96"/>
    <w:rsid w:val="005D2735"/>
    <w:rsid w:val="005D7471"/>
    <w:rsid w:val="005E137E"/>
    <w:rsid w:val="005E1D6F"/>
    <w:rsid w:val="005E1DBF"/>
    <w:rsid w:val="005E2754"/>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15C01"/>
    <w:rsid w:val="006245BD"/>
    <w:rsid w:val="00625110"/>
    <w:rsid w:val="00631445"/>
    <w:rsid w:val="00632E34"/>
    <w:rsid w:val="006353F4"/>
    <w:rsid w:val="00640350"/>
    <w:rsid w:val="00641642"/>
    <w:rsid w:val="00642818"/>
    <w:rsid w:val="00644588"/>
    <w:rsid w:val="0064616D"/>
    <w:rsid w:val="006467EB"/>
    <w:rsid w:val="00651182"/>
    <w:rsid w:val="00652CDE"/>
    <w:rsid w:val="00654E72"/>
    <w:rsid w:val="006560E2"/>
    <w:rsid w:val="006615CB"/>
    <w:rsid w:val="00662984"/>
    <w:rsid w:val="006664D0"/>
    <w:rsid w:val="00667666"/>
    <w:rsid w:val="00667AD7"/>
    <w:rsid w:val="00670161"/>
    <w:rsid w:val="00672360"/>
    <w:rsid w:val="006765A3"/>
    <w:rsid w:val="00676AC3"/>
    <w:rsid w:val="006808CF"/>
    <w:rsid w:val="00685352"/>
    <w:rsid w:val="00687324"/>
    <w:rsid w:val="00691226"/>
    <w:rsid w:val="00696C7C"/>
    <w:rsid w:val="006A0E9D"/>
    <w:rsid w:val="006A1507"/>
    <w:rsid w:val="006A5907"/>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0D20"/>
    <w:rsid w:val="007010ED"/>
    <w:rsid w:val="00703A3D"/>
    <w:rsid w:val="007059D0"/>
    <w:rsid w:val="00706C5F"/>
    <w:rsid w:val="00706E25"/>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5057F"/>
    <w:rsid w:val="0075359A"/>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44AF"/>
    <w:rsid w:val="007D5356"/>
    <w:rsid w:val="007D58C8"/>
    <w:rsid w:val="007E0CC3"/>
    <w:rsid w:val="007E1756"/>
    <w:rsid w:val="007E73DD"/>
    <w:rsid w:val="007F03BB"/>
    <w:rsid w:val="007F0840"/>
    <w:rsid w:val="007F2124"/>
    <w:rsid w:val="007F3F26"/>
    <w:rsid w:val="0080074C"/>
    <w:rsid w:val="00805138"/>
    <w:rsid w:val="00811C37"/>
    <w:rsid w:val="008121F1"/>
    <w:rsid w:val="00817A1E"/>
    <w:rsid w:val="00827169"/>
    <w:rsid w:val="00831957"/>
    <w:rsid w:val="00833550"/>
    <w:rsid w:val="00835301"/>
    <w:rsid w:val="0083581B"/>
    <w:rsid w:val="00836D34"/>
    <w:rsid w:val="00840891"/>
    <w:rsid w:val="00840993"/>
    <w:rsid w:val="0084140B"/>
    <w:rsid w:val="00841698"/>
    <w:rsid w:val="0084318B"/>
    <w:rsid w:val="00843FFC"/>
    <w:rsid w:val="00844A08"/>
    <w:rsid w:val="0085227D"/>
    <w:rsid w:val="0086214B"/>
    <w:rsid w:val="00862A59"/>
    <w:rsid w:val="00862B6F"/>
    <w:rsid w:val="0086629C"/>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7015"/>
    <w:rsid w:val="008D2C51"/>
    <w:rsid w:val="008D2D0A"/>
    <w:rsid w:val="008D48C8"/>
    <w:rsid w:val="008D494D"/>
    <w:rsid w:val="008E230B"/>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4130F"/>
    <w:rsid w:val="009419D1"/>
    <w:rsid w:val="00944287"/>
    <w:rsid w:val="00945D18"/>
    <w:rsid w:val="00950214"/>
    <w:rsid w:val="00950F3C"/>
    <w:rsid w:val="009539B3"/>
    <w:rsid w:val="00956C8C"/>
    <w:rsid w:val="00961B0B"/>
    <w:rsid w:val="00962938"/>
    <w:rsid w:val="00963226"/>
    <w:rsid w:val="009659F0"/>
    <w:rsid w:val="00966A1B"/>
    <w:rsid w:val="00977602"/>
    <w:rsid w:val="00981F5D"/>
    <w:rsid w:val="009821AE"/>
    <w:rsid w:val="00984458"/>
    <w:rsid w:val="00987DB9"/>
    <w:rsid w:val="009912FF"/>
    <w:rsid w:val="00997952"/>
    <w:rsid w:val="009A069F"/>
    <w:rsid w:val="009A6F1D"/>
    <w:rsid w:val="009B048E"/>
    <w:rsid w:val="009B637E"/>
    <w:rsid w:val="009C0C70"/>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6D8"/>
    <w:rsid w:val="00A12C68"/>
    <w:rsid w:val="00A20884"/>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6752"/>
    <w:rsid w:val="00A77EA6"/>
    <w:rsid w:val="00A806F2"/>
    <w:rsid w:val="00A81F23"/>
    <w:rsid w:val="00A8261D"/>
    <w:rsid w:val="00A82D0D"/>
    <w:rsid w:val="00A87B50"/>
    <w:rsid w:val="00A91DE4"/>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1845"/>
    <w:rsid w:val="00AE26D6"/>
    <w:rsid w:val="00AE654A"/>
    <w:rsid w:val="00AF2963"/>
    <w:rsid w:val="00AF2971"/>
    <w:rsid w:val="00AF2EF7"/>
    <w:rsid w:val="00AF4BAE"/>
    <w:rsid w:val="00AF5E3C"/>
    <w:rsid w:val="00AF78F8"/>
    <w:rsid w:val="00B024D2"/>
    <w:rsid w:val="00B13315"/>
    <w:rsid w:val="00B170F6"/>
    <w:rsid w:val="00B2270F"/>
    <w:rsid w:val="00B23E7E"/>
    <w:rsid w:val="00B25B11"/>
    <w:rsid w:val="00B25B41"/>
    <w:rsid w:val="00B27123"/>
    <w:rsid w:val="00B27DC0"/>
    <w:rsid w:val="00B332FB"/>
    <w:rsid w:val="00B371AF"/>
    <w:rsid w:val="00B40A81"/>
    <w:rsid w:val="00B41974"/>
    <w:rsid w:val="00B44910"/>
    <w:rsid w:val="00B54B8F"/>
    <w:rsid w:val="00B576FA"/>
    <w:rsid w:val="00B62288"/>
    <w:rsid w:val="00B7000E"/>
    <w:rsid w:val="00B72267"/>
    <w:rsid w:val="00B72503"/>
    <w:rsid w:val="00B750EB"/>
    <w:rsid w:val="00B76EB6"/>
    <w:rsid w:val="00B77B71"/>
    <w:rsid w:val="00B824C8"/>
    <w:rsid w:val="00B82A28"/>
    <w:rsid w:val="00B8318C"/>
    <w:rsid w:val="00B83897"/>
    <w:rsid w:val="00B84652"/>
    <w:rsid w:val="00B8578D"/>
    <w:rsid w:val="00B8714F"/>
    <w:rsid w:val="00B875F1"/>
    <w:rsid w:val="00B902F2"/>
    <w:rsid w:val="00BA1CA1"/>
    <w:rsid w:val="00BA1CAA"/>
    <w:rsid w:val="00BA3A82"/>
    <w:rsid w:val="00BA4604"/>
    <w:rsid w:val="00BA7087"/>
    <w:rsid w:val="00BB0863"/>
    <w:rsid w:val="00BB0E88"/>
    <w:rsid w:val="00BB137B"/>
    <w:rsid w:val="00BB1F56"/>
    <w:rsid w:val="00BB2F3F"/>
    <w:rsid w:val="00BB512C"/>
    <w:rsid w:val="00BC2C12"/>
    <w:rsid w:val="00BC3CD2"/>
    <w:rsid w:val="00BC5A8A"/>
    <w:rsid w:val="00BD032B"/>
    <w:rsid w:val="00BD1548"/>
    <w:rsid w:val="00BE012E"/>
    <w:rsid w:val="00BE02D1"/>
    <w:rsid w:val="00BE1922"/>
    <w:rsid w:val="00BE2640"/>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4DA7"/>
    <w:rsid w:val="00C4513C"/>
    <w:rsid w:val="00C50344"/>
    <w:rsid w:val="00C512A0"/>
    <w:rsid w:val="00C51F07"/>
    <w:rsid w:val="00C53A28"/>
    <w:rsid w:val="00C667DB"/>
    <w:rsid w:val="00C66E21"/>
    <w:rsid w:val="00C7397E"/>
    <w:rsid w:val="00C73A8D"/>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5BBD"/>
    <w:rsid w:val="00CD66E3"/>
    <w:rsid w:val="00CE00DE"/>
    <w:rsid w:val="00CE222A"/>
    <w:rsid w:val="00CE554A"/>
    <w:rsid w:val="00CF203C"/>
    <w:rsid w:val="00CF33F3"/>
    <w:rsid w:val="00CF3EC3"/>
    <w:rsid w:val="00CF6AD5"/>
    <w:rsid w:val="00D01238"/>
    <w:rsid w:val="00D01634"/>
    <w:rsid w:val="00D04FD6"/>
    <w:rsid w:val="00D05510"/>
    <w:rsid w:val="00D06183"/>
    <w:rsid w:val="00D10EA5"/>
    <w:rsid w:val="00D12D29"/>
    <w:rsid w:val="00D145D9"/>
    <w:rsid w:val="00D157A3"/>
    <w:rsid w:val="00D15841"/>
    <w:rsid w:val="00D175B3"/>
    <w:rsid w:val="00D208E0"/>
    <w:rsid w:val="00D2236C"/>
    <w:rsid w:val="00D22C42"/>
    <w:rsid w:val="00D2455D"/>
    <w:rsid w:val="00D26FDF"/>
    <w:rsid w:val="00D27B70"/>
    <w:rsid w:val="00D309CF"/>
    <w:rsid w:val="00D30A39"/>
    <w:rsid w:val="00D31901"/>
    <w:rsid w:val="00D336EE"/>
    <w:rsid w:val="00D337D8"/>
    <w:rsid w:val="00D33A9B"/>
    <w:rsid w:val="00D33BC1"/>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501A"/>
    <w:rsid w:val="00D76A33"/>
    <w:rsid w:val="00D77A00"/>
    <w:rsid w:val="00D86145"/>
    <w:rsid w:val="00D9076B"/>
    <w:rsid w:val="00D9217C"/>
    <w:rsid w:val="00DA1A79"/>
    <w:rsid w:val="00DA313D"/>
    <w:rsid w:val="00DA3E70"/>
    <w:rsid w:val="00DA5B1F"/>
    <w:rsid w:val="00DB088B"/>
    <w:rsid w:val="00DB6388"/>
    <w:rsid w:val="00DC0E33"/>
    <w:rsid w:val="00DC2187"/>
    <w:rsid w:val="00DC429C"/>
    <w:rsid w:val="00DC4A08"/>
    <w:rsid w:val="00DC65C1"/>
    <w:rsid w:val="00DC7F3A"/>
    <w:rsid w:val="00DD06C6"/>
    <w:rsid w:val="00DD412F"/>
    <w:rsid w:val="00DE06EB"/>
    <w:rsid w:val="00DE0C72"/>
    <w:rsid w:val="00DE52DC"/>
    <w:rsid w:val="00DF608C"/>
    <w:rsid w:val="00DF720D"/>
    <w:rsid w:val="00E041F4"/>
    <w:rsid w:val="00E042B3"/>
    <w:rsid w:val="00E07153"/>
    <w:rsid w:val="00E07718"/>
    <w:rsid w:val="00E10E80"/>
    <w:rsid w:val="00E124F0"/>
    <w:rsid w:val="00E137BC"/>
    <w:rsid w:val="00E1694D"/>
    <w:rsid w:val="00E17990"/>
    <w:rsid w:val="00E17CE7"/>
    <w:rsid w:val="00E237EC"/>
    <w:rsid w:val="00E2526B"/>
    <w:rsid w:val="00E26A2A"/>
    <w:rsid w:val="00E342CF"/>
    <w:rsid w:val="00E3640B"/>
    <w:rsid w:val="00E40B6E"/>
    <w:rsid w:val="00E4141B"/>
    <w:rsid w:val="00E42BCE"/>
    <w:rsid w:val="00E4442D"/>
    <w:rsid w:val="00E544AC"/>
    <w:rsid w:val="00E55559"/>
    <w:rsid w:val="00E569B6"/>
    <w:rsid w:val="00E603D2"/>
    <w:rsid w:val="00E757B8"/>
    <w:rsid w:val="00E77551"/>
    <w:rsid w:val="00E828D5"/>
    <w:rsid w:val="00E8417D"/>
    <w:rsid w:val="00E8457F"/>
    <w:rsid w:val="00E849B4"/>
    <w:rsid w:val="00E85DA7"/>
    <w:rsid w:val="00E90283"/>
    <w:rsid w:val="00E917D3"/>
    <w:rsid w:val="00EA3349"/>
    <w:rsid w:val="00EA4D1D"/>
    <w:rsid w:val="00EA5FA5"/>
    <w:rsid w:val="00EB2232"/>
    <w:rsid w:val="00EB2633"/>
    <w:rsid w:val="00EB2ED4"/>
    <w:rsid w:val="00EB3957"/>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6C3F"/>
    <w:rsid w:val="00F33243"/>
    <w:rsid w:val="00F35D25"/>
    <w:rsid w:val="00F3600D"/>
    <w:rsid w:val="00F43265"/>
    <w:rsid w:val="00F5168B"/>
    <w:rsid w:val="00F523CD"/>
    <w:rsid w:val="00F524E4"/>
    <w:rsid w:val="00F54BEC"/>
    <w:rsid w:val="00F61E82"/>
    <w:rsid w:val="00F6456B"/>
    <w:rsid w:val="00F6550B"/>
    <w:rsid w:val="00F65796"/>
    <w:rsid w:val="00F6647A"/>
    <w:rsid w:val="00F70C1F"/>
    <w:rsid w:val="00F710A6"/>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3229"/>
    <w:rsid w:val="00FC3972"/>
    <w:rsid w:val="00FC4153"/>
    <w:rsid w:val="00FC4B12"/>
    <w:rsid w:val="00FC52C8"/>
    <w:rsid w:val="00FD0557"/>
    <w:rsid w:val="00FD0BB9"/>
    <w:rsid w:val="00FD0E17"/>
    <w:rsid w:val="00FD3677"/>
    <w:rsid w:val="00FD687B"/>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qFormat/>
    <w:rPr>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rsid w:val="00F710A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heme="minorHAnsi" w:hAnsiTheme="minorHAnsi"/>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 w:type="table" w:styleId="PlainTable4">
    <w:name w:val="Plain Table 4"/>
    <w:basedOn w:val="TableNormal"/>
    <w:uiPriority w:val="44"/>
    <w:rsid w:val="001F5636"/>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0A1E67"/>
    <w:rPr>
      <w:rFonts w:ascii="Times New Roman" w:hAnsi="Times New Roman"/>
      <w:sz w:val="24"/>
      <w:lang w:val="en-GB" w:eastAsia="en-US"/>
    </w:rPr>
  </w:style>
  <w:style w:type="paragraph" w:styleId="HTMLPreformatted">
    <w:name w:val="HTML Preformatted"/>
    <w:basedOn w:val="Normal"/>
    <w:link w:val="HTMLPreformattedChar"/>
    <w:uiPriority w:val="99"/>
    <w:semiHidden/>
    <w:unhideWhenUsed/>
    <w:rsid w:val="00615C0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15C01"/>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3329">
      <w:bodyDiv w:val="1"/>
      <w:marLeft w:val="0"/>
      <w:marRight w:val="0"/>
      <w:marTop w:val="0"/>
      <w:marBottom w:val="0"/>
      <w:divBdr>
        <w:top w:val="none" w:sz="0" w:space="0" w:color="auto"/>
        <w:left w:val="none" w:sz="0" w:space="0" w:color="auto"/>
        <w:bottom w:val="none" w:sz="0" w:space="0" w:color="auto"/>
        <w:right w:val="none" w:sz="0" w:space="0" w:color="auto"/>
      </w:divBdr>
    </w:div>
    <w:div w:id="845636164">
      <w:bodyDiv w:val="1"/>
      <w:marLeft w:val="0"/>
      <w:marRight w:val="0"/>
      <w:marTop w:val="0"/>
      <w:marBottom w:val="0"/>
      <w:divBdr>
        <w:top w:val="none" w:sz="0" w:space="0" w:color="auto"/>
        <w:left w:val="none" w:sz="0" w:space="0" w:color="auto"/>
        <w:bottom w:val="none" w:sz="0" w:space="0" w:color="auto"/>
        <w:right w:val="none" w:sz="0" w:space="0" w:color="auto"/>
      </w:divBdr>
      <w:divsChild>
        <w:div w:id="1038555105">
          <w:marLeft w:val="-240"/>
          <w:marRight w:val="-240"/>
          <w:marTop w:val="0"/>
          <w:marBottom w:val="0"/>
          <w:divBdr>
            <w:top w:val="none" w:sz="0" w:space="0" w:color="auto"/>
            <w:left w:val="none" w:sz="0" w:space="0" w:color="auto"/>
            <w:bottom w:val="none" w:sz="0" w:space="0" w:color="auto"/>
            <w:right w:val="none" w:sz="0" w:space="0" w:color="auto"/>
          </w:divBdr>
          <w:divsChild>
            <w:div w:id="1462647170">
              <w:marLeft w:val="0"/>
              <w:marRight w:val="0"/>
              <w:marTop w:val="0"/>
              <w:marBottom w:val="0"/>
              <w:divBdr>
                <w:top w:val="none" w:sz="0" w:space="0" w:color="auto"/>
                <w:left w:val="none" w:sz="0" w:space="0" w:color="auto"/>
                <w:bottom w:val="none" w:sz="0" w:space="0" w:color="auto"/>
                <w:right w:val="none" w:sz="0" w:space="0" w:color="auto"/>
              </w:divBdr>
              <w:divsChild>
                <w:div w:id="9029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5418">
      <w:bodyDiv w:val="1"/>
      <w:marLeft w:val="0"/>
      <w:marRight w:val="0"/>
      <w:marTop w:val="0"/>
      <w:marBottom w:val="0"/>
      <w:divBdr>
        <w:top w:val="none" w:sz="0" w:space="0" w:color="auto"/>
        <w:left w:val="none" w:sz="0" w:space="0" w:color="auto"/>
        <w:bottom w:val="none" w:sz="0" w:space="0" w:color="auto"/>
        <w:right w:val="none" w:sz="0" w:space="0" w:color="auto"/>
      </w:divBdr>
      <w:divsChild>
        <w:div w:id="1069426098">
          <w:marLeft w:val="-240"/>
          <w:marRight w:val="-240"/>
          <w:marTop w:val="0"/>
          <w:marBottom w:val="0"/>
          <w:divBdr>
            <w:top w:val="none" w:sz="0" w:space="0" w:color="auto"/>
            <w:left w:val="none" w:sz="0" w:space="0" w:color="auto"/>
            <w:bottom w:val="none" w:sz="0" w:space="0" w:color="auto"/>
            <w:right w:val="none" w:sz="0" w:space="0" w:color="auto"/>
          </w:divBdr>
          <w:divsChild>
            <w:div w:id="1785618167">
              <w:marLeft w:val="0"/>
              <w:marRight w:val="0"/>
              <w:marTop w:val="0"/>
              <w:marBottom w:val="0"/>
              <w:divBdr>
                <w:top w:val="none" w:sz="0" w:space="0" w:color="auto"/>
                <w:left w:val="none" w:sz="0" w:space="0" w:color="auto"/>
                <w:bottom w:val="none" w:sz="0" w:space="0" w:color="auto"/>
                <w:right w:val="none" w:sz="0" w:space="0" w:color="auto"/>
              </w:divBdr>
              <w:divsChild>
                <w:div w:id="6389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3012">
      <w:bodyDiv w:val="1"/>
      <w:marLeft w:val="0"/>
      <w:marRight w:val="0"/>
      <w:marTop w:val="0"/>
      <w:marBottom w:val="0"/>
      <w:divBdr>
        <w:top w:val="none" w:sz="0" w:space="0" w:color="auto"/>
        <w:left w:val="none" w:sz="0" w:space="0" w:color="auto"/>
        <w:bottom w:val="none" w:sz="0" w:space="0" w:color="auto"/>
        <w:right w:val="none" w:sz="0" w:space="0" w:color="auto"/>
      </w:divBdr>
      <w:divsChild>
        <w:div w:id="198550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C5E7B-551D-49C9-9AD7-CC81F1D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2</Pages>
  <Words>1215</Words>
  <Characters>221</Characters>
  <Application>Microsoft Office Word</Application>
  <DocSecurity>0</DocSecurity>
  <Lines>1</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CDPG-C07/24-SCHEDULING OF COUNCIL SESSIONS AND PLENIPOTENTIARY CONFERENCES</vt:lpstr>
    </vt:vector>
  </TitlesOfParts>
  <Manager>General Secretariat - Pool</Manager>
  <Company>International Telecommunication Union (ITU)</Company>
  <LinksUpToDate>false</LinksUpToDate>
  <CharactersWithSpaces>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EG-ITRs</dc:subject>
  <dc:creator>Brouard, Ricarda</dc:creator>
  <cp:keywords>EG-ITRs</cp:keywords>
  <dc:description/>
  <cp:lastModifiedBy>Zheng, Bingyue</cp:lastModifiedBy>
  <cp:revision>3</cp:revision>
  <cp:lastPrinted>2016-12-12T08:06:00Z</cp:lastPrinted>
  <dcterms:created xsi:type="dcterms:W3CDTF">2020-02-11T09:18:00Z</dcterms:created>
  <dcterms:modified xsi:type="dcterms:W3CDTF">2020-02-11T09:18:00Z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