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7365B9" w14:paraId="428D9337" w14:textId="77777777" w:rsidTr="00794753">
        <w:trPr>
          <w:cantSplit/>
          <w:trHeight w:val="851"/>
        </w:trPr>
        <w:tc>
          <w:tcPr>
            <w:tcW w:w="6345" w:type="dxa"/>
            <w:vAlign w:val="center"/>
          </w:tcPr>
          <w:p w14:paraId="6F693F0A" w14:textId="77777777" w:rsidR="007365B9" w:rsidRPr="002B5E43" w:rsidRDefault="007365B9" w:rsidP="00794753">
            <w:pPr>
              <w:shd w:val="solid" w:color="FFFFFF" w:fill="FFFFFF"/>
              <w:spacing w:after="0"/>
              <w:rPr>
                <w:rFonts w:cs="Times"/>
                <w:b/>
                <w:lang w:val="en-US"/>
              </w:rPr>
            </w:pPr>
            <w:r w:rsidRPr="002B5E43">
              <w:rPr>
                <w:rFonts w:cs="Times"/>
                <w:b/>
                <w:sz w:val="32"/>
                <w:szCs w:val="32"/>
                <w:lang w:val="en-US"/>
              </w:rPr>
              <w:t>Expert Group on the International</w:t>
            </w:r>
            <w:r w:rsidRPr="002B5E43">
              <w:rPr>
                <w:rFonts w:cs="Times"/>
                <w:b/>
                <w:sz w:val="32"/>
                <w:szCs w:val="32"/>
                <w:lang w:val="en-US"/>
              </w:rPr>
              <w:br/>
              <w:t>Telecommunication Regulations (EG-ITRs)</w:t>
            </w:r>
          </w:p>
        </w:tc>
        <w:tc>
          <w:tcPr>
            <w:tcW w:w="3492" w:type="dxa"/>
          </w:tcPr>
          <w:p w14:paraId="33A45640" w14:textId="77777777" w:rsidR="007365B9" w:rsidRDefault="007365B9" w:rsidP="00794753">
            <w:pPr>
              <w:pStyle w:val="dnum"/>
              <w:framePr w:hSpace="0" w:wrap="auto" w:vAnchor="margin" w:hAnchor="text" w:yAlign="inline"/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21E11709" wp14:editId="533D7C20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5B9" w14:paraId="6CCC139E" w14:textId="77777777" w:rsidTr="00794753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14:paraId="4C558723" w14:textId="77777777" w:rsidR="007365B9" w:rsidRPr="003737DE" w:rsidRDefault="007365B9" w:rsidP="00794753">
            <w:pPr>
              <w:shd w:val="solid" w:color="FFFFFF" w:fill="FFFFFF"/>
              <w:spacing w:after="0"/>
              <w:rPr>
                <w:rFonts w:cs="Times"/>
                <w:b/>
              </w:rPr>
            </w:pPr>
            <w:proofErr w:type="spellStart"/>
            <w:r>
              <w:rPr>
                <w:b/>
                <w:bCs/>
                <w:sz w:val="24"/>
                <w:szCs w:val="40"/>
              </w:rPr>
              <w:t>Second</w:t>
            </w:r>
            <w:proofErr w:type="spellEnd"/>
            <w:r>
              <w:rPr>
                <w:b/>
                <w:bCs/>
                <w:sz w:val="24"/>
                <w:szCs w:val="40"/>
              </w:rPr>
              <w:t xml:space="preserve"> meeting - </w:t>
            </w:r>
            <w:r w:rsidRPr="002238C4">
              <w:rPr>
                <w:b/>
                <w:bCs/>
                <w:sz w:val="24"/>
                <w:szCs w:val="40"/>
              </w:rPr>
              <w:t xml:space="preserve">Geneva, </w:t>
            </w:r>
            <w:r>
              <w:rPr>
                <w:b/>
                <w:bCs/>
                <w:sz w:val="24"/>
                <w:szCs w:val="40"/>
              </w:rPr>
              <w:t xml:space="preserve">12-13 </w:t>
            </w:r>
            <w:proofErr w:type="spellStart"/>
            <w:r>
              <w:rPr>
                <w:b/>
                <w:bCs/>
                <w:sz w:val="24"/>
                <w:szCs w:val="40"/>
              </w:rPr>
              <w:t>February</w:t>
            </w:r>
            <w:proofErr w:type="spellEnd"/>
            <w:r>
              <w:rPr>
                <w:b/>
                <w:bCs/>
                <w:sz w:val="24"/>
                <w:szCs w:val="40"/>
              </w:rPr>
              <w:t xml:space="preserve"> 2020</w:t>
            </w: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14:paraId="082E219C" w14:textId="77777777" w:rsidR="007365B9" w:rsidRDefault="007365B9" w:rsidP="00794753">
            <w:pPr>
              <w:pStyle w:val="dnum"/>
              <w:framePr w:hSpace="0" w:wrap="auto" w:vAnchor="margin" w:hAnchor="text" w:yAlign="inline"/>
              <w:spacing w:after="0"/>
              <w:rPr>
                <w:rFonts w:ascii="Verdana" w:hAnsi="Verdana"/>
              </w:rPr>
            </w:pPr>
          </w:p>
        </w:tc>
      </w:tr>
      <w:tr w:rsidR="007365B9" w:rsidRPr="00F5094D" w14:paraId="3ABA77FB" w14:textId="77777777" w:rsidTr="00794753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6C198C35" w14:textId="77777777" w:rsidR="007365B9" w:rsidRDefault="007365B9" w:rsidP="00794753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2B24B82E" w14:textId="77777777" w:rsidR="007365B9" w:rsidRPr="00F5094D" w:rsidRDefault="007365B9" w:rsidP="00794753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7365B9" w:rsidRPr="00C03DBE" w14:paraId="320781A0" w14:textId="77777777" w:rsidTr="00794753">
        <w:trPr>
          <w:cantSplit/>
          <w:trHeight w:val="138"/>
        </w:trPr>
        <w:tc>
          <w:tcPr>
            <w:tcW w:w="6345" w:type="dxa"/>
          </w:tcPr>
          <w:p w14:paraId="1E99A5A9" w14:textId="77777777" w:rsidR="007365B9" w:rsidRPr="002238C4" w:rsidRDefault="007365B9" w:rsidP="00794753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07751732" w14:textId="37F73A79" w:rsidR="007365B9" w:rsidRPr="002238C4" w:rsidRDefault="007365B9" w:rsidP="00794753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2238C4">
              <w:rPr>
                <w:b/>
                <w:bCs/>
                <w:sz w:val="24"/>
                <w:szCs w:val="24"/>
                <w:lang w:val="es-ES"/>
              </w:rPr>
              <w:t>Document</w:t>
            </w:r>
            <w:proofErr w:type="spellEnd"/>
            <w:r w:rsidRPr="002238C4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-ES"/>
              </w:rPr>
              <w:t>EG-ITRs-2\</w:t>
            </w:r>
            <w:r w:rsidR="00106D7F">
              <w:rPr>
                <w:b/>
                <w:bCs/>
                <w:sz w:val="24"/>
                <w:szCs w:val="24"/>
                <w:lang w:val="es-ES"/>
              </w:rPr>
              <w:t>12</w:t>
            </w:r>
            <w:r>
              <w:rPr>
                <w:b/>
                <w:bCs/>
                <w:sz w:val="24"/>
                <w:szCs w:val="24"/>
                <w:lang w:val="es-ES"/>
              </w:rPr>
              <w:t>-E</w:t>
            </w:r>
          </w:p>
        </w:tc>
      </w:tr>
      <w:tr w:rsidR="007365B9" w:rsidRPr="003737DE" w14:paraId="6C8D0CFF" w14:textId="77777777" w:rsidTr="00794753">
        <w:trPr>
          <w:cantSplit/>
          <w:trHeight w:val="138"/>
        </w:trPr>
        <w:tc>
          <w:tcPr>
            <w:tcW w:w="6345" w:type="dxa"/>
          </w:tcPr>
          <w:p w14:paraId="6504B442" w14:textId="77777777" w:rsidR="007365B9" w:rsidRDefault="007365B9" w:rsidP="00794753">
            <w:pPr>
              <w:shd w:val="solid" w:color="FFFFFF" w:fill="FFFFFF"/>
              <w:spacing w:after="0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00843FB7" w14:textId="0617F7F1" w:rsidR="007365B9" w:rsidRPr="002238C4" w:rsidRDefault="00106D7F" w:rsidP="00794753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February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365B9">
              <w:rPr>
                <w:b/>
                <w:sz w:val="24"/>
                <w:szCs w:val="24"/>
              </w:rPr>
              <w:t>2020</w:t>
            </w:r>
          </w:p>
        </w:tc>
      </w:tr>
      <w:tr w:rsidR="007365B9" w:rsidRPr="003737DE" w14:paraId="46D959B7" w14:textId="77777777" w:rsidTr="00794753">
        <w:trPr>
          <w:cantSplit/>
          <w:trHeight w:val="138"/>
        </w:trPr>
        <w:tc>
          <w:tcPr>
            <w:tcW w:w="6345" w:type="dxa"/>
          </w:tcPr>
          <w:p w14:paraId="7A387158" w14:textId="77777777" w:rsidR="007365B9" w:rsidRDefault="007365B9" w:rsidP="00794753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</w:tcPr>
          <w:p w14:paraId="62613920" w14:textId="77777777" w:rsidR="007365B9" w:rsidRPr="002238C4" w:rsidRDefault="007365B9" w:rsidP="00794753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Original: English</w:t>
            </w:r>
          </w:p>
        </w:tc>
      </w:tr>
      <w:tr w:rsidR="007365B9" w:rsidRPr="003737DE" w14:paraId="714F4C66" w14:textId="77777777" w:rsidTr="00794753">
        <w:trPr>
          <w:cantSplit/>
          <w:trHeight w:val="138"/>
        </w:trPr>
        <w:tc>
          <w:tcPr>
            <w:tcW w:w="9837" w:type="dxa"/>
            <w:gridSpan w:val="2"/>
          </w:tcPr>
          <w:p w14:paraId="1B539A33" w14:textId="77777777" w:rsidR="007365B9" w:rsidRDefault="007365B9" w:rsidP="00794753">
            <w:pPr>
              <w:pStyle w:val="Source"/>
            </w:pPr>
            <w:proofErr w:type="spellStart"/>
            <w:r>
              <w:t>Mexico</w:t>
            </w:r>
            <w:proofErr w:type="spellEnd"/>
          </w:p>
        </w:tc>
      </w:tr>
      <w:tr w:rsidR="007365B9" w:rsidRPr="001E3331" w14:paraId="5B44A14F" w14:textId="77777777" w:rsidTr="00794753">
        <w:trPr>
          <w:cantSplit/>
          <w:trHeight w:val="138"/>
        </w:trPr>
        <w:tc>
          <w:tcPr>
            <w:tcW w:w="9837" w:type="dxa"/>
            <w:gridSpan w:val="2"/>
          </w:tcPr>
          <w:p w14:paraId="0A32D5E6" w14:textId="77777777" w:rsidR="007365B9" w:rsidRPr="002B5E43" w:rsidRDefault="007365B9" w:rsidP="00794753">
            <w:pPr>
              <w:pStyle w:val="Title1"/>
              <w:rPr>
                <w:lang w:val="en-US"/>
              </w:rPr>
            </w:pPr>
            <w:r w:rsidRPr="002B5E43">
              <w:rPr>
                <w:lang w:val="en-US"/>
              </w:rPr>
              <w:t>RESPONSE TO THE CITEL QUESTIONNAIRE</w:t>
            </w:r>
          </w:p>
        </w:tc>
      </w:tr>
    </w:tbl>
    <w:p w14:paraId="72ED3BD9" w14:textId="77777777" w:rsidR="007D7ADB" w:rsidRDefault="007D7ADB">
      <w:pPr>
        <w:rPr>
          <w:lang w:val="en-US"/>
        </w:rPr>
      </w:pPr>
    </w:p>
    <w:p w14:paraId="121DE01B" w14:textId="77777777" w:rsidR="007365B9" w:rsidRDefault="007365B9" w:rsidP="007365B9">
      <w:pPr>
        <w:spacing w:after="0" w:line="240" w:lineRule="auto"/>
        <w:jc w:val="both"/>
        <w:rPr>
          <w:sz w:val="24"/>
          <w:szCs w:val="24"/>
          <w:lang w:val="en-US"/>
        </w:rPr>
      </w:pPr>
      <w:r w:rsidRPr="002B5E43">
        <w:rPr>
          <w:b/>
          <w:sz w:val="24"/>
          <w:szCs w:val="24"/>
          <w:lang w:val="en-US"/>
        </w:rPr>
        <w:t>SUMMARY</w:t>
      </w:r>
      <w:r w:rsidRPr="002B5E43">
        <w:rPr>
          <w:sz w:val="24"/>
          <w:szCs w:val="24"/>
          <w:lang w:val="en-US"/>
        </w:rPr>
        <w:t>:</w:t>
      </w:r>
    </w:p>
    <w:p w14:paraId="1F2B316B" w14:textId="77777777" w:rsidR="007365B9" w:rsidRPr="002B5E43" w:rsidRDefault="007365B9" w:rsidP="00260B74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713A5E5" w14:textId="77777777" w:rsidR="007365B9" w:rsidRDefault="007365B9" w:rsidP="00260B74">
      <w:pPr>
        <w:spacing w:after="0" w:line="240" w:lineRule="auto"/>
        <w:jc w:val="both"/>
        <w:rPr>
          <w:sz w:val="24"/>
          <w:szCs w:val="24"/>
          <w:lang w:val="en-US"/>
        </w:rPr>
      </w:pPr>
      <w:r w:rsidRPr="002B5E43">
        <w:rPr>
          <w:sz w:val="24"/>
          <w:szCs w:val="24"/>
          <w:lang w:val="en-US"/>
        </w:rPr>
        <w:t>During the EG-ITRs September 2019 meeting, the administrations of the Commonwealth of the</w:t>
      </w:r>
      <w:r>
        <w:rPr>
          <w:sz w:val="24"/>
          <w:szCs w:val="24"/>
          <w:lang w:val="en-US"/>
        </w:rPr>
        <w:t xml:space="preserve"> </w:t>
      </w:r>
      <w:r w:rsidRPr="002B5E43">
        <w:rPr>
          <w:sz w:val="24"/>
          <w:szCs w:val="24"/>
          <w:lang w:val="en-US"/>
        </w:rPr>
        <w:t>Bahamas, Brazil, Canada, Mexico, Paraguay and the United States of America agreed to circulate</w:t>
      </w:r>
      <w:r>
        <w:rPr>
          <w:sz w:val="24"/>
          <w:szCs w:val="24"/>
          <w:lang w:val="en-US"/>
        </w:rPr>
        <w:t xml:space="preserve"> </w:t>
      </w:r>
      <w:r w:rsidRPr="002B5E43">
        <w:rPr>
          <w:sz w:val="24"/>
          <w:szCs w:val="24"/>
          <w:lang w:val="en-US"/>
        </w:rPr>
        <w:t>the questions below to all CITEL Administrations and Associate Members.</w:t>
      </w:r>
    </w:p>
    <w:p w14:paraId="27D01BBC" w14:textId="77777777" w:rsidR="007365B9" w:rsidRPr="002B5E43" w:rsidRDefault="007365B9" w:rsidP="00260B74">
      <w:pPr>
        <w:spacing w:after="0" w:line="240" w:lineRule="auto"/>
        <w:jc w:val="both"/>
        <w:rPr>
          <w:i/>
          <w:sz w:val="24"/>
          <w:szCs w:val="24"/>
          <w:lang w:val="en-US"/>
        </w:rPr>
      </w:pPr>
    </w:p>
    <w:p w14:paraId="75C4B118" w14:textId="77777777" w:rsidR="007365B9" w:rsidRPr="002B5E43" w:rsidRDefault="007365B9" w:rsidP="00260B74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Mexico</w:t>
      </w:r>
      <w:r w:rsidRPr="002B5E43">
        <w:rPr>
          <w:sz w:val="24"/>
          <w:szCs w:val="24"/>
          <w:lang w:val="en-US"/>
        </w:rPr>
        <w:t xml:space="preserve"> is pleased to respond to the above questions as follows:</w:t>
      </w:r>
    </w:p>
    <w:p w14:paraId="15CACF98" w14:textId="77777777" w:rsidR="007365B9" w:rsidRDefault="007365B9" w:rsidP="00260B74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08AC706" w14:textId="77777777" w:rsidR="007365B9" w:rsidRPr="009214AE" w:rsidRDefault="007365B9" w:rsidP="00260B74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214AE">
        <w:rPr>
          <w:b/>
          <w:sz w:val="24"/>
          <w:szCs w:val="24"/>
          <w:lang w:val="en-US"/>
        </w:rPr>
        <w:t>Question 1: Do you use the ITRs? If so how? If not, why?</w:t>
      </w:r>
    </w:p>
    <w:p w14:paraId="0701EBA1" w14:textId="77777777" w:rsidR="007365B9" w:rsidRDefault="007365B9" w:rsidP="00260B74">
      <w:pPr>
        <w:spacing w:line="240" w:lineRule="auto"/>
        <w:jc w:val="both"/>
        <w:rPr>
          <w:sz w:val="24"/>
          <w:lang w:val="en-US"/>
        </w:rPr>
      </w:pPr>
      <w:r w:rsidRPr="007365B9">
        <w:rPr>
          <w:sz w:val="24"/>
          <w:lang w:val="en-US"/>
        </w:rPr>
        <w:t>According to the Politic</w:t>
      </w:r>
      <w:r>
        <w:rPr>
          <w:sz w:val="24"/>
          <w:lang w:val="en-US"/>
        </w:rPr>
        <w:t>al</w:t>
      </w:r>
      <w:r w:rsidRPr="007365B9">
        <w:rPr>
          <w:sz w:val="24"/>
          <w:lang w:val="en-US"/>
        </w:rPr>
        <w:t xml:space="preserve"> Constitution of the United Mexican States</w:t>
      </w:r>
      <w:r w:rsidR="00E663B2">
        <w:rPr>
          <w:sz w:val="24"/>
          <w:lang w:val="en-US"/>
        </w:rPr>
        <w:t>, in Mexico,</w:t>
      </w:r>
      <w:r>
        <w:rPr>
          <w:sz w:val="24"/>
          <w:lang w:val="en-US"/>
        </w:rPr>
        <w:t xml:space="preserve"> </w:t>
      </w:r>
      <w:r w:rsidR="001E3331">
        <w:rPr>
          <w:sz w:val="24"/>
          <w:lang w:val="en-US"/>
        </w:rPr>
        <w:t xml:space="preserve">the </w:t>
      </w:r>
      <w:r>
        <w:rPr>
          <w:sz w:val="24"/>
          <w:lang w:val="en-US"/>
        </w:rPr>
        <w:t>telecommunications are considered “public services of general interest, so that the State shall guarantee that they are provided on conditions of competence, plural</w:t>
      </w:r>
      <w:r w:rsidR="00151A5A">
        <w:rPr>
          <w:sz w:val="24"/>
          <w:lang w:val="en-US"/>
        </w:rPr>
        <w:t>ity</w:t>
      </w:r>
      <w:r w:rsidR="007E7647">
        <w:rPr>
          <w:sz w:val="24"/>
          <w:lang w:val="en-US"/>
        </w:rPr>
        <w:t>,</w:t>
      </w:r>
      <w:r>
        <w:rPr>
          <w:sz w:val="24"/>
          <w:lang w:val="en-US"/>
        </w:rPr>
        <w:t xml:space="preserve"> quality, coverage, interconnection</w:t>
      </w:r>
      <w:r w:rsidR="00151A5A">
        <w:rPr>
          <w:sz w:val="24"/>
          <w:lang w:val="en-US"/>
        </w:rPr>
        <w:t xml:space="preserve">, convergence, continuity, </w:t>
      </w:r>
      <w:r>
        <w:rPr>
          <w:sz w:val="24"/>
          <w:lang w:val="en-US"/>
        </w:rPr>
        <w:t xml:space="preserve">free access and without </w:t>
      </w:r>
      <w:r w:rsidRPr="007365B9">
        <w:rPr>
          <w:sz w:val="24"/>
          <w:lang w:val="en-US"/>
        </w:rPr>
        <w:t>arbitrary interference</w:t>
      </w:r>
      <w:r>
        <w:rPr>
          <w:sz w:val="24"/>
          <w:lang w:val="en-US"/>
        </w:rPr>
        <w:t xml:space="preserve">”. Thus is why, under operative terms, Mexico considers that the ITR is congruence </w:t>
      </w:r>
      <w:r w:rsidR="00E663B2">
        <w:rPr>
          <w:sz w:val="24"/>
          <w:lang w:val="en-US"/>
        </w:rPr>
        <w:t xml:space="preserve">under such principles, that is why the ITR is still used as reference for the emission of </w:t>
      </w:r>
      <w:r w:rsidR="007E7647">
        <w:rPr>
          <w:sz w:val="24"/>
          <w:lang w:val="en-US"/>
        </w:rPr>
        <w:t xml:space="preserve">general </w:t>
      </w:r>
      <w:r w:rsidR="00E663B2">
        <w:rPr>
          <w:sz w:val="24"/>
          <w:lang w:val="en-US"/>
        </w:rPr>
        <w:t xml:space="preserve">administrative </w:t>
      </w:r>
      <w:r w:rsidR="007E7647">
        <w:rPr>
          <w:sz w:val="24"/>
          <w:lang w:val="en-US"/>
        </w:rPr>
        <w:t>provisions and rules.</w:t>
      </w:r>
      <w:r w:rsidR="00E663B2">
        <w:rPr>
          <w:sz w:val="24"/>
          <w:lang w:val="en-US"/>
        </w:rPr>
        <w:t xml:space="preserve"> </w:t>
      </w:r>
    </w:p>
    <w:p w14:paraId="6FB926AC" w14:textId="77777777" w:rsidR="00151A5A" w:rsidRDefault="00151A5A" w:rsidP="00260B74">
      <w:pPr>
        <w:spacing w:line="24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Question 2: </w:t>
      </w:r>
      <w:r w:rsidRPr="00151A5A">
        <w:rPr>
          <w:b/>
          <w:sz w:val="24"/>
          <w:lang w:val="en-US"/>
        </w:rPr>
        <w:t>In the current international telecommunications/ICTs environment, are the 2012 ITRs applicable in fostering the provision and development of international telecommunication/ICT services and networks? Please give examples.</w:t>
      </w:r>
    </w:p>
    <w:p w14:paraId="2D0D949D" w14:textId="77777777" w:rsidR="00151A5A" w:rsidRDefault="00151A5A" w:rsidP="00260B74">
      <w:p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Me</w:t>
      </w:r>
      <w:r w:rsidR="00260B74">
        <w:rPr>
          <w:sz w:val="24"/>
          <w:lang w:val="en-US"/>
        </w:rPr>
        <w:t>xico considers that there are</w:t>
      </w:r>
      <w:r>
        <w:rPr>
          <w:sz w:val="24"/>
          <w:lang w:val="en-US"/>
        </w:rPr>
        <w:t xml:space="preserve"> elements of the ITR 2012, which continue to be valid in the international context of the telecommunication sector since, by promoting a bigger </w:t>
      </w:r>
      <w:r w:rsidR="005B4BFE">
        <w:rPr>
          <w:sz w:val="24"/>
          <w:lang w:val="en-US"/>
        </w:rPr>
        <w:t xml:space="preserve">regulatory coherence; they generate </w:t>
      </w:r>
      <w:r>
        <w:rPr>
          <w:sz w:val="24"/>
          <w:lang w:val="en-US"/>
        </w:rPr>
        <w:t xml:space="preserve">certainty to the international telecommunications. </w:t>
      </w:r>
    </w:p>
    <w:p w14:paraId="7D0B15E3" w14:textId="77777777" w:rsidR="00260B74" w:rsidRDefault="00260B74" w:rsidP="00260B74">
      <w:p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Nowadays, the c</w:t>
      </w:r>
      <w:r w:rsidR="00AD3FCC">
        <w:rPr>
          <w:sz w:val="24"/>
          <w:lang w:val="en-US"/>
        </w:rPr>
        <w:t xml:space="preserve">urrent international legal instruments </w:t>
      </w:r>
      <w:r>
        <w:rPr>
          <w:sz w:val="24"/>
          <w:lang w:val="en-US"/>
        </w:rPr>
        <w:t xml:space="preserve">such as the free </w:t>
      </w:r>
      <w:r w:rsidR="005B4BFE">
        <w:rPr>
          <w:sz w:val="24"/>
          <w:lang w:val="en-US"/>
        </w:rPr>
        <w:t>trade tr</w:t>
      </w:r>
      <w:r>
        <w:rPr>
          <w:sz w:val="24"/>
          <w:lang w:val="en-US"/>
        </w:rPr>
        <w:t xml:space="preserve">eaties </w:t>
      </w:r>
      <w:r w:rsidR="005B4BFE">
        <w:rPr>
          <w:sz w:val="24"/>
          <w:lang w:val="en-US"/>
        </w:rPr>
        <w:t xml:space="preserve">do </w:t>
      </w:r>
      <w:r>
        <w:rPr>
          <w:sz w:val="24"/>
          <w:lang w:val="en-US"/>
        </w:rPr>
        <w:t>not always include the current tendencies and issues of the telecommunication sector.</w:t>
      </w:r>
      <w:r w:rsidR="007173BD">
        <w:rPr>
          <w:sz w:val="24"/>
          <w:lang w:val="en-US"/>
        </w:rPr>
        <w:t xml:space="preserve"> However, the ITR embraces the provisions</w:t>
      </w:r>
      <w:r>
        <w:rPr>
          <w:sz w:val="24"/>
          <w:lang w:val="en-US"/>
        </w:rPr>
        <w:t xml:space="preserve"> that are not included in such Treaties or in the </w:t>
      </w:r>
      <w:r w:rsidRPr="00260B74">
        <w:rPr>
          <w:sz w:val="24"/>
          <w:lang w:val="en-US"/>
        </w:rPr>
        <w:t>Telecommunications Annex of the General Agreement on Trade in Services</w:t>
      </w:r>
      <w:r>
        <w:rPr>
          <w:sz w:val="24"/>
          <w:lang w:val="en-US"/>
        </w:rPr>
        <w:t xml:space="preserve"> of the WTO. On the other hand, the ITR, compared to other instruments, includes </w:t>
      </w:r>
      <w:r w:rsidR="003A5F32">
        <w:rPr>
          <w:sz w:val="24"/>
          <w:lang w:val="en-US"/>
        </w:rPr>
        <w:t>provis</w:t>
      </w:r>
      <w:r w:rsidR="007173BD">
        <w:rPr>
          <w:sz w:val="24"/>
          <w:lang w:val="en-US"/>
        </w:rPr>
        <w:t>ions</w:t>
      </w:r>
      <w:r>
        <w:rPr>
          <w:sz w:val="24"/>
          <w:lang w:val="en-US"/>
        </w:rPr>
        <w:t xml:space="preserve"> related to </w:t>
      </w:r>
      <w:r>
        <w:rPr>
          <w:sz w:val="24"/>
          <w:lang w:val="en-US"/>
        </w:rPr>
        <w:lastRenderedPageBreak/>
        <w:t>human life security re</w:t>
      </w:r>
      <w:r w:rsidR="00AD3FCC">
        <w:rPr>
          <w:sz w:val="24"/>
          <w:lang w:val="en-US"/>
        </w:rPr>
        <w:t>garding</w:t>
      </w:r>
      <w:r>
        <w:rPr>
          <w:sz w:val="24"/>
          <w:lang w:val="en-US"/>
        </w:rPr>
        <w:t xml:space="preserve"> to </w:t>
      </w:r>
      <w:r w:rsidR="003A5F32">
        <w:rPr>
          <w:sz w:val="24"/>
          <w:lang w:val="en-US"/>
        </w:rPr>
        <w:t>disaster relief telecommunication</w:t>
      </w:r>
      <w:r w:rsidR="00AD3FCC">
        <w:rPr>
          <w:sz w:val="24"/>
          <w:lang w:val="en-US"/>
        </w:rPr>
        <w:t>, security an</w:t>
      </w:r>
      <w:bookmarkStart w:id="0" w:name="_GoBack"/>
      <w:bookmarkEnd w:id="0"/>
      <w:r w:rsidR="00AD3FCC">
        <w:rPr>
          <w:sz w:val="24"/>
          <w:lang w:val="en-US"/>
        </w:rPr>
        <w:t>d robustness of</w:t>
      </w:r>
      <w:r>
        <w:rPr>
          <w:sz w:val="24"/>
          <w:lang w:val="en-US"/>
        </w:rPr>
        <w:t xml:space="preserve"> networks, unsolicited massive electronic communications, suspension of services, electronic waste or accessibility issues.</w:t>
      </w:r>
    </w:p>
    <w:p w14:paraId="2D5390EA" w14:textId="77777777" w:rsidR="00554D9D" w:rsidRDefault="00AD3FCC" w:rsidP="00260B74">
      <w:p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For instance, in matters of security and robustness of networks, the ITR </w:t>
      </w:r>
      <w:r w:rsidR="003A5F32">
        <w:rPr>
          <w:sz w:val="24"/>
          <w:lang w:val="en-US"/>
        </w:rPr>
        <w:t>e</w:t>
      </w:r>
      <w:r>
        <w:rPr>
          <w:sz w:val="24"/>
          <w:lang w:val="en-US"/>
        </w:rPr>
        <w:t xml:space="preserve">stablishes that </w:t>
      </w:r>
      <w:r w:rsidR="003A5F32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security and robustness of </w:t>
      </w:r>
      <w:r w:rsidR="00554D9D">
        <w:rPr>
          <w:sz w:val="24"/>
          <w:lang w:val="en-US"/>
        </w:rPr>
        <w:t xml:space="preserve">international telecommunications </w:t>
      </w:r>
      <w:r>
        <w:rPr>
          <w:sz w:val="24"/>
          <w:lang w:val="en-US"/>
        </w:rPr>
        <w:t xml:space="preserve">networks is </w:t>
      </w:r>
      <w:r w:rsidR="003A5F32">
        <w:rPr>
          <w:sz w:val="24"/>
          <w:lang w:val="en-US"/>
        </w:rPr>
        <w:t>an obligation</w:t>
      </w:r>
      <w:r>
        <w:rPr>
          <w:sz w:val="24"/>
          <w:lang w:val="en-US"/>
        </w:rPr>
        <w:t xml:space="preserve">, individual and collective, of the Member States, </w:t>
      </w:r>
      <w:r w:rsidR="003A5F32">
        <w:rPr>
          <w:sz w:val="24"/>
          <w:lang w:val="en-US"/>
        </w:rPr>
        <w:t xml:space="preserve">who shall look for the </w:t>
      </w:r>
      <w:r>
        <w:rPr>
          <w:sz w:val="24"/>
          <w:lang w:val="en-US"/>
        </w:rPr>
        <w:t xml:space="preserve">harmonious development </w:t>
      </w:r>
      <w:r w:rsidR="00554D9D">
        <w:rPr>
          <w:sz w:val="24"/>
          <w:lang w:val="en-US"/>
        </w:rPr>
        <w:t>of</w:t>
      </w:r>
      <w:r w:rsidR="00574C3B">
        <w:rPr>
          <w:sz w:val="24"/>
          <w:lang w:val="en-US"/>
        </w:rPr>
        <w:t xml:space="preserve"> services offered to the public. In </w:t>
      </w:r>
      <w:r w:rsidR="00677E94">
        <w:rPr>
          <w:sz w:val="24"/>
          <w:lang w:val="en-US"/>
        </w:rPr>
        <w:t>terms of accessibility</w:t>
      </w:r>
      <w:r w:rsidR="00574C3B">
        <w:rPr>
          <w:sz w:val="24"/>
          <w:lang w:val="en-US"/>
        </w:rPr>
        <w:t xml:space="preserve">, the </w:t>
      </w:r>
      <w:r w:rsidR="00677E94">
        <w:rPr>
          <w:sz w:val="24"/>
          <w:lang w:val="en-US"/>
        </w:rPr>
        <w:t>ITR</w:t>
      </w:r>
      <w:r w:rsidR="00574C3B">
        <w:rPr>
          <w:sz w:val="24"/>
          <w:lang w:val="en-US"/>
        </w:rPr>
        <w:t xml:space="preserve"> points that the Member States shall promote access for people with disabilities to the international telecommunication services. Regarding roaming, the ITR </w:t>
      </w:r>
      <w:r w:rsidR="00677E94">
        <w:rPr>
          <w:sz w:val="24"/>
          <w:lang w:val="en-US"/>
        </w:rPr>
        <w:t>stipulates</w:t>
      </w:r>
      <w:r w:rsidR="00574C3B">
        <w:rPr>
          <w:sz w:val="24"/>
          <w:lang w:val="en-US"/>
        </w:rPr>
        <w:t xml:space="preserve"> that the States will look to promote the competence and will encourage cooperation to avoid or reduce unnoticed roaming costs </w:t>
      </w:r>
      <w:r w:rsidR="00554D9D">
        <w:rPr>
          <w:sz w:val="24"/>
          <w:lang w:val="en-US"/>
        </w:rPr>
        <w:t>in border zones.</w:t>
      </w:r>
    </w:p>
    <w:p w14:paraId="79EB26C3" w14:textId="77777777" w:rsidR="00554D9D" w:rsidRDefault="00554D9D" w:rsidP="00260B74">
      <w:p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Finally, there are other relevant </w:t>
      </w:r>
      <w:r w:rsidR="007173BD">
        <w:rPr>
          <w:sz w:val="24"/>
          <w:lang w:val="en-US"/>
        </w:rPr>
        <w:t>provisions</w:t>
      </w:r>
      <w:r>
        <w:rPr>
          <w:sz w:val="24"/>
          <w:lang w:val="en-US"/>
        </w:rPr>
        <w:t xml:space="preserve"> to promote the development of the telecommunications networks, as follows:</w:t>
      </w:r>
    </w:p>
    <w:p w14:paraId="4D3B0B2A" w14:textId="77777777" w:rsidR="00AD3FCC" w:rsidRDefault="00554D9D" w:rsidP="00554D9D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promotion, by the Member States, of the investment on international telecommunication networks and wholesale prices that are competitive for the traffic under such telecommunication networks. </w:t>
      </w:r>
    </w:p>
    <w:p w14:paraId="6D281BB4" w14:textId="77777777" w:rsidR="00741198" w:rsidRDefault="00484EFC" w:rsidP="00554D9D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Regarding</w:t>
      </w:r>
      <w:r w:rsidR="00554D9D">
        <w:rPr>
          <w:sz w:val="24"/>
          <w:lang w:val="en-US"/>
        </w:rPr>
        <w:t xml:space="preserve"> the telecommunications sector and its </w:t>
      </w:r>
      <w:r w:rsidR="00741198">
        <w:rPr>
          <w:sz w:val="24"/>
          <w:lang w:val="en-US"/>
        </w:rPr>
        <w:t xml:space="preserve">economic development, the </w:t>
      </w:r>
      <w:r>
        <w:rPr>
          <w:sz w:val="24"/>
          <w:lang w:val="en-US"/>
        </w:rPr>
        <w:t>ITR</w:t>
      </w:r>
      <w:r w:rsidR="00741198">
        <w:rPr>
          <w:sz w:val="24"/>
          <w:lang w:val="en-US"/>
        </w:rPr>
        <w:t xml:space="preserve"> </w:t>
      </w:r>
      <w:r>
        <w:rPr>
          <w:sz w:val="24"/>
          <w:lang w:val="en-US"/>
        </w:rPr>
        <w:t>stipulates that the “authorized exploitation companies” will establish the “Distribution and P</w:t>
      </w:r>
      <w:r w:rsidR="00741198">
        <w:rPr>
          <w:sz w:val="24"/>
          <w:lang w:val="en-US"/>
        </w:rPr>
        <w:t>erception Rate</w:t>
      </w:r>
      <w:r>
        <w:rPr>
          <w:sz w:val="24"/>
          <w:lang w:val="en-US"/>
        </w:rPr>
        <w:t xml:space="preserve">” and the international routes; this face </w:t>
      </w:r>
      <w:r w:rsidR="00741198">
        <w:rPr>
          <w:sz w:val="24"/>
          <w:lang w:val="en-US"/>
        </w:rPr>
        <w:t>the realities of the telecommunications market and the promotion of competence.</w:t>
      </w:r>
    </w:p>
    <w:p w14:paraId="36BBB33D" w14:textId="77777777" w:rsidR="00554D9D" w:rsidRDefault="00484EFC" w:rsidP="002D0AC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The ITR</w:t>
      </w:r>
      <w:r w:rsidR="00741198">
        <w:rPr>
          <w:sz w:val="24"/>
          <w:lang w:val="en-US"/>
        </w:rPr>
        <w:t xml:space="preserve"> stablish</w:t>
      </w:r>
      <w:r>
        <w:rPr>
          <w:sz w:val="24"/>
          <w:lang w:val="en-US"/>
        </w:rPr>
        <w:t>es</w:t>
      </w:r>
      <w:r w:rsidR="00741198">
        <w:rPr>
          <w:sz w:val="24"/>
          <w:lang w:val="en-US"/>
        </w:rPr>
        <w:t xml:space="preserve"> </w:t>
      </w:r>
      <w:r w:rsidR="00BE7570">
        <w:rPr>
          <w:sz w:val="24"/>
          <w:lang w:val="en-US"/>
        </w:rPr>
        <w:t>provisions</w:t>
      </w:r>
      <w:r w:rsidR="00741198">
        <w:rPr>
          <w:sz w:val="24"/>
          <w:lang w:val="en-US"/>
        </w:rPr>
        <w:t xml:space="preserve"> related to </w:t>
      </w:r>
      <w:r w:rsidR="00BE7570">
        <w:rPr>
          <w:sz w:val="24"/>
          <w:lang w:val="en-US"/>
        </w:rPr>
        <w:t>ensuring</w:t>
      </w:r>
      <w:r w:rsidR="00741198">
        <w:rPr>
          <w:sz w:val="24"/>
          <w:lang w:val="en-US"/>
        </w:rPr>
        <w:t xml:space="preserve"> the identification of </w:t>
      </w:r>
      <w:r w:rsidR="00BE7570">
        <w:rPr>
          <w:sz w:val="24"/>
          <w:lang w:val="en-US"/>
        </w:rPr>
        <w:t xml:space="preserve">an </w:t>
      </w:r>
      <w:r w:rsidR="007A6AFD">
        <w:rPr>
          <w:sz w:val="24"/>
          <w:lang w:val="en-US"/>
        </w:rPr>
        <w:t xml:space="preserve">international calling line, </w:t>
      </w:r>
      <w:r w:rsidR="00BE7570">
        <w:rPr>
          <w:sz w:val="24"/>
          <w:lang w:val="en-US"/>
        </w:rPr>
        <w:t>ensuring the proper use of numbering resources, creating</w:t>
      </w:r>
      <w:r w:rsidR="007A6AFD">
        <w:rPr>
          <w:sz w:val="24"/>
          <w:lang w:val="en-US"/>
        </w:rPr>
        <w:t xml:space="preserve"> auspicious environments to stablish </w:t>
      </w:r>
      <w:r w:rsidR="00BE7570">
        <w:rPr>
          <w:sz w:val="24"/>
          <w:lang w:val="en-US"/>
        </w:rPr>
        <w:t>regional</w:t>
      </w:r>
      <w:r w:rsidR="002D0AC1">
        <w:rPr>
          <w:sz w:val="24"/>
          <w:lang w:val="en-US"/>
        </w:rPr>
        <w:t xml:space="preserve"> </w:t>
      </w:r>
      <w:r w:rsidR="002D0AC1" w:rsidRPr="002D0AC1">
        <w:rPr>
          <w:sz w:val="24"/>
          <w:lang w:val="en-US"/>
        </w:rPr>
        <w:t>telecommunication traffic exchange centers</w:t>
      </w:r>
      <w:r w:rsidR="00BE7570">
        <w:rPr>
          <w:sz w:val="24"/>
          <w:lang w:val="en-US"/>
        </w:rPr>
        <w:t xml:space="preserve"> </w:t>
      </w:r>
      <w:r w:rsidR="002D0AC1">
        <w:rPr>
          <w:sz w:val="24"/>
          <w:lang w:val="en-US"/>
        </w:rPr>
        <w:t xml:space="preserve">and seeking measures to prevent the spread of unsolicited mass electronic communications. </w:t>
      </w:r>
      <w:r w:rsidR="00BE7570">
        <w:rPr>
          <w:sz w:val="24"/>
          <w:lang w:val="en-US"/>
        </w:rPr>
        <w:t xml:space="preserve"> </w:t>
      </w:r>
    </w:p>
    <w:p w14:paraId="59D805E6" w14:textId="77777777" w:rsidR="002D0AC1" w:rsidRDefault="00514243" w:rsidP="007173BD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The ITR co</w:t>
      </w:r>
      <w:r w:rsidR="007173BD">
        <w:rPr>
          <w:sz w:val="24"/>
          <w:lang w:val="en-US"/>
        </w:rPr>
        <w:t xml:space="preserve">mpromises </w:t>
      </w:r>
      <w:r w:rsidR="002D0AC1">
        <w:rPr>
          <w:sz w:val="24"/>
          <w:lang w:val="en-US"/>
        </w:rPr>
        <w:t xml:space="preserve">Member States </w:t>
      </w:r>
      <w:r w:rsidR="007173BD">
        <w:rPr>
          <w:sz w:val="24"/>
          <w:lang w:val="en-US"/>
        </w:rPr>
        <w:t xml:space="preserve">to encourage </w:t>
      </w:r>
      <w:r w:rsidR="007173BD" w:rsidRPr="007173BD">
        <w:rPr>
          <w:sz w:val="24"/>
          <w:lang w:val="en-US"/>
        </w:rPr>
        <w:t xml:space="preserve">"authorized </w:t>
      </w:r>
      <w:r w:rsidR="007173BD">
        <w:rPr>
          <w:sz w:val="24"/>
          <w:lang w:val="en-US"/>
        </w:rPr>
        <w:t>exploitation</w:t>
      </w:r>
      <w:r w:rsidR="007173BD" w:rsidRPr="007173BD">
        <w:rPr>
          <w:sz w:val="24"/>
          <w:lang w:val="en-US"/>
        </w:rPr>
        <w:t xml:space="preserve"> companies" to inform end users in a timely and </w:t>
      </w:r>
      <w:r w:rsidRPr="007173BD">
        <w:rPr>
          <w:sz w:val="24"/>
          <w:lang w:val="en-US"/>
        </w:rPr>
        <w:t>freeway</w:t>
      </w:r>
      <w:r w:rsidR="007173BD" w:rsidRPr="007173BD">
        <w:rPr>
          <w:sz w:val="24"/>
          <w:lang w:val="en-US"/>
        </w:rPr>
        <w:t xml:space="preserve"> about emergency service call numbers, as well as to collaborate to offer a wide range of international telecommunication services with satisfactory quality.</w:t>
      </w:r>
    </w:p>
    <w:p w14:paraId="4F67211F" w14:textId="77777777" w:rsidR="007173BD" w:rsidRDefault="007173BD" w:rsidP="007173BD">
      <w:pPr>
        <w:spacing w:line="240" w:lineRule="auto"/>
        <w:jc w:val="both"/>
        <w:rPr>
          <w:b/>
          <w:sz w:val="24"/>
          <w:lang w:val="en-US"/>
        </w:rPr>
      </w:pPr>
      <w:r w:rsidRPr="007173BD">
        <w:rPr>
          <w:b/>
          <w:sz w:val="24"/>
          <w:lang w:val="en-US"/>
        </w:rPr>
        <w:t>Question 3: In the current international telecommunications/ICTs environment, are the 2012 ITRs flexible to accommodate new trends in telecommunications/ICT and emergin</w:t>
      </w:r>
      <w:r>
        <w:rPr>
          <w:b/>
          <w:sz w:val="24"/>
          <w:lang w:val="en-US"/>
        </w:rPr>
        <w:t>g issues? Please give examples.</w:t>
      </w:r>
    </w:p>
    <w:p w14:paraId="426E7090" w14:textId="77777777" w:rsidR="007173BD" w:rsidRPr="007173BD" w:rsidRDefault="007173BD" w:rsidP="007173BD">
      <w:p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It is considered that </w:t>
      </w:r>
      <w:r w:rsidR="00F0024C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ITR is not currently flexible to face the new tendencies in the telecommunications and ICT sector; subjects as international cooperation, internet, network development and broadband services, effective protection of data and personal information, among others, could be considered in a possible review of the </w:t>
      </w:r>
      <w:r w:rsidR="00514243">
        <w:rPr>
          <w:sz w:val="24"/>
          <w:lang w:val="en-US"/>
        </w:rPr>
        <w:t>ITR</w:t>
      </w:r>
      <w:r>
        <w:rPr>
          <w:sz w:val="24"/>
          <w:lang w:val="en-US"/>
        </w:rPr>
        <w:t xml:space="preserve">,   </w:t>
      </w:r>
      <w:r w:rsidRPr="007173BD">
        <w:rPr>
          <w:sz w:val="24"/>
          <w:lang w:val="en-US"/>
        </w:rPr>
        <w:t>in order to amend the relevant provisions and define a language with stronger and clearer obligations, as necessary.</w:t>
      </w:r>
      <w:r>
        <w:rPr>
          <w:sz w:val="24"/>
          <w:lang w:val="en-US"/>
        </w:rPr>
        <w:t xml:space="preserve"> </w:t>
      </w:r>
    </w:p>
    <w:sectPr w:rsidR="007173BD" w:rsidRPr="007173BD" w:rsidSect="00F0024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C545" w14:textId="77777777" w:rsidR="001B3D07" w:rsidRDefault="001B3D07" w:rsidP="00F0024C">
      <w:pPr>
        <w:spacing w:after="0" w:line="240" w:lineRule="auto"/>
      </w:pPr>
      <w:r>
        <w:separator/>
      </w:r>
    </w:p>
  </w:endnote>
  <w:endnote w:type="continuationSeparator" w:id="0">
    <w:p w14:paraId="5EC63386" w14:textId="77777777" w:rsidR="001B3D07" w:rsidRDefault="001B3D07" w:rsidP="00F0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4754" w14:textId="77777777" w:rsidR="004A727A" w:rsidRDefault="004A727A" w:rsidP="004A727A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  <w:p w14:paraId="777421F3" w14:textId="77777777" w:rsidR="004A727A" w:rsidRDefault="004A727A" w:rsidP="004A72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FB8E1" w14:textId="77777777" w:rsidR="001B3D07" w:rsidRDefault="001B3D07" w:rsidP="00F0024C">
      <w:pPr>
        <w:spacing w:after="0" w:line="240" w:lineRule="auto"/>
      </w:pPr>
      <w:r>
        <w:separator/>
      </w:r>
    </w:p>
  </w:footnote>
  <w:footnote w:type="continuationSeparator" w:id="0">
    <w:p w14:paraId="66EFB18E" w14:textId="77777777" w:rsidR="001B3D07" w:rsidRDefault="001B3D07" w:rsidP="00F0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66513"/>
      <w:docPartObj>
        <w:docPartGallery w:val="Page Numbers (Top of Page)"/>
        <w:docPartUnique/>
      </w:docPartObj>
    </w:sdtPr>
    <w:sdtEndPr/>
    <w:sdtContent>
      <w:p w14:paraId="28C66668" w14:textId="77777777" w:rsidR="00F0024C" w:rsidRDefault="00F002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43" w:rsidRPr="00514243">
          <w:rPr>
            <w:noProof/>
            <w:lang w:val="es-ES"/>
          </w:rPr>
          <w:t>2</w:t>
        </w:r>
        <w:r>
          <w:fldChar w:fldCharType="end"/>
        </w:r>
      </w:p>
    </w:sdtContent>
  </w:sdt>
  <w:p w14:paraId="5E5363D8" w14:textId="0AE99FC8" w:rsidR="00F0024C" w:rsidRDefault="00F0024C" w:rsidP="00F0024C">
    <w:pPr>
      <w:pStyle w:val="Header"/>
      <w:jc w:val="center"/>
    </w:pPr>
    <w:r>
      <w:t>EG-ITRs-2/</w:t>
    </w:r>
    <w:r w:rsidR="00106D7F">
      <w:t>12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738C"/>
    <w:multiLevelType w:val="hybridMultilevel"/>
    <w:tmpl w:val="129A156C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B9"/>
    <w:rsid w:val="00106D7F"/>
    <w:rsid w:val="00151A5A"/>
    <w:rsid w:val="001B3D07"/>
    <w:rsid w:val="001E3331"/>
    <w:rsid w:val="00251404"/>
    <w:rsid w:val="00260B74"/>
    <w:rsid w:val="002D0AC1"/>
    <w:rsid w:val="003A5F32"/>
    <w:rsid w:val="00484EFC"/>
    <w:rsid w:val="004A727A"/>
    <w:rsid w:val="00514243"/>
    <w:rsid w:val="00554D9D"/>
    <w:rsid w:val="00574C3B"/>
    <w:rsid w:val="005B4BFE"/>
    <w:rsid w:val="00677E94"/>
    <w:rsid w:val="007173BD"/>
    <w:rsid w:val="007365B9"/>
    <w:rsid w:val="00741198"/>
    <w:rsid w:val="007A6AFD"/>
    <w:rsid w:val="007D7ADB"/>
    <w:rsid w:val="007E7647"/>
    <w:rsid w:val="00AD3FCC"/>
    <w:rsid w:val="00BE7570"/>
    <w:rsid w:val="00E663B2"/>
    <w:rsid w:val="00F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4398F1"/>
  <w15:chartTrackingRefBased/>
  <w15:docId w15:val="{57C18F8F-E798-43A6-8E1A-0BAF2E5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Title1"/>
    <w:autoRedefine/>
    <w:rsid w:val="007365B9"/>
    <w:pPr>
      <w:spacing w:before="48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7365B9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7365B9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ListParagraph">
    <w:name w:val="List Paragraph"/>
    <w:basedOn w:val="Normal"/>
    <w:uiPriority w:val="34"/>
    <w:qFormat/>
    <w:rsid w:val="00554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4C"/>
  </w:style>
  <w:style w:type="paragraph" w:styleId="Footer">
    <w:name w:val="footer"/>
    <w:basedOn w:val="Normal"/>
    <w:link w:val="FooterChar"/>
    <w:uiPriority w:val="99"/>
    <w:unhideWhenUsed/>
    <w:rsid w:val="00F00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4C"/>
  </w:style>
  <w:style w:type="character" w:styleId="Hyperlink">
    <w:name w:val="Hyperlink"/>
    <w:basedOn w:val="DefaultParagraphFont"/>
    <w:rsid w:val="004A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</dc:creator>
  <cp:keywords/>
  <dc:description/>
  <cp:lastModifiedBy>Janin, Patricia</cp:lastModifiedBy>
  <cp:revision>2</cp:revision>
  <dcterms:created xsi:type="dcterms:W3CDTF">2020-02-10T08:11:00Z</dcterms:created>
  <dcterms:modified xsi:type="dcterms:W3CDTF">2020-02-10T08:11:00Z</dcterms:modified>
</cp:coreProperties>
</file>