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345"/>
        <w:gridCol w:w="3492"/>
      </w:tblGrid>
      <w:tr w:rsidR="00923A1B" w14:paraId="6E1681AE" w14:textId="77777777" w:rsidTr="002238C4">
        <w:trPr>
          <w:cantSplit/>
          <w:trHeight w:val="851"/>
        </w:trPr>
        <w:tc>
          <w:tcPr>
            <w:tcW w:w="6345" w:type="dxa"/>
            <w:vAlign w:val="center"/>
          </w:tcPr>
          <w:p w14:paraId="29D32417" w14:textId="02DA68C8" w:rsidR="00923A1B" w:rsidRPr="003737DE" w:rsidRDefault="000854C6" w:rsidP="000854C6">
            <w:pPr>
              <w:shd w:val="solid" w:color="FFFFFF" w:fill="FFFFFF"/>
              <w:spacing w:after="0"/>
              <w:rPr>
                <w:rFonts w:cs="Times"/>
                <w:b/>
              </w:rPr>
            </w:pPr>
            <w:r>
              <w:rPr>
                <w:rFonts w:cs="Times"/>
                <w:b/>
                <w:sz w:val="32"/>
                <w:szCs w:val="32"/>
              </w:rPr>
              <w:t>Expert Group on the International</w:t>
            </w:r>
            <w:r>
              <w:rPr>
                <w:rFonts w:cs="Times"/>
                <w:b/>
                <w:sz w:val="32"/>
                <w:szCs w:val="32"/>
              </w:rPr>
              <w:br/>
              <w:t>Telecommunication Regulations (EG-ITRs)</w:t>
            </w:r>
          </w:p>
        </w:tc>
        <w:tc>
          <w:tcPr>
            <w:tcW w:w="3492" w:type="dxa"/>
          </w:tcPr>
          <w:p w14:paraId="241C55DB" w14:textId="6917553C" w:rsidR="00923A1B" w:rsidRDefault="00B36E39" w:rsidP="0025471D">
            <w:pPr>
              <w:pStyle w:val="dnum"/>
              <w:framePr w:hSpace="0" w:wrap="auto" w:vAnchor="margin" w:hAnchor="text" w:yAlign="inline"/>
              <w:spacing w:after="0"/>
            </w:pPr>
            <w:r>
              <w:rPr>
                <w:noProof/>
              </w:rPr>
              <w:drawing>
                <wp:inline distT="0" distB="0" distL="0" distR="0" wp14:anchorId="64B7344A" wp14:editId="212D89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14:paraId="42C1BC8B" w14:textId="77777777" w:rsidTr="00923A1B">
        <w:trPr>
          <w:cantSplit/>
          <w:trHeight w:val="20"/>
        </w:trPr>
        <w:tc>
          <w:tcPr>
            <w:tcW w:w="6345" w:type="dxa"/>
            <w:tcBorders>
              <w:bottom w:val="single" w:sz="12" w:space="0" w:color="auto"/>
            </w:tcBorders>
          </w:tcPr>
          <w:p w14:paraId="7079E938" w14:textId="3216E393" w:rsidR="00923A1B" w:rsidRPr="003737DE" w:rsidRDefault="001B7D54" w:rsidP="000854C6">
            <w:pPr>
              <w:shd w:val="solid" w:color="FFFFFF" w:fill="FFFFFF"/>
              <w:spacing w:after="0"/>
              <w:rPr>
                <w:rFonts w:cs="Times"/>
                <w:b/>
              </w:rPr>
            </w:pPr>
            <w:r w:rsidRPr="00790F2A">
              <w:rPr>
                <w:b/>
                <w:bCs/>
                <w:sz w:val="24"/>
                <w:szCs w:val="24"/>
              </w:rPr>
              <w:t>Third meeting – Virtual meeting, 17-18 September 2020</w:t>
            </w:r>
          </w:p>
        </w:tc>
        <w:tc>
          <w:tcPr>
            <w:tcW w:w="3492" w:type="dxa"/>
            <w:tcBorders>
              <w:bottom w:val="single" w:sz="12" w:space="0" w:color="auto"/>
            </w:tcBorders>
          </w:tcPr>
          <w:p w14:paraId="0FF4F0AC" w14:textId="77777777" w:rsidR="00923A1B" w:rsidRDefault="00923A1B" w:rsidP="0025471D">
            <w:pPr>
              <w:pStyle w:val="dnum"/>
              <w:framePr w:hSpace="0" w:wrap="auto" w:vAnchor="margin" w:hAnchor="text" w:yAlign="inline"/>
              <w:spacing w:after="0"/>
              <w:rPr>
                <w:rFonts w:ascii="Verdana" w:hAnsi="Verdana"/>
              </w:rPr>
            </w:pPr>
          </w:p>
        </w:tc>
      </w:tr>
      <w:tr w:rsidR="00923A1B" w:rsidRPr="00F5094D" w14:paraId="406D6FB1" w14:textId="77777777" w:rsidTr="00923A1B">
        <w:trPr>
          <w:cantSplit/>
          <w:trHeight w:val="138"/>
        </w:trPr>
        <w:tc>
          <w:tcPr>
            <w:tcW w:w="6345" w:type="dxa"/>
            <w:tcBorders>
              <w:top w:val="single" w:sz="12" w:space="0" w:color="auto"/>
            </w:tcBorders>
          </w:tcPr>
          <w:p w14:paraId="1D6AF3F8" w14:textId="77777777" w:rsidR="00923A1B" w:rsidRDefault="00923A1B" w:rsidP="0025471D">
            <w:pPr>
              <w:shd w:val="solid" w:color="FFFFFF" w:fill="FFFFFF"/>
              <w:spacing w:after="0"/>
              <w:ind w:right="284"/>
            </w:pPr>
          </w:p>
        </w:tc>
        <w:tc>
          <w:tcPr>
            <w:tcW w:w="3492" w:type="dxa"/>
            <w:tcBorders>
              <w:top w:val="single" w:sz="12" w:space="0" w:color="auto"/>
            </w:tcBorders>
          </w:tcPr>
          <w:p w14:paraId="2B1E31E9"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C03DBE" w14:paraId="1BBCA794" w14:textId="77777777" w:rsidTr="00923A1B">
        <w:trPr>
          <w:cantSplit/>
          <w:trHeight w:val="138"/>
        </w:trPr>
        <w:tc>
          <w:tcPr>
            <w:tcW w:w="6345" w:type="dxa"/>
          </w:tcPr>
          <w:p w14:paraId="4162AE0B" w14:textId="31302F2B" w:rsidR="00923A1B" w:rsidRPr="002238C4" w:rsidRDefault="00923A1B" w:rsidP="0025471D">
            <w:pPr>
              <w:spacing w:after="0"/>
              <w:rPr>
                <w:b/>
                <w:bCs/>
                <w:sz w:val="24"/>
                <w:szCs w:val="24"/>
              </w:rPr>
            </w:pPr>
          </w:p>
        </w:tc>
        <w:tc>
          <w:tcPr>
            <w:tcW w:w="3492" w:type="dxa"/>
          </w:tcPr>
          <w:p w14:paraId="01BBC68C" w14:textId="798C0E5D" w:rsidR="00923A1B" w:rsidRPr="002238C4" w:rsidRDefault="001B7D54" w:rsidP="000854C6">
            <w:pPr>
              <w:spacing w:after="0"/>
              <w:rPr>
                <w:b/>
                <w:bCs/>
                <w:sz w:val="24"/>
                <w:szCs w:val="24"/>
                <w:lang w:val="es-ES"/>
              </w:rPr>
            </w:pPr>
            <w:r w:rsidRPr="00984F5D">
              <w:rPr>
                <w:b/>
                <w:bCs/>
                <w:sz w:val="24"/>
                <w:szCs w:val="24"/>
              </w:rPr>
              <w:t>Document EG-ITRs-</w:t>
            </w:r>
            <w:r>
              <w:rPr>
                <w:b/>
                <w:bCs/>
                <w:sz w:val="24"/>
                <w:szCs w:val="24"/>
              </w:rPr>
              <w:t>3</w:t>
            </w:r>
            <w:r w:rsidRPr="00984F5D">
              <w:rPr>
                <w:b/>
                <w:bCs/>
                <w:sz w:val="24"/>
                <w:szCs w:val="24"/>
              </w:rPr>
              <w:t>/</w:t>
            </w:r>
            <w:r w:rsidR="009F7068">
              <w:rPr>
                <w:b/>
                <w:bCs/>
                <w:sz w:val="24"/>
                <w:szCs w:val="24"/>
              </w:rPr>
              <w:t>2</w:t>
            </w:r>
            <w:r w:rsidRPr="00984F5D">
              <w:rPr>
                <w:b/>
                <w:bCs/>
                <w:sz w:val="24"/>
                <w:szCs w:val="24"/>
              </w:rPr>
              <w:t>-E</w:t>
            </w:r>
          </w:p>
        </w:tc>
      </w:tr>
      <w:tr w:rsidR="00923A1B" w:rsidRPr="003737DE" w14:paraId="100AEFFF" w14:textId="77777777" w:rsidTr="00923A1B">
        <w:trPr>
          <w:cantSplit/>
          <w:trHeight w:val="138"/>
        </w:trPr>
        <w:tc>
          <w:tcPr>
            <w:tcW w:w="6345" w:type="dxa"/>
          </w:tcPr>
          <w:p w14:paraId="2F758D85" w14:textId="77777777" w:rsidR="00923A1B" w:rsidRDefault="00923A1B" w:rsidP="0025471D">
            <w:pPr>
              <w:shd w:val="solid" w:color="FFFFFF" w:fill="FFFFFF"/>
              <w:spacing w:after="0"/>
              <w:ind w:right="284"/>
              <w:rPr>
                <w:lang w:val="es-ES"/>
              </w:rPr>
            </w:pPr>
          </w:p>
        </w:tc>
        <w:tc>
          <w:tcPr>
            <w:tcW w:w="3492" w:type="dxa"/>
          </w:tcPr>
          <w:p w14:paraId="4BC2ED00" w14:textId="79898EA4" w:rsidR="00923A1B" w:rsidRPr="002238C4" w:rsidRDefault="00CA5990" w:rsidP="0025471D">
            <w:pPr>
              <w:tabs>
                <w:tab w:val="left" w:pos="851"/>
              </w:tabs>
              <w:spacing w:after="0"/>
              <w:ind w:right="284"/>
              <w:rPr>
                <w:b/>
                <w:sz w:val="24"/>
                <w:szCs w:val="24"/>
              </w:rPr>
            </w:pPr>
            <w:r>
              <w:rPr>
                <w:b/>
                <w:sz w:val="24"/>
                <w:szCs w:val="24"/>
              </w:rPr>
              <w:t>2</w:t>
            </w:r>
            <w:r w:rsidR="002F765A">
              <w:rPr>
                <w:b/>
                <w:sz w:val="24"/>
                <w:szCs w:val="24"/>
              </w:rPr>
              <w:t xml:space="preserve"> September</w:t>
            </w:r>
            <w:r w:rsidR="000854C6">
              <w:rPr>
                <w:b/>
                <w:sz w:val="24"/>
                <w:szCs w:val="24"/>
              </w:rPr>
              <w:t xml:space="preserve"> </w:t>
            </w:r>
            <w:r w:rsidR="00923A1B" w:rsidRPr="002238C4">
              <w:rPr>
                <w:b/>
                <w:sz w:val="24"/>
                <w:szCs w:val="24"/>
              </w:rPr>
              <w:t>20</w:t>
            </w:r>
            <w:r w:rsidR="00910A97">
              <w:rPr>
                <w:b/>
                <w:sz w:val="24"/>
                <w:szCs w:val="24"/>
              </w:rPr>
              <w:t>20</w:t>
            </w:r>
          </w:p>
        </w:tc>
      </w:tr>
      <w:tr w:rsidR="00923A1B" w:rsidRPr="003737DE" w14:paraId="71FD0A17" w14:textId="77777777" w:rsidTr="00923A1B">
        <w:trPr>
          <w:cantSplit/>
          <w:trHeight w:val="138"/>
        </w:trPr>
        <w:tc>
          <w:tcPr>
            <w:tcW w:w="6345" w:type="dxa"/>
          </w:tcPr>
          <w:p w14:paraId="0EA5B8B2" w14:textId="77777777" w:rsidR="00923A1B" w:rsidRDefault="00923A1B" w:rsidP="0025471D">
            <w:pPr>
              <w:shd w:val="solid" w:color="FFFFFF" w:fill="FFFFFF"/>
              <w:spacing w:after="0"/>
              <w:ind w:right="284"/>
            </w:pPr>
          </w:p>
        </w:tc>
        <w:tc>
          <w:tcPr>
            <w:tcW w:w="3492" w:type="dxa"/>
          </w:tcPr>
          <w:p w14:paraId="06AB3AD7" w14:textId="7CD9C747" w:rsidR="00923A1B" w:rsidRPr="002238C4" w:rsidRDefault="003C7DE8" w:rsidP="0025471D">
            <w:pPr>
              <w:tabs>
                <w:tab w:val="left" w:pos="851"/>
              </w:tabs>
              <w:spacing w:after="0"/>
              <w:ind w:right="284"/>
              <w:rPr>
                <w:b/>
                <w:sz w:val="24"/>
                <w:szCs w:val="24"/>
              </w:rPr>
            </w:pPr>
            <w:r>
              <w:rPr>
                <w:b/>
                <w:sz w:val="24"/>
                <w:szCs w:val="24"/>
              </w:rPr>
              <w:t xml:space="preserve">Original: </w:t>
            </w:r>
            <w:r w:rsidR="002238C4">
              <w:rPr>
                <w:b/>
                <w:sz w:val="24"/>
                <w:szCs w:val="24"/>
              </w:rPr>
              <w:t>English</w:t>
            </w:r>
          </w:p>
        </w:tc>
      </w:tr>
      <w:tr w:rsidR="000854C6" w:rsidRPr="003737DE" w14:paraId="2CF60B2A" w14:textId="77777777" w:rsidTr="00F015E8">
        <w:trPr>
          <w:cantSplit/>
          <w:trHeight w:val="138"/>
        </w:trPr>
        <w:tc>
          <w:tcPr>
            <w:tcW w:w="9837" w:type="dxa"/>
            <w:gridSpan w:val="2"/>
          </w:tcPr>
          <w:p w14:paraId="2B7E725C" w14:textId="397BAB9F" w:rsidR="000854C6" w:rsidRPr="008A5931" w:rsidRDefault="00EC3665" w:rsidP="008A5931">
            <w:pPr>
              <w:pStyle w:val="Source"/>
            </w:pPr>
            <w:bookmarkStart w:id="0" w:name="_Hlk18100661"/>
            <w:r w:rsidRPr="008A5931">
              <w:t>South Africa</w:t>
            </w:r>
            <w:r w:rsidR="003C7DE8" w:rsidRPr="008A5931">
              <w:t xml:space="preserve"> (Republic of)</w:t>
            </w:r>
          </w:p>
        </w:tc>
      </w:tr>
      <w:bookmarkEnd w:id="0"/>
      <w:tr w:rsidR="000854C6" w:rsidRPr="003737DE" w14:paraId="27824CBA" w14:textId="77777777" w:rsidTr="00F015E8">
        <w:trPr>
          <w:cantSplit/>
          <w:trHeight w:val="138"/>
        </w:trPr>
        <w:tc>
          <w:tcPr>
            <w:tcW w:w="9837" w:type="dxa"/>
            <w:gridSpan w:val="2"/>
          </w:tcPr>
          <w:p w14:paraId="11774442" w14:textId="0037BEEE" w:rsidR="005B3A74" w:rsidRPr="008A5931" w:rsidRDefault="00A72D6E" w:rsidP="008A5931">
            <w:pPr>
              <w:pStyle w:val="Title1"/>
              <w:rPr>
                <w:sz w:val="24"/>
                <w:szCs w:val="24"/>
              </w:rPr>
            </w:pPr>
            <w:r w:rsidRPr="008A5931">
              <w:t>comprehensive review of the INTERNATIONAL TELECOMMUNICATIONS REGULATIONS</w:t>
            </w:r>
          </w:p>
        </w:tc>
      </w:tr>
    </w:tbl>
    <w:p w14:paraId="7007F175" w14:textId="77777777" w:rsidR="008A5931" w:rsidRPr="008A5931" w:rsidRDefault="008A5931" w:rsidP="008A5931">
      <w:pPr>
        <w:pStyle w:val="Normalaftertitle"/>
        <w:numPr>
          <w:ilvl w:val="0"/>
          <w:numId w:val="21"/>
        </w:numPr>
        <w:ind w:left="0" w:firstLine="0"/>
        <w:jc w:val="both"/>
        <w:rPr>
          <w:rFonts w:cstheme="minorHAnsi"/>
          <w:sz w:val="24"/>
          <w:szCs w:val="24"/>
        </w:rPr>
      </w:pPr>
      <w:r w:rsidRPr="008A5931">
        <w:rPr>
          <w:rFonts w:cstheme="minorHAnsi"/>
          <w:sz w:val="24"/>
          <w:szCs w:val="24"/>
        </w:rPr>
        <w:t>The Republic of South Africa is again grateful for the opportunity to participate in the important work of the Expert Group on the International Telecommunications Regulations (EG-ITRs) in relation to the comprehensive review of the International Telecommunications Regulations (ITRs).</w:t>
      </w:r>
    </w:p>
    <w:p w14:paraId="1C3A394D" w14:textId="77777777" w:rsidR="008A5931" w:rsidRPr="008A5931" w:rsidRDefault="008A5931" w:rsidP="008A5931">
      <w:pPr>
        <w:pStyle w:val="ListParagraph"/>
        <w:numPr>
          <w:ilvl w:val="0"/>
          <w:numId w:val="21"/>
        </w:numPr>
        <w:ind w:left="0" w:firstLine="0"/>
        <w:rPr>
          <w:rFonts w:cstheme="minorHAnsi"/>
          <w:sz w:val="24"/>
          <w:szCs w:val="24"/>
        </w:rPr>
      </w:pPr>
      <w:r w:rsidRPr="008A5931">
        <w:rPr>
          <w:rFonts w:cstheme="minorHAnsi"/>
          <w:sz w:val="24"/>
          <w:szCs w:val="24"/>
        </w:rPr>
        <w:t xml:space="preserve">The Republic of South Africa hereby submits its contribution with respect to the provision by provision examination of </w:t>
      </w:r>
      <w:r w:rsidRPr="008A5931">
        <w:rPr>
          <w:rFonts w:cstheme="minorHAnsi"/>
          <w:b/>
          <w:sz w:val="24"/>
          <w:szCs w:val="24"/>
        </w:rPr>
        <w:t>Articles 5 – 8 and Appendix 1</w:t>
      </w:r>
      <w:r w:rsidRPr="008A5931">
        <w:rPr>
          <w:rFonts w:cstheme="minorHAnsi"/>
          <w:sz w:val="24"/>
          <w:szCs w:val="24"/>
        </w:rPr>
        <w:t xml:space="preserve"> of the 2012 ITRs (Annex I).</w:t>
      </w:r>
    </w:p>
    <w:p w14:paraId="6E39AED2" w14:textId="6DEE8F9A" w:rsidR="000854C6" w:rsidRDefault="008A5931" w:rsidP="008A5931">
      <w:pPr>
        <w:pStyle w:val="Normalaftertitle"/>
        <w:numPr>
          <w:ilvl w:val="0"/>
          <w:numId w:val="21"/>
        </w:numPr>
        <w:ind w:left="0" w:firstLine="0"/>
        <w:jc w:val="both"/>
        <w:rPr>
          <w:rFonts w:cstheme="minorHAnsi"/>
          <w:sz w:val="24"/>
          <w:szCs w:val="24"/>
        </w:rPr>
      </w:pPr>
      <w:r w:rsidRPr="008A5931">
        <w:rPr>
          <w:rFonts w:cstheme="minorHAnsi"/>
          <w:sz w:val="24"/>
          <w:szCs w:val="24"/>
        </w:rPr>
        <w:t xml:space="preserve">The Republic of South </w:t>
      </w:r>
      <w:r w:rsidR="007504AC">
        <w:rPr>
          <w:rFonts w:cstheme="minorHAnsi"/>
          <w:sz w:val="24"/>
          <w:szCs w:val="24"/>
        </w:rPr>
        <w:t xml:space="preserve">Africa </w:t>
      </w:r>
      <w:r w:rsidRPr="008A5931">
        <w:rPr>
          <w:rFonts w:cstheme="minorHAnsi"/>
          <w:sz w:val="24"/>
          <w:szCs w:val="24"/>
        </w:rPr>
        <w:t>looks forward to working with other member states in fulfilling the objectives of the ITU.</w:t>
      </w:r>
    </w:p>
    <w:p w14:paraId="650A6DF4" w14:textId="5C2916E2" w:rsidR="008A5931" w:rsidRDefault="008A5931" w:rsidP="008A5931"/>
    <w:p w14:paraId="0A9C3922" w14:textId="72BC5E94" w:rsidR="008A5931" w:rsidRPr="008A5931" w:rsidRDefault="008A5931" w:rsidP="008A5931">
      <w:pPr>
        <w:pStyle w:val="Normalaftertitle"/>
        <w:jc w:val="both"/>
        <w:rPr>
          <w:rFonts w:cstheme="minorHAnsi"/>
          <w:sz w:val="24"/>
          <w:szCs w:val="24"/>
        </w:rPr>
      </w:pPr>
      <w:r w:rsidRPr="008A5931">
        <w:rPr>
          <w:rFonts w:cstheme="minorHAnsi"/>
          <w:sz w:val="24"/>
          <w:szCs w:val="24"/>
        </w:rPr>
        <w:t>Annex</w:t>
      </w:r>
      <w:r>
        <w:rPr>
          <w:rFonts w:cstheme="minorHAnsi"/>
          <w:sz w:val="24"/>
          <w:szCs w:val="24"/>
        </w:rPr>
        <w:t>: 1</w:t>
      </w:r>
    </w:p>
    <w:p w14:paraId="2F5FD5DD" w14:textId="77777777" w:rsidR="008A5931" w:rsidRPr="008A5931" w:rsidRDefault="008A5931" w:rsidP="008A5931"/>
    <w:p w14:paraId="5AC16640" w14:textId="34FC97AA" w:rsidR="00A84704" w:rsidRPr="008A5931" w:rsidRDefault="000854C6" w:rsidP="008A5931">
      <w:pPr>
        <w:pStyle w:val="Normalaftertitle"/>
        <w:jc w:val="both"/>
        <w:rPr>
          <w:rFonts w:cstheme="minorHAnsi"/>
          <w:sz w:val="24"/>
          <w:szCs w:val="24"/>
        </w:rPr>
      </w:pPr>
      <w:r>
        <w:rPr>
          <w:sz w:val="24"/>
          <w:szCs w:val="24"/>
        </w:rPr>
        <w:br w:type="page"/>
      </w:r>
      <w:bookmarkStart w:id="1" w:name="_Hlk30888941"/>
    </w:p>
    <w:p w14:paraId="487C81DC" w14:textId="77777777" w:rsidR="00A84704" w:rsidRPr="00A84704" w:rsidRDefault="00A84704" w:rsidP="00A84704">
      <w:pPr>
        <w:jc w:val="center"/>
        <w:rPr>
          <w:rFonts w:ascii="Calibri" w:eastAsia="Calibri" w:hAnsi="Calibri" w:cs="Times New Roman"/>
          <w:b/>
          <w:u w:val="single"/>
        </w:rPr>
      </w:pPr>
    </w:p>
    <w:p w14:paraId="6B8EC23D" w14:textId="77777777" w:rsidR="00A84704" w:rsidRPr="00A84704" w:rsidRDefault="00A84704" w:rsidP="00A84704">
      <w:pPr>
        <w:jc w:val="center"/>
        <w:rPr>
          <w:rFonts w:ascii="Calibri" w:eastAsia="Calibri" w:hAnsi="Calibri" w:cs="Times New Roman"/>
          <w:b/>
          <w:u w:val="single"/>
        </w:rPr>
      </w:pPr>
      <w:r w:rsidRPr="00A84704">
        <w:rPr>
          <w:rFonts w:ascii="Calibri" w:eastAsia="Calibri" w:hAnsi="Calibri" w:cs="Times New Roman"/>
          <w:b/>
          <w:u w:val="single"/>
        </w:rPr>
        <w:t>Examination Table</w:t>
      </w:r>
    </w:p>
    <w:p w14:paraId="5EBE9EE3" w14:textId="77777777" w:rsidR="00A84704" w:rsidRPr="00A84704" w:rsidRDefault="00A84704" w:rsidP="00A84704">
      <w:pPr>
        <w:rPr>
          <w:rFonts w:ascii="Calibri" w:eastAsia="Calibri" w:hAnsi="Calibri" w:cs="Times New Roman"/>
        </w:rPr>
      </w:pPr>
    </w:p>
    <w:tbl>
      <w:tblPr>
        <w:tblStyle w:val="TableGrid2"/>
        <w:tblW w:w="9214" w:type="dxa"/>
        <w:tblInd w:w="-147" w:type="dxa"/>
        <w:tblLayout w:type="fixed"/>
        <w:tblLook w:val="04A0" w:firstRow="1" w:lastRow="0" w:firstColumn="1" w:lastColumn="0" w:noHBand="0" w:noVBand="1"/>
      </w:tblPr>
      <w:tblGrid>
        <w:gridCol w:w="993"/>
        <w:gridCol w:w="1984"/>
        <w:gridCol w:w="1985"/>
        <w:gridCol w:w="1559"/>
        <w:gridCol w:w="1559"/>
        <w:gridCol w:w="1134"/>
      </w:tblGrid>
      <w:tr w:rsidR="00A84704" w:rsidRPr="00A84704" w14:paraId="7B1BD2E5" w14:textId="77777777" w:rsidTr="005964A4">
        <w:tc>
          <w:tcPr>
            <w:tcW w:w="993" w:type="dxa"/>
            <w:shd w:val="clear" w:color="auto" w:fill="DBE5F1" w:themeFill="accent1" w:themeFillTint="33"/>
          </w:tcPr>
          <w:p w14:paraId="51E246B3" w14:textId="77777777" w:rsidR="00A84704" w:rsidRPr="00A84704" w:rsidRDefault="00A84704" w:rsidP="00A84704">
            <w:pPr>
              <w:spacing w:after="0" w:line="240" w:lineRule="auto"/>
              <w:jc w:val="center"/>
              <w:rPr>
                <w:rFonts w:ascii="Arial Nova Cond" w:eastAsia="Calibri" w:hAnsi="Arial Nova Cond" w:cs="Times New Roman"/>
                <w:b/>
                <w:sz w:val="18"/>
                <w:szCs w:val="18"/>
              </w:rPr>
            </w:pPr>
            <w:r w:rsidRPr="00A84704">
              <w:rPr>
                <w:rFonts w:ascii="Arial Nova Cond" w:eastAsia="Calibri" w:hAnsi="Arial Nova Cond" w:cs="Times New Roman"/>
                <w:b/>
                <w:sz w:val="18"/>
                <w:szCs w:val="18"/>
              </w:rPr>
              <w:t>2012 Article</w:t>
            </w:r>
          </w:p>
        </w:tc>
        <w:tc>
          <w:tcPr>
            <w:tcW w:w="1984" w:type="dxa"/>
            <w:shd w:val="clear" w:color="auto" w:fill="DBE5F1" w:themeFill="accent1" w:themeFillTint="33"/>
          </w:tcPr>
          <w:p w14:paraId="70BF31DE" w14:textId="77777777" w:rsidR="00A84704" w:rsidRPr="00A84704" w:rsidRDefault="00A84704" w:rsidP="00A84704">
            <w:pPr>
              <w:tabs>
                <w:tab w:val="left" w:pos="1156"/>
              </w:tabs>
              <w:spacing w:after="0" w:line="240" w:lineRule="auto"/>
              <w:ind w:right="319"/>
              <w:jc w:val="center"/>
              <w:rPr>
                <w:rFonts w:ascii="Arial Nova Cond" w:eastAsia="Calibri" w:hAnsi="Arial Nova Cond" w:cs="Times New Roman"/>
                <w:b/>
                <w:sz w:val="18"/>
                <w:szCs w:val="18"/>
              </w:rPr>
            </w:pPr>
            <w:r w:rsidRPr="00A84704">
              <w:rPr>
                <w:rFonts w:ascii="Arial Nova Cond" w:eastAsia="Calibri" w:hAnsi="Arial Nova Cond" w:cs="Times New Roman"/>
                <w:b/>
                <w:sz w:val="18"/>
                <w:szCs w:val="18"/>
              </w:rPr>
              <w:t>Sub article and provision</w:t>
            </w:r>
          </w:p>
        </w:tc>
        <w:tc>
          <w:tcPr>
            <w:tcW w:w="1985" w:type="dxa"/>
            <w:shd w:val="clear" w:color="auto" w:fill="DBE5F1" w:themeFill="accent1" w:themeFillTint="33"/>
          </w:tcPr>
          <w:p w14:paraId="71E9009D" w14:textId="77777777" w:rsidR="00A84704" w:rsidRPr="00A84704" w:rsidRDefault="00A84704" w:rsidP="00A84704">
            <w:pPr>
              <w:tabs>
                <w:tab w:val="left" w:pos="1156"/>
              </w:tabs>
              <w:spacing w:after="0" w:line="240" w:lineRule="auto"/>
              <w:ind w:right="319"/>
              <w:jc w:val="center"/>
              <w:rPr>
                <w:rFonts w:ascii="Arial Nova Cond" w:eastAsia="Calibri" w:hAnsi="Arial Nova Cond" w:cs="Times New Roman"/>
                <w:b/>
                <w:sz w:val="18"/>
                <w:szCs w:val="18"/>
              </w:rPr>
            </w:pPr>
            <w:r w:rsidRPr="00A84704">
              <w:rPr>
                <w:rFonts w:ascii="Arial Nova Cond" w:eastAsia="Calibri" w:hAnsi="Arial Nova Cond" w:cs="Times New Roman"/>
                <w:b/>
                <w:sz w:val="18"/>
                <w:szCs w:val="18"/>
              </w:rPr>
              <w:t>Related 1988 sub article and provision</w:t>
            </w:r>
          </w:p>
        </w:tc>
        <w:tc>
          <w:tcPr>
            <w:tcW w:w="1559" w:type="dxa"/>
            <w:shd w:val="clear" w:color="auto" w:fill="DBE5F1" w:themeFill="accent1" w:themeFillTint="33"/>
          </w:tcPr>
          <w:p w14:paraId="12C987B1" w14:textId="77777777" w:rsidR="00A84704" w:rsidRPr="00A84704" w:rsidRDefault="00A84704" w:rsidP="00A84704">
            <w:pPr>
              <w:spacing w:after="0" w:line="240" w:lineRule="auto"/>
              <w:jc w:val="center"/>
              <w:rPr>
                <w:rFonts w:ascii="Arial Nova Cond" w:eastAsia="Calibri" w:hAnsi="Arial Nova Cond" w:cs="Times New Roman"/>
                <w:b/>
                <w:sz w:val="18"/>
                <w:szCs w:val="18"/>
              </w:rPr>
            </w:pPr>
            <w:r w:rsidRPr="00A84704">
              <w:rPr>
                <w:rFonts w:ascii="Arial Nova Cond" w:eastAsia="Calibri" w:hAnsi="Arial Nova Cond" w:cs="Times New Roman"/>
                <w:b/>
                <w:sz w:val="18"/>
                <w:szCs w:val="18"/>
              </w:rPr>
              <w:t>Applicability in fostering provision and development of networks and services</w:t>
            </w:r>
          </w:p>
        </w:tc>
        <w:tc>
          <w:tcPr>
            <w:tcW w:w="1559" w:type="dxa"/>
            <w:shd w:val="clear" w:color="auto" w:fill="DBE5F1" w:themeFill="accent1" w:themeFillTint="33"/>
          </w:tcPr>
          <w:p w14:paraId="58674021" w14:textId="77777777" w:rsidR="00A84704" w:rsidRPr="00A84704" w:rsidRDefault="00A84704" w:rsidP="00A84704">
            <w:pPr>
              <w:spacing w:after="0" w:line="240" w:lineRule="auto"/>
              <w:jc w:val="center"/>
              <w:rPr>
                <w:rFonts w:ascii="Arial Nova Cond" w:eastAsia="Calibri" w:hAnsi="Arial Nova Cond" w:cs="Times New Roman"/>
                <w:b/>
                <w:sz w:val="18"/>
                <w:szCs w:val="18"/>
              </w:rPr>
            </w:pPr>
            <w:r w:rsidRPr="00A84704">
              <w:rPr>
                <w:rFonts w:ascii="Arial Nova Cond" w:eastAsia="Calibri" w:hAnsi="Arial Nova Cond" w:cs="Times New Roman"/>
                <w:b/>
                <w:sz w:val="18"/>
                <w:szCs w:val="18"/>
              </w:rPr>
              <w:t>Flexibility to accommodate New trends and Emergent issues</w:t>
            </w:r>
          </w:p>
        </w:tc>
        <w:tc>
          <w:tcPr>
            <w:tcW w:w="1134" w:type="dxa"/>
            <w:shd w:val="clear" w:color="auto" w:fill="DBE5F1" w:themeFill="accent1" w:themeFillTint="33"/>
          </w:tcPr>
          <w:p w14:paraId="0C141FFD" w14:textId="77777777" w:rsidR="00A84704" w:rsidRPr="00A84704" w:rsidRDefault="00A84704" w:rsidP="00A84704">
            <w:pPr>
              <w:spacing w:after="0" w:line="240" w:lineRule="auto"/>
              <w:jc w:val="center"/>
              <w:rPr>
                <w:rFonts w:ascii="Arial Nova Cond" w:eastAsia="Calibri" w:hAnsi="Arial Nova Cond" w:cs="Times New Roman"/>
                <w:b/>
                <w:sz w:val="18"/>
                <w:szCs w:val="18"/>
              </w:rPr>
            </w:pPr>
            <w:r w:rsidRPr="00A84704">
              <w:rPr>
                <w:rFonts w:ascii="Arial Nova Cond" w:eastAsia="Calibri" w:hAnsi="Arial Nova Cond" w:cs="Times New Roman"/>
                <w:b/>
                <w:sz w:val="18"/>
                <w:szCs w:val="18"/>
              </w:rPr>
              <w:t>Summary outcome</w:t>
            </w:r>
          </w:p>
        </w:tc>
      </w:tr>
      <w:tr w:rsidR="00A84704" w:rsidRPr="00A84704" w14:paraId="0EA4C00B" w14:textId="77777777" w:rsidTr="00A32357">
        <w:trPr>
          <w:trHeight w:val="2796"/>
        </w:trPr>
        <w:tc>
          <w:tcPr>
            <w:tcW w:w="993" w:type="dxa"/>
          </w:tcPr>
          <w:p w14:paraId="75769EEA" w14:textId="77777777" w:rsidR="00A84704" w:rsidRPr="00A84704" w:rsidRDefault="00A84704" w:rsidP="00A84704">
            <w:pPr>
              <w:spacing w:before="840" w:after="0" w:line="36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5 </w:t>
            </w:r>
          </w:p>
        </w:tc>
        <w:tc>
          <w:tcPr>
            <w:tcW w:w="1984" w:type="dxa"/>
          </w:tcPr>
          <w:p w14:paraId="62BB5D6F"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45 </w:t>
            </w:r>
          </w:p>
          <w:p w14:paraId="5C7D2481" w14:textId="77777777" w:rsid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5.1 Safety-of-life telecommunications, such as 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r>
              <w:rPr>
                <w:rFonts w:ascii="Arial Nova Cond" w:eastAsia="Calibri" w:hAnsi="Arial Nova Cond" w:cs="Calibri"/>
                <w:bCs/>
                <w:sz w:val="18"/>
                <w:szCs w:val="18"/>
                <w:lang w:val="en-US"/>
              </w:rPr>
              <w:t>.</w:t>
            </w:r>
          </w:p>
          <w:p w14:paraId="48FC50DA" w14:textId="34D7F921"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 </w:t>
            </w:r>
          </w:p>
        </w:tc>
        <w:tc>
          <w:tcPr>
            <w:tcW w:w="1985" w:type="dxa"/>
          </w:tcPr>
          <w:p w14:paraId="12B699C2"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39 </w:t>
            </w:r>
          </w:p>
          <w:p w14:paraId="023563CC" w14:textId="2AED4318"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5.1 Safety of life telecommunications, such as distress telecommunications, shall be entitled to transmission as of right and shall, where technically practicable, have absolute priority over all other telecommunications, in accordance with the relevant Articles of the Convention and takin due to account of relevant CCITT Recommendations</w:t>
            </w:r>
            <w:r w:rsidR="009F7A9D">
              <w:rPr>
                <w:rFonts w:ascii="Arial Nova Cond" w:eastAsia="Calibri" w:hAnsi="Arial Nova Cond" w:cs="Calibri"/>
                <w:bCs/>
                <w:sz w:val="18"/>
                <w:szCs w:val="18"/>
                <w:lang w:val="en-US"/>
              </w:rPr>
              <w:t>.</w:t>
            </w:r>
            <w:r w:rsidRPr="00A84704">
              <w:rPr>
                <w:rFonts w:ascii="Arial Nova Cond" w:eastAsia="Calibri" w:hAnsi="Arial Nova Cond" w:cs="Calibri"/>
                <w:bCs/>
                <w:sz w:val="18"/>
                <w:szCs w:val="18"/>
                <w:lang w:val="en-US"/>
              </w:rPr>
              <w:t xml:space="preserve"> </w:t>
            </w:r>
          </w:p>
        </w:tc>
        <w:tc>
          <w:tcPr>
            <w:tcW w:w="1559" w:type="dxa"/>
          </w:tcPr>
          <w:p w14:paraId="5542450D"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6A5FE98D"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This regulation fosters provision and development of networks and services as it relates to safety-of-life services. </w:t>
            </w:r>
          </w:p>
        </w:tc>
        <w:tc>
          <w:tcPr>
            <w:tcW w:w="1559" w:type="dxa"/>
          </w:tcPr>
          <w:p w14:paraId="7C8FB14B"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2F9179BE" w14:textId="77777777" w:rsidR="00A84704" w:rsidRPr="00A84704" w:rsidRDefault="00A84704" w:rsidP="00A84704">
            <w:pPr>
              <w:numPr>
                <w:ilvl w:val="0"/>
                <w:numId w:val="27"/>
              </w:numPr>
              <w:spacing w:before="840" w:after="0" w:line="240" w:lineRule="auto"/>
              <w:ind w:left="42" w:hanging="142"/>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Sufficiently flexible; latest ITU-T Recommendations apply.</w:t>
            </w:r>
          </w:p>
          <w:p w14:paraId="7AF82C49" w14:textId="77777777" w:rsidR="00A84704" w:rsidRPr="00A84704" w:rsidRDefault="00A84704" w:rsidP="00A84704">
            <w:pPr>
              <w:numPr>
                <w:ilvl w:val="0"/>
                <w:numId w:val="27"/>
              </w:numPr>
              <w:spacing w:before="840" w:after="0" w:line="240" w:lineRule="auto"/>
              <w:ind w:left="42" w:hanging="142"/>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Also, Article 5.1 can accommodate new trends such as cyber security.</w:t>
            </w:r>
          </w:p>
        </w:tc>
        <w:tc>
          <w:tcPr>
            <w:tcW w:w="1134" w:type="dxa"/>
          </w:tcPr>
          <w:p w14:paraId="1DC7EA8D"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p>
          <w:p w14:paraId="197DEAC8"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785463A2" w14:textId="77777777" w:rsidTr="00A32357">
        <w:trPr>
          <w:trHeight w:val="1319"/>
        </w:trPr>
        <w:tc>
          <w:tcPr>
            <w:tcW w:w="993" w:type="dxa"/>
          </w:tcPr>
          <w:p w14:paraId="6168211D" w14:textId="77777777" w:rsidR="00A84704" w:rsidRPr="00A84704" w:rsidRDefault="00A84704" w:rsidP="00A84704">
            <w:pPr>
              <w:spacing w:before="840" w:after="0" w:line="36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5 </w:t>
            </w:r>
          </w:p>
        </w:tc>
        <w:tc>
          <w:tcPr>
            <w:tcW w:w="1984" w:type="dxa"/>
          </w:tcPr>
          <w:p w14:paraId="72CB3B6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47 </w:t>
            </w:r>
          </w:p>
          <w:p w14:paraId="79B412B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5.3 The provisions governing the priority enjoyed by any other telecommunication services are contained in the relevant ITU-T Recommendations. </w:t>
            </w:r>
          </w:p>
        </w:tc>
        <w:tc>
          <w:tcPr>
            <w:tcW w:w="1985" w:type="dxa"/>
          </w:tcPr>
          <w:p w14:paraId="0C3F37B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41 </w:t>
            </w:r>
          </w:p>
          <w:p w14:paraId="7049791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5.3 The provisions governing the priority enjoyed by all other telecommunications are contained in the relevant CCITT Recommendations </w:t>
            </w:r>
          </w:p>
        </w:tc>
        <w:tc>
          <w:tcPr>
            <w:tcW w:w="1559" w:type="dxa"/>
          </w:tcPr>
          <w:p w14:paraId="4DB6583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67641F0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This regulation is effectively the same as those contained in the 1988 ITRs and does not obstruct the development of networks and services. </w:t>
            </w:r>
          </w:p>
        </w:tc>
        <w:tc>
          <w:tcPr>
            <w:tcW w:w="1559" w:type="dxa"/>
          </w:tcPr>
          <w:p w14:paraId="070868CE" w14:textId="77777777" w:rsidR="00A84704" w:rsidRPr="00A84704" w:rsidRDefault="00A84704" w:rsidP="00A84704">
            <w:pPr>
              <w:autoSpaceDE w:val="0"/>
              <w:autoSpaceDN w:val="0"/>
              <w:adjustRightInd w:val="0"/>
              <w:spacing w:after="0" w:line="240" w:lineRule="auto"/>
              <w:ind w:left="42"/>
              <w:rPr>
                <w:rFonts w:ascii="Arial Nova Cond" w:eastAsia="Calibri" w:hAnsi="Arial Nova Cond" w:cs="Calibri"/>
                <w:bCs/>
                <w:sz w:val="18"/>
                <w:szCs w:val="18"/>
                <w:lang w:val="en-US"/>
              </w:rPr>
            </w:pPr>
          </w:p>
          <w:p w14:paraId="68A95EF4" w14:textId="77777777" w:rsidR="00A84704" w:rsidRPr="00A84704" w:rsidRDefault="00A84704" w:rsidP="00A84704">
            <w:pPr>
              <w:numPr>
                <w:ilvl w:val="0"/>
                <w:numId w:val="29"/>
              </w:numPr>
              <w:autoSpaceDE w:val="0"/>
              <w:autoSpaceDN w:val="0"/>
              <w:adjustRightInd w:val="0"/>
              <w:spacing w:after="0" w:line="240" w:lineRule="auto"/>
              <w:ind w:left="42"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Sufficiently flexible; latest ITU-T Recommendations apply.</w:t>
            </w:r>
          </w:p>
          <w:p w14:paraId="44ACB8B7" w14:textId="77777777" w:rsidR="00A84704" w:rsidRPr="00A84704" w:rsidRDefault="00A84704" w:rsidP="00A84704">
            <w:pPr>
              <w:numPr>
                <w:ilvl w:val="0"/>
                <w:numId w:val="28"/>
              </w:numPr>
              <w:autoSpaceDE w:val="0"/>
              <w:autoSpaceDN w:val="0"/>
              <w:adjustRightInd w:val="0"/>
              <w:spacing w:after="0" w:line="240" w:lineRule="auto"/>
              <w:ind w:left="42"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Care must be taken to ensure that Government Communications only enjoy priority where necessary and affect matters of state security. Citizens constitutional rights and freedom of speech must be considered.</w:t>
            </w:r>
          </w:p>
          <w:p w14:paraId="31372AE9" w14:textId="77777777" w:rsidR="00A84704" w:rsidRPr="00A84704" w:rsidRDefault="00A84704" w:rsidP="00A84704">
            <w:pPr>
              <w:autoSpaceDE w:val="0"/>
              <w:autoSpaceDN w:val="0"/>
              <w:adjustRightInd w:val="0"/>
              <w:spacing w:after="0" w:line="240" w:lineRule="auto"/>
              <w:ind w:left="42"/>
              <w:rPr>
                <w:rFonts w:ascii="Arial Nova Cond" w:eastAsia="Calibri" w:hAnsi="Arial Nova Cond" w:cs="Calibri"/>
                <w:bCs/>
                <w:sz w:val="18"/>
                <w:szCs w:val="18"/>
                <w:lang w:val="en-US"/>
              </w:rPr>
            </w:pPr>
          </w:p>
        </w:tc>
        <w:tc>
          <w:tcPr>
            <w:tcW w:w="1134" w:type="dxa"/>
          </w:tcPr>
          <w:p w14:paraId="2C75EBB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p>
          <w:p w14:paraId="42E162E3" w14:textId="77777777" w:rsidR="00A84704" w:rsidRPr="00A84704" w:rsidRDefault="00A84704" w:rsidP="00A84704">
            <w:pPr>
              <w:numPr>
                <w:ilvl w:val="0"/>
                <w:numId w:val="28"/>
              </w:numPr>
              <w:autoSpaceDE w:val="0"/>
              <w:autoSpaceDN w:val="0"/>
              <w:adjustRightInd w:val="0"/>
              <w:spacing w:after="0" w:line="240" w:lineRule="auto"/>
              <w:ind w:left="41" w:hanging="142"/>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No change required.</w:t>
            </w:r>
          </w:p>
          <w:p w14:paraId="5B9B8544" w14:textId="77777777" w:rsidR="00A84704" w:rsidRPr="00A84704" w:rsidRDefault="00A84704" w:rsidP="00A84704">
            <w:pPr>
              <w:numPr>
                <w:ilvl w:val="0"/>
                <w:numId w:val="28"/>
              </w:numPr>
              <w:autoSpaceDE w:val="0"/>
              <w:autoSpaceDN w:val="0"/>
              <w:adjustRightInd w:val="0"/>
              <w:spacing w:after="0" w:line="240" w:lineRule="auto"/>
              <w:ind w:left="41"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Local constitutional rights and freedom of speech must only be limited in accordance with local laws.</w:t>
            </w:r>
          </w:p>
        </w:tc>
      </w:tr>
      <w:tr w:rsidR="00A84704" w:rsidRPr="00A84704" w14:paraId="5FCE83ED" w14:textId="77777777" w:rsidTr="00A84704">
        <w:trPr>
          <w:trHeight w:val="378"/>
        </w:trPr>
        <w:tc>
          <w:tcPr>
            <w:tcW w:w="993" w:type="dxa"/>
            <w:shd w:val="clear" w:color="auto" w:fill="auto"/>
          </w:tcPr>
          <w:p w14:paraId="587F2733" w14:textId="77777777" w:rsidR="00A84704" w:rsidRPr="00A84704" w:rsidRDefault="00A84704" w:rsidP="00A84704">
            <w:pPr>
              <w:spacing w:before="840" w:after="0" w:line="36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5 </w:t>
            </w:r>
          </w:p>
        </w:tc>
        <w:tc>
          <w:tcPr>
            <w:tcW w:w="1984" w:type="dxa"/>
            <w:shd w:val="clear" w:color="auto" w:fill="auto"/>
          </w:tcPr>
          <w:p w14:paraId="210FB85B"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48 </w:t>
            </w:r>
          </w:p>
          <w:p w14:paraId="732032F4"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5.4 Member States should encourage authorized operating agencies to inform all users, including roaming users, in good time and free of charge, of the number to be </w:t>
            </w:r>
            <w:r w:rsidRPr="00A84704">
              <w:rPr>
                <w:rFonts w:ascii="Arial Nova Cond" w:eastAsia="Calibri" w:hAnsi="Arial Nova Cond" w:cs="Calibri"/>
                <w:bCs/>
                <w:sz w:val="18"/>
                <w:szCs w:val="18"/>
                <w:lang w:val="en-US"/>
              </w:rPr>
              <w:lastRenderedPageBreak/>
              <w:t>used for calls to the emergency services</w:t>
            </w:r>
          </w:p>
          <w:p w14:paraId="354FA7D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w:t>
            </w:r>
          </w:p>
        </w:tc>
        <w:tc>
          <w:tcPr>
            <w:tcW w:w="1985" w:type="dxa"/>
            <w:shd w:val="clear" w:color="auto" w:fill="auto"/>
          </w:tcPr>
          <w:p w14:paraId="4BE5A31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3AD881C" w14:textId="6B33C98E"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No similar clause</w:t>
            </w:r>
            <w:r w:rsidR="009F7A9D">
              <w:rPr>
                <w:rFonts w:ascii="Arial Nova Cond" w:eastAsia="Calibri" w:hAnsi="Arial Nova Cond" w:cs="Calibri"/>
                <w:bCs/>
                <w:sz w:val="18"/>
                <w:szCs w:val="18"/>
                <w:lang w:val="en-US"/>
              </w:rPr>
              <w:t>.</w:t>
            </w:r>
            <w:r w:rsidRPr="00A84704">
              <w:rPr>
                <w:rFonts w:ascii="Arial Nova Cond" w:eastAsia="Calibri" w:hAnsi="Arial Nova Cond" w:cs="Calibri"/>
                <w:bCs/>
                <w:sz w:val="18"/>
                <w:szCs w:val="18"/>
                <w:lang w:val="en-US"/>
              </w:rPr>
              <w:t xml:space="preserve"> </w:t>
            </w:r>
          </w:p>
        </w:tc>
        <w:tc>
          <w:tcPr>
            <w:tcW w:w="1559" w:type="dxa"/>
            <w:shd w:val="clear" w:color="auto" w:fill="auto"/>
          </w:tcPr>
          <w:p w14:paraId="734B7834"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314F6185"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This regulation does not obstruct the development of networks and services; supports the use of emergency service nationally</w:t>
            </w:r>
          </w:p>
        </w:tc>
        <w:tc>
          <w:tcPr>
            <w:tcW w:w="1559" w:type="dxa"/>
            <w:shd w:val="clear" w:color="auto" w:fill="auto"/>
          </w:tcPr>
          <w:p w14:paraId="4D5D0441"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047922C2"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Sufficiently flexible; non-mandatory </w:t>
            </w:r>
          </w:p>
        </w:tc>
        <w:tc>
          <w:tcPr>
            <w:tcW w:w="1134" w:type="dxa"/>
            <w:shd w:val="clear" w:color="auto" w:fill="auto"/>
          </w:tcPr>
          <w:p w14:paraId="36372A98"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7D69D2F2"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65B89F9F" w14:textId="77777777" w:rsidTr="00A32357">
        <w:trPr>
          <w:trHeight w:val="153"/>
        </w:trPr>
        <w:tc>
          <w:tcPr>
            <w:tcW w:w="993" w:type="dxa"/>
          </w:tcPr>
          <w:p w14:paraId="10A7F83D" w14:textId="77777777" w:rsidR="00A84704" w:rsidRPr="00A84704" w:rsidRDefault="00A84704" w:rsidP="00A84704">
            <w:pPr>
              <w:spacing w:before="840" w:after="0" w:line="36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
                <w:bCs/>
                <w:sz w:val="18"/>
                <w:szCs w:val="18"/>
                <w:lang w:val="en-US"/>
              </w:rPr>
              <w:t>Article 6</w:t>
            </w:r>
            <w:r w:rsidRPr="00A84704">
              <w:rPr>
                <w:rFonts w:ascii="Arial Nova Cond" w:eastAsia="Calibri" w:hAnsi="Arial Nova Cond" w:cs="Calibri"/>
                <w:bCs/>
                <w:sz w:val="18"/>
                <w:szCs w:val="18"/>
                <w:lang w:val="en-US"/>
              </w:rPr>
              <w:t xml:space="preserve"> </w:t>
            </w:r>
          </w:p>
        </w:tc>
        <w:tc>
          <w:tcPr>
            <w:tcW w:w="1984" w:type="dxa"/>
          </w:tcPr>
          <w:p w14:paraId="16EAE72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49 </w:t>
            </w:r>
          </w:p>
          <w:p w14:paraId="4CB3408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6.1 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 </w:t>
            </w:r>
          </w:p>
        </w:tc>
        <w:tc>
          <w:tcPr>
            <w:tcW w:w="1985" w:type="dxa"/>
          </w:tcPr>
          <w:p w14:paraId="13BE4D36"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06A4DAE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No similar clause. </w:t>
            </w:r>
          </w:p>
        </w:tc>
        <w:tc>
          <w:tcPr>
            <w:tcW w:w="1559" w:type="dxa"/>
          </w:tcPr>
          <w:p w14:paraId="7D6D7712"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6B7DFA7A" w14:textId="77777777" w:rsidR="00A84704" w:rsidRPr="00A84704" w:rsidRDefault="00A84704" w:rsidP="00A84704">
            <w:pPr>
              <w:numPr>
                <w:ilvl w:val="0"/>
                <w:numId w:val="30"/>
              </w:numPr>
              <w:autoSpaceDE w:val="0"/>
              <w:autoSpaceDN w:val="0"/>
              <w:adjustRightInd w:val="0"/>
              <w:spacing w:after="0" w:line="240" w:lineRule="auto"/>
              <w:ind w:left="28"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It is proposed that the word “effective” be replaced with “efficient”. </w:t>
            </w:r>
          </w:p>
          <w:p w14:paraId="5AFF0DC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Security and robustness of networks through international cooperation are key in the development of telecommunications networks.</w:t>
            </w:r>
          </w:p>
          <w:p w14:paraId="4BEFDC8B" w14:textId="199C3506" w:rsidR="00A84704" w:rsidRPr="00A84704" w:rsidRDefault="00A84704" w:rsidP="008A5931">
            <w:pPr>
              <w:numPr>
                <w:ilvl w:val="0"/>
                <w:numId w:val="30"/>
              </w:numPr>
              <w:autoSpaceDE w:val="0"/>
              <w:autoSpaceDN w:val="0"/>
              <w:adjustRightInd w:val="0"/>
              <w:spacing w:after="0" w:line="240" w:lineRule="auto"/>
              <w:ind w:left="28"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Article 6.1 is still applicable in fostering provision of networks and services. </w:t>
            </w:r>
          </w:p>
        </w:tc>
        <w:tc>
          <w:tcPr>
            <w:tcW w:w="1559" w:type="dxa"/>
          </w:tcPr>
          <w:p w14:paraId="4BEC97A3"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E822B92"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Sufficiently flexible. </w:t>
            </w:r>
          </w:p>
        </w:tc>
        <w:tc>
          <w:tcPr>
            <w:tcW w:w="1134" w:type="dxa"/>
          </w:tcPr>
          <w:p w14:paraId="72CE5455" w14:textId="77777777" w:rsidR="00A84704" w:rsidRPr="00A84704" w:rsidRDefault="00A84704" w:rsidP="00A84704">
            <w:pPr>
              <w:autoSpaceDE w:val="0"/>
              <w:autoSpaceDN w:val="0"/>
              <w:adjustRightInd w:val="0"/>
              <w:spacing w:after="0" w:line="240" w:lineRule="auto"/>
              <w:ind w:left="41"/>
              <w:rPr>
                <w:rFonts w:ascii="Arial Nova Cond" w:eastAsia="Calibri" w:hAnsi="Arial Nova Cond" w:cs="Calibri"/>
                <w:bCs/>
                <w:sz w:val="18"/>
                <w:szCs w:val="18"/>
                <w:lang w:val="en-US"/>
              </w:rPr>
            </w:pPr>
          </w:p>
          <w:p w14:paraId="708627FA" w14:textId="77777777" w:rsidR="00A84704" w:rsidRPr="00A84704" w:rsidRDefault="00A84704" w:rsidP="00A84704">
            <w:pPr>
              <w:autoSpaceDE w:val="0"/>
              <w:autoSpaceDN w:val="0"/>
              <w:adjustRightInd w:val="0"/>
              <w:spacing w:after="0" w:line="240" w:lineRule="auto"/>
              <w:ind w:left="41"/>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Change required.</w:t>
            </w:r>
          </w:p>
        </w:tc>
      </w:tr>
      <w:tr w:rsidR="00A84704" w:rsidRPr="00A84704" w14:paraId="517910AC" w14:textId="77777777" w:rsidTr="00A32357">
        <w:trPr>
          <w:trHeight w:val="153"/>
        </w:trPr>
        <w:tc>
          <w:tcPr>
            <w:tcW w:w="993" w:type="dxa"/>
          </w:tcPr>
          <w:p w14:paraId="76D09610" w14:textId="77777777" w:rsidR="00A84704" w:rsidRPr="00A84704" w:rsidRDefault="00A84704" w:rsidP="00A84704">
            <w:pPr>
              <w:spacing w:before="840" w:after="0" w:line="36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7 </w:t>
            </w:r>
          </w:p>
        </w:tc>
        <w:tc>
          <w:tcPr>
            <w:tcW w:w="1984" w:type="dxa"/>
          </w:tcPr>
          <w:p w14:paraId="3B19D4F4"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50 </w:t>
            </w:r>
          </w:p>
          <w:p w14:paraId="690B7944"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7.1 Member States should endeavour to take necessary measures to prevent the propagation of unsolicited bulk electronic communications and minimize its impact on international telecommunication services.</w:t>
            </w:r>
          </w:p>
        </w:tc>
        <w:tc>
          <w:tcPr>
            <w:tcW w:w="1985" w:type="dxa"/>
          </w:tcPr>
          <w:p w14:paraId="783823BB"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1CBFAAB5"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No similar clause. </w:t>
            </w:r>
          </w:p>
        </w:tc>
        <w:tc>
          <w:tcPr>
            <w:tcW w:w="1559" w:type="dxa"/>
          </w:tcPr>
          <w:p w14:paraId="00049948"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B79031F" w14:textId="77777777" w:rsidR="00A84704" w:rsidRPr="00A84704" w:rsidRDefault="00A84704" w:rsidP="00A84704">
            <w:pPr>
              <w:numPr>
                <w:ilvl w:val="0"/>
                <w:numId w:val="30"/>
              </w:numPr>
              <w:autoSpaceDE w:val="0"/>
              <w:autoSpaceDN w:val="0"/>
              <w:adjustRightInd w:val="0"/>
              <w:spacing w:after="0" w:line="240" w:lineRule="auto"/>
              <w:ind w:left="28"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Unsolicited bulk electronic communications may negatively impact telecommunication operators and users. </w:t>
            </w:r>
          </w:p>
          <w:p w14:paraId="7C799D4B" w14:textId="77777777" w:rsidR="00A84704" w:rsidRPr="00A84704" w:rsidRDefault="00A84704" w:rsidP="00A84704">
            <w:pPr>
              <w:numPr>
                <w:ilvl w:val="0"/>
                <w:numId w:val="30"/>
              </w:numPr>
              <w:autoSpaceDE w:val="0"/>
              <w:autoSpaceDN w:val="0"/>
              <w:adjustRightInd w:val="0"/>
              <w:spacing w:after="0" w:line="240" w:lineRule="auto"/>
              <w:ind w:left="28"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Article 7.1 is still applicable in fostering the provision and development of networks and services.</w:t>
            </w:r>
          </w:p>
          <w:p w14:paraId="60943690" w14:textId="77777777" w:rsidR="00A84704" w:rsidRPr="00A84704" w:rsidRDefault="00A84704" w:rsidP="00A84704">
            <w:pPr>
              <w:autoSpaceDE w:val="0"/>
              <w:autoSpaceDN w:val="0"/>
              <w:adjustRightInd w:val="0"/>
              <w:spacing w:after="0" w:line="240" w:lineRule="auto"/>
              <w:ind w:left="28"/>
              <w:rPr>
                <w:rFonts w:ascii="Arial Nova Cond" w:eastAsia="Calibri" w:hAnsi="Arial Nova Cond" w:cs="Calibri"/>
                <w:bCs/>
                <w:sz w:val="18"/>
                <w:szCs w:val="18"/>
                <w:lang w:val="en-US"/>
              </w:rPr>
            </w:pPr>
          </w:p>
        </w:tc>
        <w:tc>
          <w:tcPr>
            <w:tcW w:w="1559" w:type="dxa"/>
          </w:tcPr>
          <w:p w14:paraId="30FE16F1"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1EC2F338"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Sufficiently flexible. </w:t>
            </w:r>
          </w:p>
        </w:tc>
        <w:tc>
          <w:tcPr>
            <w:tcW w:w="1134" w:type="dxa"/>
          </w:tcPr>
          <w:p w14:paraId="37F972C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77B40D8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1AD4CB06" w14:textId="77777777" w:rsidTr="00A32357">
        <w:trPr>
          <w:trHeight w:val="153"/>
        </w:trPr>
        <w:tc>
          <w:tcPr>
            <w:tcW w:w="993" w:type="dxa"/>
          </w:tcPr>
          <w:p w14:paraId="2C817BB7" w14:textId="77777777" w:rsidR="00A84704" w:rsidRPr="00A84704" w:rsidRDefault="00A84704" w:rsidP="00A84704">
            <w:pPr>
              <w:spacing w:before="840" w:after="0" w:line="36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7 </w:t>
            </w:r>
          </w:p>
        </w:tc>
        <w:tc>
          <w:tcPr>
            <w:tcW w:w="1984" w:type="dxa"/>
          </w:tcPr>
          <w:p w14:paraId="7E73DE2A"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51 </w:t>
            </w:r>
          </w:p>
          <w:p w14:paraId="3E1EE46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7.2 Member States are encouraged to cooperate in that sense. </w:t>
            </w:r>
          </w:p>
        </w:tc>
        <w:tc>
          <w:tcPr>
            <w:tcW w:w="1985" w:type="dxa"/>
          </w:tcPr>
          <w:p w14:paraId="422DE41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7595276A"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No similar clause. </w:t>
            </w:r>
          </w:p>
        </w:tc>
        <w:tc>
          <w:tcPr>
            <w:tcW w:w="1559" w:type="dxa"/>
          </w:tcPr>
          <w:p w14:paraId="76160983"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677D81B" w14:textId="77777777" w:rsidR="00A84704" w:rsidRPr="00A84704" w:rsidRDefault="00A84704" w:rsidP="00A84704">
            <w:pPr>
              <w:numPr>
                <w:ilvl w:val="0"/>
                <w:numId w:val="35"/>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Absence of this article may negatively impact communication networks and services.</w:t>
            </w:r>
          </w:p>
          <w:p w14:paraId="7EAA64D6" w14:textId="77777777" w:rsidR="00A84704" w:rsidRPr="00A84704" w:rsidRDefault="00A84704" w:rsidP="00A84704">
            <w:pPr>
              <w:numPr>
                <w:ilvl w:val="0"/>
                <w:numId w:val="35"/>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Provision still applicable in fostering the provision and development of networks and services.</w:t>
            </w:r>
          </w:p>
          <w:p w14:paraId="69EB6E8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 </w:t>
            </w:r>
          </w:p>
        </w:tc>
        <w:tc>
          <w:tcPr>
            <w:tcW w:w="1559" w:type="dxa"/>
          </w:tcPr>
          <w:p w14:paraId="07FD57D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1D20930D"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Sufficiently flexible. </w:t>
            </w:r>
          </w:p>
        </w:tc>
        <w:tc>
          <w:tcPr>
            <w:tcW w:w="1134" w:type="dxa"/>
          </w:tcPr>
          <w:p w14:paraId="05B6246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p>
          <w:p w14:paraId="37A0471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612B41D4" w14:textId="77777777" w:rsidTr="00A32357">
        <w:trPr>
          <w:trHeight w:val="153"/>
        </w:trPr>
        <w:tc>
          <w:tcPr>
            <w:tcW w:w="993" w:type="dxa"/>
          </w:tcPr>
          <w:p w14:paraId="707D7474" w14:textId="77777777" w:rsidR="00A84704" w:rsidRPr="00A84704" w:rsidRDefault="00A84704" w:rsidP="00A84704">
            <w:pPr>
              <w:spacing w:before="840" w:after="0" w:line="36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8 </w:t>
            </w:r>
          </w:p>
        </w:tc>
        <w:tc>
          <w:tcPr>
            <w:tcW w:w="1984" w:type="dxa"/>
          </w:tcPr>
          <w:p w14:paraId="17E966BA"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53 </w:t>
            </w:r>
          </w:p>
          <w:p w14:paraId="7016A64A"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8.1.1 Subject to applicable national law, the terms and conditions for international telecommunication </w:t>
            </w:r>
            <w:r w:rsidRPr="00A84704">
              <w:rPr>
                <w:rFonts w:ascii="Arial Nova Cond" w:eastAsia="Calibri" w:hAnsi="Arial Nova Cond" w:cs="Calibri"/>
                <w:bCs/>
                <w:sz w:val="18"/>
                <w:szCs w:val="18"/>
                <w:lang w:val="en-US"/>
              </w:rPr>
              <w:lastRenderedPageBreak/>
              <w:t>service arrangements may be established through commercial agreements or through accounting-rate principles established pursuant to national regulation.</w:t>
            </w:r>
          </w:p>
          <w:p w14:paraId="2FF651FB"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 </w:t>
            </w:r>
          </w:p>
        </w:tc>
        <w:tc>
          <w:tcPr>
            <w:tcW w:w="1985" w:type="dxa"/>
          </w:tcPr>
          <w:p w14:paraId="17B3CFA5"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6831AF07"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No similar clause. </w:t>
            </w:r>
          </w:p>
        </w:tc>
        <w:tc>
          <w:tcPr>
            <w:tcW w:w="1559" w:type="dxa"/>
          </w:tcPr>
          <w:p w14:paraId="55148153"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0EB22891" w14:textId="77777777" w:rsidR="00A84704" w:rsidRPr="00A84704" w:rsidRDefault="00A84704" w:rsidP="00A84704">
            <w:pPr>
              <w:numPr>
                <w:ilvl w:val="0"/>
                <w:numId w:val="34"/>
              </w:numPr>
              <w:spacing w:before="840" w:after="0" w:line="240" w:lineRule="auto"/>
              <w:ind w:left="0" w:hanging="114"/>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This regulation reflects existing practice and upholds the sovereign right of each Member </w:t>
            </w:r>
            <w:r w:rsidRPr="00A84704">
              <w:rPr>
                <w:rFonts w:ascii="Arial Nova Cond" w:eastAsia="Calibri" w:hAnsi="Arial Nova Cond" w:cs="Calibri"/>
                <w:bCs/>
                <w:sz w:val="18"/>
                <w:szCs w:val="18"/>
                <w:lang w:val="en-US"/>
              </w:rPr>
              <w:lastRenderedPageBreak/>
              <w:t>State pertaining to international arrangements.</w:t>
            </w:r>
          </w:p>
          <w:p w14:paraId="63CB0D3A" w14:textId="77777777" w:rsidR="00A84704" w:rsidRPr="00A84704" w:rsidRDefault="00A84704" w:rsidP="00A84704">
            <w:pPr>
              <w:numPr>
                <w:ilvl w:val="0"/>
                <w:numId w:val="34"/>
              </w:numPr>
              <w:spacing w:before="840" w:after="0" w:line="240" w:lineRule="auto"/>
              <w:ind w:left="0" w:hanging="114"/>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The provision still applicable. </w:t>
            </w:r>
          </w:p>
        </w:tc>
        <w:tc>
          <w:tcPr>
            <w:tcW w:w="1559" w:type="dxa"/>
          </w:tcPr>
          <w:p w14:paraId="7FC76001"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1EBB02D2"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Sufficiently flexible. </w:t>
            </w:r>
          </w:p>
        </w:tc>
        <w:tc>
          <w:tcPr>
            <w:tcW w:w="1134" w:type="dxa"/>
          </w:tcPr>
          <w:p w14:paraId="076800E5" w14:textId="77777777" w:rsidR="00A84704" w:rsidRPr="00A84704" w:rsidRDefault="00A84704" w:rsidP="00A84704">
            <w:pPr>
              <w:spacing w:before="840" w:after="0" w:line="360" w:lineRule="auto"/>
              <w:contextualSpacing/>
              <w:rPr>
                <w:rFonts w:ascii="Arial Nova Cond" w:eastAsia="Calibri" w:hAnsi="Arial Nova Cond" w:cs="Calibri"/>
                <w:bCs/>
                <w:sz w:val="18"/>
                <w:szCs w:val="18"/>
                <w:lang w:val="en-US"/>
              </w:rPr>
            </w:pPr>
          </w:p>
          <w:p w14:paraId="3BF6F30F" w14:textId="77777777" w:rsidR="00A84704" w:rsidRPr="00A84704" w:rsidRDefault="00A84704" w:rsidP="00A84704">
            <w:pPr>
              <w:numPr>
                <w:ilvl w:val="0"/>
                <w:numId w:val="31"/>
              </w:numPr>
              <w:spacing w:before="840" w:after="0" w:line="240" w:lineRule="auto"/>
              <w:ind w:left="0" w:hanging="101"/>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p w14:paraId="0BD76430" w14:textId="77777777" w:rsidR="00A84704" w:rsidRPr="00A84704" w:rsidRDefault="00A84704" w:rsidP="00A84704">
            <w:pPr>
              <w:numPr>
                <w:ilvl w:val="0"/>
                <w:numId w:val="31"/>
              </w:numPr>
              <w:spacing w:before="840" w:after="0" w:line="240" w:lineRule="auto"/>
              <w:ind w:left="0" w:hanging="101"/>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Arrangements through commercial agreements </w:t>
            </w:r>
            <w:r w:rsidRPr="00A84704">
              <w:rPr>
                <w:rFonts w:ascii="Arial Nova Cond" w:eastAsia="Calibri" w:hAnsi="Arial Nova Cond" w:cs="Calibri"/>
                <w:bCs/>
                <w:sz w:val="18"/>
                <w:szCs w:val="18"/>
                <w:lang w:val="en-US"/>
              </w:rPr>
              <w:lastRenderedPageBreak/>
              <w:t>is supported and should be favored over accounting-rate principles.</w:t>
            </w:r>
          </w:p>
        </w:tc>
      </w:tr>
      <w:tr w:rsidR="00A84704" w:rsidRPr="00A84704" w14:paraId="6EFC18C4" w14:textId="77777777" w:rsidTr="00A32357">
        <w:trPr>
          <w:trHeight w:val="153"/>
        </w:trPr>
        <w:tc>
          <w:tcPr>
            <w:tcW w:w="993" w:type="dxa"/>
          </w:tcPr>
          <w:p w14:paraId="53894B4A"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lastRenderedPageBreak/>
              <w:t xml:space="preserve">Article 8 </w:t>
            </w:r>
          </w:p>
        </w:tc>
        <w:tc>
          <w:tcPr>
            <w:tcW w:w="1984" w:type="dxa"/>
          </w:tcPr>
          <w:p w14:paraId="551A3797"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54 </w:t>
            </w:r>
          </w:p>
          <w:p w14:paraId="69D3704C"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8.1.2 Member States shall endeavour to encourage investments in international telecommunication networks and promote competitive wholesale pricing for traffic carried on such telecommunication networks.</w:t>
            </w:r>
          </w:p>
          <w:p w14:paraId="6F8808A5"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tc>
        <w:tc>
          <w:tcPr>
            <w:tcW w:w="1985" w:type="dxa"/>
          </w:tcPr>
          <w:p w14:paraId="50C09781"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0781098E"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No similar clause. </w:t>
            </w:r>
          </w:p>
        </w:tc>
        <w:tc>
          <w:tcPr>
            <w:tcW w:w="1559" w:type="dxa"/>
          </w:tcPr>
          <w:p w14:paraId="7C585051"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630E3B6B" w14:textId="77777777" w:rsidR="00A84704" w:rsidRPr="00A84704" w:rsidRDefault="00A84704" w:rsidP="00A84704">
            <w:pPr>
              <w:numPr>
                <w:ilvl w:val="0"/>
                <w:numId w:val="31"/>
              </w:numPr>
              <w:spacing w:before="840" w:after="0" w:line="240" w:lineRule="auto"/>
              <w:ind w:left="0" w:hanging="114"/>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Fostering provisioning and development of international networks and services requires that the investor to obtain a reasonable return on their investment.</w:t>
            </w:r>
          </w:p>
          <w:p w14:paraId="3EE84F44" w14:textId="77777777" w:rsidR="00A84704" w:rsidRDefault="00A84704" w:rsidP="00A84704">
            <w:pPr>
              <w:numPr>
                <w:ilvl w:val="0"/>
                <w:numId w:val="31"/>
              </w:numPr>
              <w:spacing w:before="840" w:after="0" w:line="240" w:lineRule="auto"/>
              <w:ind w:left="0" w:hanging="114"/>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The provision still applicable.</w:t>
            </w:r>
          </w:p>
          <w:p w14:paraId="340A6BC9" w14:textId="36719831"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 </w:t>
            </w:r>
          </w:p>
        </w:tc>
        <w:tc>
          <w:tcPr>
            <w:tcW w:w="1559" w:type="dxa"/>
          </w:tcPr>
          <w:p w14:paraId="0ED5D7C9"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3CC404B9" w14:textId="77777777" w:rsidR="00A84704" w:rsidRPr="00A84704" w:rsidRDefault="00A84704" w:rsidP="00A84704">
            <w:pPr>
              <w:numPr>
                <w:ilvl w:val="0"/>
                <w:numId w:val="31"/>
              </w:numPr>
              <w:spacing w:before="840" w:after="0" w:line="240" w:lineRule="auto"/>
              <w:ind w:left="0" w:hanging="100"/>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Sufficiently flexible.</w:t>
            </w:r>
          </w:p>
          <w:p w14:paraId="46F60AB8" w14:textId="77777777" w:rsidR="00A84704" w:rsidRPr="00A84704" w:rsidRDefault="00A84704" w:rsidP="00A84704">
            <w:pPr>
              <w:numPr>
                <w:ilvl w:val="0"/>
                <w:numId w:val="31"/>
              </w:numPr>
              <w:spacing w:before="840" w:after="0" w:line="240" w:lineRule="auto"/>
              <w:ind w:left="0" w:hanging="100"/>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Encourages investment, competition and competitive prices. </w:t>
            </w:r>
          </w:p>
        </w:tc>
        <w:tc>
          <w:tcPr>
            <w:tcW w:w="1134" w:type="dxa"/>
          </w:tcPr>
          <w:p w14:paraId="680602B1"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p>
          <w:p w14:paraId="49A235F0"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51E88793" w14:textId="77777777" w:rsidTr="00A32357">
        <w:trPr>
          <w:trHeight w:val="70"/>
        </w:trPr>
        <w:tc>
          <w:tcPr>
            <w:tcW w:w="993" w:type="dxa"/>
          </w:tcPr>
          <w:p w14:paraId="584F1C93"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8 </w:t>
            </w:r>
          </w:p>
        </w:tc>
        <w:tc>
          <w:tcPr>
            <w:tcW w:w="1984" w:type="dxa"/>
          </w:tcPr>
          <w:p w14:paraId="6E081987"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57 </w:t>
            </w:r>
          </w:p>
          <w:p w14:paraId="47C83FF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8.2.1 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 </w:t>
            </w:r>
          </w:p>
        </w:tc>
        <w:tc>
          <w:tcPr>
            <w:tcW w:w="1985" w:type="dxa"/>
          </w:tcPr>
          <w:p w14:paraId="684B8EC5"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35B10EC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No similar clause. </w:t>
            </w:r>
          </w:p>
        </w:tc>
        <w:tc>
          <w:tcPr>
            <w:tcW w:w="1559" w:type="dxa"/>
          </w:tcPr>
          <w:p w14:paraId="6491DC9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AC93C77" w14:textId="77777777" w:rsidR="00A84704" w:rsidRPr="00A84704" w:rsidRDefault="00A84704" w:rsidP="00A84704">
            <w:pPr>
              <w:numPr>
                <w:ilvl w:val="0"/>
                <w:numId w:val="31"/>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Allows for commercial agreements to be established.</w:t>
            </w:r>
          </w:p>
          <w:p w14:paraId="25217B5F" w14:textId="77777777" w:rsidR="00A84704" w:rsidRPr="00A84704" w:rsidRDefault="00A84704" w:rsidP="00A84704">
            <w:pPr>
              <w:numPr>
                <w:ilvl w:val="0"/>
                <w:numId w:val="31"/>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The provision still applicable. </w:t>
            </w:r>
          </w:p>
        </w:tc>
        <w:tc>
          <w:tcPr>
            <w:tcW w:w="1559" w:type="dxa"/>
          </w:tcPr>
          <w:p w14:paraId="1086B2B2"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1A821F92" w14:textId="77777777" w:rsidR="00A84704" w:rsidRPr="00A84704" w:rsidRDefault="00A84704" w:rsidP="00A84704">
            <w:pPr>
              <w:numPr>
                <w:ilvl w:val="0"/>
                <w:numId w:val="31"/>
              </w:numPr>
              <w:autoSpaceDE w:val="0"/>
              <w:autoSpaceDN w:val="0"/>
              <w:adjustRightInd w:val="0"/>
              <w:spacing w:after="0" w:line="240" w:lineRule="auto"/>
              <w:ind w:left="42"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Sufficiently flexible.</w:t>
            </w:r>
          </w:p>
          <w:p w14:paraId="0D01F3C4" w14:textId="77777777" w:rsidR="00A84704" w:rsidRPr="00A84704" w:rsidRDefault="00A84704" w:rsidP="00A84704">
            <w:pPr>
              <w:numPr>
                <w:ilvl w:val="0"/>
                <w:numId w:val="31"/>
              </w:numPr>
              <w:autoSpaceDE w:val="0"/>
              <w:autoSpaceDN w:val="0"/>
              <w:adjustRightInd w:val="0"/>
              <w:spacing w:after="0" w:line="240" w:lineRule="auto"/>
              <w:ind w:left="42"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Need to consider whether telecommunications arrangements are still established through accounting rate principles. If not, consider revising the text to only cater for commercial arrangement. South Africa only transacts through commercial arrangement.</w:t>
            </w:r>
          </w:p>
          <w:p w14:paraId="1EF163DF" w14:textId="77777777" w:rsidR="00A84704" w:rsidRPr="00A84704" w:rsidRDefault="00A84704" w:rsidP="00A84704">
            <w:pPr>
              <w:autoSpaceDE w:val="0"/>
              <w:autoSpaceDN w:val="0"/>
              <w:adjustRightInd w:val="0"/>
              <w:spacing w:after="0" w:line="240" w:lineRule="auto"/>
              <w:ind w:left="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 </w:t>
            </w:r>
          </w:p>
        </w:tc>
        <w:tc>
          <w:tcPr>
            <w:tcW w:w="1134" w:type="dxa"/>
          </w:tcPr>
          <w:p w14:paraId="2D91284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34C3AD9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26E5A821" w14:textId="77777777" w:rsidTr="00A32357">
        <w:trPr>
          <w:trHeight w:val="153"/>
        </w:trPr>
        <w:tc>
          <w:tcPr>
            <w:tcW w:w="993" w:type="dxa"/>
          </w:tcPr>
          <w:p w14:paraId="60A5F1EF"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8 </w:t>
            </w:r>
          </w:p>
        </w:tc>
        <w:tc>
          <w:tcPr>
            <w:tcW w:w="1984" w:type="dxa"/>
          </w:tcPr>
          <w:p w14:paraId="593F4E5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58 </w:t>
            </w:r>
          </w:p>
          <w:p w14:paraId="6CAE3F3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8.2.2 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p w14:paraId="73BD1838"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tc>
        <w:tc>
          <w:tcPr>
            <w:tcW w:w="1985" w:type="dxa"/>
          </w:tcPr>
          <w:p w14:paraId="38570F5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47 </w:t>
            </w:r>
          </w:p>
          <w:p w14:paraId="7EF50F5D"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6.2.1 For each applicable service in a given relation, administrations [or recognised private operating agencies] shall by mutual agreement establish and revise accounting rates to be applied between them, in accordance with the provisions of Appendix 1 and taking into account the relevant CCITT </w:t>
            </w:r>
            <w:r w:rsidRPr="00A84704">
              <w:rPr>
                <w:rFonts w:ascii="Arial Nova Cond" w:eastAsia="Calibri" w:hAnsi="Arial Nova Cond" w:cs="Calibri"/>
                <w:bCs/>
                <w:sz w:val="18"/>
                <w:szCs w:val="18"/>
                <w:lang w:val="en-US"/>
              </w:rPr>
              <w:lastRenderedPageBreak/>
              <w:t>Recommendations and relevant cost trends.</w:t>
            </w:r>
          </w:p>
          <w:p w14:paraId="1A5B65EA"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tc>
        <w:tc>
          <w:tcPr>
            <w:tcW w:w="1559" w:type="dxa"/>
          </w:tcPr>
          <w:p w14:paraId="3F6170B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182CF000" w14:textId="77777777" w:rsidR="00A84704" w:rsidRPr="00A84704" w:rsidRDefault="00A84704" w:rsidP="00A84704">
            <w:pPr>
              <w:numPr>
                <w:ilvl w:val="0"/>
                <w:numId w:val="33"/>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This regulation deviates very little from the related 1988 provision. does not delay the provision of networks and services.</w:t>
            </w:r>
          </w:p>
          <w:p w14:paraId="0EFFDE3C" w14:textId="77777777" w:rsidR="00A84704" w:rsidRPr="00A84704" w:rsidRDefault="00A84704" w:rsidP="00A84704">
            <w:pPr>
              <w:numPr>
                <w:ilvl w:val="0"/>
                <w:numId w:val="33"/>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The provision still applicable. </w:t>
            </w:r>
          </w:p>
        </w:tc>
        <w:tc>
          <w:tcPr>
            <w:tcW w:w="1559" w:type="dxa"/>
          </w:tcPr>
          <w:p w14:paraId="08FD5A0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7A744550" w14:textId="77777777" w:rsidR="00A84704" w:rsidRPr="00A84704" w:rsidRDefault="00A84704" w:rsidP="00A84704">
            <w:pPr>
              <w:numPr>
                <w:ilvl w:val="0"/>
                <w:numId w:val="32"/>
              </w:numPr>
              <w:autoSpaceDE w:val="0"/>
              <w:autoSpaceDN w:val="0"/>
              <w:adjustRightInd w:val="0"/>
              <w:spacing w:after="0" w:line="240" w:lineRule="auto"/>
              <w:ind w:left="0" w:hanging="100"/>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Sufficiently flexible.</w:t>
            </w:r>
          </w:p>
          <w:p w14:paraId="59940ECA" w14:textId="77777777" w:rsidR="00A84704" w:rsidRPr="00A84704" w:rsidRDefault="00A84704" w:rsidP="00A84704">
            <w:pPr>
              <w:numPr>
                <w:ilvl w:val="0"/>
                <w:numId w:val="32"/>
              </w:numPr>
              <w:autoSpaceDE w:val="0"/>
              <w:autoSpaceDN w:val="0"/>
              <w:adjustRightInd w:val="0"/>
              <w:spacing w:after="0" w:line="240" w:lineRule="auto"/>
              <w:ind w:left="0" w:hanging="100"/>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Commercial agreements excluded from these provisions. </w:t>
            </w:r>
          </w:p>
        </w:tc>
        <w:tc>
          <w:tcPr>
            <w:tcW w:w="1134" w:type="dxa"/>
          </w:tcPr>
          <w:p w14:paraId="2008379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p>
          <w:p w14:paraId="764A993D"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color w:val="000000"/>
                <w:sz w:val="18"/>
                <w:szCs w:val="18"/>
              </w:rPr>
            </w:pPr>
            <w:r w:rsidRPr="00A84704">
              <w:rPr>
                <w:rFonts w:ascii="Arial Nova Cond" w:eastAsia="Calibri" w:hAnsi="Arial Nova Cond" w:cs="Calibri"/>
                <w:b/>
                <w:bCs/>
                <w:sz w:val="18"/>
                <w:szCs w:val="18"/>
                <w:lang w:val="en-US"/>
              </w:rPr>
              <w:t>No change required</w:t>
            </w:r>
            <w:r w:rsidRPr="00A84704">
              <w:rPr>
                <w:rFonts w:ascii="Arial Nova Cond" w:eastAsia="Calibri" w:hAnsi="Arial Nova Cond" w:cs="Calibri"/>
                <w:bCs/>
                <w:color w:val="000000"/>
                <w:sz w:val="18"/>
                <w:szCs w:val="18"/>
              </w:rPr>
              <w:t xml:space="preserve"> </w:t>
            </w:r>
          </w:p>
        </w:tc>
      </w:tr>
      <w:tr w:rsidR="00A84704" w:rsidRPr="00A84704" w14:paraId="76755D29" w14:textId="77777777" w:rsidTr="00A32357">
        <w:trPr>
          <w:trHeight w:val="153"/>
        </w:trPr>
        <w:tc>
          <w:tcPr>
            <w:tcW w:w="993" w:type="dxa"/>
          </w:tcPr>
          <w:p w14:paraId="536FD447"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8 </w:t>
            </w:r>
          </w:p>
        </w:tc>
        <w:tc>
          <w:tcPr>
            <w:tcW w:w="1984" w:type="dxa"/>
          </w:tcPr>
          <w:p w14:paraId="042F7CEA"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59 </w:t>
            </w:r>
          </w:p>
          <w:p w14:paraId="2CD7DDA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8.2.3 Unless otherwise agreed, parties engaged in the provision of international telecommunication services shall follow the relevant provisions as set out in Appendices 1 and 2.</w:t>
            </w:r>
          </w:p>
          <w:p w14:paraId="705FDFF4"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 </w:t>
            </w:r>
          </w:p>
        </w:tc>
        <w:tc>
          <w:tcPr>
            <w:tcW w:w="1985" w:type="dxa"/>
          </w:tcPr>
          <w:p w14:paraId="291F96F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52 </w:t>
            </w:r>
          </w:p>
          <w:p w14:paraId="3BF051C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6.4.1 Unless otherwise agreed, administrations [or recognised private operating agencies] shall follow the relevant provisions as set out in Appendices 1 and 2. </w:t>
            </w:r>
          </w:p>
        </w:tc>
        <w:tc>
          <w:tcPr>
            <w:tcW w:w="1559" w:type="dxa"/>
          </w:tcPr>
          <w:p w14:paraId="0D7E58C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31F713A" w14:textId="77777777" w:rsidR="00A84704" w:rsidRPr="00A84704" w:rsidRDefault="00A84704" w:rsidP="00A84704">
            <w:pPr>
              <w:numPr>
                <w:ilvl w:val="0"/>
                <w:numId w:val="32"/>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This does not impact the provision of networks and services negatively.</w:t>
            </w:r>
          </w:p>
          <w:p w14:paraId="28478FBE" w14:textId="77777777" w:rsidR="00A84704" w:rsidRPr="00A84704" w:rsidRDefault="00A84704" w:rsidP="00A84704">
            <w:pPr>
              <w:numPr>
                <w:ilvl w:val="0"/>
                <w:numId w:val="32"/>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Provision still applicable. </w:t>
            </w:r>
          </w:p>
        </w:tc>
        <w:tc>
          <w:tcPr>
            <w:tcW w:w="1559" w:type="dxa"/>
          </w:tcPr>
          <w:p w14:paraId="5C62456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10DC1BC" w14:textId="77777777" w:rsidR="00A84704" w:rsidRPr="00A84704" w:rsidRDefault="00A84704" w:rsidP="00A84704">
            <w:pPr>
              <w:numPr>
                <w:ilvl w:val="0"/>
                <w:numId w:val="32"/>
              </w:numPr>
              <w:autoSpaceDE w:val="0"/>
              <w:autoSpaceDN w:val="0"/>
              <w:adjustRightInd w:val="0"/>
              <w:spacing w:after="0" w:line="240" w:lineRule="auto"/>
              <w:ind w:left="0" w:hanging="100"/>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Sufficiently flexible.</w:t>
            </w:r>
          </w:p>
          <w:p w14:paraId="47CE150D" w14:textId="77777777" w:rsidR="00A84704" w:rsidRPr="00A84704" w:rsidRDefault="00A84704" w:rsidP="00A84704">
            <w:pPr>
              <w:numPr>
                <w:ilvl w:val="0"/>
                <w:numId w:val="32"/>
              </w:numPr>
              <w:autoSpaceDE w:val="0"/>
              <w:autoSpaceDN w:val="0"/>
              <w:adjustRightInd w:val="0"/>
              <w:spacing w:after="0" w:line="240" w:lineRule="auto"/>
              <w:ind w:left="0" w:hanging="100"/>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commercial agreements allowed. </w:t>
            </w:r>
          </w:p>
        </w:tc>
        <w:tc>
          <w:tcPr>
            <w:tcW w:w="1134" w:type="dxa"/>
          </w:tcPr>
          <w:p w14:paraId="480A5FB3"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510636E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7924F4CF" w14:textId="77777777" w:rsidTr="00A32357">
        <w:trPr>
          <w:trHeight w:val="153"/>
        </w:trPr>
        <w:tc>
          <w:tcPr>
            <w:tcW w:w="993" w:type="dxa"/>
          </w:tcPr>
          <w:p w14:paraId="0F83E9E7"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8 </w:t>
            </w:r>
          </w:p>
        </w:tc>
        <w:tc>
          <w:tcPr>
            <w:tcW w:w="1984" w:type="dxa"/>
          </w:tcPr>
          <w:p w14:paraId="52B10E12"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60 </w:t>
            </w:r>
          </w:p>
          <w:p w14:paraId="6D75A97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8.2.4 In the absence of special arrangements concluded between authorized operating agencies, the monetary unit to be used in the composition of accounting rates for international telecommunication services and in the establishment of international accounts shall be: – either the monetary unit of the International Monetary Fund (IMF), currently the Special Drawing Right (SDR), as defined by that organization;</w:t>
            </w:r>
          </w:p>
          <w:p w14:paraId="55F448A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or freely convertible currencies or other monetary unit agreed between the authorized operating agencies.</w:t>
            </w:r>
          </w:p>
        </w:tc>
        <w:tc>
          <w:tcPr>
            <w:tcW w:w="1985" w:type="dxa"/>
          </w:tcPr>
          <w:p w14:paraId="1792F3BA"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49 </w:t>
            </w:r>
          </w:p>
          <w:p w14:paraId="7B9CD2A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6.3.1 In the absence of special arrangements concluded between the administrations [or recognised private operating agencies], the monetary unit to be used in the composition of accounting rates for international telecommunications services and in the establishment of international accounts shall be:</w:t>
            </w:r>
          </w:p>
          <w:p w14:paraId="4A493CD6"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either the monetary unit of the International Monetary Fund (IMF), currently the Special Drawing Right (SDR), as defined by that organisation;</w:t>
            </w:r>
          </w:p>
          <w:p w14:paraId="76AFA931"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or the gold franc, equivalent to 1/3.061 SDR.</w:t>
            </w:r>
          </w:p>
          <w:p w14:paraId="4BFAB9A2"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tc>
        <w:tc>
          <w:tcPr>
            <w:tcW w:w="1559" w:type="dxa"/>
          </w:tcPr>
          <w:p w14:paraId="6CB04701"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1A0D252" w14:textId="77777777" w:rsidR="00A84704" w:rsidRPr="00A84704" w:rsidRDefault="00A84704" w:rsidP="00A84704">
            <w:pPr>
              <w:numPr>
                <w:ilvl w:val="0"/>
                <w:numId w:val="32"/>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This does not impact the provision of networks and services negatively.</w:t>
            </w:r>
          </w:p>
          <w:p w14:paraId="51B16F6D" w14:textId="77777777" w:rsidR="00A84704" w:rsidRPr="00A84704" w:rsidRDefault="00A84704" w:rsidP="00A84704">
            <w:pPr>
              <w:numPr>
                <w:ilvl w:val="0"/>
                <w:numId w:val="32"/>
              </w:numPr>
              <w:autoSpaceDE w:val="0"/>
              <w:autoSpaceDN w:val="0"/>
              <w:adjustRightInd w:val="0"/>
              <w:spacing w:after="0" w:line="240" w:lineRule="auto"/>
              <w:ind w:left="0" w:hanging="114"/>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Provision still applicable. </w:t>
            </w:r>
          </w:p>
        </w:tc>
        <w:tc>
          <w:tcPr>
            <w:tcW w:w="1559" w:type="dxa"/>
          </w:tcPr>
          <w:p w14:paraId="1F0C880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3ECC6AA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Sufficiently flexible. </w:t>
            </w:r>
          </w:p>
        </w:tc>
        <w:tc>
          <w:tcPr>
            <w:tcW w:w="1134" w:type="dxa"/>
          </w:tcPr>
          <w:p w14:paraId="4324AC9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70FEC6F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150A45DE" w14:textId="77777777" w:rsidTr="00A84704">
        <w:tc>
          <w:tcPr>
            <w:tcW w:w="993" w:type="dxa"/>
            <w:shd w:val="clear" w:color="auto" w:fill="auto"/>
          </w:tcPr>
          <w:p w14:paraId="19D090D4"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8 </w:t>
            </w:r>
          </w:p>
        </w:tc>
        <w:tc>
          <w:tcPr>
            <w:tcW w:w="1984" w:type="dxa"/>
            <w:shd w:val="clear" w:color="auto" w:fill="auto"/>
          </w:tcPr>
          <w:p w14:paraId="7150D095"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62 </w:t>
            </w:r>
          </w:p>
          <w:p w14:paraId="445ECD7A"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8.2.5 The charges levied on customers for a particular communication should in principle be the same in a given relation, regardless of the international route used for that communication. In establishing these charges, Member States should try to avoid dissymmetry between the charges applicable in each direction of the same relation. </w:t>
            </w:r>
          </w:p>
        </w:tc>
        <w:tc>
          <w:tcPr>
            <w:tcW w:w="1985" w:type="dxa"/>
            <w:shd w:val="clear" w:color="auto" w:fill="auto"/>
          </w:tcPr>
          <w:p w14:paraId="03FDAA26"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43 </w:t>
            </w:r>
          </w:p>
          <w:p w14:paraId="35752BB4"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6.1.1 Each administration [or recognised private operating agency] shall, subject to applicable national law, establish the charges to be collected from its customers. The level of the charges is a national matter; however, in establishing these charges, administrations* should try to avoid too great a dissymmetry between the charges applicable in each direction of the same relation.</w:t>
            </w:r>
          </w:p>
          <w:p w14:paraId="6B1A5F32"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44</w:t>
            </w:r>
          </w:p>
          <w:p w14:paraId="6DC2F3F4"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6.1.2 The charge levied by an administration [or </w:t>
            </w:r>
            <w:r w:rsidRPr="00A84704">
              <w:rPr>
                <w:rFonts w:ascii="Arial Nova Cond" w:eastAsia="Calibri" w:hAnsi="Arial Nova Cond" w:cs="Calibri"/>
                <w:bCs/>
                <w:sz w:val="18"/>
                <w:szCs w:val="18"/>
                <w:lang w:val="en-US"/>
              </w:rPr>
              <w:lastRenderedPageBreak/>
              <w:t>recognized private operating agency] on customers for a particular communication should in principle be the same in a given relation, regardless of the route chosen by that administration [or recognized private operating agency].</w:t>
            </w:r>
          </w:p>
          <w:p w14:paraId="6B15BBF8"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tc>
        <w:tc>
          <w:tcPr>
            <w:tcW w:w="1559" w:type="dxa"/>
            <w:shd w:val="clear" w:color="auto" w:fill="auto"/>
          </w:tcPr>
          <w:p w14:paraId="3BD8FB53"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0E2E7E17"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Sufficiently flexible and incentivises use of the most efficient route. </w:t>
            </w:r>
          </w:p>
        </w:tc>
        <w:tc>
          <w:tcPr>
            <w:tcW w:w="1559" w:type="dxa"/>
            <w:shd w:val="clear" w:color="auto" w:fill="auto"/>
          </w:tcPr>
          <w:p w14:paraId="28A7F127"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DDB32D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Sufficiently flexible. </w:t>
            </w:r>
          </w:p>
        </w:tc>
        <w:tc>
          <w:tcPr>
            <w:tcW w:w="1134" w:type="dxa"/>
            <w:shd w:val="clear" w:color="auto" w:fill="auto"/>
          </w:tcPr>
          <w:p w14:paraId="6D3B565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186C7D2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65199B98" w14:textId="77777777" w:rsidTr="00A84704">
        <w:tc>
          <w:tcPr>
            <w:tcW w:w="993" w:type="dxa"/>
            <w:shd w:val="clear" w:color="auto" w:fill="auto"/>
          </w:tcPr>
          <w:p w14:paraId="4627236D"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8 </w:t>
            </w:r>
          </w:p>
        </w:tc>
        <w:tc>
          <w:tcPr>
            <w:tcW w:w="1984" w:type="dxa"/>
            <w:shd w:val="clear" w:color="auto" w:fill="auto"/>
          </w:tcPr>
          <w:p w14:paraId="6686D4E7"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64 </w:t>
            </w:r>
          </w:p>
          <w:p w14:paraId="5DA2869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8.3.1 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 </w:t>
            </w:r>
          </w:p>
        </w:tc>
        <w:tc>
          <w:tcPr>
            <w:tcW w:w="1985" w:type="dxa"/>
            <w:shd w:val="clear" w:color="auto" w:fill="auto"/>
          </w:tcPr>
          <w:p w14:paraId="3F136066"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45 </w:t>
            </w:r>
          </w:p>
          <w:p w14:paraId="6565EC57"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6.1.3 Where, in accordance with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14:paraId="1228A3CB"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 </w:t>
            </w:r>
          </w:p>
        </w:tc>
        <w:tc>
          <w:tcPr>
            <w:tcW w:w="1559" w:type="dxa"/>
            <w:shd w:val="clear" w:color="auto" w:fill="auto"/>
          </w:tcPr>
          <w:p w14:paraId="3C206296"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172E50A"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The regulation appears identical to the related 1988 regulation. </w:t>
            </w:r>
          </w:p>
        </w:tc>
        <w:tc>
          <w:tcPr>
            <w:tcW w:w="1559" w:type="dxa"/>
            <w:shd w:val="clear" w:color="auto" w:fill="auto"/>
          </w:tcPr>
          <w:p w14:paraId="6FC99496"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2356242C" w14:textId="77777777" w:rsidR="00A84704" w:rsidRPr="00A84704" w:rsidRDefault="00A84704" w:rsidP="00A84704">
            <w:pPr>
              <w:numPr>
                <w:ilvl w:val="0"/>
                <w:numId w:val="32"/>
              </w:numPr>
              <w:autoSpaceDE w:val="0"/>
              <w:autoSpaceDN w:val="0"/>
              <w:adjustRightInd w:val="0"/>
              <w:spacing w:after="0" w:line="240" w:lineRule="auto"/>
              <w:ind w:left="42"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Sufficiently flexible.</w:t>
            </w:r>
          </w:p>
          <w:p w14:paraId="3AB67231" w14:textId="03C24699" w:rsidR="00A84704" w:rsidRPr="00A84704" w:rsidRDefault="00A84704" w:rsidP="00A84704">
            <w:pPr>
              <w:numPr>
                <w:ilvl w:val="0"/>
                <w:numId w:val="32"/>
              </w:numPr>
              <w:autoSpaceDE w:val="0"/>
              <w:autoSpaceDN w:val="0"/>
              <w:adjustRightInd w:val="0"/>
              <w:spacing w:after="0" w:line="240" w:lineRule="auto"/>
              <w:ind w:left="42" w:hanging="142"/>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Does not automatically impose fiscal taxes on other countries – hence maintains sovereignty of Member States. </w:t>
            </w:r>
          </w:p>
        </w:tc>
        <w:tc>
          <w:tcPr>
            <w:tcW w:w="1134" w:type="dxa"/>
            <w:shd w:val="clear" w:color="auto" w:fill="auto"/>
          </w:tcPr>
          <w:p w14:paraId="0447A336"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4B4D073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3C0C82E0" w14:textId="77777777" w:rsidTr="00A32357">
        <w:tc>
          <w:tcPr>
            <w:tcW w:w="993" w:type="dxa"/>
          </w:tcPr>
          <w:p w14:paraId="22730A49"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8 </w:t>
            </w:r>
          </w:p>
        </w:tc>
        <w:tc>
          <w:tcPr>
            <w:tcW w:w="1984" w:type="dxa"/>
          </w:tcPr>
          <w:p w14:paraId="325E53D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66 </w:t>
            </w:r>
          </w:p>
          <w:p w14:paraId="67C3E162"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8.4.1 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p w14:paraId="60AA4AD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 </w:t>
            </w:r>
          </w:p>
        </w:tc>
        <w:tc>
          <w:tcPr>
            <w:tcW w:w="1985" w:type="dxa"/>
          </w:tcPr>
          <w:p w14:paraId="0006C719"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54 </w:t>
            </w:r>
          </w:p>
          <w:p w14:paraId="1F10B026"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6.5.1 Administrations [or recognised private operating agencies] shall follow the relevant provisions as set out in Appendix 3. </w:t>
            </w:r>
          </w:p>
        </w:tc>
        <w:tc>
          <w:tcPr>
            <w:tcW w:w="1559" w:type="dxa"/>
          </w:tcPr>
          <w:p w14:paraId="5E425FC5"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3360F85C"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The provisions of Appendix 3 of the 1988 ITRs were incorporated into the text of the 2012 ITRs. </w:t>
            </w:r>
          </w:p>
        </w:tc>
        <w:tc>
          <w:tcPr>
            <w:tcW w:w="1559" w:type="dxa"/>
          </w:tcPr>
          <w:p w14:paraId="2A24BB90"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5E3C4A7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Sufficiently flexible. </w:t>
            </w:r>
          </w:p>
        </w:tc>
        <w:tc>
          <w:tcPr>
            <w:tcW w:w="1134" w:type="dxa"/>
          </w:tcPr>
          <w:p w14:paraId="4A02B30B"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Cs/>
                <w:sz w:val="18"/>
                <w:szCs w:val="18"/>
                <w:lang w:val="en-US"/>
              </w:rPr>
            </w:pPr>
          </w:p>
          <w:p w14:paraId="649B7CB8" w14:textId="77777777" w:rsidR="00A84704" w:rsidRPr="00A84704" w:rsidRDefault="00A84704" w:rsidP="00A84704">
            <w:pPr>
              <w:autoSpaceDE w:val="0"/>
              <w:autoSpaceDN w:val="0"/>
              <w:adjustRightInd w:val="0"/>
              <w:spacing w:after="0" w:line="240" w:lineRule="auto"/>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003B8F23" w14:textId="77777777" w:rsidTr="00A32357">
        <w:tc>
          <w:tcPr>
            <w:tcW w:w="993" w:type="dxa"/>
          </w:tcPr>
          <w:p w14:paraId="470591A8"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Article 8 </w:t>
            </w:r>
          </w:p>
        </w:tc>
        <w:tc>
          <w:tcPr>
            <w:tcW w:w="1984" w:type="dxa"/>
          </w:tcPr>
          <w:p w14:paraId="3BB1C268"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67 </w:t>
            </w:r>
          </w:p>
          <w:p w14:paraId="2D7BEA99"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8.4.2 The general operational, charging and accounting principles applicable to service telecommunications should take account of the relevant ITU-T Recommendations. </w:t>
            </w:r>
          </w:p>
        </w:tc>
        <w:tc>
          <w:tcPr>
            <w:tcW w:w="1985" w:type="dxa"/>
          </w:tcPr>
          <w:p w14:paraId="05E3A8C2"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09CDBE4C" w14:textId="6BA19115"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No similar clause</w:t>
            </w:r>
            <w:r w:rsidR="00910F6C">
              <w:rPr>
                <w:rFonts w:ascii="Arial Nova Cond" w:eastAsia="Calibri" w:hAnsi="Arial Nova Cond" w:cs="Calibri"/>
                <w:bCs/>
                <w:sz w:val="18"/>
                <w:szCs w:val="18"/>
                <w:lang w:val="en-US"/>
              </w:rPr>
              <w:t>.</w:t>
            </w:r>
            <w:r w:rsidRPr="00A84704">
              <w:rPr>
                <w:rFonts w:ascii="Arial Nova Cond" w:eastAsia="Calibri" w:hAnsi="Arial Nova Cond" w:cs="Calibri"/>
                <w:bCs/>
                <w:sz w:val="18"/>
                <w:szCs w:val="18"/>
                <w:lang w:val="en-US"/>
              </w:rPr>
              <w:t xml:space="preserve"> </w:t>
            </w:r>
          </w:p>
        </w:tc>
        <w:tc>
          <w:tcPr>
            <w:tcW w:w="1559" w:type="dxa"/>
          </w:tcPr>
          <w:p w14:paraId="350A1658"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5F07F24D"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This regulation re-enforces the accounting principles to be applied in international agreements. This does not undermine the provision of </w:t>
            </w:r>
            <w:r w:rsidRPr="00A84704">
              <w:rPr>
                <w:rFonts w:ascii="Arial Nova Cond" w:eastAsia="Calibri" w:hAnsi="Arial Nova Cond" w:cs="Calibri"/>
                <w:bCs/>
                <w:sz w:val="18"/>
                <w:szCs w:val="18"/>
                <w:lang w:val="en-US"/>
              </w:rPr>
              <w:lastRenderedPageBreak/>
              <w:t>networks and services.</w:t>
            </w:r>
          </w:p>
          <w:p w14:paraId="4EE766FD"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 xml:space="preserve"> </w:t>
            </w:r>
          </w:p>
        </w:tc>
        <w:tc>
          <w:tcPr>
            <w:tcW w:w="1559" w:type="dxa"/>
          </w:tcPr>
          <w:p w14:paraId="1E66CAC9"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687E3072" w14:textId="65A7A63E"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r w:rsidRPr="00A84704">
              <w:rPr>
                <w:rFonts w:ascii="Arial Nova Cond" w:eastAsia="Calibri" w:hAnsi="Arial Nova Cond" w:cs="Calibri"/>
                <w:bCs/>
                <w:sz w:val="18"/>
                <w:szCs w:val="18"/>
                <w:lang w:val="en-US"/>
              </w:rPr>
              <w:t>Sufficiently flexible; latest ITU-T Recommendations apply</w:t>
            </w:r>
            <w:r w:rsidR="00910F6C">
              <w:rPr>
                <w:rFonts w:ascii="Arial Nova Cond" w:eastAsia="Calibri" w:hAnsi="Arial Nova Cond" w:cs="Calibri"/>
                <w:bCs/>
                <w:sz w:val="18"/>
                <w:szCs w:val="18"/>
                <w:lang w:val="en-US"/>
              </w:rPr>
              <w:t>.</w:t>
            </w:r>
            <w:r w:rsidRPr="00A84704">
              <w:rPr>
                <w:rFonts w:ascii="Arial Nova Cond" w:eastAsia="Calibri" w:hAnsi="Arial Nova Cond" w:cs="Calibri"/>
                <w:bCs/>
                <w:sz w:val="18"/>
                <w:szCs w:val="18"/>
                <w:lang w:val="en-US"/>
              </w:rPr>
              <w:t xml:space="preserve"> </w:t>
            </w:r>
          </w:p>
        </w:tc>
        <w:tc>
          <w:tcPr>
            <w:tcW w:w="1134" w:type="dxa"/>
          </w:tcPr>
          <w:p w14:paraId="4C1584CB" w14:textId="77777777" w:rsidR="00A84704" w:rsidRPr="00A84704" w:rsidRDefault="00A84704" w:rsidP="00A84704">
            <w:pPr>
              <w:spacing w:before="840" w:after="0" w:line="240" w:lineRule="auto"/>
              <w:contextualSpacing/>
              <w:rPr>
                <w:rFonts w:ascii="Arial Nova Cond" w:eastAsia="Calibri" w:hAnsi="Arial Nova Cond" w:cs="Calibri"/>
                <w:bCs/>
                <w:sz w:val="18"/>
                <w:szCs w:val="18"/>
                <w:lang w:val="en-US"/>
              </w:rPr>
            </w:pPr>
          </w:p>
          <w:p w14:paraId="7094317D" w14:textId="77777777" w:rsidR="00A84704" w:rsidRPr="00A84704" w:rsidRDefault="00A84704" w:rsidP="00A84704">
            <w:pPr>
              <w:spacing w:before="840" w:after="0" w:line="240" w:lineRule="auto"/>
              <w:contextualSpacing/>
              <w:rPr>
                <w:rFonts w:ascii="Arial Nova Cond" w:eastAsia="Calibri" w:hAnsi="Arial Nova Cond" w:cs="Calibri"/>
                <w:b/>
                <w:bCs/>
                <w:sz w:val="18"/>
                <w:szCs w:val="18"/>
                <w:lang w:val="en-US"/>
              </w:rPr>
            </w:pPr>
            <w:r w:rsidRPr="00A84704">
              <w:rPr>
                <w:rFonts w:ascii="Arial Nova Cond" w:eastAsia="Calibri" w:hAnsi="Arial Nova Cond" w:cs="Calibri"/>
                <w:b/>
                <w:bCs/>
                <w:sz w:val="18"/>
                <w:szCs w:val="18"/>
                <w:lang w:val="en-US"/>
              </w:rPr>
              <w:t xml:space="preserve">No change required. </w:t>
            </w:r>
          </w:p>
        </w:tc>
      </w:tr>
      <w:tr w:rsidR="00A84704" w:rsidRPr="00A84704" w14:paraId="1BABB97D" w14:textId="77777777" w:rsidTr="00A32357">
        <w:tc>
          <w:tcPr>
            <w:tcW w:w="993" w:type="dxa"/>
          </w:tcPr>
          <w:p w14:paraId="07EED59C" w14:textId="77777777" w:rsidR="00A84704" w:rsidRPr="00A84704" w:rsidRDefault="00A84704" w:rsidP="00A84704">
            <w:pPr>
              <w:spacing w:before="840" w:after="0" w:line="240" w:lineRule="auto"/>
              <w:contextualSpacing/>
              <w:rPr>
                <w:rFonts w:ascii="Arial Nova Cond" w:eastAsia="Calibri" w:hAnsi="Arial Nova Cond" w:cs="Times New Roman"/>
                <w:sz w:val="18"/>
                <w:szCs w:val="18"/>
                <w:lang w:val="en-US"/>
              </w:rPr>
            </w:pPr>
            <w:r w:rsidRPr="00A84704">
              <w:rPr>
                <w:rFonts w:ascii="Arial Nova Cond" w:eastAsia="Calibri" w:hAnsi="Arial Nova Cond" w:cs="Calibri"/>
                <w:b/>
                <w:bCs/>
                <w:sz w:val="18"/>
                <w:szCs w:val="18"/>
                <w:lang w:val="en-US"/>
              </w:rPr>
              <w:t>Appendix 1</w:t>
            </w:r>
            <w:r w:rsidRPr="00A84704">
              <w:rPr>
                <w:rFonts w:ascii="Arial Nova Cond" w:eastAsia="Calibri" w:hAnsi="Arial Nova Cond" w:cs="Times New Roman"/>
                <w:sz w:val="18"/>
                <w:szCs w:val="18"/>
                <w:lang w:val="en-US"/>
              </w:rPr>
              <w:t xml:space="preserve"> </w:t>
            </w:r>
          </w:p>
        </w:tc>
        <w:tc>
          <w:tcPr>
            <w:tcW w:w="1984" w:type="dxa"/>
          </w:tcPr>
          <w:p w14:paraId="7085755F" w14:textId="77777777" w:rsidR="00A84704" w:rsidRPr="00A84704" w:rsidRDefault="00A84704" w:rsidP="00A84704">
            <w:pPr>
              <w:autoSpaceDE w:val="0"/>
              <w:autoSpaceDN w:val="0"/>
              <w:adjustRightInd w:val="0"/>
              <w:spacing w:after="0" w:line="240" w:lineRule="auto"/>
              <w:rPr>
                <w:rFonts w:ascii="Arial Nova Cond" w:eastAsia="Calibri" w:hAnsi="Arial Nova Cond" w:cs="Calibri"/>
                <w:color w:val="000000"/>
                <w:sz w:val="18"/>
                <w:szCs w:val="18"/>
              </w:rPr>
            </w:pPr>
            <w:r w:rsidRPr="00A84704">
              <w:rPr>
                <w:rFonts w:ascii="Arial Nova Cond" w:eastAsia="Calibri" w:hAnsi="Arial Nova Cond" w:cs="Calibri"/>
                <w:color w:val="000000"/>
                <w:sz w:val="18"/>
                <w:szCs w:val="18"/>
              </w:rPr>
              <w:t xml:space="preserve">General provisions concerning accounting. </w:t>
            </w:r>
          </w:p>
        </w:tc>
        <w:tc>
          <w:tcPr>
            <w:tcW w:w="1985" w:type="dxa"/>
          </w:tcPr>
          <w:p w14:paraId="4AF4B277" w14:textId="77777777" w:rsidR="00A84704" w:rsidRPr="00A84704" w:rsidRDefault="00A84704" w:rsidP="00A84704">
            <w:pPr>
              <w:autoSpaceDE w:val="0"/>
              <w:autoSpaceDN w:val="0"/>
              <w:adjustRightInd w:val="0"/>
              <w:spacing w:after="0" w:line="240" w:lineRule="auto"/>
              <w:rPr>
                <w:rFonts w:ascii="Arial Nova Cond" w:eastAsia="Calibri" w:hAnsi="Arial Nova Cond" w:cs="Calibri"/>
                <w:color w:val="000000"/>
                <w:sz w:val="18"/>
                <w:szCs w:val="18"/>
              </w:rPr>
            </w:pPr>
            <w:r w:rsidRPr="00A84704">
              <w:rPr>
                <w:rFonts w:ascii="Arial Nova Cond" w:eastAsia="Calibri" w:hAnsi="Arial Nova Cond" w:cs="Calibri"/>
                <w:color w:val="000000"/>
                <w:sz w:val="18"/>
                <w:szCs w:val="18"/>
              </w:rPr>
              <w:t xml:space="preserve">General provisions concerning accounting. </w:t>
            </w:r>
          </w:p>
        </w:tc>
        <w:tc>
          <w:tcPr>
            <w:tcW w:w="1559" w:type="dxa"/>
          </w:tcPr>
          <w:p w14:paraId="286F5E9E" w14:textId="77777777" w:rsidR="00A84704" w:rsidRPr="00A84704" w:rsidRDefault="00A84704" w:rsidP="00A84704">
            <w:pPr>
              <w:autoSpaceDE w:val="0"/>
              <w:autoSpaceDN w:val="0"/>
              <w:adjustRightInd w:val="0"/>
              <w:spacing w:after="0" w:line="240" w:lineRule="auto"/>
              <w:rPr>
                <w:rFonts w:ascii="Arial Nova Cond" w:eastAsia="Calibri" w:hAnsi="Arial Nova Cond" w:cs="Calibri"/>
                <w:color w:val="000000"/>
                <w:sz w:val="18"/>
                <w:szCs w:val="18"/>
              </w:rPr>
            </w:pPr>
            <w:r w:rsidRPr="00A84704">
              <w:rPr>
                <w:rFonts w:ascii="Arial Nova Cond" w:eastAsia="Calibri" w:hAnsi="Arial Nova Cond" w:cs="Calibri"/>
                <w:color w:val="000000"/>
                <w:sz w:val="18"/>
                <w:szCs w:val="18"/>
              </w:rPr>
              <w:t>Does not hamper the provision and development of networks and services.</w:t>
            </w:r>
          </w:p>
          <w:p w14:paraId="538D8FA4" w14:textId="77777777" w:rsidR="00A84704" w:rsidRPr="00A84704" w:rsidRDefault="00A84704" w:rsidP="00A84704">
            <w:pPr>
              <w:autoSpaceDE w:val="0"/>
              <w:autoSpaceDN w:val="0"/>
              <w:adjustRightInd w:val="0"/>
              <w:spacing w:after="0" w:line="240" w:lineRule="auto"/>
              <w:rPr>
                <w:rFonts w:ascii="Arial Nova Cond" w:eastAsia="Calibri" w:hAnsi="Arial Nova Cond" w:cs="Calibri"/>
                <w:color w:val="000000"/>
                <w:sz w:val="18"/>
                <w:szCs w:val="18"/>
              </w:rPr>
            </w:pPr>
            <w:r w:rsidRPr="00A84704">
              <w:rPr>
                <w:rFonts w:ascii="Arial Nova Cond" w:eastAsia="Calibri" w:hAnsi="Arial Nova Cond" w:cs="Calibri"/>
                <w:color w:val="000000"/>
                <w:sz w:val="18"/>
                <w:szCs w:val="18"/>
              </w:rPr>
              <w:t xml:space="preserve"> </w:t>
            </w:r>
          </w:p>
        </w:tc>
        <w:tc>
          <w:tcPr>
            <w:tcW w:w="1559" w:type="dxa"/>
          </w:tcPr>
          <w:p w14:paraId="78CC61EA" w14:textId="77777777" w:rsidR="00A84704" w:rsidRPr="00A84704" w:rsidRDefault="00A84704" w:rsidP="00A84704">
            <w:pPr>
              <w:numPr>
                <w:ilvl w:val="0"/>
                <w:numId w:val="36"/>
              </w:numPr>
              <w:autoSpaceDE w:val="0"/>
              <w:autoSpaceDN w:val="0"/>
              <w:adjustRightInd w:val="0"/>
              <w:spacing w:after="0" w:line="240" w:lineRule="auto"/>
              <w:ind w:left="42" w:hanging="142"/>
              <w:rPr>
                <w:rFonts w:ascii="Arial Nova Cond" w:eastAsia="Calibri" w:hAnsi="Arial Nova Cond" w:cs="Calibri"/>
                <w:color w:val="000000"/>
                <w:sz w:val="18"/>
                <w:szCs w:val="18"/>
              </w:rPr>
            </w:pPr>
            <w:r w:rsidRPr="00A84704">
              <w:rPr>
                <w:rFonts w:ascii="Arial Nova Cond" w:eastAsia="Calibri" w:hAnsi="Arial Nova Cond" w:cs="Calibri"/>
                <w:color w:val="000000"/>
                <w:sz w:val="18"/>
                <w:szCs w:val="18"/>
              </w:rPr>
              <w:t>Sufficiently flexible.</w:t>
            </w:r>
          </w:p>
          <w:p w14:paraId="53D537F5" w14:textId="77777777" w:rsidR="00A84704" w:rsidRPr="00A84704" w:rsidRDefault="00A84704" w:rsidP="00A84704">
            <w:pPr>
              <w:numPr>
                <w:ilvl w:val="0"/>
                <w:numId w:val="36"/>
              </w:numPr>
              <w:autoSpaceDE w:val="0"/>
              <w:autoSpaceDN w:val="0"/>
              <w:adjustRightInd w:val="0"/>
              <w:spacing w:after="0" w:line="240" w:lineRule="auto"/>
              <w:ind w:left="42" w:hanging="142"/>
              <w:rPr>
                <w:rFonts w:ascii="Arial Nova Cond" w:eastAsia="Calibri" w:hAnsi="Arial Nova Cond" w:cs="Calibri"/>
                <w:color w:val="000000"/>
                <w:sz w:val="18"/>
                <w:szCs w:val="18"/>
              </w:rPr>
            </w:pPr>
            <w:r w:rsidRPr="00A84704">
              <w:rPr>
                <w:rFonts w:ascii="Arial Nova Cond" w:eastAsia="Calibri" w:hAnsi="Arial Nova Cond" w:cs="Calibri"/>
                <w:color w:val="000000"/>
                <w:sz w:val="18"/>
                <w:szCs w:val="18"/>
              </w:rPr>
              <w:t xml:space="preserve">Commercial agreements are allowed. </w:t>
            </w:r>
          </w:p>
        </w:tc>
        <w:tc>
          <w:tcPr>
            <w:tcW w:w="1134" w:type="dxa"/>
          </w:tcPr>
          <w:p w14:paraId="35D085DA" w14:textId="77777777" w:rsidR="00A84704" w:rsidRPr="00A84704" w:rsidRDefault="00A84704" w:rsidP="00A84704">
            <w:pPr>
              <w:autoSpaceDE w:val="0"/>
              <w:autoSpaceDN w:val="0"/>
              <w:adjustRightInd w:val="0"/>
              <w:spacing w:after="0" w:line="240" w:lineRule="auto"/>
              <w:rPr>
                <w:rFonts w:ascii="Arial Nova Cond" w:eastAsia="Calibri" w:hAnsi="Arial Nova Cond" w:cs="Calibri"/>
                <w:color w:val="000000"/>
                <w:sz w:val="18"/>
                <w:szCs w:val="18"/>
              </w:rPr>
            </w:pPr>
            <w:r w:rsidRPr="00A84704">
              <w:rPr>
                <w:rFonts w:ascii="Arial Nova Cond" w:eastAsia="Calibri" w:hAnsi="Arial Nova Cond" w:cs="Calibri"/>
                <w:b/>
                <w:bCs/>
                <w:color w:val="000000"/>
                <w:sz w:val="18"/>
                <w:szCs w:val="18"/>
              </w:rPr>
              <w:t xml:space="preserve">No change required. </w:t>
            </w:r>
          </w:p>
        </w:tc>
      </w:tr>
      <w:bookmarkEnd w:id="1"/>
    </w:tbl>
    <w:p w14:paraId="25F7BA37" w14:textId="77777777" w:rsidR="00A84704" w:rsidRPr="00A84704" w:rsidRDefault="00A84704" w:rsidP="00A84704">
      <w:pPr>
        <w:rPr>
          <w:rFonts w:ascii="Calibri" w:eastAsia="Calibri" w:hAnsi="Calibri" w:cs="Times New Roman"/>
          <w:sz w:val="18"/>
          <w:szCs w:val="18"/>
        </w:rPr>
      </w:pPr>
    </w:p>
    <w:p w14:paraId="2642BEAF" w14:textId="4C2399FE" w:rsidR="00F015E8" w:rsidRDefault="00F015E8" w:rsidP="00A84704">
      <w:pPr>
        <w:jc w:val="both"/>
        <w:rPr>
          <w:sz w:val="24"/>
          <w:szCs w:val="24"/>
        </w:rPr>
      </w:pPr>
    </w:p>
    <w:p w14:paraId="0CD782B6" w14:textId="53A3EC51" w:rsidR="008A5931" w:rsidRPr="008A5931" w:rsidRDefault="008A5931" w:rsidP="008A5931">
      <w:pPr>
        <w:jc w:val="center"/>
        <w:rPr>
          <w:sz w:val="24"/>
          <w:szCs w:val="24"/>
          <w:u w:val="single"/>
        </w:rPr>
      </w:pPr>
      <w:r>
        <w:rPr>
          <w:sz w:val="24"/>
          <w:szCs w:val="24"/>
          <w:u w:val="single"/>
        </w:rPr>
        <w:t>                                   </w:t>
      </w:r>
    </w:p>
    <w:sectPr w:rsidR="008A5931" w:rsidRPr="008A5931"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63760" w14:textId="77777777" w:rsidR="00CB0112" w:rsidRDefault="00CB0112">
      <w:r>
        <w:separator/>
      </w:r>
    </w:p>
  </w:endnote>
  <w:endnote w:type="continuationSeparator" w:id="0">
    <w:p w14:paraId="05C1BBB0" w14:textId="77777777" w:rsidR="00CB0112" w:rsidRDefault="00C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Nova Cond">
    <w:altName w:val="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3082" w14:textId="77777777" w:rsidR="002F765A" w:rsidRDefault="002F765A"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A9E66" w14:textId="77777777" w:rsidR="00CB0112" w:rsidRDefault="00CB0112">
      <w:r>
        <w:t>____________________</w:t>
      </w:r>
    </w:p>
  </w:footnote>
  <w:footnote w:type="continuationSeparator" w:id="0">
    <w:p w14:paraId="713FC1D6" w14:textId="77777777" w:rsidR="00CB0112" w:rsidRDefault="00CB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970D" w14:textId="0E56237D" w:rsidR="002F765A" w:rsidRDefault="002F765A" w:rsidP="000854C6">
    <w:pPr>
      <w:pStyle w:val="Header"/>
      <w:spacing w:after="120"/>
    </w:pPr>
    <w:r>
      <w:fldChar w:fldCharType="begin"/>
    </w:r>
    <w:r>
      <w:instrText xml:space="preserve"> PAGE   \* MERGEFORMAT </w:instrText>
    </w:r>
    <w:r>
      <w:fldChar w:fldCharType="separate"/>
    </w:r>
    <w:r>
      <w:rPr>
        <w:noProof/>
      </w:rPr>
      <w:t>2</w:t>
    </w:r>
    <w:r>
      <w:rPr>
        <w:noProof/>
      </w:rPr>
      <w:fldChar w:fldCharType="end"/>
    </w:r>
    <w:r>
      <w:rPr>
        <w:noProof/>
      </w:rPr>
      <w:br/>
      <w:t>EG-ITRs</w:t>
    </w:r>
    <w:r w:rsidR="008A5931">
      <w:rPr>
        <w:noProof/>
      </w:rPr>
      <w:t>-3</w:t>
    </w:r>
    <w:r>
      <w:rPr>
        <w:noProof/>
      </w:rPr>
      <w:t>\</w:t>
    </w:r>
    <w:r w:rsidR="008A5931">
      <w:rPr>
        <w:noProof/>
      </w:rPr>
      <w:t>2</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7562B0"/>
    <w:multiLevelType w:val="hybridMultilevel"/>
    <w:tmpl w:val="79008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93579"/>
    <w:multiLevelType w:val="hybridMultilevel"/>
    <w:tmpl w:val="4016E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4F939DC"/>
    <w:multiLevelType w:val="hybridMultilevel"/>
    <w:tmpl w:val="F198F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A031EFA"/>
    <w:multiLevelType w:val="hybridMultilevel"/>
    <w:tmpl w:val="3ED83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45C1D"/>
    <w:multiLevelType w:val="hybridMultilevel"/>
    <w:tmpl w:val="3E1ADC3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0"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58EE5B0E"/>
    <w:multiLevelType w:val="hybridMultilevel"/>
    <w:tmpl w:val="BF8CFF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955576A"/>
    <w:multiLevelType w:val="hybridMultilevel"/>
    <w:tmpl w:val="B448A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9E148E5"/>
    <w:multiLevelType w:val="hybridMultilevel"/>
    <w:tmpl w:val="4CBA0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14856A9"/>
    <w:multiLevelType w:val="hybridMultilevel"/>
    <w:tmpl w:val="CD76B0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4B24050"/>
    <w:multiLevelType w:val="hybridMultilevel"/>
    <w:tmpl w:val="F54CE4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EC73EB"/>
    <w:multiLevelType w:val="hybridMultilevel"/>
    <w:tmpl w:val="C24A1A26"/>
    <w:lvl w:ilvl="0" w:tplc="220EB8B6">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9" w15:restartNumberingAfterBreak="0">
    <w:nsid w:val="68FC4B05"/>
    <w:multiLevelType w:val="hybridMultilevel"/>
    <w:tmpl w:val="0BDEB472"/>
    <w:lvl w:ilvl="0" w:tplc="1F20682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6B8B12D7"/>
    <w:multiLevelType w:val="hybridMultilevel"/>
    <w:tmpl w:val="FDA43A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D286783"/>
    <w:multiLevelType w:val="hybridMultilevel"/>
    <w:tmpl w:val="9D1CC16C"/>
    <w:lvl w:ilvl="0" w:tplc="6296A2F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5853AC7"/>
    <w:multiLevelType w:val="hybridMultilevel"/>
    <w:tmpl w:val="662284D0"/>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35"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12"/>
  </w:num>
  <w:num w:numId="4">
    <w:abstractNumId w:val="18"/>
  </w:num>
  <w:num w:numId="5">
    <w:abstractNumId w:val="35"/>
  </w:num>
  <w:num w:numId="6">
    <w:abstractNumId w:val="15"/>
  </w:num>
  <w:num w:numId="7">
    <w:abstractNumId w:val="32"/>
  </w:num>
  <w:num w:numId="8">
    <w:abstractNumId w:val="21"/>
  </w:num>
  <w:num w:numId="9">
    <w:abstractNumId w:val="17"/>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33"/>
  </w:num>
  <w:num w:numId="22">
    <w:abstractNumId w:val="31"/>
  </w:num>
  <w:num w:numId="23">
    <w:abstractNumId w:val="29"/>
  </w:num>
  <w:num w:numId="24">
    <w:abstractNumId w:val="19"/>
  </w:num>
  <w:num w:numId="25">
    <w:abstractNumId w:val="28"/>
  </w:num>
  <w:num w:numId="26">
    <w:abstractNumId w:val="26"/>
  </w:num>
  <w:num w:numId="27">
    <w:abstractNumId w:val="13"/>
  </w:num>
  <w:num w:numId="28">
    <w:abstractNumId w:val="23"/>
  </w:num>
  <w:num w:numId="29">
    <w:abstractNumId w:val="34"/>
  </w:num>
  <w:num w:numId="30">
    <w:abstractNumId w:val="30"/>
  </w:num>
  <w:num w:numId="31">
    <w:abstractNumId w:val="25"/>
  </w:num>
  <w:num w:numId="32">
    <w:abstractNumId w:val="24"/>
  </w:num>
  <w:num w:numId="33">
    <w:abstractNumId w:val="27"/>
  </w:num>
  <w:num w:numId="34">
    <w:abstractNumId w:val="11"/>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0C9E"/>
    <w:rsid w:val="0005540C"/>
    <w:rsid w:val="00063016"/>
    <w:rsid w:val="00066DF5"/>
    <w:rsid w:val="00076AF6"/>
    <w:rsid w:val="00083635"/>
    <w:rsid w:val="000854C6"/>
    <w:rsid w:val="00085CF2"/>
    <w:rsid w:val="000915E5"/>
    <w:rsid w:val="000B1705"/>
    <w:rsid w:val="000C0529"/>
    <w:rsid w:val="000C2903"/>
    <w:rsid w:val="000C2F74"/>
    <w:rsid w:val="000C37C9"/>
    <w:rsid w:val="000D75B2"/>
    <w:rsid w:val="001121F5"/>
    <w:rsid w:val="00140CE1"/>
    <w:rsid w:val="00143690"/>
    <w:rsid w:val="00144165"/>
    <w:rsid w:val="0015308F"/>
    <w:rsid w:val="0016020C"/>
    <w:rsid w:val="00171F42"/>
    <w:rsid w:val="0017539C"/>
    <w:rsid w:val="00175AC2"/>
    <w:rsid w:val="0017609F"/>
    <w:rsid w:val="00195328"/>
    <w:rsid w:val="001B7D54"/>
    <w:rsid w:val="001C628E"/>
    <w:rsid w:val="001C7031"/>
    <w:rsid w:val="001E0F7B"/>
    <w:rsid w:val="001F4FF7"/>
    <w:rsid w:val="002119FD"/>
    <w:rsid w:val="002130E0"/>
    <w:rsid w:val="002133D8"/>
    <w:rsid w:val="00221C8F"/>
    <w:rsid w:val="002238C4"/>
    <w:rsid w:val="0025471D"/>
    <w:rsid w:val="00256D0F"/>
    <w:rsid w:val="00257BDE"/>
    <w:rsid w:val="00265875"/>
    <w:rsid w:val="002667C5"/>
    <w:rsid w:val="0027303B"/>
    <w:rsid w:val="0028109B"/>
    <w:rsid w:val="00281A82"/>
    <w:rsid w:val="00293DE5"/>
    <w:rsid w:val="00295397"/>
    <w:rsid w:val="002B1870"/>
    <w:rsid w:val="002B1F58"/>
    <w:rsid w:val="002C1C7A"/>
    <w:rsid w:val="002C5285"/>
    <w:rsid w:val="002D1E7F"/>
    <w:rsid w:val="002D494F"/>
    <w:rsid w:val="002F765A"/>
    <w:rsid w:val="0030160F"/>
    <w:rsid w:val="00320D67"/>
    <w:rsid w:val="0032195E"/>
    <w:rsid w:val="00322D0D"/>
    <w:rsid w:val="00326D48"/>
    <w:rsid w:val="0033276E"/>
    <w:rsid w:val="00337854"/>
    <w:rsid w:val="00337CE2"/>
    <w:rsid w:val="003439CB"/>
    <w:rsid w:val="0035253B"/>
    <w:rsid w:val="003662CE"/>
    <w:rsid w:val="003735DF"/>
    <w:rsid w:val="0037461E"/>
    <w:rsid w:val="00375F3C"/>
    <w:rsid w:val="0038108D"/>
    <w:rsid w:val="00384DD6"/>
    <w:rsid w:val="0039110F"/>
    <w:rsid w:val="003914A7"/>
    <w:rsid w:val="003942D4"/>
    <w:rsid w:val="003958A8"/>
    <w:rsid w:val="003A71C2"/>
    <w:rsid w:val="003C0228"/>
    <w:rsid w:val="003C2533"/>
    <w:rsid w:val="003C52D0"/>
    <w:rsid w:val="003C7DE8"/>
    <w:rsid w:val="003D0419"/>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5D1C"/>
    <w:rsid w:val="004B6781"/>
    <w:rsid w:val="004B7340"/>
    <w:rsid w:val="004D0B58"/>
    <w:rsid w:val="004D0C40"/>
    <w:rsid w:val="004D1851"/>
    <w:rsid w:val="004D5268"/>
    <w:rsid w:val="004D599D"/>
    <w:rsid w:val="004E2EA5"/>
    <w:rsid w:val="004E3AEB"/>
    <w:rsid w:val="004E691A"/>
    <w:rsid w:val="00500C7D"/>
    <w:rsid w:val="00501014"/>
    <w:rsid w:val="0050223C"/>
    <w:rsid w:val="005243FF"/>
    <w:rsid w:val="00535762"/>
    <w:rsid w:val="00542AE7"/>
    <w:rsid w:val="00542BAB"/>
    <w:rsid w:val="00544CA6"/>
    <w:rsid w:val="005467AE"/>
    <w:rsid w:val="005471D2"/>
    <w:rsid w:val="00564FBC"/>
    <w:rsid w:val="0057569B"/>
    <w:rsid w:val="00582442"/>
    <w:rsid w:val="0058499C"/>
    <w:rsid w:val="005964A4"/>
    <w:rsid w:val="005A051B"/>
    <w:rsid w:val="005A3B8A"/>
    <w:rsid w:val="005B3A74"/>
    <w:rsid w:val="005B4351"/>
    <w:rsid w:val="005C37A0"/>
    <w:rsid w:val="005D17EE"/>
    <w:rsid w:val="005D32DC"/>
    <w:rsid w:val="005D6131"/>
    <w:rsid w:val="005F2D25"/>
    <w:rsid w:val="005F40A4"/>
    <w:rsid w:val="00605347"/>
    <w:rsid w:val="00626B27"/>
    <w:rsid w:val="006535F1"/>
    <w:rsid w:val="0065557D"/>
    <w:rsid w:val="00662984"/>
    <w:rsid w:val="006716BB"/>
    <w:rsid w:val="006771E7"/>
    <w:rsid w:val="00694183"/>
    <w:rsid w:val="006A48BF"/>
    <w:rsid w:val="006B6DCC"/>
    <w:rsid w:val="006B7318"/>
    <w:rsid w:val="006D3B24"/>
    <w:rsid w:val="006D3B29"/>
    <w:rsid w:val="00733B71"/>
    <w:rsid w:val="00741793"/>
    <w:rsid w:val="007504AC"/>
    <w:rsid w:val="0075051B"/>
    <w:rsid w:val="00763E73"/>
    <w:rsid w:val="00782C0B"/>
    <w:rsid w:val="00790142"/>
    <w:rsid w:val="007901DA"/>
    <w:rsid w:val="00794D34"/>
    <w:rsid w:val="007A34B1"/>
    <w:rsid w:val="007C116C"/>
    <w:rsid w:val="007C2E8B"/>
    <w:rsid w:val="007D039F"/>
    <w:rsid w:val="007D134F"/>
    <w:rsid w:val="007D7FD5"/>
    <w:rsid w:val="00813E5E"/>
    <w:rsid w:val="0081547A"/>
    <w:rsid w:val="00820BAF"/>
    <w:rsid w:val="0083581B"/>
    <w:rsid w:val="008518FC"/>
    <w:rsid w:val="00855BA7"/>
    <w:rsid w:val="00864AFF"/>
    <w:rsid w:val="008662BD"/>
    <w:rsid w:val="00887346"/>
    <w:rsid w:val="008911FB"/>
    <w:rsid w:val="0089474C"/>
    <w:rsid w:val="008A16A8"/>
    <w:rsid w:val="008A5931"/>
    <w:rsid w:val="008B4A6A"/>
    <w:rsid w:val="008C7E27"/>
    <w:rsid w:val="008E3733"/>
    <w:rsid w:val="008F1108"/>
    <w:rsid w:val="008F3912"/>
    <w:rsid w:val="00910A97"/>
    <w:rsid w:val="00910F6C"/>
    <w:rsid w:val="00915A48"/>
    <w:rsid w:val="00917052"/>
    <w:rsid w:val="009173EF"/>
    <w:rsid w:val="00923A1B"/>
    <w:rsid w:val="00926B92"/>
    <w:rsid w:val="00932906"/>
    <w:rsid w:val="00933CC0"/>
    <w:rsid w:val="00944BC2"/>
    <w:rsid w:val="00961B0B"/>
    <w:rsid w:val="00987D95"/>
    <w:rsid w:val="00996E42"/>
    <w:rsid w:val="009A4E24"/>
    <w:rsid w:val="009A56C8"/>
    <w:rsid w:val="009B38C3"/>
    <w:rsid w:val="009C6A0F"/>
    <w:rsid w:val="009D629C"/>
    <w:rsid w:val="009E17BD"/>
    <w:rsid w:val="009F7068"/>
    <w:rsid w:val="009F7A9D"/>
    <w:rsid w:val="00A04CEC"/>
    <w:rsid w:val="00A21EF8"/>
    <w:rsid w:val="00A27F92"/>
    <w:rsid w:val="00A30574"/>
    <w:rsid w:val="00A32257"/>
    <w:rsid w:val="00A36066"/>
    <w:rsid w:val="00A36D20"/>
    <w:rsid w:val="00A462B5"/>
    <w:rsid w:val="00A54FD8"/>
    <w:rsid w:val="00A550D1"/>
    <w:rsid w:val="00A55622"/>
    <w:rsid w:val="00A56000"/>
    <w:rsid w:val="00A620DA"/>
    <w:rsid w:val="00A63199"/>
    <w:rsid w:val="00A72D6E"/>
    <w:rsid w:val="00A83502"/>
    <w:rsid w:val="00A84704"/>
    <w:rsid w:val="00AB2815"/>
    <w:rsid w:val="00AB393C"/>
    <w:rsid w:val="00AC393D"/>
    <w:rsid w:val="00AF6E49"/>
    <w:rsid w:val="00B04A67"/>
    <w:rsid w:val="00B0583C"/>
    <w:rsid w:val="00B36E39"/>
    <w:rsid w:val="00B40A81"/>
    <w:rsid w:val="00B447F3"/>
    <w:rsid w:val="00B44910"/>
    <w:rsid w:val="00B47B8F"/>
    <w:rsid w:val="00B62C09"/>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0CB4"/>
    <w:rsid w:val="00C01189"/>
    <w:rsid w:val="00C02492"/>
    <w:rsid w:val="00C03DBE"/>
    <w:rsid w:val="00C10E06"/>
    <w:rsid w:val="00C10EFF"/>
    <w:rsid w:val="00C11946"/>
    <w:rsid w:val="00C374DE"/>
    <w:rsid w:val="00C37D85"/>
    <w:rsid w:val="00C413A2"/>
    <w:rsid w:val="00C47AD4"/>
    <w:rsid w:val="00C52D81"/>
    <w:rsid w:val="00C55198"/>
    <w:rsid w:val="00C664FA"/>
    <w:rsid w:val="00C8040F"/>
    <w:rsid w:val="00CA5990"/>
    <w:rsid w:val="00CA6393"/>
    <w:rsid w:val="00CB0112"/>
    <w:rsid w:val="00CB18FF"/>
    <w:rsid w:val="00CC5EF0"/>
    <w:rsid w:val="00CD0C08"/>
    <w:rsid w:val="00CE03FB"/>
    <w:rsid w:val="00CE433C"/>
    <w:rsid w:val="00CF33F3"/>
    <w:rsid w:val="00D00FA2"/>
    <w:rsid w:val="00D0338D"/>
    <w:rsid w:val="00D06183"/>
    <w:rsid w:val="00D22C42"/>
    <w:rsid w:val="00D2333D"/>
    <w:rsid w:val="00D3608E"/>
    <w:rsid w:val="00D65041"/>
    <w:rsid w:val="00D77C9B"/>
    <w:rsid w:val="00D9148E"/>
    <w:rsid w:val="00D945E6"/>
    <w:rsid w:val="00D952BB"/>
    <w:rsid w:val="00DA51F3"/>
    <w:rsid w:val="00DE2B20"/>
    <w:rsid w:val="00DF0F5D"/>
    <w:rsid w:val="00E00F7D"/>
    <w:rsid w:val="00E10687"/>
    <w:rsid w:val="00E10E80"/>
    <w:rsid w:val="00E124F0"/>
    <w:rsid w:val="00E378C5"/>
    <w:rsid w:val="00E60F04"/>
    <w:rsid w:val="00E8113B"/>
    <w:rsid w:val="00E9013A"/>
    <w:rsid w:val="00EA48F9"/>
    <w:rsid w:val="00EB0D6F"/>
    <w:rsid w:val="00EB2232"/>
    <w:rsid w:val="00EB52A2"/>
    <w:rsid w:val="00EB67D6"/>
    <w:rsid w:val="00EC1A42"/>
    <w:rsid w:val="00EC3665"/>
    <w:rsid w:val="00EC5337"/>
    <w:rsid w:val="00EC7260"/>
    <w:rsid w:val="00EE2A3B"/>
    <w:rsid w:val="00F015E8"/>
    <w:rsid w:val="00F15F18"/>
    <w:rsid w:val="00F2150A"/>
    <w:rsid w:val="00F231D8"/>
    <w:rsid w:val="00F44ED7"/>
    <w:rsid w:val="00F46C5F"/>
    <w:rsid w:val="00F54A63"/>
    <w:rsid w:val="00F56D59"/>
    <w:rsid w:val="00F70098"/>
    <w:rsid w:val="00F856EC"/>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4AC"/>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7504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04AC"/>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A5931"/>
    <w:pPr>
      <w:spacing w:before="480" w:after="0"/>
      <w:jc w:val="center"/>
    </w:pPr>
    <w:rPr>
      <w:rFonts w:cstheme="minorHAnsi"/>
      <w:b/>
      <w:sz w:val="28"/>
      <w:szCs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character" w:styleId="UnresolvedMention">
    <w:name w:val="Unresolved Mention"/>
    <w:basedOn w:val="DefaultParagraphFont"/>
    <w:uiPriority w:val="99"/>
    <w:semiHidden/>
    <w:unhideWhenUsed/>
    <w:rsid w:val="004E691A"/>
    <w:rPr>
      <w:color w:val="605E5C"/>
      <w:shd w:val="clear" w:color="auto" w:fill="E1DFDD"/>
    </w:rPr>
  </w:style>
  <w:style w:type="table" w:customStyle="1" w:styleId="TableGrid1">
    <w:name w:val="Table Grid1"/>
    <w:basedOn w:val="TableNormal"/>
    <w:next w:val="TableGrid"/>
    <w:uiPriority w:val="39"/>
    <w:rsid w:val="00F015E8"/>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4704"/>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2.xml><?xml version="1.0" encoding="utf-8"?>
<ds:datastoreItem xmlns:ds="http://schemas.openxmlformats.org/officeDocument/2006/customXml" ds:itemID="{AC902E7F-B818-48C5-B39C-C8A8F8871863}">
  <ds:schemaRefs>
    <ds:schemaRef ds:uri="http://schemas.openxmlformats.org/officeDocument/2006/bibliography"/>
  </ds:schemaRefs>
</ds:datastoreItem>
</file>

<file path=customXml/itemProps3.xml><?xml version="1.0" encoding="utf-8"?>
<ds:datastoreItem xmlns:ds="http://schemas.openxmlformats.org/officeDocument/2006/customXml" ds:itemID="{734FD361-57E9-4D14-9E91-2CAEBE4DDBF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1766</Words>
  <Characters>11165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12906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Janin, Patricia</cp:lastModifiedBy>
  <cp:revision>4</cp:revision>
  <cp:lastPrinted>2000-07-18T13:30:00Z</cp:lastPrinted>
  <dcterms:created xsi:type="dcterms:W3CDTF">2020-09-03T06:37:00Z</dcterms:created>
  <dcterms:modified xsi:type="dcterms:W3CDTF">2020-09-03T06:48:00Z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y fmtid="{D5CDD505-2E9C-101B-9397-08002B2CF9AE}" pid="9" name="MSIP_Label_ecd8dc4c-d546-4246-a6d7-53ea0bd0654f_Enabled">
    <vt:lpwstr>True</vt:lpwstr>
  </property>
  <property fmtid="{D5CDD505-2E9C-101B-9397-08002B2CF9AE}" pid="10" name="MSIP_Label_ecd8dc4c-d546-4246-a6d7-53ea0bd0654f_SiteId">
    <vt:lpwstr>37986e4a-2fc4-4a4c-809d-c0811b0231da</vt:lpwstr>
  </property>
  <property fmtid="{D5CDD505-2E9C-101B-9397-08002B2CF9AE}" pid="11" name="MSIP_Label_ecd8dc4c-d546-4246-a6d7-53ea0bd0654f_Ref">
    <vt:lpwstr>https://api.informationprotection.azure.com/api/37986e4a-2fc4-4a4c-809d-c0811b0231da</vt:lpwstr>
  </property>
  <property fmtid="{D5CDD505-2E9C-101B-9397-08002B2CF9AE}" pid="12" name="MSIP_Label_ecd8dc4c-d546-4246-a6d7-53ea0bd0654f_Owner">
    <vt:lpwstr>BMakola@icasa.org.za</vt:lpwstr>
  </property>
  <property fmtid="{D5CDD505-2E9C-101B-9397-08002B2CF9AE}" pid="13" name="MSIP_Label_ecd8dc4c-d546-4246-a6d7-53ea0bd0654f_SetDate">
    <vt:lpwstr>2019-08-30T22:16:00.3878688+02:00</vt:lpwstr>
  </property>
  <property fmtid="{D5CDD505-2E9C-101B-9397-08002B2CF9AE}" pid="14" name="MSIP_Label_ecd8dc4c-d546-4246-a6d7-53ea0bd0654f_Name">
    <vt:lpwstr>Unrestricted</vt:lpwstr>
  </property>
  <property fmtid="{D5CDD505-2E9C-101B-9397-08002B2CF9AE}" pid="15" name="MSIP_Label_ecd8dc4c-d546-4246-a6d7-53ea0bd0654f_Application">
    <vt:lpwstr>Microsoft Azure Information Protection</vt:lpwstr>
  </property>
  <property fmtid="{D5CDD505-2E9C-101B-9397-08002B2CF9AE}" pid="16" name="MSIP_Label_ecd8dc4c-d546-4246-a6d7-53ea0bd0654f_Extended_MSFT_Method">
    <vt:lpwstr>Automatic</vt:lpwstr>
  </property>
  <property fmtid="{D5CDD505-2E9C-101B-9397-08002B2CF9AE}" pid="17" name="Sensitivity">
    <vt:lpwstr>Unrestricted</vt:lpwstr>
  </property>
</Properties>
</file>