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100B21C0" w14:textId="77777777">
        <w:trPr>
          <w:cantSplit/>
        </w:trPr>
        <w:tc>
          <w:tcPr>
            <w:tcW w:w="6912" w:type="dxa"/>
          </w:tcPr>
          <w:p w14:paraId="17D9DA2E" w14:textId="77777777"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14:paraId="1B93CC23" w14:textId="77777777" w:rsidR="00093EEB" w:rsidRPr="000B0D00" w:rsidRDefault="00012E27" w:rsidP="00C85B97">
            <w:pPr>
              <w:spacing w:before="0"/>
              <w:rPr>
                <w:szCs w:val="24"/>
              </w:rPr>
            </w:pPr>
            <w:bookmarkStart w:id="1" w:name="ditulogo"/>
            <w:bookmarkEnd w:id="1"/>
            <w:r>
              <w:rPr>
                <w:noProof/>
                <w:lang w:val="en-US"/>
              </w:rPr>
              <w:drawing>
                <wp:inline distT="0" distB="0" distL="0" distR="0" wp14:anchorId="3FA9D164" wp14:editId="70D2C57D">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0B0D00" w14:paraId="1155D3D0" w14:textId="77777777">
        <w:trPr>
          <w:cantSplit/>
          <w:trHeight w:val="20"/>
        </w:trPr>
        <w:tc>
          <w:tcPr>
            <w:tcW w:w="10173" w:type="dxa"/>
            <w:gridSpan w:val="2"/>
            <w:tcBorders>
              <w:bottom w:val="single" w:sz="12" w:space="0" w:color="auto"/>
            </w:tcBorders>
          </w:tcPr>
          <w:p w14:paraId="161A7DB9" w14:textId="0E28AEB4" w:rsidR="00093EEB" w:rsidRPr="00EB1212" w:rsidRDefault="002E4E98" w:rsidP="00012E27">
            <w:pPr>
              <w:spacing w:before="0"/>
              <w:rPr>
                <w:b/>
                <w:bCs/>
                <w:szCs w:val="24"/>
              </w:rPr>
            </w:pPr>
            <w:r>
              <w:rPr>
                <w:rFonts w:eastAsia="Calibri" w:cs="Calibri"/>
                <w:b/>
                <w:color w:val="000000"/>
                <w:szCs w:val="24"/>
                <w:lang w:val="es-ES"/>
              </w:rPr>
              <w:t>Tercera</w:t>
            </w:r>
            <w:r w:rsidR="00012E27">
              <w:rPr>
                <w:rFonts w:eastAsia="Calibri" w:cs="Calibri"/>
                <w:b/>
                <w:color w:val="000000"/>
                <w:szCs w:val="24"/>
                <w:lang w:val="es-ES"/>
              </w:rPr>
              <w:t xml:space="preserve"> reunión</w:t>
            </w:r>
            <w:r w:rsidR="00012E27" w:rsidRPr="00E42521">
              <w:rPr>
                <w:rFonts w:eastAsia="Calibri" w:cs="Calibri"/>
                <w:b/>
                <w:color w:val="000000"/>
                <w:szCs w:val="24"/>
                <w:lang w:val="es-ES"/>
              </w:rPr>
              <w:t xml:space="preserve"> </w:t>
            </w:r>
            <w:r w:rsidR="00D92832" w:rsidRPr="00AA22E2">
              <w:rPr>
                <w:b/>
                <w:bCs/>
              </w:rPr>
              <w:t xml:space="preserve">– </w:t>
            </w:r>
            <w:r w:rsidR="0016378A">
              <w:rPr>
                <w:b/>
                <w:bCs/>
              </w:rPr>
              <w:t>Virtual</w:t>
            </w:r>
            <w:r w:rsidR="00D92832" w:rsidRPr="00AA22E2">
              <w:rPr>
                <w:b/>
                <w:bCs/>
              </w:rPr>
              <w:t>, 1</w:t>
            </w:r>
            <w:r>
              <w:rPr>
                <w:b/>
                <w:bCs/>
              </w:rPr>
              <w:t>7</w:t>
            </w:r>
            <w:r w:rsidR="00D92832" w:rsidRPr="00AA22E2">
              <w:rPr>
                <w:b/>
                <w:bCs/>
              </w:rPr>
              <w:t>-1</w:t>
            </w:r>
            <w:r>
              <w:rPr>
                <w:b/>
                <w:bCs/>
              </w:rPr>
              <w:t>8</w:t>
            </w:r>
            <w:r w:rsidR="00D92832" w:rsidRPr="00AA22E2">
              <w:rPr>
                <w:b/>
                <w:bCs/>
              </w:rPr>
              <w:t xml:space="preserve"> de </w:t>
            </w:r>
            <w:r>
              <w:rPr>
                <w:b/>
                <w:bCs/>
              </w:rPr>
              <w:t>septiembre</w:t>
            </w:r>
            <w:r w:rsidR="00D92832" w:rsidRPr="00AA22E2">
              <w:rPr>
                <w:b/>
                <w:bCs/>
              </w:rPr>
              <w:t xml:space="preserve"> de 20</w:t>
            </w:r>
            <w:r w:rsidR="00C85B97">
              <w:rPr>
                <w:b/>
                <w:bCs/>
              </w:rPr>
              <w:t>20</w:t>
            </w:r>
          </w:p>
        </w:tc>
      </w:tr>
      <w:tr w:rsidR="00093EEB" w:rsidRPr="000B0D00" w14:paraId="3C944AF3" w14:textId="77777777">
        <w:trPr>
          <w:cantSplit/>
          <w:trHeight w:val="20"/>
        </w:trPr>
        <w:tc>
          <w:tcPr>
            <w:tcW w:w="6912" w:type="dxa"/>
            <w:tcBorders>
              <w:top w:val="single" w:sz="12" w:space="0" w:color="auto"/>
            </w:tcBorders>
          </w:tcPr>
          <w:p w14:paraId="24AB8F7B"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4AC2F02" w14:textId="77777777" w:rsidR="00093EEB" w:rsidRPr="000B0D00" w:rsidRDefault="00093EEB">
            <w:pPr>
              <w:spacing w:before="0"/>
              <w:rPr>
                <w:b/>
                <w:bCs/>
                <w:szCs w:val="24"/>
              </w:rPr>
            </w:pPr>
          </w:p>
        </w:tc>
      </w:tr>
      <w:tr w:rsidR="00093EEB" w:rsidRPr="001F60AD" w14:paraId="0DB7527A" w14:textId="77777777">
        <w:trPr>
          <w:cantSplit/>
          <w:trHeight w:val="20"/>
        </w:trPr>
        <w:tc>
          <w:tcPr>
            <w:tcW w:w="6912" w:type="dxa"/>
            <w:shd w:val="clear" w:color="auto" w:fill="auto"/>
          </w:tcPr>
          <w:p w14:paraId="200C2359"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0CB4C35C" w14:textId="1E55A0B4" w:rsidR="00093EEB" w:rsidRPr="00D92832" w:rsidRDefault="00093EEB" w:rsidP="001F60AD">
            <w:pPr>
              <w:spacing w:before="0"/>
              <w:rPr>
                <w:b/>
                <w:bCs/>
                <w:szCs w:val="24"/>
                <w:lang w:val="en-US"/>
              </w:rPr>
            </w:pPr>
            <w:r w:rsidRPr="00D92832">
              <w:rPr>
                <w:b/>
                <w:bCs/>
                <w:szCs w:val="24"/>
                <w:lang w:val="en-US"/>
              </w:rPr>
              <w:t xml:space="preserve">Documento </w:t>
            </w:r>
            <w:r w:rsidR="00D92832" w:rsidRPr="00D92832">
              <w:rPr>
                <w:rFonts w:asciiTheme="minorHAnsi" w:hAnsiTheme="minorHAnsi" w:cs="Times New Roman Bold"/>
                <w:b/>
                <w:spacing w:val="-4"/>
                <w:lang w:val="en-US"/>
              </w:rPr>
              <w:t>EG-ITRs-</w:t>
            </w:r>
            <w:r w:rsidR="002E4E98">
              <w:rPr>
                <w:rFonts w:asciiTheme="minorHAnsi" w:hAnsiTheme="minorHAnsi" w:cs="Times New Roman Bold"/>
                <w:b/>
                <w:spacing w:val="-4"/>
                <w:lang w:val="en-US"/>
              </w:rPr>
              <w:t>3</w:t>
            </w:r>
            <w:r w:rsidR="00D92832" w:rsidRPr="00D92832">
              <w:rPr>
                <w:rFonts w:asciiTheme="minorHAnsi" w:hAnsiTheme="minorHAnsi" w:cs="Times New Roman Bold"/>
                <w:b/>
                <w:spacing w:val="-4"/>
                <w:lang w:val="en-US"/>
              </w:rPr>
              <w:t>/</w:t>
            </w:r>
            <w:r w:rsidR="002E4E98">
              <w:rPr>
                <w:rFonts w:asciiTheme="minorHAnsi" w:hAnsiTheme="minorHAnsi" w:cs="Times New Roman Bold"/>
                <w:b/>
                <w:spacing w:val="-4"/>
                <w:lang w:val="en-US"/>
              </w:rPr>
              <w:t>2</w:t>
            </w:r>
            <w:r w:rsidR="00D92832" w:rsidRPr="00D92832">
              <w:rPr>
                <w:rFonts w:asciiTheme="minorHAnsi" w:hAnsiTheme="minorHAnsi" w:cs="Times New Roman Bold"/>
                <w:b/>
                <w:spacing w:val="-4"/>
                <w:lang w:val="en-US"/>
              </w:rPr>
              <w:t>-S</w:t>
            </w:r>
          </w:p>
        </w:tc>
      </w:tr>
      <w:tr w:rsidR="00093EEB" w:rsidRPr="000B0D00" w14:paraId="04359B3E" w14:textId="77777777">
        <w:trPr>
          <w:cantSplit/>
          <w:trHeight w:val="20"/>
        </w:trPr>
        <w:tc>
          <w:tcPr>
            <w:tcW w:w="6912" w:type="dxa"/>
            <w:shd w:val="clear" w:color="auto" w:fill="auto"/>
          </w:tcPr>
          <w:p w14:paraId="4CE3D2AF" w14:textId="77777777"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14:paraId="5B165E89" w14:textId="35BB83BA" w:rsidR="00093EEB" w:rsidRPr="00093EEB" w:rsidRDefault="002E4E98" w:rsidP="001F60AD">
            <w:pPr>
              <w:spacing w:before="0"/>
              <w:rPr>
                <w:b/>
                <w:bCs/>
                <w:szCs w:val="24"/>
              </w:rPr>
            </w:pPr>
            <w:r>
              <w:rPr>
                <w:b/>
                <w:bCs/>
                <w:szCs w:val="24"/>
              </w:rPr>
              <w:t>2</w:t>
            </w:r>
            <w:r w:rsidR="0077252D">
              <w:rPr>
                <w:b/>
                <w:bCs/>
                <w:szCs w:val="24"/>
              </w:rPr>
              <w:t xml:space="preserve"> </w:t>
            </w:r>
            <w:r w:rsidR="00D92832">
              <w:rPr>
                <w:b/>
                <w:bCs/>
                <w:szCs w:val="24"/>
              </w:rPr>
              <w:t xml:space="preserve">de </w:t>
            </w:r>
            <w:r>
              <w:rPr>
                <w:b/>
                <w:bCs/>
                <w:szCs w:val="24"/>
              </w:rPr>
              <w:t>septiembre</w:t>
            </w:r>
            <w:r w:rsidR="00093EEB">
              <w:rPr>
                <w:b/>
                <w:bCs/>
                <w:szCs w:val="24"/>
              </w:rPr>
              <w:t xml:space="preserve"> de 20</w:t>
            </w:r>
            <w:r w:rsidR="00C85B97">
              <w:rPr>
                <w:b/>
                <w:bCs/>
                <w:szCs w:val="24"/>
              </w:rPr>
              <w:t>20</w:t>
            </w:r>
          </w:p>
        </w:tc>
      </w:tr>
      <w:tr w:rsidR="00093EEB" w:rsidRPr="000B0D00" w14:paraId="32D8D6C6" w14:textId="77777777">
        <w:trPr>
          <w:cantSplit/>
          <w:trHeight w:val="20"/>
        </w:trPr>
        <w:tc>
          <w:tcPr>
            <w:tcW w:w="6912" w:type="dxa"/>
            <w:shd w:val="clear" w:color="auto" w:fill="auto"/>
          </w:tcPr>
          <w:p w14:paraId="17915B77"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3E6E91B6" w14:textId="77777777" w:rsidR="00093EEB" w:rsidRPr="00093EEB" w:rsidRDefault="00093EEB" w:rsidP="00093EEB">
            <w:pPr>
              <w:spacing w:before="0"/>
              <w:rPr>
                <w:b/>
                <w:bCs/>
                <w:szCs w:val="24"/>
              </w:rPr>
            </w:pPr>
            <w:r>
              <w:rPr>
                <w:b/>
                <w:bCs/>
                <w:szCs w:val="24"/>
              </w:rPr>
              <w:t>Original: inglés</w:t>
            </w:r>
          </w:p>
        </w:tc>
      </w:tr>
      <w:tr w:rsidR="00093EEB" w:rsidRPr="000B0D00" w14:paraId="733189E9" w14:textId="77777777">
        <w:trPr>
          <w:cantSplit/>
        </w:trPr>
        <w:tc>
          <w:tcPr>
            <w:tcW w:w="10173" w:type="dxa"/>
            <w:gridSpan w:val="2"/>
          </w:tcPr>
          <w:p w14:paraId="43B433BC" w14:textId="27B3781E" w:rsidR="00093EEB" w:rsidRPr="000B0D00" w:rsidRDefault="00B85D0E">
            <w:pPr>
              <w:pStyle w:val="Source"/>
            </w:pPr>
            <w:bookmarkStart w:id="6" w:name="dsource" w:colFirst="0" w:colLast="0"/>
            <w:bookmarkEnd w:id="0"/>
            <w:bookmarkEnd w:id="5"/>
            <w:r w:rsidRPr="00B85D0E">
              <w:t>Sudafricana (República)</w:t>
            </w:r>
          </w:p>
        </w:tc>
      </w:tr>
      <w:tr w:rsidR="00093EEB" w:rsidRPr="000B0D00" w14:paraId="53386B21" w14:textId="77777777">
        <w:trPr>
          <w:cantSplit/>
        </w:trPr>
        <w:tc>
          <w:tcPr>
            <w:tcW w:w="10173" w:type="dxa"/>
            <w:gridSpan w:val="2"/>
          </w:tcPr>
          <w:p w14:paraId="4E84AEF2" w14:textId="62D977E9" w:rsidR="00093EEB" w:rsidRPr="000B0D00" w:rsidRDefault="004E0A94">
            <w:pPr>
              <w:pStyle w:val="Title1"/>
            </w:pPr>
            <w:bookmarkStart w:id="7" w:name="dtitle1" w:colFirst="0" w:colLast="0"/>
            <w:bookmarkEnd w:id="6"/>
            <w:r>
              <w:t>examen pormenorizado del reglamento de las</w:t>
            </w:r>
            <w:r>
              <w:br/>
              <w:t>telecomunicaciones internacionales</w:t>
            </w:r>
          </w:p>
        </w:tc>
      </w:tr>
    </w:tbl>
    <w:bookmarkEnd w:id="7"/>
    <w:p w14:paraId="3672BC70" w14:textId="13EA8BD3" w:rsidR="00726872" w:rsidRPr="00C74ADE" w:rsidRDefault="004E0A94" w:rsidP="0016378A">
      <w:pPr>
        <w:pStyle w:val="Normalaftertitle"/>
        <w:rPr>
          <w:lang w:val="es-ES"/>
        </w:rPr>
      </w:pPr>
      <w:r w:rsidRPr="00C74ADE">
        <w:rPr>
          <w:lang w:val="es-ES"/>
        </w:rPr>
        <w:t>1</w:t>
      </w:r>
      <w:r w:rsidRPr="00C74ADE">
        <w:rPr>
          <w:lang w:val="es-ES"/>
        </w:rPr>
        <w:tab/>
        <w:t xml:space="preserve">La República Sudafricana agradece la oportunidad de participar nuevamente en la importante labor del Grupo de Expertos sobre el Reglamento de las Telecomunicaciones Internacionales </w:t>
      </w:r>
      <w:r w:rsidR="00C74ADE">
        <w:rPr>
          <w:lang w:val="es-ES"/>
        </w:rPr>
        <w:t xml:space="preserve">(GE-RTI) </w:t>
      </w:r>
      <w:r w:rsidRPr="00C74ADE">
        <w:rPr>
          <w:lang w:val="es-ES"/>
        </w:rPr>
        <w:t xml:space="preserve">en relación con el examen </w:t>
      </w:r>
      <w:r w:rsidR="00C74ADE">
        <w:rPr>
          <w:lang w:val="es-ES"/>
        </w:rPr>
        <w:t>pormenorizado</w:t>
      </w:r>
      <w:r w:rsidRPr="00C74ADE">
        <w:rPr>
          <w:lang w:val="es-ES"/>
        </w:rPr>
        <w:t xml:space="preserve"> del Reglamento de las Telecomunicaciones Internacionales (RTI).</w:t>
      </w:r>
    </w:p>
    <w:p w14:paraId="4478749D" w14:textId="4418E082" w:rsidR="004E0A94" w:rsidRPr="00C74ADE" w:rsidRDefault="004E0A94" w:rsidP="004E0A94">
      <w:pPr>
        <w:rPr>
          <w:lang w:val="es-ES"/>
        </w:rPr>
      </w:pPr>
      <w:r w:rsidRPr="00C74ADE">
        <w:rPr>
          <w:lang w:val="es-ES"/>
        </w:rPr>
        <w:t>2</w:t>
      </w:r>
      <w:r w:rsidRPr="00C74ADE">
        <w:rPr>
          <w:lang w:val="es-ES"/>
        </w:rPr>
        <w:tab/>
      </w:r>
      <w:r w:rsidR="00C74ADE" w:rsidRPr="00C74ADE">
        <w:rPr>
          <w:lang w:val="es-ES"/>
        </w:rPr>
        <w:t xml:space="preserve">La República Sudafricana presenta aquí su contribución al examen disposición por disposición de los </w:t>
      </w:r>
      <w:r w:rsidRPr="00C74ADE">
        <w:rPr>
          <w:b/>
          <w:lang w:val="es-ES"/>
        </w:rPr>
        <w:t>Art</w:t>
      </w:r>
      <w:r w:rsidR="00C74ADE" w:rsidRPr="00C74ADE">
        <w:rPr>
          <w:b/>
          <w:lang w:val="es-ES"/>
        </w:rPr>
        <w:t>í</w:t>
      </w:r>
      <w:r w:rsidR="00C74ADE">
        <w:rPr>
          <w:b/>
          <w:lang w:val="es-ES"/>
        </w:rPr>
        <w:t>culos</w:t>
      </w:r>
      <w:r w:rsidRPr="00C74ADE">
        <w:rPr>
          <w:b/>
          <w:lang w:val="es-ES"/>
        </w:rPr>
        <w:t xml:space="preserve"> 5 – 8 </w:t>
      </w:r>
      <w:r w:rsidR="00C74ADE">
        <w:rPr>
          <w:b/>
          <w:lang w:val="es-ES"/>
        </w:rPr>
        <w:t>y el Apéndice</w:t>
      </w:r>
      <w:r w:rsidRPr="00C74ADE">
        <w:rPr>
          <w:b/>
          <w:lang w:val="es-ES"/>
        </w:rPr>
        <w:t xml:space="preserve"> 1</w:t>
      </w:r>
      <w:r w:rsidRPr="00C74ADE">
        <w:rPr>
          <w:lang w:val="es-ES"/>
        </w:rPr>
        <w:t xml:space="preserve"> </w:t>
      </w:r>
      <w:r w:rsidR="00C74ADE">
        <w:rPr>
          <w:lang w:val="es-ES"/>
        </w:rPr>
        <w:t>del RTI de</w:t>
      </w:r>
      <w:r w:rsidRPr="00C74ADE">
        <w:rPr>
          <w:lang w:val="es-ES"/>
        </w:rPr>
        <w:t xml:space="preserve"> 2012 </w:t>
      </w:r>
      <w:r w:rsidR="00C74ADE">
        <w:rPr>
          <w:lang w:val="es-ES"/>
        </w:rPr>
        <w:t>(Anexo</w:t>
      </w:r>
      <w:r w:rsidRPr="00C74ADE">
        <w:rPr>
          <w:lang w:val="es-ES"/>
        </w:rPr>
        <w:t xml:space="preserve"> I).</w:t>
      </w:r>
    </w:p>
    <w:p w14:paraId="5C7C2277" w14:textId="0D72B1E1" w:rsidR="004E0A94" w:rsidRPr="00C74ADE" w:rsidRDefault="004E0A94" w:rsidP="0016378A">
      <w:pPr>
        <w:rPr>
          <w:lang w:val="es-ES"/>
        </w:rPr>
      </w:pPr>
      <w:r w:rsidRPr="00C74ADE">
        <w:rPr>
          <w:lang w:val="es-ES"/>
        </w:rPr>
        <w:t>3</w:t>
      </w:r>
      <w:r w:rsidRPr="00C74ADE">
        <w:rPr>
          <w:lang w:val="es-ES"/>
        </w:rPr>
        <w:tab/>
        <w:t>La República Sudafricana espera colaborar con otros Estados miembros en el cumplimiento de los objetivos de la UIT.</w:t>
      </w:r>
    </w:p>
    <w:p w14:paraId="15F3D3CE" w14:textId="7CBE0C00" w:rsidR="004E0A94" w:rsidRPr="00C74ADE" w:rsidRDefault="004E0A94" w:rsidP="004E0A94">
      <w:pPr>
        <w:spacing w:before="1680"/>
        <w:rPr>
          <w:lang w:val="es-ES"/>
        </w:rPr>
      </w:pPr>
      <w:r w:rsidRPr="00C74ADE">
        <w:rPr>
          <w:lang w:val="es-ES"/>
        </w:rPr>
        <w:t>Anexo: 1</w:t>
      </w:r>
    </w:p>
    <w:p w14:paraId="6AB3DA4B" w14:textId="0254D838" w:rsidR="001304D3" w:rsidRDefault="001304D3" w:rsidP="004E0A94">
      <w:r>
        <w:br w:type="page"/>
      </w:r>
    </w:p>
    <w:p w14:paraId="722C9C26" w14:textId="77777777" w:rsidR="004E0A94" w:rsidRPr="004E0A94" w:rsidRDefault="004E0A94" w:rsidP="004E0A94">
      <w:pPr>
        <w:pStyle w:val="AnnexNo"/>
      </w:pPr>
      <w:bookmarkStart w:id="8" w:name="lt_pId024"/>
      <w:r w:rsidRPr="004E0A94">
        <w:lastRenderedPageBreak/>
        <w:t>Anexo I</w:t>
      </w:r>
      <w:bookmarkEnd w:id="8"/>
    </w:p>
    <w:p w14:paraId="346F5E15" w14:textId="77777777" w:rsidR="004E0A94" w:rsidRPr="004E0A94" w:rsidRDefault="004E0A94" w:rsidP="004E0A94">
      <w:pPr>
        <w:pStyle w:val="Annextitle"/>
        <w:rPr>
          <w:u w:val="single"/>
        </w:rPr>
      </w:pPr>
      <w:bookmarkStart w:id="9" w:name="lt_pId025"/>
      <w:r w:rsidRPr="004E0A94">
        <w:rPr>
          <w:u w:val="single"/>
        </w:rPr>
        <w:t>Cuadro de examen</w:t>
      </w:r>
      <w:bookmarkEnd w:id="9"/>
    </w:p>
    <w:tbl>
      <w:tblPr>
        <w:tblStyle w:val="TableGrid1"/>
        <w:tblW w:w="9639" w:type="dxa"/>
        <w:jc w:val="center"/>
        <w:tblLayout w:type="fixed"/>
        <w:tblLook w:val="04A0" w:firstRow="1" w:lastRow="0" w:firstColumn="1" w:lastColumn="0" w:noHBand="0" w:noVBand="1"/>
      </w:tblPr>
      <w:tblGrid>
        <w:gridCol w:w="1129"/>
        <w:gridCol w:w="1843"/>
        <w:gridCol w:w="1843"/>
        <w:gridCol w:w="1559"/>
        <w:gridCol w:w="1843"/>
        <w:gridCol w:w="1422"/>
      </w:tblGrid>
      <w:tr w:rsidR="00B40D6A" w:rsidRPr="001C4C08" w14:paraId="3948A795" w14:textId="77777777" w:rsidTr="00FA157F">
        <w:trPr>
          <w:tblHeader/>
          <w:jc w:val="center"/>
        </w:trPr>
        <w:tc>
          <w:tcPr>
            <w:tcW w:w="1129" w:type="dxa"/>
            <w:tcMar>
              <w:left w:w="85" w:type="dxa"/>
              <w:right w:w="85" w:type="dxa"/>
            </w:tcMar>
            <w:vAlign w:val="center"/>
          </w:tcPr>
          <w:p w14:paraId="6C9D6D2D" w14:textId="6C3E7F10" w:rsidR="004E0A94" w:rsidRPr="004E0A94" w:rsidRDefault="004E0A94" w:rsidP="004E0A94">
            <w:pPr>
              <w:pStyle w:val="Tabletitle"/>
              <w:spacing w:before="80" w:after="80"/>
              <w:rPr>
                <w:sz w:val="18"/>
                <w:szCs w:val="18"/>
              </w:rPr>
            </w:pPr>
            <w:r w:rsidRPr="004E0A94">
              <w:rPr>
                <w:sz w:val="18"/>
                <w:szCs w:val="18"/>
              </w:rPr>
              <w:t>Artículo de</w:t>
            </w:r>
            <w:r w:rsidR="00FA157F">
              <w:rPr>
                <w:sz w:val="18"/>
                <w:szCs w:val="18"/>
              </w:rPr>
              <w:t> </w:t>
            </w:r>
            <w:r w:rsidRPr="004E0A94">
              <w:rPr>
                <w:sz w:val="18"/>
                <w:szCs w:val="18"/>
              </w:rPr>
              <w:t>2012</w:t>
            </w:r>
          </w:p>
        </w:tc>
        <w:tc>
          <w:tcPr>
            <w:tcW w:w="1843" w:type="dxa"/>
            <w:tcMar>
              <w:left w:w="85" w:type="dxa"/>
              <w:right w:w="85" w:type="dxa"/>
            </w:tcMar>
            <w:vAlign w:val="center"/>
          </w:tcPr>
          <w:p w14:paraId="6E7259DF" w14:textId="77777777" w:rsidR="004E0A94" w:rsidRPr="004E0A94" w:rsidRDefault="004E0A94" w:rsidP="004E0A94">
            <w:pPr>
              <w:pStyle w:val="Tabletitle"/>
              <w:spacing w:before="80" w:after="80"/>
              <w:rPr>
                <w:sz w:val="18"/>
                <w:szCs w:val="18"/>
              </w:rPr>
            </w:pPr>
            <w:r w:rsidRPr="004E0A94">
              <w:rPr>
                <w:sz w:val="18"/>
                <w:szCs w:val="18"/>
              </w:rPr>
              <w:t>Párrafo y disposición</w:t>
            </w:r>
          </w:p>
        </w:tc>
        <w:tc>
          <w:tcPr>
            <w:tcW w:w="1843" w:type="dxa"/>
            <w:tcMar>
              <w:left w:w="85" w:type="dxa"/>
              <w:right w:w="85" w:type="dxa"/>
            </w:tcMar>
            <w:vAlign w:val="center"/>
          </w:tcPr>
          <w:p w14:paraId="33EEAA09" w14:textId="77777777" w:rsidR="004E0A94" w:rsidRPr="004E0A94" w:rsidRDefault="004E0A94" w:rsidP="004E0A94">
            <w:pPr>
              <w:pStyle w:val="Tabletitle"/>
              <w:spacing w:before="80" w:after="80"/>
              <w:rPr>
                <w:sz w:val="18"/>
                <w:szCs w:val="18"/>
              </w:rPr>
            </w:pPr>
            <w:r w:rsidRPr="004E0A94">
              <w:rPr>
                <w:sz w:val="18"/>
                <w:szCs w:val="18"/>
              </w:rPr>
              <w:t xml:space="preserve">Párrafo y disposición </w:t>
            </w:r>
            <w:r w:rsidRPr="004E0A94">
              <w:rPr>
                <w:sz w:val="18"/>
                <w:szCs w:val="18"/>
              </w:rPr>
              <w:br/>
              <w:t>conexos de 1988</w:t>
            </w:r>
          </w:p>
        </w:tc>
        <w:tc>
          <w:tcPr>
            <w:tcW w:w="1559" w:type="dxa"/>
            <w:tcMar>
              <w:left w:w="85" w:type="dxa"/>
              <w:right w:w="85" w:type="dxa"/>
            </w:tcMar>
            <w:vAlign w:val="center"/>
          </w:tcPr>
          <w:p w14:paraId="65FDF601" w14:textId="77777777" w:rsidR="004E0A94" w:rsidRPr="004E0A94" w:rsidRDefault="004E0A94" w:rsidP="004E0A94">
            <w:pPr>
              <w:pStyle w:val="Tabletitle"/>
              <w:spacing w:before="80" w:after="80"/>
              <w:rPr>
                <w:sz w:val="18"/>
                <w:szCs w:val="18"/>
              </w:rPr>
            </w:pPr>
            <w:r w:rsidRPr="004E0A94">
              <w:rPr>
                <w:sz w:val="18"/>
                <w:szCs w:val="18"/>
              </w:rPr>
              <w:t xml:space="preserve">Aplicabilidad </w:t>
            </w:r>
            <w:r w:rsidRPr="004E0A94">
              <w:rPr>
                <w:sz w:val="18"/>
                <w:szCs w:val="18"/>
              </w:rPr>
              <w:br/>
              <w:t xml:space="preserve">para fomentar </w:t>
            </w:r>
            <w:r w:rsidRPr="004E0A94">
              <w:rPr>
                <w:sz w:val="18"/>
                <w:szCs w:val="18"/>
              </w:rPr>
              <w:br/>
              <w:t xml:space="preserve">la prestación y el desarrollo de redes </w:t>
            </w:r>
            <w:r w:rsidRPr="004E0A94">
              <w:rPr>
                <w:sz w:val="18"/>
                <w:szCs w:val="18"/>
              </w:rPr>
              <w:br/>
              <w:t>y servicios</w:t>
            </w:r>
          </w:p>
        </w:tc>
        <w:tc>
          <w:tcPr>
            <w:tcW w:w="1843" w:type="dxa"/>
            <w:tcMar>
              <w:left w:w="85" w:type="dxa"/>
              <w:right w:w="85" w:type="dxa"/>
            </w:tcMar>
            <w:vAlign w:val="center"/>
          </w:tcPr>
          <w:p w14:paraId="5AD3834A" w14:textId="77777777" w:rsidR="004E0A94" w:rsidRPr="004E0A94" w:rsidRDefault="004E0A94" w:rsidP="00FA157F">
            <w:pPr>
              <w:pStyle w:val="Tabletitle"/>
              <w:spacing w:before="80" w:after="80"/>
              <w:rPr>
                <w:sz w:val="18"/>
                <w:szCs w:val="18"/>
              </w:rPr>
            </w:pPr>
            <w:r w:rsidRPr="004E0A94">
              <w:rPr>
                <w:sz w:val="18"/>
                <w:szCs w:val="18"/>
              </w:rPr>
              <w:t>Flexibilidad para adaptarse a las nuevas tendencias y a los problemas emergentes</w:t>
            </w:r>
          </w:p>
        </w:tc>
        <w:tc>
          <w:tcPr>
            <w:tcW w:w="1422" w:type="dxa"/>
            <w:tcMar>
              <w:left w:w="85" w:type="dxa"/>
              <w:right w:w="85" w:type="dxa"/>
            </w:tcMar>
            <w:vAlign w:val="center"/>
          </w:tcPr>
          <w:p w14:paraId="7F60A28B" w14:textId="77777777" w:rsidR="004E0A94" w:rsidRPr="004E0A94" w:rsidRDefault="004E0A94" w:rsidP="00FA157F">
            <w:pPr>
              <w:pStyle w:val="Tabletitle"/>
              <w:spacing w:before="80" w:after="80"/>
              <w:rPr>
                <w:sz w:val="18"/>
                <w:szCs w:val="18"/>
              </w:rPr>
            </w:pPr>
            <w:r w:rsidRPr="004E0A94">
              <w:rPr>
                <w:sz w:val="18"/>
                <w:szCs w:val="18"/>
              </w:rPr>
              <w:t>Resumen de los resultados</w:t>
            </w:r>
          </w:p>
        </w:tc>
      </w:tr>
      <w:tr w:rsidR="00B40D6A" w:rsidRPr="001C4C08" w14:paraId="247E9366" w14:textId="77777777" w:rsidTr="00FA157F">
        <w:trPr>
          <w:jc w:val="center"/>
        </w:trPr>
        <w:tc>
          <w:tcPr>
            <w:tcW w:w="1129" w:type="dxa"/>
            <w:tcMar>
              <w:left w:w="85" w:type="dxa"/>
              <w:right w:w="85" w:type="dxa"/>
            </w:tcMar>
          </w:tcPr>
          <w:p w14:paraId="3351C6FC" w14:textId="55E44914" w:rsidR="004E0A94" w:rsidRPr="001C4C08" w:rsidRDefault="004E0A94" w:rsidP="00FA157F">
            <w:pPr>
              <w:spacing w:before="40" w:after="40"/>
              <w:rPr>
                <w:rFonts w:cs="Calibri"/>
                <w:b/>
                <w:bCs/>
                <w:sz w:val="18"/>
                <w:szCs w:val="18"/>
              </w:rPr>
            </w:pPr>
            <w:bookmarkStart w:id="10" w:name="_Hlk31296445"/>
            <w:bookmarkStart w:id="11" w:name="_Hlk31296105"/>
            <w:r w:rsidRPr="004E0A94">
              <w:rPr>
                <w:rFonts w:cs="Calibri"/>
                <w:b/>
                <w:bCs/>
                <w:sz w:val="18"/>
                <w:szCs w:val="18"/>
              </w:rPr>
              <w:t>Artículo 5</w:t>
            </w:r>
          </w:p>
        </w:tc>
        <w:tc>
          <w:tcPr>
            <w:tcW w:w="1843" w:type="dxa"/>
            <w:tcMar>
              <w:left w:w="85" w:type="dxa"/>
              <w:right w:w="85" w:type="dxa"/>
            </w:tcMar>
          </w:tcPr>
          <w:p w14:paraId="2B5A7BB4" w14:textId="49488527" w:rsidR="004E0A94" w:rsidRDefault="004E0A94" w:rsidP="00FA157F">
            <w:pPr>
              <w:spacing w:before="40" w:after="40"/>
              <w:rPr>
                <w:rFonts w:cs="Calibri"/>
                <w:bCs/>
                <w:sz w:val="18"/>
                <w:szCs w:val="18"/>
              </w:rPr>
            </w:pPr>
            <w:r w:rsidRPr="004E0A94">
              <w:rPr>
                <w:rFonts w:cs="Calibri"/>
                <w:b/>
                <w:sz w:val="18"/>
                <w:szCs w:val="18"/>
              </w:rPr>
              <w:t>45</w:t>
            </w:r>
          </w:p>
          <w:p w14:paraId="634B92CD" w14:textId="5D83FBA9" w:rsidR="004E0A94" w:rsidRPr="001C4C08" w:rsidRDefault="004E0A94" w:rsidP="00FA157F">
            <w:pPr>
              <w:spacing w:before="40" w:after="40"/>
              <w:rPr>
                <w:rFonts w:cs="Calibri"/>
                <w:bCs/>
                <w:sz w:val="18"/>
                <w:szCs w:val="18"/>
              </w:rPr>
            </w:pPr>
            <w:r w:rsidRPr="004E0A94">
              <w:rPr>
                <w:rFonts w:cs="Calibri"/>
                <w:bCs/>
                <w:sz w:val="18"/>
                <w:szCs w:val="18"/>
              </w:rPr>
              <w:t>5.1</w:t>
            </w:r>
            <w:r w:rsidRPr="004E0A94">
              <w:rPr>
                <w:rFonts w:cs="Calibri"/>
                <w:bCs/>
                <w:sz w:val="18"/>
                <w:szCs w:val="18"/>
              </w:rPr>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 la Constitución y el Convenio y teniendo debidamente en cuenta las Recomendaciones UIT-T pertinentes.</w:t>
            </w:r>
          </w:p>
        </w:tc>
        <w:tc>
          <w:tcPr>
            <w:tcW w:w="1843" w:type="dxa"/>
            <w:tcMar>
              <w:left w:w="85" w:type="dxa"/>
              <w:right w:w="85" w:type="dxa"/>
            </w:tcMar>
          </w:tcPr>
          <w:p w14:paraId="3CDED2F5" w14:textId="4B4FCC4E" w:rsidR="00B40D6A" w:rsidRPr="00B40D6A" w:rsidRDefault="00B40D6A" w:rsidP="00FA157F">
            <w:pPr>
              <w:spacing w:before="40" w:after="40"/>
              <w:rPr>
                <w:rFonts w:cs="Calibri"/>
                <w:b/>
                <w:sz w:val="18"/>
                <w:szCs w:val="18"/>
              </w:rPr>
            </w:pPr>
            <w:r w:rsidRPr="00B40D6A">
              <w:rPr>
                <w:rFonts w:cs="Calibri"/>
                <w:b/>
                <w:sz w:val="18"/>
                <w:szCs w:val="18"/>
              </w:rPr>
              <w:t>39</w:t>
            </w:r>
          </w:p>
          <w:p w14:paraId="654BB9D5" w14:textId="2273505D" w:rsidR="004E0A94" w:rsidRPr="001C4C08" w:rsidRDefault="00B40D6A" w:rsidP="00FA157F">
            <w:pPr>
              <w:spacing w:before="40" w:after="40"/>
              <w:rPr>
                <w:rFonts w:cs="Calibri"/>
                <w:bCs/>
                <w:sz w:val="18"/>
                <w:szCs w:val="18"/>
              </w:rPr>
            </w:pPr>
            <w:r w:rsidRPr="00B40D6A">
              <w:rPr>
                <w:rFonts w:cs="Calibri"/>
                <w:bCs/>
                <w:sz w:val="18"/>
                <w:szCs w:val="18"/>
              </w:rPr>
              <w:t>5.1</w:t>
            </w:r>
            <w:r w:rsidRPr="00B40D6A">
              <w:rPr>
                <w:rFonts w:cs="Calibri"/>
                <w:bCs/>
                <w:sz w:val="18"/>
                <w:szCs w:val="18"/>
              </w:rPr>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del Convenio y teniendo debidamente en cuenta las Recomendaciones pertinentes del CCITT.</w:t>
            </w:r>
          </w:p>
        </w:tc>
        <w:tc>
          <w:tcPr>
            <w:tcW w:w="1559" w:type="dxa"/>
            <w:tcMar>
              <w:left w:w="85" w:type="dxa"/>
              <w:right w:w="85" w:type="dxa"/>
            </w:tcMar>
          </w:tcPr>
          <w:p w14:paraId="753A6549" w14:textId="77777777" w:rsidR="00FA157F" w:rsidRDefault="00FA157F" w:rsidP="00FA157F">
            <w:pPr>
              <w:spacing w:before="40" w:after="40"/>
              <w:rPr>
                <w:rFonts w:cs="Calibri"/>
                <w:bCs/>
                <w:sz w:val="18"/>
                <w:szCs w:val="18"/>
              </w:rPr>
            </w:pPr>
          </w:p>
          <w:p w14:paraId="252507C8" w14:textId="095346B8" w:rsidR="004E0A94" w:rsidRPr="00C74ADE" w:rsidRDefault="00C74ADE" w:rsidP="00FA157F">
            <w:pPr>
              <w:spacing w:before="40" w:after="40"/>
              <w:rPr>
                <w:rFonts w:cs="Calibri"/>
                <w:bCs/>
                <w:sz w:val="18"/>
                <w:szCs w:val="18"/>
              </w:rPr>
            </w:pPr>
            <w:r w:rsidRPr="00C74ADE">
              <w:rPr>
                <w:rFonts w:cs="Calibri"/>
                <w:bCs/>
                <w:sz w:val="18"/>
                <w:szCs w:val="18"/>
              </w:rPr>
              <w:t>Esta disposición fomenta la prestación y el desarrollo de redes y servicios</w:t>
            </w:r>
            <w:r>
              <w:rPr>
                <w:rFonts w:cs="Calibri"/>
                <w:bCs/>
                <w:sz w:val="18"/>
                <w:szCs w:val="18"/>
              </w:rPr>
              <w:t xml:space="preserve"> al referirse a los servicios de seguridad de la vida humana</w:t>
            </w:r>
            <w:r w:rsidR="004E0A94" w:rsidRPr="00C74ADE">
              <w:rPr>
                <w:rFonts w:cs="Calibri"/>
                <w:bCs/>
                <w:sz w:val="18"/>
                <w:szCs w:val="18"/>
              </w:rPr>
              <w:t>.</w:t>
            </w:r>
          </w:p>
        </w:tc>
        <w:tc>
          <w:tcPr>
            <w:tcW w:w="1843" w:type="dxa"/>
            <w:tcMar>
              <w:left w:w="85" w:type="dxa"/>
              <w:right w:w="85" w:type="dxa"/>
            </w:tcMar>
          </w:tcPr>
          <w:p w14:paraId="015579DC" w14:textId="77777777" w:rsidR="00FA157F" w:rsidRPr="00C74ADE" w:rsidRDefault="00FA157F" w:rsidP="00FA157F">
            <w:pPr>
              <w:tabs>
                <w:tab w:val="clear" w:pos="567"/>
                <w:tab w:val="left" w:pos="234"/>
              </w:tabs>
              <w:spacing w:before="40" w:after="40"/>
              <w:ind w:left="234" w:hanging="234"/>
              <w:rPr>
                <w:rFonts w:cs="Calibri"/>
                <w:bCs/>
                <w:sz w:val="18"/>
                <w:szCs w:val="18"/>
              </w:rPr>
            </w:pPr>
          </w:p>
          <w:p w14:paraId="1B2EF6F0" w14:textId="7557F039" w:rsidR="004E0A94" w:rsidRPr="00C74ADE" w:rsidRDefault="004E0A94" w:rsidP="00FA157F">
            <w:pPr>
              <w:tabs>
                <w:tab w:val="clear" w:pos="567"/>
                <w:tab w:val="left" w:pos="234"/>
              </w:tabs>
              <w:spacing w:before="40" w:after="40"/>
              <w:ind w:left="234" w:hanging="234"/>
              <w:rPr>
                <w:rFonts w:cs="Calibri"/>
                <w:bCs/>
                <w:sz w:val="18"/>
                <w:szCs w:val="18"/>
                <w:lang w:val="es-ES"/>
              </w:rPr>
            </w:pPr>
            <w:r w:rsidRPr="00C74ADE">
              <w:rPr>
                <w:rFonts w:cs="Calibri"/>
                <w:bCs/>
                <w:sz w:val="18"/>
                <w:szCs w:val="18"/>
                <w:lang w:val="es-ES"/>
              </w:rPr>
              <w:t>•</w:t>
            </w:r>
            <w:r w:rsidRPr="00C74ADE">
              <w:rPr>
                <w:rFonts w:cs="Calibri"/>
                <w:bCs/>
                <w:sz w:val="18"/>
                <w:szCs w:val="18"/>
                <w:lang w:val="es-ES"/>
              </w:rPr>
              <w:tab/>
              <w:t>Suf</w:t>
            </w:r>
            <w:r w:rsidR="00C74ADE" w:rsidRPr="00C74ADE">
              <w:rPr>
                <w:rFonts w:cs="Calibri"/>
                <w:bCs/>
                <w:sz w:val="18"/>
                <w:szCs w:val="18"/>
                <w:lang w:val="es-ES"/>
              </w:rPr>
              <w:t>icientemente flexible; son de aplicación las Recomendacio</w:t>
            </w:r>
            <w:r w:rsidR="00C74ADE">
              <w:rPr>
                <w:rFonts w:cs="Calibri"/>
                <w:bCs/>
                <w:sz w:val="18"/>
                <w:szCs w:val="18"/>
                <w:lang w:val="es-ES"/>
              </w:rPr>
              <w:t>nes UIT-T más recientes</w:t>
            </w:r>
            <w:r w:rsidRPr="00C74ADE">
              <w:rPr>
                <w:rFonts w:cs="Calibri"/>
                <w:bCs/>
                <w:sz w:val="18"/>
                <w:szCs w:val="18"/>
                <w:lang w:val="es-ES"/>
              </w:rPr>
              <w:t>.</w:t>
            </w:r>
          </w:p>
          <w:p w14:paraId="18A8509C" w14:textId="51A89A92" w:rsidR="004E0A94" w:rsidRPr="00C74ADE" w:rsidRDefault="004E0A94" w:rsidP="00FA157F">
            <w:pPr>
              <w:tabs>
                <w:tab w:val="clear" w:pos="567"/>
                <w:tab w:val="left" w:pos="234"/>
              </w:tabs>
              <w:spacing w:before="40" w:after="40"/>
              <w:ind w:left="234" w:hanging="234"/>
              <w:rPr>
                <w:rFonts w:cs="Calibri"/>
                <w:bCs/>
                <w:sz w:val="18"/>
                <w:szCs w:val="18"/>
                <w:lang w:val="es-ES"/>
              </w:rPr>
            </w:pPr>
            <w:r w:rsidRPr="00C74ADE">
              <w:rPr>
                <w:rFonts w:cs="Calibri"/>
                <w:bCs/>
                <w:sz w:val="18"/>
                <w:szCs w:val="18"/>
                <w:lang w:val="es-ES"/>
              </w:rPr>
              <w:t>•</w:t>
            </w:r>
            <w:r w:rsidRPr="00C74ADE">
              <w:rPr>
                <w:rFonts w:cs="Calibri"/>
                <w:bCs/>
                <w:sz w:val="18"/>
                <w:szCs w:val="18"/>
                <w:lang w:val="es-ES"/>
              </w:rPr>
              <w:tab/>
              <w:t>A</w:t>
            </w:r>
            <w:r w:rsidR="00C74ADE" w:rsidRPr="00C74ADE">
              <w:rPr>
                <w:rFonts w:cs="Calibri"/>
                <w:bCs/>
                <w:sz w:val="18"/>
                <w:szCs w:val="18"/>
                <w:lang w:val="es-ES"/>
              </w:rPr>
              <w:t>demás, el Artículo</w:t>
            </w:r>
            <w:r w:rsidR="0016378A">
              <w:rPr>
                <w:rFonts w:cs="Calibri"/>
                <w:bCs/>
                <w:sz w:val="18"/>
                <w:szCs w:val="18"/>
                <w:lang w:val="es-ES"/>
              </w:rPr>
              <w:t> </w:t>
            </w:r>
            <w:r w:rsidRPr="00C74ADE">
              <w:rPr>
                <w:rFonts w:cs="Calibri"/>
                <w:bCs/>
                <w:sz w:val="18"/>
                <w:szCs w:val="18"/>
                <w:lang w:val="es-ES"/>
              </w:rPr>
              <w:t xml:space="preserve">5.1 </w:t>
            </w:r>
            <w:r w:rsidR="00C74ADE" w:rsidRPr="00C74ADE">
              <w:rPr>
                <w:rFonts w:cs="Calibri"/>
                <w:bCs/>
                <w:sz w:val="18"/>
                <w:szCs w:val="18"/>
                <w:lang w:val="es-ES"/>
              </w:rPr>
              <w:t>puede acomodar nuevas</w:t>
            </w:r>
            <w:r w:rsidR="00C74ADE">
              <w:rPr>
                <w:rFonts w:cs="Calibri"/>
                <w:bCs/>
                <w:sz w:val="18"/>
                <w:szCs w:val="18"/>
                <w:lang w:val="es-ES"/>
              </w:rPr>
              <w:t xml:space="preserve"> tendencias como la ciberseguridad</w:t>
            </w:r>
            <w:r w:rsidRPr="00C74ADE">
              <w:rPr>
                <w:rFonts w:cs="Calibri"/>
                <w:bCs/>
                <w:sz w:val="18"/>
                <w:szCs w:val="18"/>
                <w:lang w:val="es-ES"/>
              </w:rPr>
              <w:t>.</w:t>
            </w:r>
          </w:p>
        </w:tc>
        <w:tc>
          <w:tcPr>
            <w:tcW w:w="1422" w:type="dxa"/>
            <w:tcMar>
              <w:left w:w="85" w:type="dxa"/>
              <w:right w:w="85" w:type="dxa"/>
            </w:tcMar>
          </w:tcPr>
          <w:p w14:paraId="2F106008" w14:textId="77777777" w:rsidR="00FA157F" w:rsidRPr="00C74ADE" w:rsidRDefault="00FA157F" w:rsidP="00FA157F">
            <w:pPr>
              <w:spacing w:before="40" w:after="40"/>
              <w:rPr>
                <w:rFonts w:cs="Calibri"/>
                <w:sz w:val="18"/>
                <w:szCs w:val="18"/>
                <w:lang w:val="es-ES"/>
              </w:rPr>
            </w:pPr>
          </w:p>
          <w:p w14:paraId="0C29390E" w14:textId="47309D53" w:rsidR="004E0A94" w:rsidRPr="001C4C08" w:rsidRDefault="004E0A94" w:rsidP="00FA157F">
            <w:pPr>
              <w:spacing w:before="40" w:after="40"/>
              <w:rPr>
                <w:rFonts w:cs="Calibri"/>
                <w:b/>
                <w:bCs/>
                <w:sz w:val="18"/>
                <w:szCs w:val="18"/>
              </w:rPr>
            </w:pPr>
            <w:r w:rsidRPr="001C4C08">
              <w:rPr>
                <w:rFonts w:cs="Calibri"/>
                <w:b/>
                <w:bCs/>
                <w:sz w:val="18"/>
                <w:szCs w:val="18"/>
              </w:rPr>
              <w:t>No se requiere cambio.</w:t>
            </w:r>
          </w:p>
        </w:tc>
      </w:tr>
      <w:tr w:rsidR="00B40D6A" w:rsidRPr="00C74ADE" w14:paraId="71284BC0" w14:textId="77777777" w:rsidTr="00FA157F">
        <w:trPr>
          <w:jc w:val="center"/>
        </w:trPr>
        <w:tc>
          <w:tcPr>
            <w:tcW w:w="1129" w:type="dxa"/>
            <w:tcMar>
              <w:left w:w="85" w:type="dxa"/>
              <w:right w:w="85" w:type="dxa"/>
            </w:tcMar>
          </w:tcPr>
          <w:p w14:paraId="26E96435" w14:textId="31E87A7C" w:rsidR="004E0A94" w:rsidRPr="001C4C08" w:rsidRDefault="00B40D6A" w:rsidP="00FA157F">
            <w:pPr>
              <w:spacing w:before="40" w:after="40"/>
              <w:rPr>
                <w:rFonts w:cs="Calibri"/>
                <w:b/>
                <w:bCs/>
                <w:sz w:val="18"/>
                <w:szCs w:val="18"/>
              </w:rPr>
            </w:pPr>
            <w:r w:rsidRPr="004E0A94">
              <w:rPr>
                <w:rFonts w:cs="Calibri"/>
                <w:b/>
                <w:bCs/>
                <w:sz w:val="18"/>
                <w:szCs w:val="18"/>
              </w:rPr>
              <w:t>Artículo 5</w:t>
            </w:r>
          </w:p>
        </w:tc>
        <w:tc>
          <w:tcPr>
            <w:tcW w:w="1843" w:type="dxa"/>
            <w:tcMar>
              <w:left w:w="85" w:type="dxa"/>
              <w:right w:w="85" w:type="dxa"/>
            </w:tcMar>
          </w:tcPr>
          <w:p w14:paraId="5982A251" w14:textId="0399E9ED" w:rsidR="00B40D6A" w:rsidRDefault="00B40D6A" w:rsidP="00FA157F">
            <w:pPr>
              <w:spacing w:before="40" w:after="40"/>
              <w:rPr>
                <w:rFonts w:cs="Calibri"/>
                <w:bCs/>
                <w:sz w:val="18"/>
                <w:szCs w:val="18"/>
              </w:rPr>
            </w:pPr>
            <w:r w:rsidRPr="00B40D6A">
              <w:rPr>
                <w:rFonts w:cs="Calibri"/>
                <w:b/>
                <w:sz w:val="18"/>
                <w:szCs w:val="18"/>
              </w:rPr>
              <w:t>47</w:t>
            </w:r>
          </w:p>
          <w:p w14:paraId="62B608EA" w14:textId="62AB1CF4" w:rsidR="004E0A94" w:rsidRPr="001C4C08" w:rsidRDefault="00B40D6A" w:rsidP="00FA157F">
            <w:pPr>
              <w:spacing w:before="40" w:after="40"/>
              <w:rPr>
                <w:rFonts w:cs="Calibri"/>
                <w:bCs/>
                <w:sz w:val="18"/>
                <w:szCs w:val="18"/>
              </w:rPr>
            </w:pPr>
            <w:r w:rsidRPr="00B40D6A">
              <w:rPr>
                <w:rFonts w:cs="Calibri"/>
                <w:bCs/>
                <w:sz w:val="18"/>
                <w:szCs w:val="18"/>
              </w:rPr>
              <w:t>5.3</w:t>
            </w:r>
            <w:r w:rsidRPr="00B40D6A">
              <w:rPr>
                <w:rFonts w:cs="Calibri"/>
                <w:bCs/>
                <w:sz w:val="18"/>
                <w:szCs w:val="18"/>
              </w:rPr>
              <w:tab/>
              <w:t>Las disposiciones que definen el orden de prioridad de cualquier otro servicio de telecomunicaciones se encuentran en las Recomendaciones UIT-T pertinentes.</w:t>
            </w:r>
          </w:p>
        </w:tc>
        <w:tc>
          <w:tcPr>
            <w:tcW w:w="1843" w:type="dxa"/>
            <w:tcMar>
              <w:left w:w="85" w:type="dxa"/>
              <w:right w:w="85" w:type="dxa"/>
            </w:tcMar>
          </w:tcPr>
          <w:p w14:paraId="3020EB59" w14:textId="77777777" w:rsidR="00B40D6A" w:rsidRDefault="00B40D6A" w:rsidP="00FA157F">
            <w:pPr>
              <w:spacing w:before="40" w:after="40"/>
              <w:rPr>
                <w:rFonts w:cs="Calibri"/>
                <w:bCs/>
                <w:sz w:val="18"/>
                <w:szCs w:val="18"/>
              </w:rPr>
            </w:pPr>
            <w:r w:rsidRPr="00B40D6A">
              <w:rPr>
                <w:rFonts w:cs="Calibri"/>
                <w:b/>
                <w:sz w:val="18"/>
                <w:szCs w:val="18"/>
              </w:rPr>
              <w:t>41</w:t>
            </w:r>
          </w:p>
          <w:p w14:paraId="7C80D3AB" w14:textId="21FADDEF" w:rsidR="004E0A94" w:rsidRPr="001C4C08" w:rsidRDefault="00B40D6A" w:rsidP="00FA157F">
            <w:pPr>
              <w:spacing w:before="40" w:after="40"/>
              <w:rPr>
                <w:rFonts w:cs="Calibri"/>
                <w:bCs/>
                <w:sz w:val="18"/>
                <w:szCs w:val="18"/>
              </w:rPr>
            </w:pPr>
            <w:r w:rsidRPr="00B40D6A">
              <w:rPr>
                <w:rFonts w:cs="Calibri"/>
                <w:bCs/>
                <w:sz w:val="18"/>
                <w:szCs w:val="18"/>
              </w:rPr>
              <w:t>5.3</w:t>
            </w:r>
            <w:r w:rsidRPr="00B40D6A">
              <w:rPr>
                <w:rFonts w:cs="Calibri"/>
                <w:bCs/>
                <w:sz w:val="18"/>
                <w:szCs w:val="18"/>
              </w:rPr>
              <w:tab/>
              <w:t>El orden de prioridad de todas las demás telecomunicaciones se regirá por lo dispuesto en las Recomendaciones pertinentes del CCITT.</w:t>
            </w:r>
          </w:p>
        </w:tc>
        <w:tc>
          <w:tcPr>
            <w:tcW w:w="1559" w:type="dxa"/>
            <w:tcMar>
              <w:left w:w="85" w:type="dxa"/>
              <w:right w:w="85" w:type="dxa"/>
            </w:tcMar>
          </w:tcPr>
          <w:p w14:paraId="2E01017E" w14:textId="77777777" w:rsidR="00FA157F" w:rsidRDefault="00FA157F" w:rsidP="00FA157F">
            <w:pPr>
              <w:spacing w:before="40" w:after="40"/>
              <w:rPr>
                <w:rFonts w:cs="Calibri"/>
                <w:bCs/>
                <w:sz w:val="18"/>
                <w:szCs w:val="18"/>
              </w:rPr>
            </w:pPr>
          </w:p>
          <w:p w14:paraId="75453F14" w14:textId="182ACA2E" w:rsidR="004E0A94" w:rsidRPr="00C74ADE" w:rsidRDefault="00C74ADE" w:rsidP="00FA157F">
            <w:pPr>
              <w:spacing w:before="40" w:after="40"/>
              <w:rPr>
                <w:rFonts w:cs="Calibri"/>
                <w:bCs/>
                <w:sz w:val="18"/>
                <w:szCs w:val="18"/>
              </w:rPr>
            </w:pPr>
            <w:r w:rsidRPr="00C74ADE">
              <w:rPr>
                <w:rFonts w:cs="Calibri"/>
                <w:bCs/>
                <w:sz w:val="18"/>
                <w:szCs w:val="18"/>
              </w:rPr>
              <w:t>Esta disposición es idéntica a la que ya figuraba en el RTI de 1998 y no obstaculiza el desarrollo de re</w:t>
            </w:r>
            <w:r>
              <w:rPr>
                <w:rFonts w:cs="Calibri"/>
                <w:bCs/>
                <w:sz w:val="18"/>
                <w:szCs w:val="18"/>
              </w:rPr>
              <w:t>des y servicios</w:t>
            </w:r>
            <w:r w:rsidR="00B40D6A" w:rsidRPr="00C74ADE">
              <w:rPr>
                <w:rFonts w:cs="Calibri"/>
                <w:bCs/>
                <w:sz w:val="18"/>
                <w:szCs w:val="18"/>
              </w:rPr>
              <w:t>.</w:t>
            </w:r>
          </w:p>
        </w:tc>
        <w:tc>
          <w:tcPr>
            <w:tcW w:w="1843" w:type="dxa"/>
            <w:tcMar>
              <w:left w:w="85" w:type="dxa"/>
              <w:right w:w="85" w:type="dxa"/>
            </w:tcMar>
          </w:tcPr>
          <w:p w14:paraId="46BA934B" w14:textId="77777777" w:rsidR="00FA157F" w:rsidRPr="00C74ADE" w:rsidRDefault="00FA157F" w:rsidP="00FA157F">
            <w:pPr>
              <w:tabs>
                <w:tab w:val="clear" w:pos="567"/>
                <w:tab w:val="left" w:pos="234"/>
              </w:tabs>
              <w:spacing w:before="40" w:after="40"/>
              <w:ind w:left="234" w:hanging="234"/>
              <w:rPr>
                <w:rFonts w:cs="Calibri"/>
                <w:bCs/>
                <w:sz w:val="18"/>
                <w:szCs w:val="18"/>
              </w:rPr>
            </w:pPr>
          </w:p>
          <w:p w14:paraId="5AC580CF" w14:textId="4B813AD0" w:rsidR="00B40D6A" w:rsidRPr="00C74ADE" w:rsidRDefault="00B40D6A" w:rsidP="00FA157F">
            <w:pPr>
              <w:tabs>
                <w:tab w:val="clear" w:pos="567"/>
                <w:tab w:val="left" w:pos="234"/>
              </w:tabs>
              <w:spacing w:before="40" w:after="40"/>
              <w:ind w:left="234" w:hanging="234"/>
              <w:rPr>
                <w:rFonts w:cs="Calibri"/>
                <w:bCs/>
                <w:sz w:val="18"/>
                <w:szCs w:val="18"/>
                <w:lang w:val="es-ES"/>
              </w:rPr>
            </w:pPr>
            <w:r w:rsidRPr="00C74ADE">
              <w:rPr>
                <w:rFonts w:cs="Calibri"/>
                <w:bCs/>
                <w:sz w:val="18"/>
                <w:szCs w:val="18"/>
                <w:lang w:val="es-ES"/>
              </w:rPr>
              <w:t>•</w:t>
            </w:r>
            <w:r w:rsidRPr="00C74ADE">
              <w:rPr>
                <w:rFonts w:cs="Calibri"/>
                <w:bCs/>
                <w:sz w:val="18"/>
                <w:szCs w:val="18"/>
                <w:lang w:val="es-ES"/>
              </w:rPr>
              <w:tab/>
            </w:r>
            <w:r w:rsidR="00C74ADE" w:rsidRPr="00C74ADE">
              <w:rPr>
                <w:rFonts w:cs="Calibri"/>
                <w:bCs/>
                <w:sz w:val="18"/>
                <w:szCs w:val="18"/>
                <w:lang w:val="es-ES"/>
              </w:rPr>
              <w:t>Suficientemente flexible; son de aplicación las Recomendacio</w:t>
            </w:r>
            <w:r w:rsidR="00C74ADE">
              <w:rPr>
                <w:rFonts w:cs="Calibri"/>
                <w:bCs/>
                <w:sz w:val="18"/>
                <w:szCs w:val="18"/>
                <w:lang w:val="es-ES"/>
              </w:rPr>
              <w:t>nes UIT-T más recientes</w:t>
            </w:r>
            <w:r w:rsidRPr="00C74ADE">
              <w:rPr>
                <w:rFonts w:cs="Calibri"/>
                <w:bCs/>
                <w:sz w:val="18"/>
                <w:szCs w:val="18"/>
                <w:lang w:val="es-ES"/>
              </w:rPr>
              <w:t>.</w:t>
            </w:r>
          </w:p>
          <w:p w14:paraId="7C91DB1F" w14:textId="1E7AA7C5" w:rsidR="004E0A94" w:rsidRPr="00C74ADE" w:rsidRDefault="00B40D6A" w:rsidP="00FA157F">
            <w:pPr>
              <w:tabs>
                <w:tab w:val="clear" w:pos="567"/>
                <w:tab w:val="left" w:pos="234"/>
              </w:tabs>
              <w:spacing w:before="40" w:after="40"/>
              <w:ind w:left="234" w:hanging="234"/>
              <w:rPr>
                <w:rFonts w:cs="Calibri"/>
                <w:bCs/>
                <w:sz w:val="18"/>
                <w:szCs w:val="18"/>
                <w:lang w:val="es-ES"/>
              </w:rPr>
            </w:pPr>
            <w:r w:rsidRPr="00C74ADE">
              <w:rPr>
                <w:rFonts w:cs="Calibri"/>
                <w:bCs/>
                <w:sz w:val="18"/>
                <w:szCs w:val="18"/>
                <w:lang w:val="es-ES"/>
              </w:rPr>
              <w:t>•</w:t>
            </w:r>
            <w:r w:rsidRPr="00C74ADE">
              <w:rPr>
                <w:rFonts w:cs="Calibri"/>
                <w:bCs/>
                <w:sz w:val="18"/>
                <w:szCs w:val="18"/>
                <w:lang w:val="es-ES"/>
              </w:rPr>
              <w:tab/>
            </w:r>
            <w:r w:rsidR="00C74ADE" w:rsidRPr="00C74ADE">
              <w:rPr>
                <w:rFonts w:cs="Calibri"/>
                <w:bCs/>
                <w:sz w:val="18"/>
                <w:szCs w:val="18"/>
                <w:lang w:val="es-ES"/>
              </w:rPr>
              <w:t>Se ha de velar por que las comunicaciones gubernamentales sólo sean prioritarias cuando sea</w:t>
            </w:r>
            <w:r w:rsidR="00C74ADE">
              <w:rPr>
                <w:rFonts w:cs="Calibri"/>
                <w:bCs/>
                <w:sz w:val="18"/>
                <w:szCs w:val="18"/>
                <w:lang w:val="es-ES"/>
              </w:rPr>
              <w:t xml:space="preserve"> </w:t>
            </w:r>
            <w:r w:rsidR="00C74ADE" w:rsidRPr="00C74ADE">
              <w:rPr>
                <w:rFonts w:cs="Calibri"/>
                <w:bCs/>
                <w:sz w:val="18"/>
                <w:szCs w:val="18"/>
                <w:lang w:val="es-ES"/>
              </w:rPr>
              <w:t xml:space="preserve">necesario y atañan a </w:t>
            </w:r>
            <w:r w:rsidR="00C74ADE">
              <w:rPr>
                <w:rFonts w:cs="Calibri"/>
                <w:bCs/>
                <w:sz w:val="18"/>
                <w:szCs w:val="18"/>
                <w:lang w:val="es-ES"/>
              </w:rPr>
              <w:t xml:space="preserve">la seguridad del Estado. </w:t>
            </w:r>
            <w:r w:rsidR="00C74ADE" w:rsidRPr="00C74ADE">
              <w:rPr>
                <w:rFonts w:cs="Calibri"/>
                <w:bCs/>
                <w:sz w:val="18"/>
                <w:szCs w:val="18"/>
                <w:lang w:val="es-ES"/>
              </w:rPr>
              <w:t>Se han de tener en cuenta los derechos constitucionales y la libertad de expresión de la població</w:t>
            </w:r>
            <w:r w:rsidR="00C74ADE">
              <w:rPr>
                <w:rFonts w:cs="Calibri"/>
                <w:bCs/>
                <w:sz w:val="18"/>
                <w:szCs w:val="18"/>
                <w:lang w:val="es-ES"/>
              </w:rPr>
              <w:t>n</w:t>
            </w:r>
            <w:r w:rsidRPr="00C74ADE">
              <w:rPr>
                <w:rFonts w:cs="Calibri"/>
                <w:bCs/>
                <w:sz w:val="18"/>
                <w:szCs w:val="18"/>
                <w:lang w:val="es-ES"/>
              </w:rPr>
              <w:t>.</w:t>
            </w:r>
          </w:p>
        </w:tc>
        <w:tc>
          <w:tcPr>
            <w:tcW w:w="1422" w:type="dxa"/>
            <w:tcMar>
              <w:left w:w="85" w:type="dxa"/>
              <w:right w:w="85" w:type="dxa"/>
            </w:tcMar>
          </w:tcPr>
          <w:p w14:paraId="7B0DDA59" w14:textId="77777777" w:rsidR="00FA157F" w:rsidRPr="00C74ADE" w:rsidRDefault="00FA157F" w:rsidP="00FA157F">
            <w:pPr>
              <w:tabs>
                <w:tab w:val="clear" w:pos="567"/>
                <w:tab w:val="left" w:pos="234"/>
              </w:tabs>
              <w:spacing w:before="40" w:after="40"/>
              <w:ind w:left="234" w:hanging="234"/>
              <w:rPr>
                <w:rFonts w:cs="Calibri"/>
                <w:bCs/>
                <w:sz w:val="18"/>
                <w:szCs w:val="18"/>
                <w:lang w:val="es-ES"/>
              </w:rPr>
            </w:pPr>
          </w:p>
          <w:p w14:paraId="7C49E58B" w14:textId="7EB1837A" w:rsidR="004E0A94" w:rsidRPr="0016378A" w:rsidRDefault="00B40D6A" w:rsidP="00FA157F">
            <w:pPr>
              <w:tabs>
                <w:tab w:val="clear" w:pos="567"/>
                <w:tab w:val="left" w:pos="234"/>
              </w:tabs>
              <w:spacing w:before="40" w:after="40"/>
              <w:ind w:left="234" w:hanging="234"/>
              <w:rPr>
                <w:rFonts w:cs="Calibri"/>
                <w:b/>
                <w:bCs/>
                <w:sz w:val="18"/>
                <w:szCs w:val="18"/>
                <w:lang w:val="es-ES"/>
              </w:rPr>
            </w:pPr>
            <w:r w:rsidRPr="0016378A">
              <w:rPr>
                <w:rFonts w:cs="Calibri"/>
                <w:bCs/>
                <w:sz w:val="18"/>
                <w:szCs w:val="18"/>
                <w:lang w:val="es-ES"/>
              </w:rPr>
              <w:t>•</w:t>
            </w:r>
            <w:r w:rsidRPr="0016378A">
              <w:rPr>
                <w:rFonts w:cs="Calibri"/>
                <w:bCs/>
                <w:sz w:val="18"/>
                <w:szCs w:val="18"/>
                <w:lang w:val="es-ES"/>
              </w:rPr>
              <w:tab/>
            </w:r>
            <w:r w:rsidR="004E0A94" w:rsidRPr="0016378A">
              <w:rPr>
                <w:rFonts w:cs="Calibri"/>
                <w:b/>
                <w:bCs/>
                <w:sz w:val="18"/>
                <w:szCs w:val="18"/>
                <w:lang w:val="es-ES"/>
              </w:rPr>
              <w:t>No se requiere cambio.</w:t>
            </w:r>
          </w:p>
          <w:p w14:paraId="02903405" w14:textId="1AFC8B1A" w:rsidR="00B40D6A" w:rsidRPr="00C74ADE" w:rsidRDefault="00B40D6A" w:rsidP="00FA157F">
            <w:pPr>
              <w:tabs>
                <w:tab w:val="clear" w:pos="567"/>
                <w:tab w:val="left" w:pos="234"/>
              </w:tabs>
              <w:spacing w:before="40" w:after="40"/>
              <w:ind w:left="234" w:hanging="234"/>
              <w:rPr>
                <w:rFonts w:cs="Calibri"/>
                <w:bCs/>
                <w:sz w:val="18"/>
                <w:szCs w:val="18"/>
                <w:lang w:val="es-ES"/>
              </w:rPr>
            </w:pPr>
            <w:r w:rsidRPr="00C74ADE">
              <w:rPr>
                <w:rFonts w:cs="Calibri"/>
                <w:bCs/>
                <w:sz w:val="18"/>
                <w:szCs w:val="18"/>
                <w:lang w:val="es-ES"/>
              </w:rPr>
              <w:t>•</w:t>
            </w:r>
            <w:r w:rsidRPr="00C74ADE">
              <w:rPr>
                <w:rFonts w:cs="Calibri"/>
                <w:bCs/>
                <w:sz w:val="18"/>
                <w:szCs w:val="18"/>
                <w:lang w:val="es-ES"/>
              </w:rPr>
              <w:tab/>
            </w:r>
            <w:r w:rsidR="0016378A">
              <w:rPr>
                <w:rFonts w:cs="Calibri"/>
                <w:bCs/>
                <w:sz w:val="18"/>
                <w:szCs w:val="18"/>
                <w:lang w:val="es-ES"/>
              </w:rPr>
              <w:t>L</w:t>
            </w:r>
            <w:r w:rsidR="00C74ADE" w:rsidRPr="00C74ADE">
              <w:rPr>
                <w:rFonts w:cs="Calibri"/>
                <w:bCs/>
                <w:sz w:val="18"/>
                <w:szCs w:val="18"/>
                <w:lang w:val="es-ES"/>
              </w:rPr>
              <w:t>os derechos constitucionales y la libertad de expresión sólo deben limitarse de conformidad con la legislación nacional</w:t>
            </w:r>
            <w:r w:rsidRPr="00C74ADE">
              <w:rPr>
                <w:rFonts w:cs="Calibri"/>
                <w:bCs/>
                <w:sz w:val="18"/>
                <w:szCs w:val="18"/>
                <w:lang w:val="es-ES"/>
              </w:rPr>
              <w:t>.</w:t>
            </w:r>
          </w:p>
        </w:tc>
      </w:tr>
      <w:tr w:rsidR="00B40D6A" w:rsidRPr="001C4C08" w14:paraId="3149F496" w14:textId="77777777" w:rsidTr="00FA157F">
        <w:trPr>
          <w:jc w:val="center"/>
        </w:trPr>
        <w:tc>
          <w:tcPr>
            <w:tcW w:w="1129" w:type="dxa"/>
            <w:tcMar>
              <w:left w:w="85" w:type="dxa"/>
              <w:right w:w="85" w:type="dxa"/>
            </w:tcMar>
          </w:tcPr>
          <w:p w14:paraId="31EEFDD6" w14:textId="65F98C84" w:rsidR="004E0A94" w:rsidRPr="001C4C08" w:rsidRDefault="00B40D6A" w:rsidP="00FA157F">
            <w:pPr>
              <w:keepNext/>
              <w:keepLines/>
              <w:spacing w:before="40" w:after="40"/>
              <w:rPr>
                <w:rFonts w:cs="Calibri"/>
                <w:b/>
                <w:bCs/>
                <w:sz w:val="18"/>
                <w:szCs w:val="18"/>
              </w:rPr>
            </w:pPr>
            <w:r w:rsidRPr="004E0A94">
              <w:rPr>
                <w:rFonts w:cs="Calibri"/>
                <w:b/>
                <w:bCs/>
                <w:sz w:val="18"/>
                <w:szCs w:val="18"/>
              </w:rPr>
              <w:lastRenderedPageBreak/>
              <w:t>Artículo 5</w:t>
            </w:r>
          </w:p>
        </w:tc>
        <w:tc>
          <w:tcPr>
            <w:tcW w:w="1843" w:type="dxa"/>
            <w:tcMar>
              <w:left w:w="85" w:type="dxa"/>
              <w:right w:w="85" w:type="dxa"/>
            </w:tcMar>
          </w:tcPr>
          <w:p w14:paraId="4C1773AD" w14:textId="77777777" w:rsidR="00B40D6A" w:rsidRDefault="00B40D6A" w:rsidP="00FA157F">
            <w:pPr>
              <w:keepNext/>
              <w:keepLines/>
              <w:spacing w:before="40" w:after="40"/>
              <w:rPr>
                <w:rFonts w:cs="Calibri"/>
                <w:bCs/>
                <w:sz w:val="18"/>
                <w:szCs w:val="18"/>
              </w:rPr>
            </w:pPr>
            <w:r w:rsidRPr="00B40D6A">
              <w:rPr>
                <w:rFonts w:cs="Calibri"/>
                <w:b/>
                <w:sz w:val="18"/>
                <w:szCs w:val="18"/>
              </w:rPr>
              <w:t>48</w:t>
            </w:r>
          </w:p>
          <w:p w14:paraId="388CD9AD" w14:textId="666F04C9" w:rsidR="004E0A94" w:rsidRPr="001C4C08" w:rsidRDefault="00B40D6A" w:rsidP="00FA157F">
            <w:pPr>
              <w:keepNext/>
              <w:keepLines/>
              <w:spacing w:before="40" w:after="40"/>
              <w:rPr>
                <w:rFonts w:cs="Calibri"/>
                <w:bCs/>
                <w:sz w:val="18"/>
                <w:szCs w:val="18"/>
              </w:rPr>
            </w:pPr>
            <w:r w:rsidRPr="00B40D6A">
              <w:rPr>
                <w:rFonts w:cs="Calibri"/>
                <w:bCs/>
                <w:sz w:val="18"/>
                <w:szCs w:val="18"/>
              </w:rPr>
              <w:t>5.4</w:t>
            </w:r>
            <w:r w:rsidRPr="00B40D6A">
              <w:rPr>
                <w:rFonts w:cs="Calibri"/>
                <w:bCs/>
                <w:sz w:val="18"/>
                <w:szCs w:val="18"/>
              </w:rPr>
              <w:tab/>
              <w:t>Los Estados Miembros deben alentar a las empresas de explotación autorizadas a informar oportuna y gratuitamente a todos los usuarios, incluidos los usuarios itinerantes, del número de llamada a los servicios de emergencia.</w:t>
            </w:r>
          </w:p>
        </w:tc>
        <w:tc>
          <w:tcPr>
            <w:tcW w:w="1843" w:type="dxa"/>
            <w:tcMar>
              <w:left w:w="85" w:type="dxa"/>
              <w:right w:w="85" w:type="dxa"/>
            </w:tcMar>
          </w:tcPr>
          <w:p w14:paraId="6CF5D87C" w14:textId="77777777" w:rsidR="00F06A8D" w:rsidRDefault="00F06A8D" w:rsidP="00FA157F">
            <w:pPr>
              <w:keepNext/>
              <w:keepLines/>
              <w:spacing w:before="40" w:after="40"/>
              <w:rPr>
                <w:rFonts w:cs="Calibri"/>
                <w:bCs/>
                <w:sz w:val="18"/>
                <w:szCs w:val="18"/>
              </w:rPr>
            </w:pPr>
            <w:bookmarkStart w:id="12" w:name="lt_pId049"/>
          </w:p>
          <w:p w14:paraId="0E87A103" w14:textId="7A14044C" w:rsidR="004E0A94" w:rsidRPr="001C4C08" w:rsidRDefault="004E0A94" w:rsidP="00FA157F">
            <w:pPr>
              <w:keepNext/>
              <w:keepLines/>
              <w:spacing w:before="40" w:after="40"/>
              <w:rPr>
                <w:rFonts w:cs="Calibri"/>
                <w:bCs/>
                <w:sz w:val="18"/>
                <w:szCs w:val="18"/>
              </w:rPr>
            </w:pPr>
            <w:r w:rsidRPr="001C4C08">
              <w:rPr>
                <w:rFonts w:cs="Calibri"/>
                <w:bCs/>
                <w:sz w:val="18"/>
                <w:szCs w:val="18"/>
              </w:rPr>
              <w:t>No hay disposición análoga.</w:t>
            </w:r>
            <w:bookmarkEnd w:id="12"/>
          </w:p>
        </w:tc>
        <w:tc>
          <w:tcPr>
            <w:tcW w:w="1559" w:type="dxa"/>
            <w:tcMar>
              <w:left w:w="85" w:type="dxa"/>
              <w:right w:w="85" w:type="dxa"/>
            </w:tcMar>
          </w:tcPr>
          <w:p w14:paraId="57D94847" w14:textId="77777777" w:rsidR="00F06A8D" w:rsidRPr="0016378A" w:rsidRDefault="00F06A8D" w:rsidP="00FA157F">
            <w:pPr>
              <w:keepNext/>
              <w:keepLines/>
              <w:spacing w:before="40" w:after="40"/>
              <w:rPr>
                <w:sz w:val="18"/>
                <w:szCs w:val="18"/>
                <w:lang w:val="es-ES"/>
              </w:rPr>
            </w:pPr>
          </w:p>
          <w:p w14:paraId="0438976E" w14:textId="3DABFAEC" w:rsidR="004E0A94" w:rsidRPr="00C74ADE" w:rsidRDefault="00C74ADE" w:rsidP="00FA157F">
            <w:pPr>
              <w:keepNext/>
              <w:keepLines/>
              <w:spacing w:before="40" w:after="40"/>
              <w:rPr>
                <w:sz w:val="18"/>
                <w:szCs w:val="18"/>
                <w:lang w:val="es-ES"/>
              </w:rPr>
            </w:pPr>
            <w:r w:rsidRPr="00C74ADE">
              <w:rPr>
                <w:sz w:val="18"/>
                <w:szCs w:val="18"/>
                <w:lang w:val="es-ES"/>
              </w:rPr>
              <w:t>Esta disposición no obstaculiza el desarrollo de redes y servicios; aboga por la utilización de los servicios de emergencia a nivel n</w:t>
            </w:r>
            <w:r>
              <w:rPr>
                <w:sz w:val="18"/>
                <w:szCs w:val="18"/>
                <w:lang w:val="es-ES"/>
              </w:rPr>
              <w:t>acional</w:t>
            </w:r>
            <w:r w:rsidR="00B40D6A" w:rsidRPr="00C74ADE">
              <w:rPr>
                <w:sz w:val="18"/>
                <w:szCs w:val="18"/>
                <w:lang w:val="es-ES"/>
              </w:rPr>
              <w:t>.</w:t>
            </w:r>
          </w:p>
        </w:tc>
        <w:tc>
          <w:tcPr>
            <w:tcW w:w="1843" w:type="dxa"/>
            <w:tcMar>
              <w:left w:w="85" w:type="dxa"/>
              <w:right w:w="85" w:type="dxa"/>
            </w:tcMar>
          </w:tcPr>
          <w:p w14:paraId="0ACC2BBA" w14:textId="77777777" w:rsidR="00F06A8D" w:rsidRPr="00C74ADE" w:rsidRDefault="00F06A8D" w:rsidP="00FA157F">
            <w:pPr>
              <w:keepNext/>
              <w:keepLines/>
              <w:spacing w:before="40" w:after="40"/>
              <w:rPr>
                <w:sz w:val="18"/>
                <w:szCs w:val="18"/>
                <w:lang w:val="es-ES"/>
              </w:rPr>
            </w:pPr>
          </w:p>
          <w:p w14:paraId="0A16184D" w14:textId="734FB72A" w:rsidR="004E0A94" w:rsidRPr="001C4C08" w:rsidRDefault="00B40D6A" w:rsidP="00FA157F">
            <w:pPr>
              <w:keepNext/>
              <w:keepLines/>
              <w:spacing w:before="40" w:after="40"/>
              <w:rPr>
                <w:sz w:val="18"/>
                <w:szCs w:val="18"/>
              </w:rPr>
            </w:pPr>
            <w:r w:rsidRPr="00B40D6A">
              <w:rPr>
                <w:sz w:val="18"/>
                <w:szCs w:val="18"/>
              </w:rPr>
              <w:t>Suf</w:t>
            </w:r>
            <w:r w:rsidR="00C74ADE">
              <w:rPr>
                <w:sz w:val="18"/>
                <w:szCs w:val="18"/>
              </w:rPr>
              <w:t>icientemente flexible; no obligatoria</w:t>
            </w:r>
            <w:r>
              <w:rPr>
                <w:sz w:val="18"/>
                <w:szCs w:val="18"/>
              </w:rPr>
              <w:t>.</w:t>
            </w:r>
          </w:p>
        </w:tc>
        <w:tc>
          <w:tcPr>
            <w:tcW w:w="1422" w:type="dxa"/>
            <w:tcMar>
              <w:left w:w="85" w:type="dxa"/>
              <w:right w:w="85" w:type="dxa"/>
            </w:tcMar>
          </w:tcPr>
          <w:p w14:paraId="4899B451" w14:textId="77777777" w:rsidR="00F06A8D" w:rsidRPr="00F06A8D" w:rsidRDefault="00F06A8D" w:rsidP="00FA157F">
            <w:pPr>
              <w:keepNext/>
              <w:keepLines/>
              <w:spacing w:before="40" w:after="40"/>
              <w:rPr>
                <w:bCs/>
                <w:sz w:val="18"/>
                <w:szCs w:val="18"/>
              </w:rPr>
            </w:pPr>
          </w:p>
          <w:p w14:paraId="0CAF0470" w14:textId="55B62AED" w:rsidR="004E0A94" w:rsidRPr="001C4C08" w:rsidRDefault="004E0A94" w:rsidP="00FA157F">
            <w:pPr>
              <w:keepNext/>
              <w:keepLines/>
              <w:spacing w:before="40" w:after="40"/>
              <w:rPr>
                <w:b/>
                <w:sz w:val="18"/>
                <w:szCs w:val="18"/>
              </w:rPr>
            </w:pPr>
            <w:r w:rsidRPr="001C4C08">
              <w:rPr>
                <w:b/>
                <w:sz w:val="18"/>
                <w:szCs w:val="18"/>
              </w:rPr>
              <w:t>No se requiere cambio.</w:t>
            </w:r>
          </w:p>
        </w:tc>
      </w:tr>
      <w:tr w:rsidR="00B40D6A" w:rsidRPr="001C4C08" w14:paraId="34C7A93C" w14:textId="77777777" w:rsidTr="00FA157F">
        <w:trPr>
          <w:jc w:val="center"/>
        </w:trPr>
        <w:tc>
          <w:tcPr>
            <w:tcW w:w="1129" w:type="dxa"/>
            <w:tcMar>
              <w:left w:w="85" w:type="dxa"/>
              <w:right w:w="85" w:type="dxa"/>
            </w:tcMar>
          </w:tcPr>
          <w:p w14:paraId="7D38E54C" w14:textId="4A28F191" w:rsidR="00B40D6A" w:rsidRPr="001C4C08" w:rsidRDefault="00B40D6A" w:rsidP="00FA157F">
            <w:pPr>
              <w:spacing w:before="40" w:after="40"/>
              <w:rPr>
                <w:rFonts w:cs="Calibri"/>
                <w:bCs/>
                <w:sz w:val="18"/>
                <w:szCs w:val="18"/>
              </w:rPr>
            </w:pPr>
            <w:r w:rsidRPr="004E0A94">
              <w:rPr>
                <w:rFonts w:cs="Calibri"/>
                <w:b/>
                <w:bCs/>
                <w:sz w:val="18"/>
                <w:szCs w:val="18"/>
              </w:rPr>
              <w:t xml:space="preserve">Artículo </w:t>
            </w:r>
            <w:r>
              <w:rPr>
                <w:rFonts w:cs="Calibri"/>
                <w:b/>
                <w:bCs/>
                <w:sz w:val="18"/>
                <w:szCs w:val="18"/>
              </w:rPr>
              <w:t>6</w:t>
            </w:r>
          </w:p>
        </w:tc>
        <w:tc>
          <w:tcPr>
            <w:tcW w:w="1843" w:type="dxa"/>
            <w:tcMar>
              <w:left w:w="85" w:type="dxa"/>
              <w:right w:w="85" w:type="dxa"/>
            </w:tcMar>
          </w:tcPr>
          <w:p w14:paraId="44C6FDBE" w14:textId="2101495A" w:rsidR="00B40D6A" w:rsidRDefault="00B40D6A" w:rsidP="00FA157F">
            <w:pPr>
              <w:spacing w:before="40" w:after="40"/>
              <w:rPr>
                <w:rFonts w:cs="Calibri"/>
                <w:bCs/>
                <w:sz w:val="18"/>
                <w:szCs w:val="18"/>
              </w:rPr>
            </w:pPr>
            <w:r w:rsidRPr="00B40D6A">
              <w:rPr>
                <w:rFonts w:cs="Calibri"/>
                <w:b/>
                <w:sz w:val="18"/>
                <w:szCs w:val="18"/>
              </w:rPr>
              <w:t>49</w:t>
            </w:r>
          </w:p>
          <w:p w14:paraId="0AC18767" w14:textId="7F2EE2FD" w:rsidR="00B40D6A" w:rsidRPr="001C4C08" w:rsidRDefault="00B40D6A" w:rsidP="00FA157F">
            <w:pPr>
              <w:spacing w:before="40" w:after="40"/>
              <w:rPr>
                <w:rFonts w:cs="Calibri"/>
                <w:bCs/>
                <w:sz w:val="18"/>
                <w:szCs w:val="18"/>
              </w:rPr>
            </w:pPr>
            <w:r w:rsidRPr="00B40D6A">
              <w:rPr>
                <w:rFonts w:cs="Calibri"/>
                <w:bCs/>
                <w:sz w:val="18"/>
                <w:szCs w:val="18"/>
              </w:rPr>
              <w:t>6.1</w:t>
            </w:r>
            <w:r w:rsidRPr="00B40D6A">
              <w:rPr>
                <w:rFonts w:cs="Calibri"/>
                <w:bCs/>
                <w:sz w:val="18"/>
                <w:szCs w:val="18"/>
              </w:rPr>
              <w:tab/>
              <w:t>Los Estados Miembros procurarán garantizar, individual y colectivamente, la seguridad y robustez de las redes de telecomunicación internacionales a fin de lograr su utilización eficaz y evitar perjuicios técnicos a las mismas, así como el desarrollo armonioso de los servicios internacionales de telecomunicación ofrecidos al público.</w:t>
            </w:r>
          </w:p>
        </w:tc>
        <w:tc>
          <w:tcPr>
            <w:tcW w:w="1843" w:type="dxa"/>
            <w:tcMar>
              <w:left w:w="85" w:type="dxa"/>
              <w:right w:w="85" w:type="dxa"/>
            </w:tcMar>
          </w:tcPr>
          <w:p w14:paraId="7067D292" w14:textId="77777777" w:rsidR="00F06A8D" w:rsidRDefault="00F06A8D" w:rsidP="00FA157F">
            <w:pPr>
              <w:spacing w:before="40" w:after="40"/>
              <w:rPr>
                <w:rFonts w:cs="Calibri"/>
                <w:bCs/>
                <w:sz w:val="18"/>
                <w:szCs w:val="18"/>
              </w:rPr>
            </w:pPr>
          </w:p>
          <w:p w14:paraId="3D743862" w14:textId="4BA768AF" w:rsidR="00B40D6A" w:rsidRPr="001C4C08" w:rsidRDefault="00B40D6A" w:rsidP="00FA157F">
            <w:pPr>
              <w:spacing w:before="40" w:after="40"/>
              <w:rPr>
                <w:rFonts w:cs="Calibri"/>
                <w:bCs/>
                <w:sz w:val="18"/>
                <w:szCs w:val="18"/>
              </w:rPr>
            </w:pPr>
            <w:r w:rsidRPr="001C4C08">
              <w:rPr>
                <w:rFonts w:cs="Calibri"/>
                <w:bCs/>
                <w:sz w:val="18"/>
                <w:szCs w:val="18"/>
              </w:rPr>
              <w:t>No hay disposición análoga.</w:t>
            </w:r>
          </w:p>
        </w:tc>
        <w:tc>
          <w:tcPr>
            <w:tcW w:w="1559" w:type="dxa"/>
            <w:tcMar>
              <w:left w:w="85" w:type="dxa"/>
              <w:right w:w="85" w:type="dxa"/>
            </w:tcMar>
          </w:tcPr>
          <w:p w14:paraId="35FE4601" w14:textId="77777777" w:rsidR="00F06A8D" w:rsidRPr="0016378A" w:rsidRDefault="00F06A8D" w:rsidP="00FA157F">
            <w:pPr>
              <w:tabs>
                <w:tab w:val="clear" w:pos="567"/>
                <w:tab w:val="left" w:pos="234"/>
              </w:tabs>
              <w:spacing w:before="40" w:after="40"/>
              <w:ind w:left="234" w:right="-111" w:hanging="234"/>
              <w:rPr>
                <w:rFonts w:cs="Calibri"/>
                <w:bCs/>
                <w:sz w:val="18"/>
                <w:szCs w:val="18"/>
                <w:lang w:val="es-ES"/>
              </w:rPr>
            </w:pPr>
          </w:p>
          <w:p w14:paraId="4772DAEE" w14:textId="7AA43FF8" w:rsidR="00B40D6A" w:rsidRPr="00C74ADE" w:rsidRDefault="00B40D6A" w:rsidP="00FA157F">
            <w:pPr>
              <w:tabs>
                <w:tab w:val="clear" w:pos="567"/>
                <w:tab w:val="left" w:pos="234"/>
              </w:tabs>
              <w:spacing w:before="40" w:after="40"/>
              <w:ind w:left="234" w:right="-111" w:hanging="234"/>
              <w:rPr>
                <w:rFonts w:cs="Calibri"/>
                <w:bCs/>
                <w:sz w:val="18"/>
                <w:szCs w:val="18"/>
                <w:lang w:val="es-ES"/>
              </w:rPr>
            </w:pPr>
            <w:r w:rsidRPr="00C74ADE">
              <w:rPr>
                <w:rFonts w:cs="Calibri"/>
                <w:bCs/>
                <w:sz w:val="18"/>
                <w:szCs w:val="18"/>
                <w:lang w:val="es-ES"/>
              </w:rPr>
              <w:t>•</w:t>
            </w:r>
            <w:r w:rsidRPr="00C74ADE">
              <w:rPr>
                <w:rFonts w:cs="Calibri"/>
                <w:bCs/>
                <w:sz w:val="18"/>
                <w:szCs w:val="18"/>
                <w:lang w:val="es-ES"/>
              </w:rPr>
              <w:tab/>
            </w:r>
            <w:r w:rsidR="00C74ADE" w:rsidRPr="00C74ADE">
              <w:rPr>
                <w:rFonts w:cs="Calibri"/>
                <w:bCs/>
                <w:sz w:val="18"/>
                <w:szCs w:val="18"/>
                <w:lang w:val="es-ES"/>
              </w:rPr>
              <w:t xml:space="preserve">Se propone sustituir </w:t>
            </w:r>
            <w:r w:rsidR="003A34BF">
              <w:rPr>
                <w:rFonts w:cs="Calibri"/>
                <w:bCs/>
                <w:sz w:val="18"/>
                <w:szCs w:val="18"/>
                <w:lang w:val="es-ES"/>
              </w:rPr>
              <w:t>"</w:t>
            </w:r>
            <w:r w:rsidR="00C74ADE" w:rsidRPr="00C74ADE">
              <w:rPr>
                <w:rFonts w:cs="Calibri"/>
                <w:bCs/>
                <w:sz w:val="18"/>
                <w:szCs w:val="18"/>
                <w:lang w:val="es-ES"/>
              </w:rPr>
              <w:t>eficaz</w:t>
            </w:r>
            <w:r w:rsidR="003A34BF">
              <w:rPr>
                <w:rFonts w:cs="Calibri"/>
                <w:bCs/>
                <w:sz w:val="18"/>
                <w:szCs w:val="18"/>
                <w:lang w:val="es-ES"/>
              </w:rPr>
              <w:t>"</w:t>
            </w:r>
            <w:r w:rsidR="00C74ADE" w:rsidRPr="00C74ADE">
              <w:rPr>
                <w:rFonts w:cs="Calibri"/>
                <w:bCs/>
                <w:sz w:val="18"/>
                <w:szCs w:val="18"/>
                <w:lang w:val="es-ES"/>
              </w:rPr>
              <w:t xml:space="preserve"> por </w:t>
            </w:r>
            <w:r w:rsidR="003A34BF">
              <w:rPr>
                <w:rFonts w:cs="Calibri"/>
                <w:bCs/>
                <w:sz w:val="18"/>
                <w:szCs w:val="18"/>
                <w:lang w:val="es-ES"/>
              </w:rPr>
              <w:t>"</w:t>
            </w:r>
            <w:r w:rsidR="00C74ADE" w:rsidRPr="00C74ADE">
              <w:rPr>
                <w:rFonts w:cs="Calibri"/>
                <w:bCs/>
                <w:sz w:val="18"/>
                <w:szCs w:val="18"/>
                <w:lang w:val="es-ES"/>
              </w:rPr>
              <w:t>eficiente</w:t>
            </w:r>
            <w:r w:rsidR="003A34BF">
              <w:rPr>
                <w:rFonts w:cs="Calibri"/>
                <w:bCs/>
                <w:sz w:val="18"/>
                <w:szCs w:val="18"/>
                <w:lang w:val="es-ES"/>
              </w:rPr>
              <w:t>"</w:t>
            </w:r>
            <w:r w:rsidRPr="00C74ADE">
              <w:rPr>
                <w:rFonts w:cs="Calibri"/>
                <w:bCs/>
                <w:sz w:val="18"/>
                <w:szCs w:val="18"/>
                <w:lang w:val="es-ES"/>
              </w:rPr>
              <w:t>.</w:t>
            </w:r>
          </w:p>
          <w:p w14:paraId="1C45AD03" w14:textId="0DB3CB80" w:rsidR="00B40D6A" w:rsidRPr="0016378A" w:rsidRDefault="00C74ADE" w:rsidP="00FA157F">
            <w:pPr>
              <w:spacing w:before="40" w:after="40"/>
              <w:rPr>
                <w:rFonts w:cs="Calibri"/>
                <w:bCs/>
                <w:sz w:val="18"/>
                <w:szCs w:val="18"/>
                <w:lang w:val="es-ES"/>
              </w:rPr>
            </w:pPr>
            <w:r w:rsidRPr="00C74ADE">
              <w:rPr>
                <w:rFonts w:cs="Calibri"/>
                <w:bCs/>
                <w:sz w:val="18"/>
                <w:szCs w:val="18"/>
                <w:lang w:val="es-ES"/>
              </w:rPr>
              <w:t>La seguridad y la robustez de las redes gracias a la cooperación internacional son claves para el desa</w:t>
            </w:r>
            <w:r>
              <w:rPr>
                <w:rFonts w:cs="Calibri"/>
                <w:bCs/>
                <w:sz w:val="18"/>
                <w:szCs w:val="18"/>
                <w:lang w:val="es-ES"/>
              </w:rPr>
              <w:t xml:space="preserve">rrollo de las redes de </w:t>
            </w:r>
            <w:r w:rsidRPr="0016378A">
              <w:rPr>
                <w:rFonts w:cs="Calibri"/>
                <w:bCs/>
                <w:sz w:val="18"/>
                <w:szCs w:val="18"/>
                <w:lang w:val="es-ES"/>
              </w:rPr>
              <w:t>telecomunica</w:t>
            </w:r>
            <w:r w:rsidR="0016378A">
              <w:rPr>
                <w:rFonts w:cs="Calibri"/>
                <w:bCs/>
                <w:sz w:val="18"/>
                <w:szCs w:val="18"/>
                <w:lang w:val="es-ES"/>
              </w:rPr>
              <w:t>-</w:t>
            </w:r>
            <w:r w:rsidRPr="0016378A">
              <w:rPr>
                <w:rFonts w:cs="Calibri"/>
                <w:bCs/>
                <w:sz w:val="18"/>
                <w:szCs w:val="18"/>
                <w:lang w:val="es-ES"/>
              </w:rPr>
              <w:t>ciones</w:t>
            </w:r>
            <w:r w:rsidR="00B40D6A" w:rsidRPr="0016378A">
              <w:rPr>
                <w:rFonts w:cs="Calibri"/>
                <w:bCs/>
                <w:sz w:val="18"/>
                <w:szCs w:val="18"/>
                <w:lang w:val="es-ES"/>
              </w:rPr>
              <w:t>.</w:t>
            </w:r>
          </w:p>
          <w:p w14:paraId="2EA3E9C2" w14:textId="21B445C9" w:rsidR="00B40D6A" w:rsidRPr="00C74ADE" w:rsidRDefault="00B40D6A" w:rsidP="00FA157F">
            <w:pPr>
              <w:tabs>
                <w:tab w:val="clear" w:pos="567"/>
                <w:tab w:val="left" w:pos="234"/>
              </w:tabs>
              <w:spacing w:before="40" w:after="40"/>
              <w:ind w:left="234" w:right="-111" w:hanging="234"/>
              <w:rPr>
                <w:rFonts w:cs="Calibri"/>
                <w:bCs/>
                <w:sz w:val="18"/>
                <w:szCs w:val="18"/>
                <w:lang w:val="es-ES"/>
              </w:rPr>
            </w:pPr>
            <w:r w:rsidRPr="00C74ADE">
              <w:rPr>
                <w:rFonts w:cs="Calibri"/>
                <w:bCs/>
                <w:sz w:val="18"/>
                <w:szCs w:val="18"/>
                <w:lang w:val="es-ES"/>
              </w:rPr>
              <w:t>•</w:t>
            </w:r>
            <w:r w:rsidRPr="00C74ADE">
              <w:rPr>
                <w:rFonts w:cs="Calibri"/>
                <w:bCs/>
                <w:sz w:val="18"/>
                <w:szCs w:val="18"/>
                <w:lang w:val="es-ES"/>
              </w:rPr>
              <w:tab/>
            </w:r>
            <w:r w:rsidR="00C74ADE" w:rsidRPr="00C74ADE">
              <w:rPr>
                <w:rFonts w:cs="Calibri"/>
                <w:bCs/>
                <w:sz w:val="18"/>
                <w:szCs w:val="18"/>
                <w:lang w:val="es-ES"/>
              </w:rPr>
              <w:t>el Artículo</w:t>
            </w:r>
            <w:r w:rsidRPr="00C74ADE">
              <w:rPr>
                <w:rFonts w:cs="Calibri"/>
                <w:bCs/>
                <w:sz w:val="18"/>
                <w:szCs w:val="18"/>
                <w:lang w:val="es-ES"/>
              </w:rPr>
              <w:t xml:space="preserve"> 6.1 </w:t>
            </w:r>
            <w:r w:rsidR="00C74ADE" w:rsidRPr="00C74ADE">
              <w:rPr>
                <w:rFonts w:cs="Calibri"/>
                <w:bCs/>
                <w:sz w:val="18"/>
                <w:szCs w:val="18"/>
                <w:lang w:val="es-ES"/>
              </w:rPr>
              <w:t xml:space="preserve">sigue siendo aplicable a la hora de fomentar </w:t>
            </w:r>
            <w:r w:rsidR="00C74ADE">
              <w:rPr>
                <w:rFonts w:cs="Calibri"/>
                <w:bCs/>
                <w:sz w:val="18"/>
                <w:szCs w:val="18"/>
                <w:lang w:val="es-ES"/>
              </w:rPr>
              <w:t>la prestación de redes y servicios</w:t>
            </w:r>
            <w:r w:rsidRPr="00C74ADE">
              <w:rPr>
                <w:rFonts w:cs="Calibri"/>
                <w:bCs/>
                <w:sz w:val="18"/>
                <w:szCs w:val="18"/>
                <w:lang w:val="es-ES"/>
              </w:rPr>
              <w:t>.</w:t>
            </w:r>
          </w:p>
        </w:tc>
        <w:tc>
          <w:tcPr>
            <w:tcW w:w="1843" w:type="dxa"/>
            <w:tcMar>
              <w:left w:w="85" w:type="dxa"/>
              <w:right w:w="85" w:type="dxa"/>
            </w:tcMar>
          </w:tcPr>
          <w:p w14:paraId="2AC7E576" w14:textId="7FF7E856" w:rsidR="00B40D6A" w:rsidRPr="00B40D6A" w:rsidRDefault="00C74ADE" w:rsidP="00FA157F">
            <w:pPr>
              <w:spacing w:before="40" w:after="40"/>
              <w:rPr>
                <w:rFonts w:cs="Calibri"/>
                <w:sz w:val="18"/>
                <w:szCs w:val="18"/>
              </w:rPr>
            </w:pPr>
            <w:r>
              <w:rPr>
                <w:rFonts w:cs="Calibri"/>
                <w:sz w:val="18"/>
                <w:szCs w:val="18"/>
                <w:lang w:val="en-US"/>
              </w:rPr>
              <w:t>Suficientemente flexible</w:t>
            </w:r>
          </w:p>
        </w:tc>
        <w:tc>
          <w:tcPr>
            <w:tcW w:w="1422" w:type="dxa"/>
            <w:tcMar>
              <w:left w:w="85" w:type="dxa"/>
              <w:right w:w="85" w:type="dxa"/>
            </w:tcMar>
          </w:tcPr>
          <w:p w14:paraId="42C1E33E" w14:textId="77777777" w:rsidR="00F06A8D" w:rsidRPr="00F06A8D" w:rsidRDefault="00F06A8D" w:rsidP="00FA157F">
            <w:pPr>
              <w:spacing w:before="40" w:after="40"/>
              <w:rPr>
                <w:rFonts w:cs="Calibri"/>
                <w:sz w:val="18"/>
                <w:szCs w:val="18"/>
              </w:rPr>
            </w:pPr>
            <w:bookmarkStart w:id="13" w:name="lt_pId064"/>
          </w:p>
          <w:p w14:paraId="023134EA" w14:textId="5F8D1740" w:rsidR="00B40D6A" w:rsidRPr="001C4C08" w:rsidRDefault="00B40D6A" w:rsidP="00FA157F">
            <w:pPr>
              <w:spacing w:before="40" w:after="40"/>
              <w:rPr>
                <w:rFonts w:cs="Calibri"/>
                <w:bCs/>
                <w:sz w:val="18"/>
                <w:szCs w:val="18"/>
              </w:rPr>
            </w:pPr>
            <w:r>
              <w:rPr>
                <w:rFonts w:cs="Calibri"/>
                <w:b/>
                <w:bCs/>
                <w:sz w:val="18"/>
                <w:szCs w:val="18"/>
              </w:rPr>
              <w:t>S</w:t>
            </w:r>
            <w:r w:rsidRPr="001C4C08">
              <w:rPr>
                <w:rFonts w:cs="Calibri"/>
                <w:b/>
                <w:bCs/>
                <w:sz w:val="18"/>
                <w:szCs w:val="18"/>
              </w:rPr>
              <w:t>e requiere cambio</w:t>
            </w:r>
            <w:bookmarkEnd w:id="13"/>
            <w:r>
              <w:rPr>
                <w:rFonts w:cs="Calibri"/>
                <w:bCs/>
                <w:sz w:val="18"/>
                <w:szCs w:val="18"/>
              </w:rPr>
              <w:t>.</w:t>
            </w:r>
          </w:p>
        </w:tc>
      </w:tr>
      <w:tr w:rsidR="00B40D6A" w:rsidRPr="001C4C08" w14:paraId="28AA2DB3" w14:textId="77777777" w:rsidTr="00FA157F">
        <w:trPr>
          <w:jc w:val="center"/>
        </w:trPr>
        <w:tc>
          <w:tcPr>
            <w:tcW w:w="1129" w:type="dxa"/>
            <w:tcMar>
              <w:left w:w="85" w:type="dxa"/>
              <w:right w:w="85" w:type="dxa"/>
            </w:tcMar>
          </w:tcPr>
          <w:p w14:paraId="6AB42D6D" w14:textId="792925D8" w:rsidR="004E0A94" w:rsidRPr="001C4C08" w:rsidRDefault="004E0A94" w:rsidP="00FA157F">
            <w:pPr>
              <w:spacing w:before="40" w:after="40"/>
              <w:rPr>
                <w:rFonts w:cs="Calibri"/>
                <w:b/>
                <w:bCs/>
                <w:sz w:val="18"/>
                <w:szCs w:val="18"/>
              </w:rPr>
            </w:pPr>
            <w:bookmarkStart w:id="14" w:name="lt_pId067"/>
            <w:r w:rsidRPr="001C4C08">
              <w:rPr>
                <w:rFonts w:cs="Calibri"/>
                <w:b/>
                <w:bCs/>
                <w:sz w:val="18"/>
                <w:szCs w:val="18"/>
              </w:rPr>
              <w:t xml:space="preserve">Artículo </w:t>
            </w:r>
            <w:bookmarkEnd w:id="14"/>
            <w:r w:rsidR="00B40D6A">
              <w:rPr>
                <w:rFonts w:cs="Calibri"/>
                <w:b/>
                <w:bCs/>
                <w:sz w:val="18"/>
                <w:szCs w:val="18"/>
              </w:rPr>
              <w:t>7</w:t>
            </w:r>
          </w:p>
        </w:tc>
        <w:tc>
          <w:tcPr>
            <w:tcW w:w="1843" w:type="dxa"/>
            <w:tcMar>
              <w:left w:w="85" w:type="dxa"/>
              <w:right w:w="85" w:type="dxa"/>
            </w:tcMar>
          </w:tcPr>
          <w:p w14:paraId="1DAF6DB6" w14:textId="6E10ADDD" w:rsidR="00B40D6A" w:rsidRDefault="00B40D6A" w:rsidP="00FA157F">
            <w:pPr>
              <w:spacing w:before="40" w:after="40"/>
              <w:rPr>
                <w:rFonts w:cs="Calibri"/>
                <w:bCs/>
                <w:sz w:val="18"/>
                <w:szCs w:val="18"/>
              </w:rPr>
            </w:pPr>
            <w:r w:rsidRPr="00B40D6A">
              <w:rPr>
                <w:rFonts w:cs="Calibri"/>
                <w:b/>
                <w:sz w:val="18"/>
                <w:szCs w:val="18"/>
              </w:rPr>
              <w:t>50</w:t>
            </w:r>
          </w:p>
          <w:p w14:paraId="1D3F9C25" w14:textId="47DA5303" w:rsidR="004E0A94" w:rsidRPr="001C4C08" w:rsidRDefault="00B40D6A" w:rsidP="00FA157F">
            <w:pPr>
              <w:spacing w:before="40" w:after="40"/>
              <w:rPr>
                <w:rFonts w:cs="Calibri"/>
                <w:bCs/>
                <w:sz w:val="18"/>
                <w:szCs w:val="18"/>
              </w:rPr>
            </w:pPr>
            <w:r w:rsidRPr="00B40D6A">
              <w:rPr>
                <w:rFonts w:cs="Calibri"/>
                <w:bCs/>
                <w:sz w:val="18"/>
                <w:szCs w:val="18"/>
              </w:rPr>
              <w:t>7.1</w:t>
            </w:r>
            <w:r w:rsidRPr="00B40D6A">
              <w:rPr>
                <w:rFonts w:cs="Calibri"/>
                <w:bCs/>
                <w:sz w:val="18"/>
                <w:szCs w:val="18"/>
              </w:rPr>
              <w:tab/>
              <w:t>Los Estados Miembros deben procurar tomar las medidas necesarias para evitar la propagación de comunicaciones electrónicas masivas no solicitadas y minimizar sus efectos en los servicios internacionales de telecomunicación.</w:t>
            </w:r>
          </w:p>
        </w:tc>
        <w:tc>
          <w:tcPr>
            <w:tcW w:w="1843" w:type="dxa"/>
            <w:tcMar>
              <w:left w:w="85" w:type="dxa"/>
              <w:right w:w="85" w:type="dxa"/>
            </w:tcMar>
          </w:tcPr>
          <w:p w14:paraId="26D19626" w14:textId="77777777" w:rsidR="00F06A8D" w:rsidRDefault="00F06A8D" w:rsidP="00FA157F">
            <w:pPr>
              <w:spacing w:before="40" w:after="40"/>
              <w:rPr>
                <w:rFonts w:cs="Calibri"/>
                <w:bCs/>
                <w:sz w:val="18"/>
                <w:szCs w:val="18"/>
              </w:rPr>
            </w:pPr>
            <w:bookmarkStart w:id="15" w:name="lt_pId069"/>
          </w:p>
          <w:p w14:paraId="2C560059" w14:textId="23379811" w:rsidR="004E0A94" w:rsidRPr="001C4C08" w:rsidRDefault="004E0A94" w:rsidP="00FA157F">
            <w:pPr>
              <w:spacing w:before="40" w:after="40"/>
              <w:rPr>
                <w:rFonts w:cs="Calibri"/>
                <w:bCs/>
                <w:sz w:val="18"/>
                <w:szCs w:val="18"/>
              </w:rPr>
            </w:pPr>
            <w:r w:rsidRPr="001C4C08">
              <w:rPr>
                <w:rFonts w:cs="Calibri"/>
                <w:bCs/>
                <w:sz w:val="18"/>
                <w:szCs w:val="18"/>
              </w:rPr>
              <w:t>No hay disposición análoga.</w:t>
            </w:r>
            <w:bookmarkEnd w:id="15"/>
          </w:p>
        </w:tc>
        <w:tc>
          <w:tcPr>
            <w:tcW w:w="1559" w:type="dxa"/>
            <w:tcMar>
              <w:left w:w="85" w:type="dxa"/>
              <w:right w:w="85" w:type="dxa"/>
            </w:tcMar>
          </w:tcPr>
          <w:p w14:paraId="502D237F" w14:textId="77777777" w:rsidR="00F06A8D" w:rsidRPr="0016378A" w:rsidRDefault="00F06A8D" w:rsidP="00FA157F">
            <w:pPr>
              <w:tabs>
                <w:tab w:val="clear" w:pos="567"/>
                <w:tab w:val="left" w:pos="234"/>
              </w:tabs>
              <w:spacing w:before="40" w:after="40"/>
              <w:ind w:left="234" w:right="-111" w:hanging="234"/>
              <w:rPr>
                <w:rFonts w:cs="Calibri"/>
                <w:bCs/>
                <w:sz w:val="18"/>
                <w:szCs w:val="18"/>
                <w:lang w:val="es-ES"/>
              </w:rPr>
            </w:pPr>
          </w:p>
          <w:p w14:paraId="194CC349" w14:textId="45929DC1" w:rsidR="00B40D6A" w:rsidRPr="00C74ADE" w:rsidRDefault="00B40D6A" w:rsidP="00FA157F">
            <w:pPr>
              <w:tabs>
                <w:tab w:val="clear" w:pos="567"/>
                <w:tab w:val="left" w:pos="234"/>
              </w:tabs>
              <w:spacing w:before="40" w:after="40"/>
              <w:ind w:left="234" w:right="-111" w:hanging="234"/>
              <w:rPr>
                <w:rFonts w:cs="Calibri"/>
                <w:bCs/>
                <w:sz w:val="18"/>
                <w:szCs w:val="18"/>
                <w:lang w:val="es-ES"/>
              </w:rPr>
            </w:pPr>
            <w:r w:rsidRPr="00C74ADE">
              <w:rPr>
                <w:rFonts w:cs="Calibri"/>
                <w:bCs/>
                <w:sz w:val="18"/>
                <w:szCs w:val="18"/>
                <w:lang w:val="es-ES"/>
              </w:rPr>
              <w:t>•</w:t>
            </w:r>
            <w:r w:rsidRPr="00C74ADE">
              <w:rPr>
                <w:rFonts w:cs="Calibri"/>
                <w:bCs/>
                <w:sz w:val="18"/>
                <w:szCs w:val="18"/>
                <w:lang w:val="es-ES"/>
              </w:rPr>
              <w:tab/>
            </w:r>
            <w:r w:rsidR="00C74ADE" w:rsidRPr="00C74ADE">
              <w:rPr>
                <w:rFonts w:cs="Calibri"/>
                <w:bCs/>
                <w:sz w:val="18"/>
                <w:szCs w:val="18"/>
                <w:lang w:val="es-ES"/>
              </w:rPr>
              <w:t>Las comunicaciones electrónicas masivas no solicitadas pueden repercutir negativamente en los operadore</w:t>
            </w:r>
            <w:r w:rsidR="00C74ADE">
              <w:rPr>
                <w:rFonts w:cs="Calibri"/>
                <w:bCs/>
                <w:sz w:val="18"/>
                <w:szCs w:val="18"/>
                <w:lang w:val="es-ES"/>
              </w:rPr>
              <w:t>s y usuarios de telecomunica</w:t>
            </w:r>
            <w:r w:rsidR="0016378A">
              <w:rPr>
                <w:rFonts w:cs="Calibri"/>
                <w:bCs/>
                <w:sz w:val="18"/>
                <w:szCs w:val="18"/>
                <w:lang w:val="es-ES"/>
              </w:rPr>
              <w:t>-</w:t>
            </w:r>
            <w:r w:rsidR="00C74ADE">
              <w:rPr>
                <w:rFonts w:cs="Calibri"/>
                <w:bCs/>
                <w:sz w:val="18"/>
                <w:szCs w:val="18"/>
                <w:lang w:val="es-ES"/>
              </w:rPr>
              <w:t>ciones</w:t>
            </w:r>
            <w:r w:rsidRPr="00C74ADE">
              <w:rPr>
                <w:rFonts w:cs="Calibri"/>
                <w:bCs/>
                <w:sz w:val="18"/>
                <w:szCs w:val="18"/>
                <w:lang w:val="es-ES"/>
              </w:rPr>
              <w:t xml:space="preserve">. </w:t>
            </w:r>
          </w:p>
          <w:p w14:paraId="22B8CB1E" w14:textId="055C57B6" w:rsidR="004E0A94" w:rsidRPr="00C74ADE" w:rsidRDefault="00B40D6A" w:rsidP="00FA157F">
            <w:pPr>
              <w:tabs>
                <w:tab w:val="clear" w:pos="567"/>
                <w:tab w:val="left" w:pos="234"/>
              </w:tabs>
              <w:spacing w:before="40" w:after="40"/>
              <w:ind w:left="234" w:right="-111" w:hanging="234"/>
              <w:rPr>
                <w:rFonts w:cs="Calibri"/>
                <w:bCs/>
                <w:sz w:val="18"/>
                <w:szCs w:val="18"/>
                <w:lang w:val="es-ES"/>
              </w:rPr>
            </w:pPr>
            <w:r w:rsidRPr="00C74ADE">
              <w:rPr>
                <w:rFonts w:cs="Calibri"/>
                <w:bCs/>
                <w:sz w:val="18"/>
                <w:szCs w:val="18"/>
                <w:lang w:val="es-ES"/>
              </w:rPr>
              <w:t>•</w:t>
            </w:r>
            <w:r w:rsidRPr="00C74ADE">
              <w:rPr>
                <w:rFonts w:cs="Calibri"/>
                <w:bCs/>
                <w:sz w:val="18"/>
                <w:szCs w:val="18"/>
                <w:lang w:val="es-ES"/>
              </w:rPr>
              <w:tab/>
            </w:r>
            <w:r w:rsidR="00C74ADE" w:rsidRPr="00C74ADE">
              <w:rPr>
                <w:rFonts w:cs="Calibri"/>
                <w:bCs/>
                <w:sz w:val="18"/>
                <w:szCs w:val="18"/>
                <w:lang w:val="es-ES"/>
              </w:rPr>
              <w:t>El Artículo</w:t>
            </w:r>
            <w:r w:rsidRPr="00C74ADE">
              <w:rPr>
                <w:rFonts w:cs="Calibri"/>
                <w:bCs/>
                <w:sz w:val="18"/>
                <w:szCs w:val="18"/>
                <w:lang w:val="es-ES"/>
              </w:rPr>
              <w:t xml:space="preserve"> 7.1 </w:t>
            </w:r>
            <w:r w:rsidR="00C74ADE" w:rsidRPr="00C74ADE">
              <w:rPr>
                <w:rFonts w:cs="Calibri"/>
                <w:bCs/>
                <w:sz w:val="18"/>
                <w:szCs w:val="18"/>
                <w:lang w:val="es-ES"/>
              </w:rPr>
              <w:t xml:space="preserve">sigue siendo aplicable a la hora de fomentar </w:t>
            </w:r>
            <w:r w:rsidR="00C74ADE">
              <w:rPr>
                <w:rFonts w:cs="Calibri"/>
                <w:bCs/>
                <w:sz w:val="18"/>
                <w:szCs w:val="18"/>
                <w:lang w:val="es-ES"/>
              </w:rPr>
              <w:t xml:space="preserve">la </w:t>
            </w:r>
            <w:r w:rsidR="00C74ADE">
              <w:rPr>
                <w:rFonts w:cs="Calibri"/>
                <w:bCs/>
                <w:sz w:val="18"/>
                <w:szCs w:val="18"/>
                <w:lang w:val="es-ES"/>
              </w:rPr>
              <w:lastRenderedPageBreak/>
              <w:t xml:space="preserve">prestación </w:t>
            </w:r>
            <w:r w:rsidR="0012138C">
              <w:rPr>
                <w:rFonts w:cs="Calibri"/>
                <w:bCs/>
                <w:sz w:val="18"/>
                <w:szCs w:val="18"/>
                <w:lang w:val="es-ES"/>
              </w:rPr>
              <w:t xml:space="preserve">y el desarrollo </w:t>
            </w:r>
            <w:r w:rsidR="00C74ADE">
              <w:rPr>
                <w:rFonts w:cs="Calibri"/>
                <w:bCs/>
                <w:sz w:val="18"/>
                <w:szCs w:val="18"/>
                <w:lang w:val="es-ES"/>
              </w:rPr>
              <w:t>de redes y servicios</w:t>
            </w:r>
            <w:r w:rsidRPr="00C74ADE">
              <w:rPr>
                <w:rFonts w:cs="Calibri"/>
                <w:bCs/>
                <w:sz w:val="18"/>
                <w:szCs w:val="18"/>
                <w:lang w:val="es-ES"/>
              </w:rPr>
              <w:t>.</w:t>
            </w:r>
          </w:p>
        </w:tc>
        <w:tc>
          <w:tcPr>
            <w:tcW w:w="1843" w:type="dxa"/>
            <w:tcMar>
              <w:left w:w="85" w:type="dxa"/>
              <w:right w:w="85" w:type="dxa"/>
            </w:tcMar>
          </w:tcPr>
          <w:p w14:paraId="26550442" w14:textId="1D79FBC1" w:rsidR="004E0A94" w:rsidRPr="001C4C08" w:rsidRDefault="00C74ADE" w:rsidP="00FA157F">
            <w:pPr>
              <w:spacing w:before="40" w:after="40"/>
              <w:rPr>
                <w:rFonts w:cs="Calibri"/>
                <w:bCs/>
                <w:sz w:val="18"/>
                <w:szCs w:val="18"/>
              </w:rPr>
            </w:pPr>
            <w:r>
              <w:rPr>
                <w:rFonts w:cs="Calibri"/>
                <w:sz w:val="18"/>
                <w:szCs w:val="18"/>
                <w:lang w:val="en-US"/>
              </w:rPr>
              <w:lastRenderedPageBreak/>
              <w:t>Suficientemente flexible</w:t>
            </w:r>
          </w:p>
        </w:tc>
        <w:tc>
          <w:tcPr>
            <w:tcW w:w="1422" w:type="dxa"/>
            <w:tcMar>
              <w:left w:w="85" w:type="dxa"/>
              <w:right w:w="85" w:type="dxa"/>
            </w:tcMar>
          </w:tcPr>
          <w:p w14:paraId="1345A62A" w14:textId="77777777" w:rsidR="00F06A8D" w:rsidRPr="00F06A8D" w:rsidRDefault="00F06A8D" w:rsidP="00FA157F">
            <w:pPr>
              <w:spacing w:before="40" w:after="40"/>
              <w:rPr>
                <w:rFonts w:cs="Calibri"/>
                <w:sz w:val="18"/>
                <w:szCs w:val="18"/>
              </w:rPr>
            </w:pPr>
          </w:p>
          <w:p w14:paraId="269120F5" w14:textId="763CBDAE" w:rsidR="004E0A94" w:rsidRPr="001C4C08" w:rsidRDefault="004E0A94" w:rsidP="00FA157F">
            <w:pPr>
              <w:spacing w:before="40" w:after="40"/>
              <w:rPr>
                <w:rFonts w:cs="Calibri"/>
                <w:b/>
                <w:bCs/>
                <w:sz w:val="18"/>
                <w:szCs w:val="18"/>
              </w:rPr>
            </w:pPr>
            <w:r w:rsidRPr="001C4C08">
              <w:rPr>
                <w:rFonts w:cs="Calibri"/>
                <w:b/>
                <w:bCs/>
                <w:sz w:val="18"/>
                <w:szCs w:val="18"/>
              </w:rPr>
              <w:t>No se requiere cambio.</w:t>
            </w:r>
          </w:p>
        </w:tc>
      </w:tr>
      <w:tr w:rsidR="00B40D6A" w:rsidRPr="001C4C08" w14:paraId="3CF87197" w14:textId="77777777" w:rsidTr="00FA157F">
        <w:trPr>
          <w:jc w:val="center"/>
        </w:trPr>
        <w:tc>
          <w:tcPr>
            <w:tcW w:w="1129" w:type="dxa"/>
            <w:tcMar>
              <w:left w:w="85" w:type="dxa"/>
              <w:right w:w="85" w:type="dxa"/>
            </w:tcMar>
          </w:tcPr>
          <w:p w14:paraId="23A7E593" w14:textId="6AEDA983" w:rsidR="004E0A94" w:rsidRPr="001C4C08" w:rsidRDefault="00B40D6A" w:rsidP="00F06A8D">
            <w:pPr>
              <w:keepNext/>
              <w:keepLines/>
              <w:spacing w:before="40" w:after="40"/>
              <w:rPr>
                <w:rFonts w:cs="Calibri"/>
                <w:b/>
                <w:bCs/>
                <w:sz w:val="18"/>
                <w:szCs w:val="18"/>
              </w:rPr>
            </w:pPr>
            <w:r w:rsidRPr="001C4C08">
              <w:rPr>
                <w:rFonts w:cs="Calibri"/>
                <w:b/>
                <w:bCs/>
                <w:sz w:val="18"/>
                <w:szCs w:val="18"/>
              </w:rPr>
              <w:t xml:space="preserve">Artículo </w:t>
            </w:r>
            <w:r>
              <w:rPr>
                <w:rFonts w:cs="Calibri"/>
                <w:b/>
                <w:bCs/>
                <w:sz w:val="18"/>
                <w:szCs w:val="18"/>
              </w:rPr>
              <w:t>7</w:t>
            </w:r>
          </w:p>
        </w:tc>
        <w:tc>
          <w:tcPr>
            <w:tcW w:w="1843" w:type="dxa"/>
            <w:tcMar>
              <w:left w:w="85" w:type="dxa"/>
              <w:right w:w="85" w:type="dxa"/>
            </w:tcMar>
          </w:tcPr>
          <w:p w14:paraId="68E26E37" w14:textId="77777777" w:rsidR="00B40D6A" w:rsidRPr="000159E9" w:rsidRDefault="00B40D6A" w:rsidP="00F06A8D">
            <w:pPr>
              <w:keepNext/>
              <w:keepLines/>
              <w:spacing w:before="40" w:after="40"/>
              <w:rPr>
                <w:rFonts w:cs="Calibri"/>
                <w:b/>
                <w:bCs/>
                <w:sz w:val="18"/>
                <w:szCs w:val="18"/>
              </w:rPr>
            </w:pPr>
            <w:r w:rsidRPr="000159E9">
              <w:rPr>
                <w:rFonts w:cs="Calibri"/>
                <w:b/>
                <w:bCs/>
                <w:sz w:val="18"/>
                <w:szCs w:val="18"/>
              </w:rPr>
              <w:t>51</w:t>
            </w:r>
          </w:p>
          <w:p w14:paraId="7B1EFF0E" w14:textId="59C154E3" w:rsidR="004E0A94" w:rsidRPr="00B40D6A" w:rsidRDefault="00B40D6A" w:rsidP="00F06A8D">
            <w:pPr>
              <w:keepNext/>
              <w:keepLines/>
              <w:spacing w:before="40" w:after="40"/>
              <w:rPr>
                <w:rFonts w:cs="Calibri"/>
                <w:sz w:val="18"/>
                <w:szCs w:val="18"/>
              </w:rPr>
            </w:pPr>
            <w:r w:rsidRPr="00B40D6A">
              <w:rPr>
                <w:rFonts w:cs="Calibri"/>
                <w:sz w:val="18"/>
                <w:szCs w:val="18"/>
              </w:rPr>
              <w:t>7.2</w:t>
            </w:r>
            <w:r w:rsidRPr="00B40D6A">
              <w:rPr>
                <w:rFonts w:cs="Calibri"/>
                <w:sz w:val="18"/>
                <w:szCs w:val="18"/>
              </w:rPr>
              <w:tab/>
              <w:t>Se alienta a los Estados Miembros a cooperar en ese sentido.</w:t>
            </w:r>
          </w:p>
        </w:tc>
        <w:tc>
          <w:tcPr>
            <w:tcW w:w="1843" w:type="dxa"/>
            <w:tcMar>
              <w:left w:w="85" w:type="dxa"/>
              <w:right w:w="85" w:type="dxa"/>
            </w:tcMar>
          </w:tcPr>
          <w:p w14:paraId="6F2BC74D" w14:textId="50801E98" w:rsidR="004E0A94" w:rsidRPr="001C4C08" w:rsidRDefault="000159E9" w:rsidP="00F06A8D">
            <w:pPr>
              <w:keepNext/>
              <w:keepLines/>
              <w:spacing w:before="40" w:after="40"/>
              <w:rPr>
                <w:rFonts w:cs="Calibri"/>
                <w:bCs/>
                <w:sz w:val="18"/>
                <w:szCs w:val="18"/>
              </w:rPr>
            </w:pPr>
            <w:r w:rsidRPr="001C4C08">
              <w:rPr>
                <w:rFonts w:cs="Calibri"/>
                <w:bCs/>
                <w:sz w:val="18"/>
                <w:szCs w:val="18"/>
              </w:rPr>
              <w:t>No hay disposición análoga.</w:t>
            </w:r>
          </w:p>
        </w:tc>
        <w:tc>
          <w:tcPr>
            <w:tcW w:w="1559" w:type="dxa"/>
            <w:tcMar>
              <w:left w:w="85" w:type="dxa"/>
              <w:right w:w="85" w:type="dxa"/>
            </w:tcMar>
          </w:tcPr>
          <w:p w14:paraId="70C93438" w14:textId="2D7FB9DE" w:rsidR="000159E9" w:rsidRPr="0012138C" w:rsidRDefault="000159E9" w:rsidP="00F06A8D">
            <w:pPr>
              <w:keepNext/>
              <w:keepLines/>
              <w:tabs>
                <w:tab w:val="clear" w:pos="567"/>
                <w:tab w:val="left" w:pos="234"/>
              </w:tabs>
              <w:spacing w:before="40" w:after="40"/>
              <w:ind w:left="234" w:right="-111" w:hanging="234"/>
              <w:rPr>
                <w:rFonts w:cs="Calibri"/>
                <w:bCs/>
                <w:sz w:val="18"/>
                <w:szCs w:val="18"/>
                <w:lang w:val="es-ES"/>
              </w:rPr>
            </w:pPr>
            <w:r w:rsidRPr="0012138C">
              <w:rPr>
                <w:rFonts w:cs="Calibri"/>
                <w:bCs/>
                <w:sz w:val="18"/>
                <w:szCs w:val="18"/>
                <w:lang w:val="es-ES"/>
              </w:rPr>
              <w:t>•</w:t>
            </w:r>
            <w:r w:rsidRPr="0012138C">
              <w:rPr>
                <w:rFonts w:cs="Calibri"/>
                <w:bCs/>
                <w:sz w:val="18"/>
                <w:szCs w:val="18"/>
                <w:lang w:val="es-ES"/>
              </w:rPr>
              <w:tab/>
            </w:r>
            <w:r w:rsidR="0016378A">
              <w:rPr>
                <w:rFonts w:cs="Calibri"/>
                <w:bCs/>
                <w:sz w:val="18"/>
                <w:szCs w:val="18"/>
                <w:lang w:val="es-ES"/>
              </w:rPr>
              <w:t>L</w:t>
            </w:r>
            <w:r w:rsidR="00C74ADE" w:rsidRPr="0012138C">
              <w:rPr>
                <w:rFonts w:cs="Calibri"/>
                <w:bCs/>
                <w:sz w:val="18"/>
                <w:szCs w:val="18"/>
                <w:lang w:val="es-ES"/>
              </w:rPr>
              <w:t xml:space="preserve">a supresión de este artículo podría repercutir negativamente </w:t>
            </w:r>
            <w:r w:rsidR="0012138C" w:rsidRPr="0012138C">
              <w:rPr>
                <w:rFonts w:cs="Calibri"/>
                <w:bCs/>
                <w:sz w:val="18"/>
                <w:szCs w:val="18"/>
                <w:lang w:val="es-ES"/>
              </w:rPr>
              <w:t>en las redes y s</w:t>
            </w:r>
            <w:r w:rsidR="0012138C">
              <w:rPr>
                <w:rFonts w:cs="Calibri"/>
                <w:bCs/>
                <w:sz w:val="18"/>
                <w:szCs w:val="18"/>
                <w:lang w:val="es-ES"/>
              </w:rPr>
              <w:t>ervicios de comunicaciones</w:t>
            </w:r>
            <w:r w:rsidRPr="0012138C">
              <w:rPr>
                <w:rFonts w:cs="Calibri"/>
                <w:bCs/>
                <w:sz w:val="18"/>
                <w:szCs w:val="18"/>
                <w:lang w:val="es-ES"/>
              </w:rPr>
              <w:t>.</w:t>
            </w:r>
          </w:p>
          <w:p w14:paraId="7D89C1B1" w14:textId="429D8289" w:rsidR="004E0A94" w:rsidRPr="0012138C" w:rsidRDefault="000159E9" w:rsidP="00F06A8D">
            <w:pPr>
              <w:keepNext/>
              <w:keepLines/>
              <w:tabs>
                <w:tab w:val="clear" w:pos="567"/>
                <w:tab w:val="left" w:pos="234"/>
              </w:tabs>
              <w:spacing w:before="40" w:after="40"/>
              <w:ind w:left="234" w:right="-111" w:hanging="234"/>
              <w:rPr>
                <w:rFonts w:cs="Calibri"/>
                <w:bCs/>
                <w:sz w:val="18"/>
                <w:szCs w:val="18"/>
                <w:lang w:val="es-ES"/>
              </w:rPr>
            </w:pPr>
            <w:r w:rsidRPr="0012138C">
              <w:rPr>
                <w:rFonts w:cs="Calibri"/>
                <w:bCs/>
                <w:sz w:val="18"/>
                <w:szCs w:val="18"/>
                <w:lang w:val="es-ES"/>
              </w:rPr>
              <w:t>•</w:t>
            </w:r>
            <w:r w:rsidRPr="0012138C">
              <w:rPr>
                <w:rFonts w:cs="Calibri"/>
                <w:bCs/>
                <w:sz w:val="18"/>
                <w:szCs w:val="18"/>
                <w:lang w:val="es-ES"/>
              </w:rPr>
              <w:tab/>
            </w:r>
            <w:r w:rsidR="0012138C" w:rsidRPr="0012138C">
              <w:rPr>
                <w:rFonts w:cs="Calibri"/>
                <w:bCs/>
                <w:sz w:val="18"/>
                <w:szCs w:val="18"/>
                <w:lang w:val="es-ES"/>
              </w:rPr>
              <w:t xml:space="preserve">Esta disposición </w:t>
            </w:r>
            <w:r w:rsidR="0012138C" w:rsidRPr="00C74ADE">
              <w:rPr>
                <w:rFonts w:cs="Calibri"/>
                <w:bCs/>
                <w:sz w:val="18"/>
                <w:szCs w:val="18"/>
                <w:lang w:val="es-ES"/>
              </w:rPr>
              <w:t xml:space="preserve">sigue siendo aplicable a la hora de fomentar </w:t>
            </w:r>
            <w:r w:rsidR="0012138C">
              <w:rPr>
                <w:rFonts w:cs="Calibri"/>
                <w:bCs/>
                <w:sz w:val="18"/>
                <w:szCs w:val="18"/>
                <w:lang w:val="es-ES"/>
              </w:rPr>
              <w:t>la prestación y el desarrollo de redes y servicios</w:t>
            </w:r>
            <w:r w:rsidRPr="0012138C">
              <w:rPr>
                <w:rFonts w:cs="Calibri"/>
                <w:bCs/>
                <w:sz w:val="18"/>
                <w:szCs w:val="18"/>
                <w:lang w:val="es-ES"/>
              </w:rPr>
              <w:t>.</w:t>
            </w:r>
          </w:p>
        </w:tc>
        <w:tc>
          <w:tcPr>
            <w:tcW w:w="1843" w:type="dxa"/>
            <w:tcMar>
              <w:left w:w="85" w:type="dxa"/>
              <w:right w:w="85" w:type="dxa"/>
            </w:tcMar>
          </w:tcPr>
          <w:p w14:paraId="28D892B9" w14:textId="39732954" w:rsidR="004E0A94" w:rsidRPr="001C4C08" w:rsidRDefault="0012138C" w:rsidP="00F06A8D">
            <w:pPr>
              <w:keepNext/>
              <w:keepLines/>
              <w:spacing w:before="40" w:after="40"/>
              <w:rPr>
                <w:rFonts w:cs="Calibri"/>
                <w:bCs/>
                <w:sz w:val="18"/>
                <w:szCs w:val="18"/>
              </w:rPr>
            </w:pPr>
            <w:r>
              <w:rPr>
                <w:rFonts w:cs="Calibri"/>
                <w:sz w:val="18"/>
                <w:szCs w:val="18"/>
                <w:lang w:val="en-US"/>
              </w:rPr>
              <w:t>Suficientemente flexible</w:t>
            </w:r>
          </w:p>
        </w:tc>
        <w:tc>
          <w:tcPr>
            <w:tcW w:w="1422" w:type="dxa"/>
            <w:tcMar>
              <w:left w:w="85" w:type="dxa"/>
              <w:right w:w="85" w:type="dxa"/>
            </w:tcMar>
          </w:tcPr>
          <w:p w14:paraId="5D486285" w14:textId="46616028" w:rsidR="004E0A94" w:rsidRPr="000159E9" w:rsidRDefault="004E0A94" w:rsidP="00F06A8D">
            <w:pPr>
              <w:keepNext/>
              <w:keepLines/>
              <w:spacing w:before="40" w:after="40"/>
              <w:rPr>
                <w:rFonts w:cs="Calibri"/>
                <w:b/>
                <w:bCs/>
                <w:sz w:val="18"/>
                <w:szCs w:val="18"/>
              </w:rPr>
            </w:pPr>
            <w:r w:rsidRPr="001C4C08">
              <w:rPr>
                <w:rFonts w:cs="Calibri"/>
                <w:b/>
                <w:bCs/>
                <w:sz w:val="18"/>
                <w:szCs w:val="18"/>
              </w:rPr>
              <w:t>No se requiere cambio.</w:t>
            </w:r>
          </w:p>
        </w:tc>
      </w:tr>
      <w:tr w:rsidR="00B40D6A" w:rsidRPr="0012138C" w14:paraId="66AA3124" w14:textId="77777777" w:rsidTr="00FA157F">
        <w:trPr>
          <w:jc w:val="center"/>
        </w:trPr>
        <w:tc>
          <w:tcPr>
            <w:tcW w:w="1129" w:type="dxa"/>
            <w:tcMar>
              <w:left w:w="85" w:type="dxa"/>
              <w:right w:w="85" w:type="dxa"/>
            </w:tcMar>
          </w:tcPr>
          <w:p w14:paraId="222A8F90" w14:textId="67DF4A93" w:rsidR="004E0A94" w:rsidRPr="001C4C08" w:rsidRDefault="004E0A94" w:rsidP="00FA157F">
            <w:pPr>
              <w:spacing w:before="40" w:after="40"/>
              <w:rPr>
                <w:rFonts w:cs="Calibri"/>
                <w:b/>
                <w:bCs/>
                <w:sz w:val="18"/>
                <w:szCs w:val="18"/>
              </w:rPr>
            </w:pPr>
            <w:bookmarkStart w:id="16" w:name="lt_pId082"/>
            <w:r w:rsidRPr="001C4C08">
              <w:rPr>
                <w:rFonts w:cs="Calibri"/>
                <w:b/>
                <w:bCs/>
                <w:sz w:val="18"/>
                <w:szCs w:val="18"/>
              </w:rPr>
              <w:t xml:space="preserve">Artículo </w:t>
            </w:r>
            <w:bookmarkEnd w:id="16"/>
            <w:r w:rsidR="000159E9">
              <w:rPr>
                <w:rFonts w:cs="Calibri"/>
                <w:b/>
                <w:bCs/>
                <w:sz w:val="18"/>
                <w:szCs w:val="18"/>
              </w:rPr>
              <w:t>8</w:t>
            </w:r>
          </w:p>
        </w:tc>
        <w:tc>
          <w:tcPr>
            <w:tcW w:w="1843" w:type="dxa"/>
            <w:tcMar>
              <w:left w:w="85" w:type="dxa"/>
              <w:right w:w="85" w:type="dxa"/>
            </w:tcMar>
          </w:tcPr>
          <w:p w14:paraId="6C6D695E" w14:textId="3C701F54" w:rsidR="000159E9" w:rsidRDefault="000159E9" w:rsidP="00FA157F">
            <w:pPr>
              <w:spacing w:before="40" w:after="40"/>
              <w:rPr>
                <w:rFonts w:cs="Calibri"/>
                <w:b/>
                <w:bCs/>
                <w:sz w:val="18"/>
                <w:szCs w:val="18"/>
              </w:rPr>
            </w:pPr>
            <w:r w:rsidRPr="000159E9">
              <w:rPr>
                <w:rFonts w:cs="Calibri"/>
                <w:b/>
                <w:bCs/>
                <w:sz w:val="18"/>
                <w:szCs w:val="18"/>
              </w:rPr>
              <w:t>53</w:t>
            </w:r>
          </w:p>
          <w:p w14:paraId="55D25BC1" w14:textId="156F5DC7" w:rsidR="004E0A94" w:rsidRPr="001C4C08" w:rsidRDefault="000159E9" w:rsidP="00FA157F">
            <w:pPr>
              <w:spacing w:before="40" w:after="40"/>
              <w:rPr>
                <w:rFonts w:cs="Calibri"/>
                <w:bCs/>
                <w:sz w:val="18"/>
                <w:szCs w:val="18"/>
              </w:rPr>
            </w:pPr>
            <w:r w:rsidRPr="000159E9">
              <w:rPr>
                <w:rFonts w:cs="Calibri"/>
                <w:sz w:val="18"/>
                <w:szCs w:val="18"/>
              </w:rPr>
              <w:t>8.1.1</w:t>
            </w:r>
            <w:r w:rsidRPr="000159E9">
              <w:rPr>
                <w:rFonts w:cs="Calibri"/>
                <w:sz w:val="18"/>
                <w:szCs w:val="18"/>
              </w:rPr>
              <w:tab/>
              <w:t>De acuerdo con la legislación nacional aplicable, los términos y condiciones de los acuerdos de prestación de servicios internacionales de telecomunicación podrán establecerse mediante acuerdos comerciales o en virtud de los principios relativos a las tasas de distribución establecidos de conformidad con la reglamentación nacional.</w:t>
            </w:r>
          </w:p>
        </w:tc>
        <w:tc>
          <w:tcPr>
            <w:tcW w:w="1843" w:type="dxa"/>
            <w:tcMar>
              <w:left w:w="85" w:type="dxa"/>
              <w:right w:w="85" w:type="dxa"/>
            </w:tcMar>
          </w:tcPr>
          <w:p w14:paraId="0216F028" w14:textId="03550651" w:rsidR="004E0A94" w:rsidRPr="001C4C08" w:rsidRDefault="000159E9" w:rsidP="00FA157F">
            <w:pPr>
              <w:spacing w:before="40" w:after="40"/>
              <w:rPr>
                <w:rFonts w:cs="Calibri"/>
                <w:bCs/>
                <w:sz w:val="18"/>
                <w:szCs w:val="18"/>
              </w:rPr>
            </w:pPr>
            <w:r w:rsidRPr="001C4C08">
              <w:rPr>
                <w:rFonts w:cs="Calibri"/>
                <w:bCs/>
                <w:sz w:val="18"/>
                <w:szCs w:val="18"/>
              </w:rPr>
              <w:t>No hay disposición análoga.</w:t>
            </w:r>
          </w:p>
        </w:tc>
        <w:tc>
          <w:tcPr>
            <w:tcW w:w="1559" w:type="dxa"/>
            <w:tcMar>
              <w:left w:w="85" w:type="dxa"/>
              <w:right w:w="85" w:type="dxa"/>
            </w:tcMar>
          </w:tcPr>
          <w:p w14:paraId="533506DB" w14:textId="1C8E4B82" w:rsidR="000159E9" w:rsidRPr="0012138C" w:rsidRDefault="000159E9" w:rsidP="00FA157F">
            <w:pPr>
              <w:tabs>
                <w:tab w:val="clear" w:pos="567"/>
                <w:tab w:val="left" w:pos="234"/>
              </w:tabs>
              <w:spacing w:before="40" w:after="40"/>
              <w:ind w:left="234" w:right="-111" w:hanging="234"/>
              <w:rPr>
                <w:rFonts w:ascii="Arial Nova Cond" w:hAnsi="Arial Nova Cond" w:cs="Calibri"/>
                <w:bCs/>
                <w:sz w:val="18"/>
                <w:szCs w:val="18"/>
                <w:lang w:val="es-ES"/>
              </w:rPr>
            </w:pPr>
            <w:r w:rsidRPr="0012138C">
              <w:rPr>
                <w:rFonts w:cs="Calibri"/>
                <w:bCs/>
                <w:sz w:val="18"/>
                <w:szCs w:val="18"/>
                <w:lang w:val="es-ES"/>
              </w:rPr>
              <w:t>•</w:t>
            </w:r>
            <w:r w:rsidRPr="0012138C">
              <w:rPr>
                <w:rFonts w:cs="Calibri"/>
                <w:bCs/>
                <w:sz w:val="18"/>
                <w:szCs w:val="18"/>
                <w:lang w:val="es-ES"/>
              </w:rPr>
              <w:tab/>
            </w:r>
            <w:r w:rsidR="0012138C" w:rsidRPr="0012138C">
              <w:rPr>
                <w:rFonts w:cs="Calibri"/>
                <w:bCs/>
                <w:sz w:val="18"/>
                <w:szCs w:val="18"/>
                <w:lang w:val="es-ES"/>
              </w:rPr>
              <w:t>Esta cláusula refleja la práctica actual y defiende el derecho soberano de cada Estado Miembro en relación con los ac</w:t>
            </w:r>
            <w:r w:rsidR="0012138C">
              <w:rPr>
                <w:rFonts w:cs="Calibri"/>
                <w:bCs/>
                <w:sz w:val="18"/>
                <w:szCs w:val="18"/>
                <w:lang w:val="es-ES"/>
              </w:rPr>
              <w:t>uerdos internacionales</w:t>
            </w:r>
            <w:r w:rsidRPr="0012138C">
              <w:rPr>
                <w:rFonts w:cs="Calibri"/>
                <w:bCs/>
                <w:sz w:val="18"/>
                <w:szCs w:val="18"/>
                <w:lang w:val="es-ES"/>
              </w:rPr>
              <w:t>.</w:t>
            </w:r>
          </w:p>
          <w:p w14:paraId="4507D75E" w14:textId="4AB37A37" w:rsidR="004E0A94" w:rsidRPr="001C4C08" w:rsidRDefault="000159E9" w:rsidP="00FA157F">
            <w:pPr>
              <w:tabs>
                <w:tab w:val="clear" w:pos="567"/>
                <w:tab w:val="left" w:pos="234"/>
              </w:tabs>
              <w:spacing w:before="40" w:after="40"/>
              <w:ind w:left="234" w:right="-111" w:hanging="234"/>
              <w:rPr>
                <w:rFonts w:cs="Calibri"/>
                <w:bCs/>
                <w:sz w:val="18"/>
                <w:szCs w:val="18"/>
              </w:rPr>
            </w:pPr>
            <w:r w:rsidRPr="000159E9">
              <w:rPr>
                <w:rFonts w:cs="Calibri"/>
                <w:bCs/>
                <w:sz w:val="18"/>
                <w:szCs w:val="18"/>
              </w:rPr>
              <w:t>•</w:t>
            </w:r>
            <w:r w:rsidRPr="000159E9">
              <w:rPr>
                <w:rFonts w:cs="Calibri"/>
                <w:bCs/>
                <w:sz w:val="18"/>
                <w:szCs w:val="18"/>
              </w:rPr>
              <w:tab/>
            </w:r>
            <w:r w:rsidR="0012138C">
              <w:rPr>
                <w:rFonts w:cs="Calibri"/>
                <w:bCs/>
                <w:sz w:val="18"/>
                <w:szCs w:val="18"/>
              </w:rPr>
              <w:t>Esta disposición sigue siendo aplicable</w:t>
            </w:r>
            <w:r w:rsidRPr="00F06A8D">
              <w:rPr>
                <w:rFonts w:cs="Calibri"/>
                <w:bCs/>
                <w:sz w:val="18"/>
                <w:szCs w:val="18"/>
              </w:rPr>
              <w:t>.</w:t>
            </w:r>
          </w:p>
        </w:tc>
        <w:tc>
          <w:tcPr>
            <w:tcW w:w="1843" w:type="dxa"/>
            <w:tcMar>
              <w:left w:w="85" w:type="dxa"/>
              <w:right w:w="85" w:type="dxa"/>
            </w:tcMar>
          </w:tcPr>
          <w:p w14:paraId="58DE0AC4" w14:textId="512A8BEE" w:rsidR="004E0A94" w:rsidRPr="001C4C08" w:rsidRDefault="0012138C" w:rsidP="00FA157F">
            <w:pPr>
              <w:spacing w:before="40" w:after="40"/>
              <w:rPr>
                <w:rFonts w:cs="Calibri"/>
                <w:bCs/>
                <w:sz w:val="18"/>
                <w:szCs w:val="18"/>
              </w:rPr>
            </w:pPr>
            <w:r>
              <w:rPr>
                <w:rFonts w:cs="Calibri"/>
                <w:sz w:val="18"/>
                <w:szCs w:val="18"/>
                <w:lang w:val="en-US"/>
              </w:rPr>
              <w:t>Suficientemente flexible</w:t>
            </w:r>
          </w:p>
        </w:tc>
        <w:tc>
          <w:tcPr>
            <w:tcW w:w="1422" w:type="dxa"/>
            <w:tcMar>
              <w:left w:w="85" w:type="dxa"/>
              <w:right w:w="85" w:type="dxa"/>
            </w:tcMar>
          </w:tcPr>
          <w:p w14:paraId="7AB4010C" w14:textId="412AEBBD" w:rsidR="004E0A94" w:rsidRPr="0016378A" w:rsidRDefault="000159E9" w:rsidP="00FA157F">
            <w:pPr>
              <w:tabs>
                <w:tab w:val="clear" w:pos="567"/>
                <w:tab w:val="left" w:pos="234"/>
              </w:tabs>
              <w:spacing w:before="40" w:after="40"/>
              <w:ind w:left="234" w:hanging="234"/>
              <w:rPr>
                <w:rFonts w:cs="Calibri"/>
                <w:b/>
                <w:bCs/>
                <w:sz w:val="18"/>
                <w:szCs w:val="18"/>
                <w:lang w:val="es-ES"/>
              </w:rPr>
            </w:pPr>
            <w:r w:rsidRPr="0016378A">
              <w:rPr>
                <w:rFonts w:cs="Calibri"/>
                <w:bCs/>
                <w:sz w:val="18"/>
                <w:szCs w:val="18"/>
                <w:lang w:val="es-ES"/>
              </w:rPr>
              <w:t>•</w:t>
            </w:r>
            <w:r w:rsidRPr="0016378A">
              <w:rPr>
                <w:rFonts w:cs="Calibri"/>
                <w:bCs/>
                <w:sz w:val="18"/>
                <w:szCs w:val="18"/>
                <w:lang w:val="es-ES"/>
              </w:rPr>
              <w:tab/>
            </w:r>
            <w:r w:rsidRPr="0016378A">
              <w:rPr>
                <w:rFonts w:cs="Calibri"/>
                <w:b/>
                <w:bCs/>
                <w:sz w:val="18"/>
                <w:szCs w:val="18"/>
                <w:lang w:val="es-ES"/>
              </w:rPr>
              <w:t>No se requiere cambio.</w:t>
            </w:r>
          </w:p>
          <w:p w14:paraId="594FD4F9" w14:textId="5B0A23EE" w:rsidR="000159E9" w:rsidRPr="0012138C" w:rsidRDefault="000159E9" w:rsidP="00FA157F">
            <w:pPr>
              <w:tabs>
                <w:tab w:val="clear" w:pos="567"/>
                <w:tab w:val="left" w:pos="203"/>
                <w:tab w:val="left" w:pos="234"/>
              </w:tabs>
              <w:spacing w:before="40" w:after="40"/>
              <w:ind w:left="232" w:hanging="232"/>
              <w:rPr>
                <w:rFonts w:cs="Calibri"/>
                <w:b/>
                <w:bCs/>
                <w:sz w:val="18"/>
                <w:szCs w:val="18"/>
                <w:lang w:val="es-ES"/>
              </w:rPr>
            </w:pPr>
            <w:r w:rsidRPr="0012138C">
              <w:rPr>
                <w:rFonts w:cs="Calibri"/>
                <w:b/>
                <w:bCs/>
                <w:sz w:val="18"/>
                <w:szCs w:val="18"/>
                <w:lang w:val="es-ES"/>
              </w:rPr>
              <w:t>•</w:t>
            </w:r>
            <w:r w:rsidRPr="0012138C">
              <w:rPr>
                <w:rFonts w:cs="Calibri"/>
                <w:b/>
                <w:bCs/>
                <w:sz w:val="18"/>
                <w:szCs w:val="18"/>
                <w:lang w:val="es-ES"/>
              </w:rPr>
              <w:tab/>
            </w:r>
            <w:r w:rsidR="0016378A">
              <w:rPr>
                <w:rFonts w:cs="Calibri"/>
                <w:sz w:val="18"/>
                <w:szCs w:val="18"/>
                <w:lang w:val="es-ES"/>
              </w:rPr>
              <w:t>S</w:t>
            </w:r>
            <w:r w:rsidR="0012138C" w:rsidRPr="0012138C">
              <w:rPr>
                <w:rFonts w:cs="Calibri"/>
                <w:sz w:val="18"/>
                <w:szCs w:val="18"/>
                <w:lang w:val="es-ES"/>
              </w:rPr>
              <w:t>e defiende la conclusión de acuerdos comerciales, que se favorecen con respecto a los principios de las tasas de distribución</w:t>
            </w:r>
            <w:r w:rsidRPr="0012138C">
              <w:rPr>
                <w:rFonts w:cs="Calibri"/>
                <w:sz w:val="18"/>
                <w:szCs w:val="18"/>
                <w:lang w:val="es-ES"/>
              </w:rPr>
              <w:t>.</w:t>
            </w:r>
          </w:p>
        </w:tc>
      </w:tr>
      <w:tr w:rsidR="00B40D6A" w:rsidRPr="001C4C08" w14:paraId="48D66535" w14:textId="77777777" w:rsidTr="00FA157F">
        <w:trPr>
          <w:jc w:val="center"/>
        </w:trPr>
        <w:tc>
          <w:tcPr>
            <w:tcW w:w="1129" w:type="dxa"/>
            <w:tcMar>
              <w:left w:w="85" w:type="dxa"/>
              <w:right w:w="85" w:type="dxa"/>
            </w:tcMar>
          </w:tcPr>
          <w:p w14:paraId="2A2C265E" w14:textId="0C0069AF" w:rsidR="004E0A94" w:rsidRPr="001C4C08" w:rsidRDefault="004E0A94" w:rsidP="00FA157F">
            <w:pPr>
              <w:spacing w:before="40" w:after="40"/>
              <w:rPr>
                <w:rFonts w:cs="Calibri"/>
                <w:b/>
                <w:bCs/>
                <w:sz w:val="18"/>
                <w:szCs w:val="18"/>
              </w:rPr>
            </w:pPr>
            <w:bookmarkStart w:id="17" w:name="lt_pId090"/>
            <w:r w:rsidRPr="001C4C08">
              <w:rPr>
                <w:rFonts w:cs="Calibri"/>
                <w:b/>
                <w:bCs/>
                <w:sz w:val="18"/>
                <w:szCs w:val="18"/>
              </w:rPr>
              <w:t xml:space="preserve">Artículo </w:t>
            </w:r>
            <w:bookmarkEnd w:id="17"/>
            <w:r w:rsidR="000159E9">
              <w:rPr>
                <w:rFonts w:cs="Calibri"/>
                <w:b/>
                <w:bCs/>
                <w:sz w:val="18"/>
                <w:szCs w:val="18"/>
              </w:rPr>
              <w:t>8</w:t>
            </w:r>
          </w:p>
        </w:tc>
        <w:tc>
          <w:tcPr>
            <w:tcW w:w="1843" w:type="dxa"/>
            <w:tcMar>
              <w:left w:w="85" w:type="dxa"/>
              <w:right w:w="85" w:type="dxa"/>
            </w:tcMar>
          </w:tcPr>
          <w:p w14:paraId="5363B075" w14:textId="32755BDC" w:rsidR="000159E9" w:rsidRDefault="000159E9" w:rsidP="00FA157F">
            <w:pPr>
              <w:spacing w:before="40" w:after="40"/>
              <w:rPr>
                <w:rFonts w:cs="Calibri"/>
                <w:b/>
                <w:bCs/>
                <w:sz w:val="18"/>
                <w:szCs w:val="18"/>
              </w:rPr>
            </w:pPr>
            <w:r w:rsidRPr="000159E9">
              <w:rPr>
                <w:rFonts w:cs="Calibri"/>
                <w:b/>
                <w:bCs/>
                <w:sz w:val="18"/>
                <w:szCs w:val="18"/>
              </w:rPr>
              <w:t>54</w:t>
            </w:r>
          </w:p>
          <w:p w14:paraId="7AC8BA63" w14:textId="27E9E785" w:rsidR="004E0A94" w:rsidRPr="001C4C08" w:rsidRDefault="000159E9" w:rsidP="00FA157F">
            <w:pPr>
              <w:spacing w:before="40" w:after="40"/>
              <w:rPr>
                <w:rFonts w:cs="Calibri"/>
                <w:bCs/>
                <w:sz w:val="18"/>
                <w:szCs w:val="18"/>
              </w:rPr>
            </w:pPr>
            <w:r w:rsidRPr="000159E9">
              <w:rPr>
                <w:rFonts w:cs="Calibri"/>
                <w:sz w:val="18"/>
                <w:szCs w:val="18"/>
              </w:rPr>
              <w:t>8.1.2</w:t>
            </w:r>
            <w:r w:rsidRPr="000159E9">
              <w:rPr>
                <w:rFonts w:cs="Calibri"/>
                <w:sz w:val="18"/>
                <w:szCs w:val="18"/>
              </w:rPr>
              <w:tab/>
              <w:t>Los Estados Miembros procurarán alentar la inversión en redes de telecomunicaciones internacionales y promover precios al por mayor competitivos para el tráfico transportado sobre dichas redes de telecomunicación.</w:t>
            </w:r>
          </w:p>
        </w:tc>
        <w:tc>
          <w:tcPr>
            <w:tcW w:w="1843" w:type="dxa"/>
            <w:tcMar>
              <w:left w:w="85" w:type="dxa"/>
              <w:right w:w="85" w:type="dxa"/>
            </w:tcMar>
          </w:tcPr>
          <w:p w14:paraId="01A36ACB" w14:textId="60E59D78" w:rsidR="004E0A94" w:rsidRPr="001C4C08" w:rsidRDefault="000159E9" w:rsidP="00FA157F">
            <w:pPr>
              <w:spacing w:before="40" w:after="40"/>
              <w:rPr>
                <w:rFonts w:cs="Calibri"/>
                <w:bCs/>
                <w:sz w:val="18"/>
                <w:szCs w:val="18"/>
              </w:rPr>
            </w:pPr>
            <w:r w:rsidRPr="001C4C08">
              <w:rPr>
                <w:rFonts w:cs="Calibri"/>
                <w:bCs/>
                <w:sz w:val="18"/>
                <w:szCs w:val="18"/>
              </w:rPr>
              <w:t>No hay disposición análoga.</w:t>
            </w:r>
          </w:p>
        </w:tc>
        <w:tc>
          <w:tcPr>
            <w:tcW w:w="1559" w:type="dxa"/>
            <w:tcMar>
              <w:left w:w="85" w:type="dxa"/>
              <w:right w:w="85" w:type="dxa"/>
            </w:tcMar>
          </w:tcPr>
          <w:p w14:paraId="21F42183" w14:textId="47559A05" w:rsidR="000159E9" w:rsidRPr="0012138C" w:rsidRDefault="000159E9" w:rsidP="00FA157F">
            <w:pPr>
              <w:tabs>
                <w:tab w:val="clear" w:pos="567"/>
                <w:tab w:val="left" w:pos="234"/>
              </w:tabs>
              <w:spacing w:before="40" w:after="40"/>
              <w:ind w:left="234" w:right="-111" w:hanging="234"/>
              <w:rPr>
                <w:sz w:val="18"/>
                <w:szCs w:val="18"/>
                <w:lang w:val="es-ES"/>
              </w:rPr>
            </w:pPr>
            <w:r w:rsidRPr="0012138C">
              <w:rPr>
                <w:sz w:val="18"/>
                <w:szCs w:val="18"/>
                <w:lang w:val="es-ES"/>
              </w:rPr>
              <w:t>•</w:t>
            </w:r>
            <w:r w:rsidRPr="0012138C">
              <w:rPr>
                <w:sz w:val="18"/>
                <w:szCs w:val="18"/>
                <w:lang w:val="es-ES"/>
              </w:rPr>
              <w:tab/>
            </w:r>
            <w:r w:rsidR="0016378A">
              <w:rPr>
                <w:sz w:val="18"/>
                <w:szCs w:val="18"/>
                <w:lang w:val="es-ES"/>
              </w:rPr>
              <w:t>E</w:t>
            </w:r>
            <w:r w:rsidR="0012138C" w:rsidRPr="0012138C">
              <w:rPr>
                <w:sz w:val="18"/>
                <w:szCs w:val="18"/>
                <w:lang w:val="es-ES"/>
              </w:rPr>
              <w:t>l fomento de la prestación y el desarrollo de redes y servicios internacionales exige que el inversor obtenga una rentabilidad razonable</w:t>
            </w:r>
            <w:r w:rsidRPr="0012138C">
              <w:rPr>
                <w:sz w:val="18"/>
                <w:szCs w:val="18"/>
                <w:lang w:val="es-ES"/>
              </w:rPr>
              <w:t>.</w:t>
            </w:r>
          </w:p>
          <w:p w14:paraId="7544A6EA" w14:textId="1CB4C717" w:rsidR="004E0A94" w:rsidRPr="001C4C08" w:rsidRDefault="000159E9" w:rsidP="00FA157F">
            <w:pPr>
              <w:tabs>
                <w:tab w:val="clear" w:pos="567"/>
                <w:tab w:val="left" w:pos="234"/>
              </w:tabs>
              <w:spacing w:before="40" w:after="40"/>
              <w:ind w:left="234" w:right="-111" w:hanging="234"/>
              <w:rPr>
                <w:sz w:val="18"/>
                <w:szCs w:val="18"/>
              </w:rPr>
            </w:pPr>
            <w:r w:rsidRPr="000159E9">
              <w:rPr>
                <w:sz w:val="18"/>
                <w:szCs w:val="18"/>
              </w:rPr>
              <w:t>•</w:t>
            </w:r>
            <w:r w:rsidRPr="000159E9">
              <w:rPr>
                <w:sz w:val="18"/>
                <w:szCs w:val="18"/>
              </w:rPr>
              <w:tab/>
            </w:r>
            <w:r w:rsidR="0012138C">
              <w:rPr>
                <w:sz w:val="18"/>
                <w:szCs w:val="18"/>
              </w:rPr>
              <w:t>La disposición sigue siendo aplicable</w:t>
            </w:r>
            <w:r w:rsidRPr="000159E9">
              <w:rPr>
                <w:sz w:val="18"/>
                <w:szCs w:val="18"/>
              </w:rPr>
              <w:t>.</w:t>
            </w:r>
          </w:p>
        </w:tc>
        <w:tc>
          <w:tcPr>
            <w:tcW w:w="1843" w:type="dxa"/>
            <w:tcMar>
              <w:left w:w="85" w:type="dxa"/>
              <w:right w:w="85" w:type="dxa"/>
            </w:tcMar>
          </w:tcPr>
          <w:p w14:paraId="7FCC78F0" w14:textId="376FFFFE" w:rsidR="000159E9" w:rsidRPr="0016378A" w:rsidRDefault="000159E9" w:rsidP="00FA157F">
            <w:pPr>
              <w:tabs>
                <w:tab w:val="clear" w:pos="567"/>
                <w:tab w:val="left" w:pos="234"/>
              </w:tabs>
              <w:spacing w:before="40" w:after="40"/>
              <w:ind w:left="234" w:hanging="234"/>
              <w:rPr>
                <w:sz w:val="18"/>
                <w:szCs w:val="18"/>
                <w:lang w:val="es-ES"/>
              </w:rPr>
            </w:pPr>
            <w:r w:rsidRPr="0016378A">
              <w:rPr>
                <w:sz w:val="18"/>
                <w:szCs w:val="18"/>
                <w:lang w:val="es-ES"/>
              </w:rPr>
              <w:t>•</w:t>
            </w:r>
            <w:r w:rsidRPr="0016378A">
              <w:rPr>
                <w:sz w:val="18"/>
                <w:szCs w:val="18"/>
                <w:lang w:val="es-ES"/>
              </w:rPr>
              <w:tab/>
              <w:t>Suf</w:t>
            </w:r>
            <w:r w:rsidR="0012138C" w:rsidRPr="0016378A">
              <w:rPr>
                <w:sz w:val="18"/>
                <w:szCs w:val="18"/>
                <w:lang w:val="es-ES"/>
              </w:rPr>
              <w:t>icientemente flexible</w:t>
            </w:r>
            <w:r w:rsidRPr="0016378A">
              <w:rPr>
                <w:sz w:val="18"/>
                <w:szCs w:val="18"/>
                <w:lang w:val="es-ES"/>
              </w:rPr>
              <w:t>.</w:t>
            </w:r>
          </w:p>
          <w:p w14:paraId="65C44F8D" w14:textId="16369408" w:rsidR="004E0A94" w:rsidRPr="0012138C" w:rsidRDefault="000159E9" w:rsidP="00FA157F">
            <w:pPr>
              <w:tabs>
                <w:tab w:val="clear" w:pos="567"/>
                <w:tab w:val="left" w:pos="234"/>
              </w:tabs>
              <w:spacing w:before="40" w:after="40"/>
              <w:ind w:left="234" w:hanging="234"/>
              <w:rPr>
                <w:sz w:val="18"/>
                <w:szCs w:val="18"/>
                <w:lang w:val="es-ES"/>
              </w:rPr>
            </w:pPr>
            <w:r w:rsidRPr="0012138C">
              <w:rPr>
                <w:sz w:val="18"/>
                <w:szCs w:val="18"/>
                <w:lang w:val="es-ES"/>
              </w:rPr>
              <w:t>•</w:t>
            </w:r>
            <w:r w:rsidRPr="0012138C">
              <w:rPr>
                <w:sz w:val="18"/>
                <w:szCs w:val="18"/>
                <w:lang w:val="es-ES"/>
              </w:rPr>
              <w:tab/>
            </w:r>
            <w:r w:rsidR="0012138C" w:rsidRPr="0012138C">
              <w:rPr>
                <w:sz w:val="18"/>
                <w:szCs w:val="18"/>
                <w:lang w:val="es-ES"/>
              </w:rPr>
              <w:t xml:space="preserve">Promueve la inversión, la competencia y los precios </w:t>
            </w:r>
            <w:r w:rsidR="0012138C">
              <w:rPr>
                <w:sz w:val="18"/>
                <w:szCs w:val="18"/>
                <w:lang w:val="es-ES"/>
              </w:rPr>
              <w:t>competitivos</w:t>
            </w:r>
            <w:r w:rsidRPr="0012138C">
              <w:rPr>
                <w:sz w:val="18"/>
                <w:szCs w:val="18"/>
                <w:lang w:val="es-ES"/>
              </w:rPr>
              <w:t>.</w:t>
            </w:r>
          </w:p>
        </w:tc>
        <w:tc>
          <w:tcPr>
            <w:tcW w:w="1422" w:type="dxa"/>
            <w:tcMar>
              <w:left w:w="85" w:type="dxa"/>
              <w:right w:w="85" w:type="dxa"/>
            </w:tcMar>
          </w:tcPr>
          <w:p w14:paraId="372CB2DC" w14:textId="5D6E9130" w:rsidR="004E0A94" w:rsidRPr="001C4C08" w:rsidRDefault="004E0A94" w:rsidP="00FA157F">
            <w:pPr>
              <w:spacing w:before="40" w:after="40"/>
              <w:rPr>
                <w:b/>
                <w:sz w:val="18"/>
                <w:szCs w:val="18"/>
              </w:rPr>
            </w:pPr>
            <w:r w:rsidRPr="001C4C08">
              <w:rPr>
                <w:b/>
                <w:sz w:val="18"/>
                <w:szCs w:val="18"/>
              </w:rPr>
              <w:t xml:space="preserve">No se requiere cambio. </w:t>
            </w:r>
          </w:p>
        </w:tc>
      </w:tr>
      <w:tr w:rsidR="00B40D6A" w:rsidRPr="001C4C08" w14:paraId="5ECB2F8C" w14:textId="77777777" w:rsidTr="00FA157F">
        <w:trPr>
          <w:jc w:val="center"/>
        </w:trPr>
        <w:tc>
          <w:tcPr>
            <w:tcW w:w="1129" w:type="dxa"/>
            <w:shd w:val="clear" w:color="auto" w:fill="auto"/>
            <w:tcMar>
              <w:left w:w="85" w:type="dxa"/>
              <w:right w:w="85" w:type="dxa"/>
            </w:tcMar>
          </w:tcPr>
          <w:p w14:paraId="63F58070" w14:textId="4E7F1306" w:rsidR="004E0A94" w:rsidRPr="001C4C08" w:rsidRDefault="004E0A94" w:rsidP="00F06A8D">
            <w:pPr>
              <w:keepNext/>
              <w:keepLines/>
              <w:spacing w:before="40" w:after="40"/>
              <w:rPr>
                <w:rFonts w:cs="Calibri"/>
                <w:b/>
                <w:bCs/>
                <w:sz w:val="18"/>
                <w:szCs w:val="18"/>
              </w:rPr>
            </w:pPr>
            <w:bookmarkStart w:id="18" w:name="lt_pId098"/>
            <w:r w:rsidRPr="001C4C08">
              <w:rPr>
                <w:rFonts w:cs="Calibri"/>
                <w:b/>
                <w:bCs/>
                <w:sz w:val="18"/>
                <w:szCs w:val="18"/>
              </w:rPr>
              <w:lastRenderedPageBreak/>
              <w:t xml:space="preserve">Artículo </w:t>
            </w:r>
            <w:bookmarkEnd w:id="18"/>
            <w:r w:rsidR="000159E9">
              <w:rPr>
                <w:rFonts w:cs="Calibri"/>
                <w:b/>
                <w:bCs/>
                <w:sz w:val="18"/>
                <w:szCs w:val="18"/>
              </w:rPr>
              <w:t>8</w:t>
            </w:r>
          </w:p>
        </w:tc>
        <w:tc>
          <w:tcPr>
            <w:tcW w:w="1843" w:type="dxa"/>
            <w:shd w:val="clear" w:color="auto" w:fill="auto"/>
            <w:tcMar>
              <w:left w:w="85" w:type="dxa"/>
              <w:right w:w="85" w:type="dxa"/>
            </w:tcMar>
          </w:tcPr>
          <w:p w14:paraId="52FA8BD3" w14:textId="70D30739" w:rsidR="000159E9" w:rsidRDefault="000159E9" w:rsidP="00F06A8D">
            <w:pPr>
              <w:keepNext/>
              <w:keepLines/>
              <w:spacing w:before="40" w:after="40"/>
              <w:rPr>
                <w:rFonts w:cs="Calibri"/>
                <w:b/>
                <w:bCs/>
                <w:sz w:val="18"/>
                <w:szCs w:val="18"/>
              </w:rPr>
            </w:pPr>
            <w:r w:rsidRPr="000159E9">
              <w:rPr>
                <w:rFonts w:cs="Calibri"/>
                <w:b/>
                <w:bCs/>
                <w:sz w:val="18"/>
                <w:szCs w:val="18"/>
              </w:rPr>
              <w:t>57</w:t>
            </w:r>
          </w:p>
          <w:p w14:paraId="5C4D2EE3" w14:textId="2CE11BF7" w:rsidR="004E0A94" w:rsidRPr="001C4C08" w:rsidRDefault="000159E9" w:rsidP="00F06A8D">
            <w:pPr>
              <w:keepNext/>
              <w:keepLines/>
              <w:spacing w:before="40" w:after="40"/>
              <w:rPr>
                <w:rFonts w:cs="Calibri"/>
                <w:bCs/>
                <w:sz w:val="18"/>
                <w:szCs w:val="18"/>
              </w:rPr>
            </w:pPr>
            <w:r w:rsidRPr="000159E9">
              <w:rPr>
                <w:rFonts w:cs="Calibri"/>
                <w:sz w:val="18"/>
                <w:szCs w:val="18"/>
              </w:rPr>
              <w:t>8.2.1</w:t>
            </w:r>
            <w:r w:rsidRPr="000159E9">
              <w:rPr>
                <w:rFonts w:cs="Calibri"/>
                <w:sz w:val="18"/>
                <w:szCs w:val="18"/>
              </w:rPr>
              <w:tab/>
              <w:t>Las disposiciones siguientes podrán ser de aplicación cuando los términos y condiciones de los acuerdos relativos a los servicios internacionales de telecomunicación se establezcan en virtud de los principios de las tasas de distribución, de conformidad con la reglamentación nacional. Dichas disposiciones no son de aplicación a los acuerdos establecidos mediante acuerdos comerciales.</w:t>
            </w:r>
          </w:p>
        </w:tc>
        <w:tc>
          <w:tcPr>
            <w:tcW w:w="1843" w:type="dxa"/>
            <w:shd w:val="clear" w:color="auto" w:fill="auto"/>
            <w:tcMar>
              <w:left w:w="85" w:type="dxa"/>
              <w:right w:w="85" w:type="dxa"/>
            </w:tcMar>
          </w:tcPr>
          <w:p w14:paraId="180CB161" w14:textId="3AB9915F" w:rsidR="004E0A94" w:rsidRPr="001C4C08" w:rsidRDefault="000159E9" w:rsidP="00F06A8D">
            <w:pPr>
              <w:keepNext/>
              <w:keepLines/>
              <w:spacing w:before="40" w:after="40"/>
              <w:rPr>
                <w:rFonts w:cs="Calibri"/>
                <w:bCs/>
                <w:sz w:val="18"/>
                <w:szCs w:val="18"/>
              </w:rPr>
            </w:pPr>
            <w:r w:rsidRPr="001C4C08">
              <w:rPr>
                <w:rFonts w:cs="Calibri"/>
                <w:bCs/>
                <w:sz w:val="18"/>
                <w:szCs w:val="18"/>
              </w:rPr>
              <w:t>No hay disposición análoga.</w:t>
            </w:r>
          </w:p>
        </w:tc>
        <w:tc>
          <w:tcPr>
            <w:tcW w:w="1559" w:type="dxa"/>
            <w:shd w:val="clear" w:color="auto" w:fill="auto"/>
            <w:tcMar>
              <w:left w:w="85" w:type="dxa"/>
              <w:right w:w="85" w:type="dxa"/>
            </w:tcMar>
          </w:tcPr>
          <w:p w14:paraId="167A6DB0" w14:textId="1EFB8EEA" w:rsidR="000159E9" w:rsidRPr="00551CE3" w:rsidRDefault="000159E9" w:rsidP="00F06A8D">
            <w:pPr>
              <w:keepNext/>
              <w:keepLines/>
              <w:tabs>
                <w:tab w:val="clear" w:pos="567"/>
                <w:tab w:val="left" w:pos="234"/>
              </w:tabs>
              <w:spacing w:before="40" w:after="40"/>
              <w:ind w:left="234" w:right="-111" w:hanging="234"/>
              <w:rPr>
                <w:bCs/>
                <w:sz w:val="18"/>
                <w:szCs w:val="18"/>
                <w:lang w:val="es-ES"/>
              </w:rPr>
            </w:pPr>
            <w:r w:rsidRPr="00551CE3">
              <w:rPr>
                <w:bCs/>
                <w:sz w:val="18"/>
                <w:szCs w:val="18"/>
                <w:lang w:val="es-ES"/>
              </w:rPr>
              <w:t>•</w:t>
            </w:r>
            <w:r w:rsidRPr="00551CE3">
              <w:rPr>
                <w:bCs/>
                <w:sz w:val="18"/>
                <w:szCs w:val="18"/>
                <w:lang w:val="es-ES"/>
              </w:rPr>
              <w:tab/>
            </w:r>
            <w:r w:rsidR="00551CE3" w:rsidRPr="00551CE3">
              <w:rPr>
                <w:bCs/>
                <w:sz w:val="18"/>
                <w:szCs w:val="18"/>
                <w:lang w:val="es-ES"/>
              </w:rPr>
              <w:t>Permite la conclusión de acuerdos comerciales</w:t>
            </w:r>
            <w:r w:rsidRPr="00551CE3">
              <w:rPr>
                <w:bCs/>
                <w:sz w:val="18"/>
                <w:szCs w:val="18"/>
                <w:lang w:val="es-ES"/>
              </w:rPr>
              <w:t>.</w:t>
            </w:r>
          </w:p>
          <w:p w14:paraId="39FD93D4" w14:textId="07891C32" w:rsidR="004E0A94" w:rsidRPr="00551CE3" w:rsidRDefault="000159E9" w:rsidP="00F06A8D">
            <w:pPr>
              <w:keepNext/>
              <w:keepLines/>
              <w:tabs>
                <w:tab w:val="clear" w:pos="567"/>
                <w:tab w:val="left" w:pos="234"/>
              </w:tabs>
              <w:spacing w:before="40" w:after="40"/>
              <w:ind w:left="234" w:right="-111" w:hanging="234"/>
              <w:rPr>
                <w:bCs/>
                <w:sz w:val="18"/>
                <w:szCs w:val="18"/>
                <w:lang w:val="es-ES"/>
              </w:rPr>
            </w:pPr>
            <w:r w:rsidRPr="00551CE3">
              <w:rPr>
                <w:bCs/>
                <w:sz w:val="18"/>
                <w:szCs w:val="18"/>
                <w:lang w:val="es-ES"/>
              </w:rPr>
              <w:t>•</w:t>
            </w:r>
            <w:r w:rsidRPr="00551CE3">
              <w:rPr>
                <w:bCs/>
                <w:sz w:val="18"/>
                <w:szCs w:val="18"/>
                <w:lang w:val="es-ES"/>
              </w:rPr>
              <w:tab/>
            </w:r>
            <w:r w:rsidR="00551CE3" w:rsidRPr="00551CE3">
              <w:rPr>
                <w:bCs/>
                <w:sz w:val="18"/>
                <w:szCs w:val="18"/>
                <w:lang w:val="es-ES"/>
              </w:rPr>
              <w:t>Esta disposición sigue siendo apli</w:t>
            </w:r>
            <w:r w:rsidR="00551CE3">
              <w:rPr>
                <w:bCs/>
                <w:sz w:val="18"/>
                <w:szCs w:val="18"/>
                <w:lang w:val="es-ES"/>
              </w:rPr>
              <w:t>cable</w:t>
            </w:r>
            <w:r w:rsidRPr="00551CE3">
              <w:rPr>
                <w:bCs/>
                <w:sz w:val="18"/>
                <w:szCs w:val="18"/>
                <w:lang w:val="es-ES"/>
              </w:rPr>
              <w:t>.</w:t>
            </w:r>
          </w:p>
        </w:tc>
        <w:tc>
          <w:tcPr>
            <w:tcW w:w="1843" w:type="dxa"/>
            <w:shd w:val="clear" w:color="auto" w:fill="auto"/>
            <w:tcMar>
              <w:left w:w="85" w:type="dxa"/>
              <w:right w:w="85" w:type="dxa"/>
            </w:tcMar>
          </w:tcPr>
          <w:p w14:paraId="7F4F1DDD" w14:textId="11205CB4" w:rsidR="000159E9" w:rsidRPr="0016378A" w:rsidRDefault="000159E9" w:rsidP="00F06A8D">
            <w:pPr>
              <w:keepNext/>
              <w:keepLines/>
              <w:tabs>
                <w:tab w:val="clear" w:pos="567"/>
                <w:tab w:val="left" w:pos="234"/>
              </w:tabs>
              <w:spacing w:before="40" w:after="40"/>
              <w:ind w:left="234" w:hanging="234"/>
              <w:rPr>
                <w:bCs/>
                <w:sz w:val="18"/>
                <w:szCs w:val="18"/>
                <w:lang w:val="es-ES"/>
              </w:rPr>
            </w:pPr>
            <w:r w:rsidRPr="0016378A">
              <w:rPr>
                <w:bCs/>
                <w:sz w:val="18"/>
                <w:szCs w:val="18"/>
                <w:lang w:val="es-ES"/>
              </w:rPr>
              <w:t>•</w:t>
            </w:r>
            <w:r w:rsidRPr="0016378A">
              <w:rPr>
                <w:bCs/>
                <w:sz w:val="18"/>
                <w:szCs w:val="18"/>
                <w:lang w:val="es-ES"/>
              </w:rPr>
              <w:tab/>
            </w:r>
            <w:r w:rsidRPr="0016378A">
              <w:rPr>
                <w:sz w:val="18"/>
                <w:szCs w:val="18"/>
                <w:lang w:val="es-ES"/>
              </w:rPr>
              <w:t>Suf</w:t>
            </w:r>
            <w:r w:rsidR="00551CE3" w:rsidRPr="0016378A">
              <w:rPr>
                <w:sz w:val="18"/>
                <w:szCs w:val="18"/>
                <w:lang w:val="es-ES"/>
              </w:rPr>
              <w:t xml:space="preserve">icientemente </w:t>
            </w:r>
            <w:r w:rsidRPr="0016378A">
              <w:rPr>
                <w:bCs/>
                <w:sz w:val="18"/>
                <w:szCs w:val="18"/>
                <w:lang w:val="es-ES"/>
              </w:rPr>
              <w:t>flexible.</w:t>
            </w:r>
          </w:p>
          <w:p w14:paraId="501D11B1" w14:textId="7B7E6281" w:rsidR="004E0A94" w:rsidRPr="00551CE3" w:rsidRDefault="000159E9" w:rsidP="00F06A8D">
            <w:pPr>
              <w:keepNext/>
              <w:keepLines/>
              <w:tabs>
                <w:tab w:val="clear" w:pos="567"/>
                <w:tab w:val="left" w:pos="234"/>
              </w:tabs>
              <w:spacing w:before="40" w:after="40"/>
              <w:ind w:left="234" w:hanging="234"/>
              <w:rPr>
                <w:bCs/>
                <w:sz w:val="18"/>
                <w:szCs w:val="18"/>
                <w:lang w:val="es-ES"/>
              </w:rPr>
            </w:pPr>
            <w:r w:rsidRPr="00551CE3">
              <w:rPr>
                <w:bCs/>
                <w:sz w:val="18"/>
                <w:szCs w:val="18"/>
                <w:lang w:val="es-ES"/>
              </w:rPr>
              <w:t>•</w:t>
            </w:r>
            <w:r w:rsidRPr="00551CE3">
              <w:rPr>
                <w:bCs/>
                <w:sz w:val="18"/>
                <w:szCs w:val="18"/>
                <w:lang w:val="es-ES"/>
              </w:rPr>
              <w:tab/>
            </w:r>
            <w:r w:rsidR="0016378A">
              <w:rPr>
                <w:bCs/>
                <w:sz w:val="18"/>
                <w:szCs w:val="18"/>
                <w:lang w:val="es-ES"/>
              </w:rPr>
              <w:t>S</w:t>
            </w:r>
            <w:r w:rsidR="00551CE3" w:rsidRPr="00551CE3">
              <w:rPr>
                <w:bCs/>
                <w:sz w:val="18"/>
                <w:szCs w:val="18"/>
                <w:lang w:val="es-ES"/>
              </w:rPr>
              <w:t>e ha de considerar si los acuerdos de telecomunica</w:t>
            </w:r>
            <w:r w:rsidR="0016378A">
              <w:rPr>
                <w:bCs/>
                <w:sz w:val="18"/>
                <w:szCs w:val="18"/>
                <w:lang w:val="es-ES"/>
              </w:rPr>
              <w:t>-</w:t>
            </w:r>
            <w:r w:rsidR="00551CE3" w:rsidRPr="00551CE3">
              <w:rPr>
                <w:bCs/>
                <w:sz w:val="18"/>
                <w:szCs w:val="18"/>
                <w:lang w:val="es-ES"/>
              </w:rPr>
              <w:t xml:space="preserve">ciones se siguen concluyendo </w:t>
            </w:r>
            <w:r w:rsidR="00551CE3">
              <w:rPr>
                <w:bCs/>
                <w:sz w:val="18"/>
                <w:szCs w:val="18"/>
                <w:lang w:val="es-ES"/>
              </w:rPr>
              <w:t>de acuerdo con</w:t>
            </w:r>
            <w:r w:rsidR="00551CE3" w:rsidRPr="00551CE3">
              <w:rPr>
                <w:bCs/>
                <w:sz w:val="18"/>
                <w:szCs w:val="18"/>
                <w:lang w:val="es-ES"/>
              </w:rPr>
              <w:t xml:space="preserve"> los principios de l</w:t>
            </w:r>
            <w:r w:rsidR="00551CE3">
              <w:rPr>
                <w:bCs/>
                <w:sz w:val="18"/>
                <w:szCs w:val="18"/>
                <w:lang w:val="es-ES"/>
              </w:rPr>
              <w:t xml:space="preserve">as tasas de distribución. </w:t>
            </w:r>
            <w:r w:rsidR="00551CE3" w:rsidRPr="00551CE3">
              <w:rPr>
                <w:bCs/>
                <w:sz w:val="18"/>
                <w:szCs w:val="18"/>
                <w:lang w:val="es-ES"/>
              </w:rPr>
              <w:t>De no ser así, podría considerarse la posibilidad de</w:t>
            </w:r>
            <w:r w:rsidR="00551CE3">
              <w:rPr>
                <w:bCs/>
                <w:sz w:val="18"/>
                <w:szCs w:val="18"/>
                <w:lang w:val="es-ES"/>
              </w:rPr>
              <w:t xml:space="preserve"> </w:t>
            </w:r>
            <w:r w:rsidR="00551CE3" w:rsidRPr="00551CE3">
              <w:rPr>
                <w:bCs/>
                <w:sz w:val="18"/>
                <w:szCs w:val="18"/>
                <w:lang w:val="es-ES"/>
              </w:rPr>
              <w:t>revisar el texto para hace</w:t>
            </w:r>
            <w:r w:rsidR="00551CE3">
              <w:rPr>
                <w:bCs/>
                <w:sz w:val="18"/>
                <w:szCs w:val="18"/>
                <w:lang w:val="es-ES"/>
              </w:rPr>
              <w:t>r sólo referencia a los acuerdos comerciales</w:t>
            </w:r>
            <w:r w:rsidRPr="00551CE3">
              <w:rPr>
                <w:bCs/>
                <w:sz w:val="18"/>
                <w:szCs w:val="18"/>
                <w:lang w:val="es-ES"/>
              </w:rPr>
              <w:t xml:space="preserve">. </w:t>
            </w:r>
            <w:r w:rsidR="00551CE3" w:rsidRPr="00551CE3">
              <w:rPr>
                <w:bCs/>
                <w:sz w:val="18"/>
                <w:szCs w:val="18"/>
                <w:lang w:val="es-ES"/>
              </w:rPr>
              <w:t xml:space="preserve">En </w:t>
            </w:r>
            <w:r w:rsidR="00931ECD">
              <w:rPr>
                <w:bCs/>
                <w:sz w:val="18"/>
                <w:szCs w:val="18"/>
                <w:lang w:val="es-ES"/>
              </w:rPr>
              <w:t>la República Suda</w:t>
            </w:r>
            <w:r w:rsidR="00551CE3" w:rsidRPr="00551CE3">
              <w:rPr>
                <w:bCs/>
                <w:sz w:val="18"/>
                <w:szCs w:val="18"/>
                <w:lang w:val="es-ES"/>
              </w:rPr>
              <w:t>frica</w:t>
            </w:r>
            <w:r w:rsidR="00931ECD">
              <w:rPr>
                <w:bCs/>
                <w:sz w:val="18"/>
                <w:szCs w:val="18"/>
                <w:lang w:val="es-ES"/>
              </w:rPr>
              <w:t>na</w:t>
            </w:r>
            <w:r w:rsidR="00551CE3" w:rsidRPr="00551CE3">
              <w:rPr>
                <w:bCs/>
                <w:sz w:val="18"/>
                <w:szCs w:val="18"/>
                <w:lang w:val="es-ES"/>
              </w:rPr>
              <w:t xml:space="preserve"> las transacciones están regidas sólo po</w:t>
            </w:r>
            <w:r w:rsidR="00551CE3">
              <w:rPr>
                <w:bCs/>
                <w:sz w:val="18"/>
                <w:szCs w:val="18"/>
                <w:lang w:val="es-ES"/>
              </w:rPr>
              <w:t>r acuerdos comerciales</w:t>
            </w:r>
            <w:r w:rsidRPr="00551CE3">
              <w:rPr>
                <w:bCs/>
                <w:sz w:val="18"/>
                <w:szCs w:val="18"/>
                <w:lang w:val="es-ES"/>
              </w:rPr>
              <w:t>.</w:t>
            </w:r>
          </w:p>
        </w:tc>
        <w:tc>
          <w:tcPr>
            <w:tcW w:w="1422" w:type="dxa"/>
            <w:shd w:val="clear" w:color="auto" w:fill="auto"/>
            <w:tcMar>
              <w:left w:w="85" w:type="dxa"/>
              <w:right w:w="85" w:type="dxa"/>
            </w:tcMar>
          </w:tcPr>
          <w:p w14:paraId="063C9FCD" w14:textId="222074F9" w:rsidR="004E0A94" w:rsidRPr="001C4C08" w:rsidRDefault="004E0A94" w:rsidP="00F06A8D">
            <w:pPr>
              <w:keepNext/>
              <w:keepLines/>
              <w:spacing w:before="40" w:after="40"/>
              <w:rPr>
                <w:b/>
                <w:sz w:val="18"/>
                <w:szCs w:val="18"/>
              </w:rPr>
            </w:pPr>
            <w:bookmarkStart w:id="19" w:name="lt_pId105"/>
            <w:r w:rsidRPr="001C4C08">
              <w:rPr>
                <w:b/>
                <w:sz w:val="18"/>
                <w:szCs w:val="18"/>
              </w:rPr>
              <w:t>No se requiere cambio</w:t>
            </w:r>
            <w:bookmarkEnd w:id="19"/>
            <w:r w:rsidR="000159E9">
              <w:rPr>
                <w:b/>
                <w:sz w:val="18"/>
                <w:szCs w:val="18"/>
              </w:rPr>
              <w:t>.</w:t>
            </w:r>
          </w:p>
        </w:tc>
      </w:tr>
      <w:tr w:rsidR="00B40D6A" w:rsidRPr="001C4C08" w14:paraId="7DD281A1" w14:textId="77777777" w:rsidTr="00FA157F">
        <w:trPr>
          <w:jc w:val="center"/>
        </w:trPr>
        <w:tc>
          <w:tcPr>
            <w:tcW w:w="1129" w:type="dxa"/>
            <w:tcMar>
              <w:left w:w="85" w:type="dxa"/>
              <w:right w:w="85" w:type="dxa"/>
            </w:tcMar>
          </w:tcPr>
          <w:p w14:paraId="33EBF0EA" w14:textId="4EBE21DA" w:rsidR="004E0A94" w:rsidRPr="001C4C08" w:rsidRDefault="004E0A94" w:rsidP="00FA157F">
            <w:pPr>
              <w:spacing w:before="40" w:after="40"/>
              <w:rPr>
                <w:rFonts w:cs="Calibri"/>
                <w:b/>
                <w:bCs/>
                <w:sz w:val="18"/>
                <w:szCs w:val="18"/>
              </w:rPr>
            </w:pPr>
            <w:bookmarkStart w:id="20" w:name="lt_pId106"/>
            <w:r w:rsidRPr="001C4C08">
              <w:rPr>
                <w:rFonts w:cs="Calibri"/>
                <w:b/>
                <w:bCs/>
                <w:sz w:val="18"/>
                <w:szCs w:val="18"/>
              </w:rPr>
              <w:t xml:space="preserve">Artículo </w:t>
            </w:r>
            <w:bookmarkEnd w:id="20"/>
            <w:r w:rsidR="000159E9">
              <w:rPr>
                <w:rFonts w:cs="Calibri"/>
                <w:b/>
                <w:bCs/>
                <w:sz w:val="18"/>
                <w:szCs w:val="18"/>
              </w:rPr>
              <w:t>8</w:t>
            </w:r>
          </w:p>
        </w:tc>
        <w:tc>
          <w:tcPr>
            <w:tcW w:w="1843" w:type="dxa"/>
            <w:tcMar>
              <w:left w:w="85" w:type="dxa"/>
              <w:right w:w="85" w:type="dxa"/>
            </w:tcMar>
          </w:tcPr>
          <w:p w14:paraId="0769BF72" w14:textId="77777777" w:rsidR="000159E9" w:rsidRDefault="000159E9" w:rsidP="00FA157F">
            <w:pPr>
              <w:spacing w:before="40" w:after="40"/>
              <w:rPr>
                <w:rFonts w:cs="Calibri"/>
                <w:b/>
                <w:bCs/>
                <w:sz w:val="18"/>
                <w:szCs w:val="18"/>
              </w:rPr>
            </w:pPr>
            <w:r w:rsidRPr="000159E9">
              <w:rPr>
                <w:rFonts w:cs="Calibri"/>
                <w:b/>
                <w:bCs/>
                <w:sz w:val="18"/>
                <w:szCs w:val="18"/>
              </w:rPr>
              <w:t>58</w:t>
            </w:r>
          </w:p>
          <w:p w14:paraId="7D861FCA" w14:textId="4E64ADBB" w:rsidR="004E0A94" w:rsidRPr="000159E9" w:rsidRDefault="000159E9" w:rsidP="00FA157F">
            <w:pPr>
              <w:spacing w:before="40" w:after="40"/>
              <w:rPr>
                <w:rFonts w:cs="Calibri"/>
                <w:sz w:val="18"/>
                <w:szCs w:val="18"/>
              </w:rPr>
            </w:pPr>
            <w:r w:rsidRPr="000159E9">
              <w:rPr>
                <w:rFonts w:cs="Calibri"/>
                <w:sz w:val="18"/>
                <w:szCs w:val="18"/>
              </w:rPr>
              <w:t>8.2.2</w:t>
            </w:r>
            <w:r w:rsidRPr="000159E9">
              <w:rPr>
                <w:rFonts w:cs="Calibri"/>
                <w:sz w:val="18"/>
                <w:szCs w:val="18"/>
              </w:rPr>
              <w:tab/>
              <w:t>Para cada servicio correspondiente en una relación dada, las empresas de explotación autorizadas establecerán y revisarán por acuerdo mutuo las tasas de distribución aplicables entre ellas de conformidad con las disposiciones del Apéndice 1, habida cuenta de las Recomendaciones UIT-T pertinentes.</w:t>
            </w:r>
          </w:p>
        </w:tc>
        <w:tc>
          <w:tcPr>
            <w:tcW w:w="1843" w:type="dxa"/>
            <w:tcMar>
              <w:left w:w="85" w:type="dxa"/>
              <w:right w:w="85" w:type="dxa"/>
            </w:tcMar>
          </w:tcPr>
          <w:p w14:paraId="74D8F912" w14:textId="42D80B1E" w:rsidR="000159E9" w:rsidRDefault="000159E9" w:rsidP="00FA157F">
            <w:pPr>
              <w:spacing w:before="40" w:after="40"/>
              <w:rPr>
                <w:rFonts w:cs="Calibri"/>
                <w:bCs/>
                <w:sz w:val="18"/>
                <w:szCs w:val="18"/>
              </w:rPr>
            </w:pPr>
            <w:r w:rsidRPr="000159E9">
              <w:rPr>
                <w:rFonts w:cs="Calibri"/>
                <w:b/>
                <w:sz w:val="18"/>
                <w:szCs w:val="18"/>
              </w:rPr>
              <w:t>47</w:t>
            </w:r>
          </w:p>
          <w:p w14:paraId="1D7E7FF9" w14:textId="29E09E8B" w:rsidR="000159E9" w:rsidRPr="001C4C08" w:rsidRDefault="000159E9" w:rsidP="00FA157F">
            <w:pPr>
              <w:spacing w:before="40" w:after="40"/>
              <w:rPr>
                <w:rFonts w:cs="Calibri"/>
                <w:bCs/>
                <w:sz w:val="18"/>
                <w:szCs w:val="18"/>
              </w:rPr>
            </w:pPr>
            <w:r w:rsidRPr="000159E9">
              <w:rPr>
                <w:rFonts w:cs="Calibri"/>
                <w:bCs/>
                <w:sz w:val="18"/>
                <w:szCs w:val="18"/>
              </w:rPr>
              <w:t>6.2.1</w:t>
            </w:r>
            <w:r w:rsidRPr="000159E9">
              <w:rPr>
                <w:rFonts w:cs="Calibri"/>
                <w:bCs/>
                <w:sz w:val="18"/>
                <w:szCs w:val="18"/>
              </w:rPr>
              <w:tab/>
              <w:t>Para cada servicio admitido en una relación dada, las administraciones</w:t>
            </w:r>
            <w:r w:rsidR="00551CE3">
              <w:rPr>
                <w:rFonts w:cs="Calibri"/>
                <w:bCs/>
                <w:sz w:val="18"/>
                <w:szCs w:val="18"/>
              </w:rPr>
              <w:t xml:space="preserve"> [o empresas privadas de explotación reconocidas]</w:t>
            </w:r>
            <w:r w:rsidRPr="000159E9">
              <w:rPr>
                <w:rFonts w:cs="Calibri"/>
                <w:bCs/>
                <w:sz w:val="18"/>
                <w:szCs w:val="18"/>
              </w:rPr>
              <w:t xml:space="preserve"> establecerán y revisarán por acuerdo mutuo las tasas de distribución aplicables entre ellas de conformidad con las disposiciones del Apéndice 1, habida cuenta de las Recomendaciones pertinentes del CCITT y de la evolución de los costes correspondientes.</w:t>
            </w:r>
          </w:p>
        </w:tc>
        <w:tc>
          <w:tcPr>
            <w:tcW w:w="1559" w:type="dxa"/>
            <w:tcMar>
              <w:left w:w="85" w:type="dxa"/>
              <w:right w:w="85" w:type="dxa"/>
            </w:tcMar>
          </w:tcPr>
          <w:p w14:paraId="28BEED12" w14:textId="77777777" w:rsidR="00F06A8D" w:rsidRDefault="00F06A8D" w:rsidP="00FA157F">
            <w:pPr>
              <w:tabs>
                <w:tab w:val="clear" w:pos="567"/>
                <w:tab w:val="left" w:pos="234"/>
              </w:tabs>
              <w:spacing w:before="40" w:after="40"/>
              <w:ind w:left="234" w:right="-111" w:hanging="234"/>
              <w:rPr>
                <w:sz w:val="18"/>
                <w:szCs w:val="18"/>
              </w:rPr>
            </w:pPr>
          </w:p>
          <w:p w14:paraId="26042276" w14:textId="7BFECE34" w:rsidR="000159E9" w:rsidRPr="00551CE3" w:rsidRDefault="000159E9" w:rsidP="00FA157F">
            <w:pPr>
              <w:tabs>
                <w:tab w:val="clear" w:pos="567"/>
                <w:tab w:val="left" w:pos="234"/>
              </w:tabs>
              <w:spacing w:before="40" w:after="40"/>
              <w:ind w:left="234" w:right="-111" w:hanging="234"/>
              <w:rPr>
                <w:sz w:val="18"/>
                <w:szCs w:val="18"/>
                <w:lang w:val="es-ES"/>
              </w:rPr>
            </w:pPr>
            <w:r w:rsidRPr="0016378A">
              <w:rPr>
                <w:sz w:val="18"/>
                <w:szCs w:val="18"/>
                <w:lang w:val="es-ES"/>
              </w:rPr>
              <w:t>•</w:t>
            </w:r>
            <w:r w:rsidRPr="0016378A">
              <w:rPr>
                <w:sz w:val="18"/>
                <w:szCs w:val="18"/>
                <w:lang w:val="es-ES"/>
              </w:rPr>
              <w:tab/>
            </w:r>
            <w:r w:rsidR="00551CE3" w:rsidRPr="0016378A">
              <w:rPr>
                <w:sz w:val="18"/>
                <w:szCs w:val="18"/>
                <w:lang w:val="es-ES"/>
              </w:rPr>
              <w:t xml:space="preserve">Esta disposición difiere muy ligeramente de su equivalente de 1998. </w:t>
            </w:r>
            <w:r w:rsidR="00551CE3" w:rsidRPr="00551CE3">
              <w:rPr>
                <w:sz w:val="18"/>
                <w:szCs w:val="18"/>
                <w:lang w:val="es-ES"/>
              </w:rPr>
              <w:t>No retrasa la prestación de redes y servicios</w:t>
            </w:r>
            <w:r w:rsidRPr="00551CE3">
              <w:rPr>
                <w:sz w:val="18"/>
                <w:szCs w:val="18"/>
                <w:lang w:val="es-ES"/>
              </w:rPr>
              <w:t>.</w:t>
            </w:r>
          </w:p>
          <w:p w14:paraId="354CF739" w14:textId="267FEDAB" w:rsidR="004E0A94" w:rsidRPr="001C4C08" w:rsidRDefault="000159E9" w:rsidP="00FA157F">
            <w:pPr>
              <w:tabs>
                <w:tab w:val="clear" w:pos="567"/>
                <w:tab w:val="left" w:pos="234"/>
              </w:tabs>
              <w:spacing w:before="40" w:after="40"/>
              <w:ind w:left="234" w:right="-111" w:hanging="234"/>
              <w:rPr>
                <w:sz w:val="18"/>
                <w:szCs w:val="18"/>
              </w:rPr>
            </w:pPr>
            <w:r w:rsidRPr="000159E9">
              <w:rPr>
                <w:sz w:val="18"/>
                <w:szCs w:val="18"/>
              </w:rPr>
              <w:t>•</w:t>
            </w:r>
            <w:r w:rsidRPr="000159E9">
              <w:rPr>
                <w:sz w:val="18"/>
                <w:szCs w:val="18"/>
              </w:rPr>
              <w:tab/>
            </w:r>
            <w:r w:rsidR="00551CE3">
              <w:rPr>
                <w:sz w:val="18"/>
                <w:szCs w:val="18"/>
              </w:rPr>
              <w:t>Esta disposición sigue siendo aplicable</w:t>
            </w:r>
            <w:r w:rsidRPr="000159E9">
              <w:rPr>
                <w:sz w:val="18"/>
                <w:szCs w:val="18"/>
              </w:rPr>
              <w:t>.</w:t>
            </w:r>
          </w:p>
        </w:tc>
        <w:tc>
          <w:tcPr>
            <w:tcW w:w="1843" w:type="dxa"/>
            <w:tcMar>
              <w:left w:w="85" w:type="dxa"/>
              <w:right w:w="85" w:type="dxa"/>
            </w:tcMar>
          </w:tcPr>
          <w:p w14:paraId="029B80BC" w14:textId="77777777" w:rsidR="00F06A8D" w:rsidRPr="00551CE3" w:rsidRDefault="00F06A8D" w:rsidP="00FA157F">
            <w:pPr>
              <w:tabs>
                <w:tab w:val="clear" w:pos="567"/>
                <w:tab w:val="left" w:pos="234"/>
              </w:tabs>
              <w:spacing w:before="40" w:after="40"/>
              <w:ind w:left="234" w:hanging="234"/>
              <w:rPr>
                <w:sz w:val="18"/>
                <w:szCs w:val="18"/>
                <w:lang w:val="es-ES"/>
              </w:rPr>
            </w:pPr>
          </w:p>
          <w:p w14:paraId="6A41EC5B" w14:textId="5B3ED8A5" w:rsidR="000159E9" w:rsidRPr="00551CE3" w:rsidRDefault="000159E9" w:rsidP="00FA157F">
            <w:pPr>
              <w:tabs>
                <w:tab w:val="clear" w:pos="567"/>
                <w:tab w:val="left" w:pos="234"/>
              </w:tabs>
              <w:spacing w:before="40" w:after="40"/>
              <w:ind w:left="234" w:hanging="234"/>
              <w:rPr>
                <w:sz w:val="18"/>
                <w:szCs w:val="18"/>
                <w:lang w:val="es-ES"/>
              </w:rPr>
            </w:pPr>
            <w:r w:rsidRPr="00551CE3">
              <w:rPr>
                <w:sz w:val="18"/>
                <w:szCs w:val="18"/>
                <w:lang w:val="es-ES"/>
              </w:rPr>
              <w:t>•</w:t>
            </w:r>
            <w:r w:rsidRPr="00551CE3">
              <w:rPr>
                <w:sz w:val="18"/>
                <w:szCs w:val="18"/>
                <w:lang w:val="es-ES"/>
              </w:rPr>
              <w:tab/>
              <w:t>Suf</w:t>
            </w:r>
            <w:r w:rsidR="00551CE3" w:rsidRPr="00551CE3">
              <w:rPr>
                <w:sz w:val="18"/>
                <w:szCs w:val="18"/>
                <w:lang w:val="es-ES"/>
              </w:rPr>
              <w:t>icientemente</w:t>
            </w:r>
            <w:r w:rsidRPr="00551CE3">
              <w:rPr>
                <w:sz w:val="18"/>
                <w:szCs w:val="18"/>
                <w:lang w:val="es-ES"/>
              </w:rPr>
              <w:t xml:space="preserve"> flexible.</w:t>
            </w:r>
          </w:p>
          <w:p w14:paraId="64B50F36" w14:textId="1ADC57A7" w:rsidR="004E0A94" w:rsidRPr="00551CE3" w:rsidRDefault="000159E9" w:rsidP="00FA157F">
            <w:pPr>
              <w:tabs>
                <w:tab w:val="clear" w:pos="567"/>
                <w:tab w:val="left" w:pos="234"/>
              </w:tabs>
              <w:spacing w:before="40" w:after="40"/>
              <w:ind w:left="234" w:hanging="234"/>
              <w:rPr>
                <w:sz w:val="18"/>
                <w:szCs w:val="18"/>
                <w:lang w:val="es-ES"/>
              </w:rPr>
            </w:pPr>
            <w:r w:rsidRPr="00551CE3">
              <w:rPr>
                <w:sz w:val="18"/>
                <w:szCs w:val="18"/>
                <w:lang w:val="es-ES"/>
              </w:rPr>
              <w:t>•</w:t>
            </w:r>
            <w:r w:rsidRPr="00551CE3">
              <w:rPr>
                <w:sz w:val="18"/>
                <w:szCs w:val="18"/>
                <w:lang w:val="es-ES"/>
              </w:rPr>
              <w:tab/>
            </w:r>
            <w:r w:rsidR="00551CE3" w:rsidRPr="00551CE3">
              <w:rPr>
                <w:sz w:val="18"/>
                <w:szCs w:val="18"/>
                <w:lang w:val="es-ES"/>
              </w:rPr>
              <w:t>Los acuerdos comerciales quedan exclu</w:t>
            </w:r>
            <w:r w:rsidR="00551CE3">
              <w:rPr>
                <w:sz w:val="18"/>
                <w:szCs w:val="18"/>
                <w:lang w:val="es-ES"/>
              </w:rPr>
              <w:t>idos de esta disposición</w:t>
            </w:r>
            <w:r w:rsidRPr="00551CE3">
              <w:rPr>
                <w:sz w:val="18"/>
                <w:szCs w:val="18"/>
                <w:lang w:val="es-ES"/>
              </w:rPr>
              <w:t>.</w:t>
            </w:r>
          </w:p>
        </w:tc>
        <w:tc>
          <w:tcPr>
            <w:tcW w:w="1422" w:type="dxa"/>
            <w:tcMar>
              <w:left w:w="85" w:type="dxa"/>
              <w:right w:w="85" w:type="dxa"/>
            </w:tcMar>
          </w:tcPr>
          <w:p w14:paraId="6555CDDA" w14:textId="77777777" w:rsidR="00F06A8D" w:rsidRPr="00551CE3" w:rsidRDefault="00F06A8D" w:rsidP="00FA157F">
            <w:pPr>
              <w:spacing w:before="40" w:after="40"/>
              <w:rPr>
                <w:bCs/>
                <w:sz w:val="18"/>
                <w:szCs w:val="18"/>
                <w:lang w:val="es-ES"/>
              </w:rPr>
            </w:pPr>
          </w:p>
          <w:p w14:paraId="11156BBA" w14:textId="22A66AA4" w:rsidR="004E0A94" w:rsidRPr="001C4C08" w:rsidRDefault="004E0A94" w:rsidP="00FA157F">
            <w:pPr>
              <w:spacing w:before="40" w:after="40"/>
              <w:rPr>
                <w:b/>
                <w:sz w:val="18"/>
                <w:szCs w:val="18"/>
              </w:rPr>
            </w:pPr>
            <w:r w:rsidRPr="001C4C08">
              <w:rPr>
                <w:b/>
                <w:sz w:val="18"/>
                <w:szCs w:val="18"/>
              </w:rPr>
              <w:t>No se requiere cambio.</w:t>
            </w:r>
          </w:p>
        </w:tc>
      </w:tr>
      <w:tr w:rsidR="00B40D6A" w:rsidRPr="001C4C08" w14:paraId="7EBB246D" w14:textId="77777777" w:rsidTr="00FA157F">
        <w:trPr>
          <w:jc w:val="center"/>
        </w:trPr>
        <w:tc>
          <w:tcPr>
            <w:tcW w:w="1129" w:type="dxa"/>
            <w:tcMar>
              <w:left w:w="85" w:type="dxa"/>
              <w:right w:w="85" w:type="dxa"/>
            </w:tcMar>
          </w:tcPr>
          <w:p w14:paraId="0FC3ED22" w14:textId="51B04015" w:rsidR="004E0A94" w:rsidRPr="001C4C08" w:rsidRDefault="004E0A94" w:rsidP="00FA157F">
            <w:pPr>
              <w:spacing w:before="40" w:after="40"/>
              <w:rPr>
                <w:rFonts w:cs="Calibri"/>
                <w:b/>
                <w:bCs/>
                <w:sz w:val="18"/>
                <w:szCs w:val="18"/>
              </w:rPr>
            </w:pPr>
            <w:bookmarkStart w:id="21" w:name="lt_pId116"/>
            <w:r w:rsidRPr="001C4C08">
              <w:rPr>
                <w:rFonts w:cs="Calibri"/>
                <w:b/>
                <w:bCs/>
                <w:sz w:val="18"/>
                <w:szCs w:val="18"/>
              </w:rPr>
              <w:t xml:space="preserve">Artículo </w:t>
            </w:r>
            <w:bookmarkEnd w:id="21"/>
            <w:r w:rsidR="000159E9">
              <w:rPr>
                <w:rFonts w:cs="Calibri"/>
                <w:b/>
                <w:bCs/>
                <w:sz w:val="18"/>
                <w:szCs w:val="18"/>
              </w:rPr>
              <w:t>8</w:t>
            </w:r>
          </w:p>
        </w:tc>
        <w:tc>
          <w:tcPr>
            <w:tcW w:w="1843" w:type="dxa"/>
            <w:tcMar>
              <w:left w:w="85" w:type="dxa"/>
              <w:right w:w="85" w:type="dxa"/>
            </w:tcMar>
          </w:tcPr>
          <w:p w14:paraId="49D0434E" w14:textId="77777777" w:rsidR="000159E9" w:rsidRDefault="000159E9" w:rsidP="00FA157F">
            <w:pPr>
              <w:spacing w:before="40" w:after="40"/>
              <w:rPr>
                <w:rFonts w:cs="Calibri"/>
                <w:b/>
                <w:bCs/>
                <w:sz w:val="18"/>
                <w:szCs w:val="18"/>
              </w:rPr>
            </w:pPr>
            <w:r w:rsidRPr="000159E9">
              <w:rPr>
                <w:rFonts w:cs="Calibri"/>
                <w:b/>
                <w:bCs/>
                <w:sz w:val="18"/>
                <w:szCs w:val="18"/>
              </w:rPr>
              <w:t>59</w:t>
            </w:r>
          </w:p>
          <w:p w14:paraId="6A6CFDB4" w14:textId="33AE8926" w:rsidR="004E0A94" w:rsidRPr="001C4C08" w:rsidRDefault="000159E9" w:rsidP="00FA157F">
            <w:pPr>
              <w:spacing w:before="40" w:after="40"/>
              <w:rPr>
                <w:rFonts w:cs="Calibri"/>
                <w:bCs/>
                <w:sz w:val="18"/>
                <w:szCs w:val="18"/>
              </w:rPr>
            </w:pPr>
            <w:r w:rsidRPr="000159E9">
              <w:rPr>
                <w:rFonts w:cs="Calibri"/>
                <w:sz w:val="18"/>
                <w:szCs w:val="18"/>
              </w:rPr>
              <w:t>8.2.3</w:t>
            </w:r>
            <w:r w:rsidRPr="000159E9">
              <w:rPr>
                <w:rFonts w:cs="Calibri"/>
                <w:sz w:val="18"/>
                <w:szCs w:val="18"/>
              </w:rPr>
              <w:tab/>
              <w:t xml:space="preserve">A menos que se acuerde otra cosa, las partes que participen en la prestación de servicios internacionales de telecomunicación lo </w:t>
            </w:r>
            <w:r w:rsidRPr="000159E9">
              <w:rPr>
                <w:rFonts w:cs="Calibri"/>
                <w:sz w:val="18"/>
                <w:szCs w:val="18"/>
              </w:rPr>
              <w:lastRenderedPageBreak/>
              <w:t>harán de conformidad con las disposiciones pertinentes según se establece en los Apéndices 1 y 2.</w:t>
            </w:r>
          </w:p>
        </w:tc>
        <w:tc>
          <w:tcPr>
            <w:tcW w:w="1843" w:type="dxa"/>
            <w:tcMar>
              <w:left w:w="85" w:type="dxa"/>
              <w:right w:w="85" w:type="dxa"/>
            </w:tcMar>
          </w:tcPr>
          <w:p w14:paraId="0551CE6D" w14:textId="2E68D33C" w:rsidR="000159E9" w:rsidRDefault="000159E9" w:rsidP="00FA157F">
            <w:pPr>
              <w:spacing w:before="40" w:after="40"/>
              <w:rPr>
                <w:rFonts w:cs="Calibri"/>
                <w:bCs/>
                <w:sz w:val="18"/>
                <w:szCs w:val="18"/>
              </w:rPr>
            </w:pPr>
            <w:r w:rsidRPr="000159E9">
              <w:rPr>
                <w:rFonts w:cs="Calibri"/>
                <w:b/>
                <w:sz w:val="18"/>
                <w:szCs w:val="18"/>
              </w:rPr>
              <w:lastRenderedPageBreak/>
              <w:t>52</w:t>
            </w:r>
          </w:p>
          <w:p w14:paraId="724DBFC0" w14:textId="46FA3D1F" w:rsidR="004E0A94" w:rsidRPr="001C4C08" w:rsidRDefault="000159E9" w:rsidP="00FA157F">
            <w:pPr>
              <w:spacing w:before="40" w:after="40"/>
              <w:rPr>
                <w:rFonts w:cs="Calibri"/>
                <w:bCs/>
                <w:sz w:val="18"/>
                <w:szCs w:val="18"/>
              </w:rPr>
            </w:pPr>
            <w:r w:rsidRPr="000159E9">
              <w:rPr>
                <w:rFonts w:cs="Calibri"/>
                <w:bCs/>
                <w:sz w:val="18"/>
                <w:szCs w:val="18"/>
              </w:rPr>
              <w:t>6.4.1</w:t>
            </w:r>
            <w:r w:rsidRPr="000159E9">
              <w:rPr>
                <w:rFonts w:cs="Calibri"/>
                <w:bCs/>
                <w:sz w:val="18"/>
                <w:szCs w:val="18"/>
              </w:rPr>
              <w:tab/>
              <w:t>A menos que se acuerde otra cosa, las administraciones</w:t>
            </w:r>
            <w:r w:rsidR="00551CE3">
              <w:rPr>
                <w:rFonts w:cs="Calibri"/>
                <w:bCs/>
                <w:sz w:val="18"/>
                <w:szCs w:val="18"/>
              </w:rPr>
              <w:t xml:space="preserve"> [o empresas privadas de explotación reconocidas]</w:t>
            </w:r>
            <w:r w:rsidRPr="000159E9">
              <w:rPr>
                <w:rFonts w:cs="Calibri"/>
                <w:bCs/>
                <w:sz w:val="18"/>
                <w:szCs w:val="18"/>
              </w:rPr>
              <w:t xml:space="preserve"> deberán aplicar las </w:t>
            </w:r>
            <w:r w:rsidRPr="000159E9">
              <w:rPr>
                <w:rFonts w:cs="Calibri"/>
                <w:bCs/>
                <w:sz w:val="18"/>
                <w:szCs w:val="18"/>
              </w:rPr>
              <w:lastRenderedPageBreak/>
              <w:t>disposiciones pertinentes que figuran en los Apéndices 1 y 2.</w:t>
            </w:r>
          </w:p>
        </w:tc>
        <w:tc>
          <w:tcPr>
            <w:tcW w:w="1559" w:type="dxa"/>
            <w:tcMar>
              <w:left w:w="85" w:type="dxa"/>
              <w:right w:w="85" w:type="dxa"/>
            </w:tcMar>
          </w:tcPr>
          <w:p w14:paraId="181DB02B" w14:textId="77777777" w:rsidR="00F06A8D" w:rsidRDefault="00F06A8D" w:rsidP="00FA157F">
            <w:pPr>
              <w:tabs>
                <w:tab w:val="clear" w:pos="567"/>
                <w:tab w:val="left" w:pos="234"/>
              </w:tabs>
              <w:spacing w:before="40" w:after="40"/>
              <w:ind w:left="234" w:right="-111" w:hanging="234"/>
              <w:rPr>
                <w:sz w:val="18"/>
                <w:szCs w:val="18"/>
              </w:rPr>
            </w:pPr>
          </w:p>
          <w:p w14:paraId="1EE15A52" w14:textId="617BF116" w:rsidR="000159E9" w:rsidRPr="00551CE3" w:rsidRDefault="000159E9" w:rsidP="00FA157F">
            <w:pPr>
              <w:tabs>
                <w:tab w:val="clear" w:pos="567"/>
                <w:tab w:val="left" w:pos="234"/>
              </w:tabs>
              <w:spacing w:before="40" w:after="40"/>
              <w:ind w:left="234" w:right="-111" w:hanging="234"/>
              <w:rPr>
                <w:sz w:val="18"/>
                <w:szCs w:val="18"/>
                <w:lang w:val="es-ES"/>
              </w:rPr>
            </w:pPr>
            <w:r w:rsidRPr="00551CE3">
              <w:rPr>
                <w:sz w:val="18"/>
                <w:szCs w:val="18"/>
                <w:lang w:val="es-ES"/>
              </w:rPr>
              <w:t>•</w:t>
            </w:r>
            <w:r w:rsidRPr="00551CE3">
              <w:rPr>
                <w:sz w:val="18"/>
                <w:szCs w:val="18"/>
                <w:lang w:val="es-ES"/>
              </w:rPr>
              <w:tab/>
            </w:r>
            <w:r w:rsidR="00551CE3" w:rsidRPr="00551CE3">
              <w:rPr>
                <w:sz w:val="18"/>
                <w:szCs w:val="18"/>
                <w:lang w:val="es-ES"/>
              </w:rPr>
              <w:t>No menoscaba la prestación de redes y servicios</w:t>
            </w:r>
            <w:r w:rsidRPr="00551CE3">
              <w:rPr>
                <w:sz w:val="18"/>
                <w:szCs w:val="18"/>
                <w:lang w:val="es-ES"/>
              </w:rPr>
              <w:t>.</w:t>
            </w:r>
          </w:p>
          <w:p w14:paraId="4EC75722" w14:textId="23EAA4B9" w:rsidR="004E0A94" w:rsidRPr="00551CE3" w:rsidRDefault="000159E9" w:rsidP="00FA157F">
            <w:pPr>
              <w:tabs>
                <w:tab w:val="clear" w:pos="567"/>
                <w:tab w:val="left" w:pos="234"/>
              </w:tabs>
              <w:spacing w:before="40" w:after="40"/>
              <w:ind w:left="234" w:right="-111" w:hanging="234"/>
              <w:rPr>
                <w:sz w:val="18"/>
                <w:szCs w:val="18"/>
                <w:lang w:val="es-ES"/>
              </w:rPr>
            </w:pPr>
            <w:r w:rsidRPr="00551CE3">
              <w:rPr>
                <w:sz w:val="18"/>
                <w:szCs w:val="18"/>
                <w:lang w:val="es-ES"/>
              </w:rPr>
              <w:t>•</w:t>
            </w:r>
            <w:r w:rsidRPr="00551CE3">
              <w:rPr>
                <w:sz w:val="18"/>
                <w:szCs w:val="18"/>
                <w:lang w:val="es-ES"/>
              </w:rPr>
              <w:tab/>
            </w:r>
            <w:r w:rsidR="00551CE3" w:rsidRPr="00551CE3">
              <w:rPr>
                <w:sz w:val="18"/>
                <w:szCs w:val="18"/>
                <w:lang w:val="es-ES"/>
              </w:rPr>
              <w:t>La disposición sigue siendo aplicable</w:t>
            </w:r>
            <w:r w:rsidRPr="00551CE3">
              <w:rPr>
                <w:sz w:val="18"/>
                <w:szCs w:val="18"/>
                <w:lang w:val="es-ES"/>
              </w:rPr>
              <w:t>.</w:t>
            </w:r>
          </w:p>
        </w:tc>
        <w:tc>
          <w:tcPr>
            <w:tcW w:w="1843" w:type="dxa"/>
            <w:tcMar>
              <w:left w:w="85" w:type="dxa"/>
              <w:right w:w="85" w:type="dxa"/>
            </w:tcMar>
          </w:tcPr>
          <w:p w14:paraId="74BC1AFD" w14:textId="77777777" w:rsidR="00F06A8D" w:rsidRPr="00551CE3" w:rsidRDefault="00F06A8D" w:rsidP="00FA157F">
            <w:pPr>
              <w:tabs>
                <w:tab w:val="clear" w:pos="567"/>
                <w:tab w:val="left" w:pos="234"/>
              </w:tabs>
              <w:spacing w:before="40" w:after="40"/>
              <w:ind w:left="234" w:hanging="234"/>
              <w:rPr>
                <w:sz w:val="18"/>
                <w:szCs w:val="18"/>
                <w:lang w:val="es-ES"/>
              </w:rPr>
            </w:pPr>
          </w:p>
          <w:p w14:paraId="05E4D284" w14:textId="42B21688" w:rsidR="000159E9" w:rsidRPr="00551CE3" w:rsidRDefault="000159E9" w:rsidP="00FA157F">
            <w:pPr>
              <w:tabs>
                <w:tab w:val="clear" w:pos="567"/>
                <w:tab w:val="left" w:pos="234"/>
              </w:tabs>
              <w:spacing w:before="40" w:after="40"/>
              <w:ind w:left="234" w:hanging="234"/>
              <w:rPr>
                <w:sz w:val="18"/>
                <w:szCs w:val="18"/>
                <w:lang w:val="es-ES"/>
              </w:rPr>
            </w:pPr>
            <w:r w:rsidRPr="00551CE3">
              <w:rPr>
                <w:sz w:val="18"/>
                <w:szCs w:val="18"/>
                <w:lang w:val="es-ES"/>
              </w:rPr>
              <w:t>•</w:t>
            </w:r>
            <w:r w:rsidRPr="00551CE3">
              <w:rPr>
                <w:sz w:val="18"/>
                <w:szCs w:val="18"/>
                <w:lang w:val="es-ES"/>
              </w:rPr>
              <w:tab/>
              <w:t>Suf</w:t>
            </w:r>
            <w:r w:rsidR="00551CE3" w:rsidRPr="00551CE3">
              <w:rPr>
                <w:sz w:val="18"/>
                <w:szCs w:val="18"/>
                <w:lang w:val="es-ES"/>
              </w:rPr>
              <w:t>icientemente flexible</w:t>
            </w:r>
            <w:r w:rsidRPr="00551CE3">
              <w:rPr>
                <w:sz w:val="18"/>
                <w:szCs w:val="18"/>
                <w:lang w:val="es-ES"/>
              </w:rPr>
              <w:t>.</w:t>
            </w:r>
          </w:p>
          <w:p w14:paraId="50669A27" w14:textId="6CBD3747" w:rsidR="004E0A94" w:rsidRPr="00551CE3" w:rsidRDefault="000159E9" w:rsidP="00FA157F">
            <w:pPr>
              <w:tabs>
                <w:tab w:val="clear" w:pos="567"/>
                <w:tab w:val="left" w:pos="234"/>
              </w:tabs>
              <w:spacing w:before="40" w:after="40"/>
              <w:ind w:left="234" w:hanging="234"/>
              <w:rPr>
                <w:sz w:val="18"/>
                <w:szCs w:val="18"/>
                <w:lang w:val="es-ES"/>
              </w:rPr>
            </w:pPr>
            <w:r w:rsidRPr="00551CE3">
              <w:rPr>
                <w:sz w:val="18"/>
                <w:szCs w:val="18"/>
                <w:lang w:val="es-ES"/>
              </w:rPr>
              <w:t>•</w:t>
            </w:r>
            <w:r w:rsidRPr="00551CE3">
              <w:rPr>
                <w:sz w:val="18"/>
                <w:szCs w:val="18"/>
                <w:lang w:val="es-ES"/>
              </w:rPr>
              <w:tab/>
            </w:r>
            <w:r w:rsidR="00551CE3" w:rsidRPr="00551CE3">
              <w:rPr>
                <w:sz w:val="18"/>
                <w:szCs w:val="18"/>
                <w:lang w:val="es-ES"/>
              </w:rPr>
              <w:t>Permite acuerdos comerciales</w:t>
            </w:r>
            <w:r w:rsidRPr="00551CE3">
              <w:rPr>
                <w:sz w:val="18"/>
                <w:szCs w:val="18"/>
                <w:lang w:val="es-ES"/>
              </w:rPr>
              <w:t>.</w:t>
            </w:r>
          </w:p>
        </w:tc>
        <w:tc>
          <w:tcPr>
            <w:tcW w:w="1422" w:type="dxa"/>
            <w:tcMar>
              <w:left w:w="85" w:type="dxa"/>
              <w:right w:w="85" w:type="dxa"/>
            </w:tcMar>
          </w:tcPr>
          <w:p w14:paraId="45D587FF" w14:textId="77777777" w:rsidR="00F06A8D" w:rsidRPr="00551CE3" w:rsidRDefault="00F06A8D" w:rsidP="00FA157F">
            <w:pPr>
              <w:spacing w:before="40" w:after="40"/>
              <w:rPr>
                <w:bCs/>
                <w:sz w:val="18"/>
                <w:szCs w:val="18"/>
                <w:lang w:val="es-ES"/>
              </w:rPr>
            </w:pPr>
          </w:p>
          <w:p w14:paraId="0B34AC1A" w14:textId="029B1364" w:rsidR="004E0A94" w:rsidRPr="001C4C08" w:rsidRDefault="00F06A8D" w:rsidP="00FA157F">
            <w:pPr>
              <w:spacing w:before="40" w:after="40"/>
              <w:rPr>
                <w:b/>
                <w:sz w:val="18"/>
                <w:szCs w:val="18"/>
              </w:rPr>
            </w:pPr>
            <w:r>
              <w:rPr>
                <w:b/>
                <w:sz w:val="18"/>
                <w:szCs w:val="18"/>
              </w:rPr>
              <w:t xml:space="preserve">No </w:t>
            </w:r>
            <w:r w:rsidR="004E0A94" w:rsidRPr="001C4C08">
              <w:rPr>
                <w:b/>
                <w:sz w:val="18"/>
                <w:szCs w:val="18"/>
              </w:rPr>
              <w:t>se requiere cambio.</w:t>
            </w:r>
          </w:p>
        </w:tc>
      </w:tr>
      <w:tr w:rsidR="00FA157F" w:rsidRPr="001C4C08" w14:paraId="3D71A620" w14:textId="77777777" w:rsidTr="00FA157F">
        <w:trPr>
          <w:jc w:val="center"/>
        </w:trPr>
        <w:tc>
          <w:tcPr>
            <w:tcW w:w="1129" w:type="dxa"/>
            <w:tcMar>
              <w:left w:w="85" w:type="dxa"/>
              <w:right w:w="85" w:type="dxa"/>
            </w:tcMar>
          </w:tcPr>
          <w:p w14:paraId="6C7178A2" w14:textId="07B6A596" w:rsidR="00FA157F" w:rsidRPr="001C4C08" w:rsidRDefault="00FA157F" w:rsidP="00FA157F">
            <w:pPr>
              <w:spacing w:before="40" w:after="40"/>
              <w:rPr>
                <w:rFonts w:cs="Calibri"/>
                <w:b/>
                <w:bCs/>
                <w:sz w:val="18"/>
                <w:szCs w:val="18"/>
              </w:rPr>
            </w:pPr>
            <w:bookmarkStart w:id="22" w:name="lt_pId126"/>
            <w:r w:rsidRPr="001C4C08">
              <w:rPr>
                <w:rFonts w:cs="Calibri"/>
                <w:b/>
                <w:bCs/>
                <w:sz w:val="18"/>
                <w:szCs w:val="18"/>
              </w:rPr>
              <w:t xml:space="preserve">Artículo </w:t>
            </w:r>
            <w:bookmarkEnd w:id="22"/>
            <w:r>
              <w:rPr>
                <w:rFonts w:cs="Calibri"/>
                <w:b/>
                <w:bCs/>
                <w:sz w:val="18"/>
                <w:szCs w:val="18"/>
              </w:rPr>
              <w:t>8</w:t>
            </w:r>
          </w:p>
        </w:tc>
        <w:tc>
          <w:tcPr>
            <w:tcW w:w="1843" w:type="dxa"/>
            <w:tcMar>
              <w:left w:w="85" w:type="dxa"/>
              <w:right w:w="85" w:type="dxa"/>
            </w:tcMar>
          </w:tcPr>
          <w:p w14:paraId="48F48725" w14:textId="77777777" w:rsidR="00FA157F" w:rsidRDefault="00FA157F" w:rsidP="00FA157F">
            <w:pPr>
              <w:spacing w:before="40" w:after="40"/>
              <w:rPr>
                <w:rFonts w:cs="Calibri"/>
                <w:sz w:val="18"/>
                <w:szCs w:val="18"/>
              </w:rPr>
            </w:pPr>
            <w:r w:rsidRPr="000159E9">
              <w:rPr>
                <w:rFonts w:cs="Calibri"/>
                <w:b/>
                <w:bCs/>
                <w:sz w:val="18"/>
                <w:szCs w:val="18"/>
              </w:rPr>
              <w:t>60</w:t>
            </w:r>
            <w:r w:rsidRPr="000159E9">
              <w:rPr>
                <w:rFonts w:cs="Calibri"/>
                <w:b/>
                <w:bCs/>
                <w:sz w:val="18"/>
                <w:szCs w:val="18"/>
              </w:rPr>
              <w:tab/>
            </w:r>
          </w:p>
          <w:p w14:paraId="582DD59D" w14:textId="5B8AAF4D" w:rsidR="00FA157F" w:rsidRPr="001C4C08" w:rsidRDefault="00FA157F" w:rsidP="00FA157F">
            <w:pPr>
              <w:spacing w:before="40" w:after="40"/>
              <w:rPr>
                <w:rFonts w:cs="Calibri"/>
                <w:bCs/>
                <w:sz w:val="18"/>
                <w:szCs w:val="18"/>
              </w:rPr>
            </w:pPr>
            <w:r w:rsidRPr="000159E9">
              <w:rPr>
                <w:rFonts w:cs="Calibri"/>
                <w:sz w:val="18"/>
                <w:szCs w:val="18"/>
              </w:rPr>
              <w:t>8.2.4</w:t>
            </w:r>
            <w:r w:rsidRPr="000159E9">
              <w:rPr>
                <w:rFonts w:cs="Calibri"/>
                <w:sz w:val="18"/>
                <w:szCs w:val="18"/>
              </w:rPr>
              <w:tab/>
              <w:t>En defecto de acuerdos particulares entre empresas de explotación autorizadas, la unidad monetaria empleada para fijar las tasas de distribución aplicables a los servicios internacionales de telecomunicación y para el establecimiento de las cuentas internacionales será:</w:t>
            </w:r>
            <w:r>
              <w:rPr>
                <w:rFonts w:cs="Calibri"/>
                <w:sz w:val="18"/>
                <w:szCs w:val="18"/>
              </w:rPr>
              <w:br/>
              <w:t xml:space="preserve"> </w:t>
            </w:r>
            <w:r w:rsidRPr="000159E9">
              <w:rPr>
                <w:rFonts w:cs="Calibri"/>
                <w:sz w:val="18"/>
                <w:szCs w:val="18"/>
              </w:rPr>
              <w:t>–</w:t>
            </w:r>
            <w:r w:rsidRPr="000159E9">
              <w:rPr>
                <w:rFonts w:cs="Calibri"/>
                <w:sz w:val="18"/>
                <w:szCs w:val="18"/>
              </w:rPr>
              <w:tab/>
              <w:t>la unidad monetaria del Fondo Monetario Internacional (FMI), actualmente el Derecho Especial de Giro (DEG), definida por esta organización;</w:t>
            </w:r>
            <w:r>
              <w:rPr>
                <w:rFonts w:cs="Calibri"/>
                <w:sz w:val="18"/>
                <w:szCs w:val="18"/>
              </w:rPr>
              <w:br/>
            </w:r>
            <w:r w:rsidRPr="000159E9">
              <w:rPr>
                <w:rFonts w:cs="Calibri"/>
                <w:sz w:val="18"/>
                <w:szCs w:val="18"/>
              </w:rPr>
              <w:t>–</w:t>
            </w:r>
            <w:r w:rsidRPr="000159E9">
              <w:rPr>
                <w:rFonts w:cs="Calibri"/>
                <w:sz w:val="18"/>
                <w:szCs w:val="18"/>
              </w:rPr>
              <w:tab/>
              <w:t>o divisas libremente convertibles u otras unidades monetarias acordadas entre las empresas de explotación autorizadas.</w:t>
            </w:r>
          </w:p>
        </w:tc>
        <w:tc>
          <w:tcPr>
            <w:tcW w:w="1843" w:type="dxa"/>
            <w:tcMar>
              <w:left w:w="85" w:type="dxa"/>
              <w:right w:w="85" w:type="dxa"/>
            </w:tcMar>
          </w:tcPr>
          <w:p w14:paraId="6215FAF1" w14:textId="0048CD37" w:rsidR="00FA157F" w:rsidRDefault="00FA157F" w:rsidP="00FA157F">
            <w:pPr>
              <w:spacing w:before="40" w:after="40"/>
              <w:rPr>
                <w:rFonts w:cs="Calibri"/>
                <w:b/>
                <w:bCs/>
                <w:sz w:val="18"/>
                <w:szCs w:val="18"/>
              </w:rPr>
            </w:pPr>
            <w:r w:rsidRPr="000159E9">
              <w:rPr>
                <w:rFonts w:cs="Calibri"/>
                <w:b/>
                <w:bCs/>
                <w:sz w:val="18"/>
                <w:szCs w:val="18"/>
              </w:rPr>
              <w:t>49</w:t>
            </w:r>
          </w:p>
          <w:p w14:paraId="26C31D4B" w14:textId="20FE1F62" w:rsidR="00FA157F" w:rsidRPr="000159E9" w:rsidRDefault="00FA157F" w:rsidP="00FA157F">
            <w:pPr>
              <w:spacing w:before="40" w:after="40"/>
              <w:rPr>
                <w:rFonts w:cs="Calibri"/>
                <w:sz w:val="18"/>
                <w:szCs w:val="18"/>
              </w:rPr>
            </w:pPr>
            <w:r w:rsidRPr="000159E9">
              <w:rPr>
                <w:rFonts w:cs="Calibri"/>
                <w:sz w:val="18"/>
                <w:szCs w:val="18"/>
              </w:rPr>
              <w:t>6.3.1</w:t>
            </w:r>
            <w:r w:rsidRPr="000159E9">
              <w:rPr>
                <w:rFonts w:cs="Calibri"/>
                <w:sz w:val="18"/>
                <w:szCs w:val="18"/>
              </w:rPr>
              <w:tab/>
              <w:t>En defecto de arreglos particulares entre las administraciones</w:t>
            </w:r>
            <w:r w:rsidR="00551CE3">
              <w:rPr>
                <w:rFonts w:cs="Calibri"/>
                <w:sz w:val="18"/>
                <w:szCs w:val="18"/>
              </w:rPr>
              <w:t xml:space="preserve"> </w:t>
            </w:r>
            <w:r w:rsidR="00551CE3">
              <w:rPr>
                <w:rFonts w:cs="Calibri"/>
                <w:bCs/>
                <w:sz w:val="18"/>
                <w:szCs w:val="18"/>
              </w:rPr>
              <w:t>[o empresas privadas de explotación reconocidas]</w:t>
            </w:r>
            <w:r w:rsidRPr="000159E9">
              <w:rPr>
                <w:rFonts w:cs="Calibri"/>
                <w:sz w:val="18"/>
                <w:szCs w:val="18"/>
              </w:rPr>
              <w:t>, la unidad monetaria empleada para fijar las tasas de distribución aplicables a los servicios internacionales de telecomunicación y para el establecimiento de las cuentas internacionales será:</w:t>
            </w:r>
          </w:p>
          <w:p w14:paraId="26478809" w14:textId="77777777" w:rsidR="00FA157F" w:rsidRPr="000159E9" w:rsidRDefault="00FA157F" w:rsidP="00FA157F">
            <w:pPr>
              <w:spacing w:before="40" w:after="40"/>
              <w:rPr>
                <w:rFonts w:cs="Calibri"/>
                <w:sz w:val="18"/>
                <w:szCs w:val="18"/>
              </w:rPr>
            </w:pPr>
            <w:r w:rsidRPr="000159E9">
              <w:rPr>
                <w:rFonts w:cs="Calibri"/>
                <w:sz w:val="18"/>
                <w:szCs w:val="18"/>
              </w:rPr>
              <w:t>–</w:t>
            </w:r>
            <w:r w:rsidRPr="000159E9">
              <w:rPr>
                <w:rFonts w:cs="Calibri"/>
                <w:sz w:val="18"/>
                <w:szCs w:val="18"/>
              </w:rPr>
              <w:tab/>
              <w:t>la unidad monetaria del Fondo Monetario Internacional (FMI), actualmente el Derecho Especial de Giro (DEG), definida por esta organización;</w:t>
            </w:r>
          </w:p>
          <w:p w14:paraId="7168BE20" w14:textId="213A872E" w:rsidR="00FA157F" w:rsidRPr="001C4C08" w:rsidRDefault="00FA157F" w:rsidP="00FA157F">
            <w:pPr>
              <w:spacing w:before="40" w:after="40"/>
              <w:rPr>
                <w:rFonts w:cs="Calibri"/>
                <w:bCs/>
                <w:sz w:val="18"/>
                <w:szCs w:val="18"/>
              </w:rPr>
            </w:pPr>
            <w:r w:rsidRPr="000159E9">
              <w:rPr>
                <w:rFonts w:cs="Calibri"/>
                <w:sz w:val="18"/>
                <w:szCs w:val="18"/>
              </w:rPr>
              <w:t>–</w:t>
            </w:r>
            <w:r w:rsidRPr="000159E9">
              <w:rPr>
                <w:rFonts w:cs="Calibri"/>
                <w:sz w:val="18"/>
                <w:szCs w:val="18"/>
              </w:rPr>
              <w:tab/>
              <w:t>o el franco oro, que equivale a 1/3,061 DEG.</w:t>
            </w:r>
          </w:p>
        </w:tc>
        <w:tc>
          <w:tcPr>
            <w:tcW w:w="1559" w:type="dxa"/>
            <w:tcMar>
              <w:left w:w="85" w:type="dxa"/>
              <w:right w:w="85" w:type="dxa"/>
            </w:tcMar>
          </w:tcPr>
          <w:p w14:paraId="1EA314DB" w14:textId="77777777" w:rsidR="00551CE3" w:rsidRDefault="00551CE3" w:rsidP="00551CE3">
            <w:pPr>
              <w:tabs>
                <w:tab w:val="clear" w:pos="567"/>
                <w:tab w:val="left" w:pos="234"/>
              </w:tabs>
              <w:spacing w:before="40" w:after="40"/>
              <w:ind w:left="234" w:right="-111" w:hanging="234"/>
              <w:rPr>
                <w:sz w:val="18"/>
                <w:szCs w:val="18"/>
              </w:rPr>
            </w:pPr>
          </w:p>
          <w:p w14:paraId="7163DD6A" w14:textId="77777777" w:rsidR="00551CE3" w:rsidRPr="00551CE3" w:rsidRDefault="00551CE3" w:rsidP="00551CE3">
            <w:pPr>
              <w:tabs>
                <w:tab w:val="clear" w:pos="567"/>
                <w:tab w:val="left" w:pos="234"/>
              </w:tabs>
              <w:spacing w:before="40" w:after="40"/>
              <w:ind w:left="234" w:right="-111" w:hanging="234"/>
              <w:rPr>
                <w:sz w:val="18"/>
                <w:szCs w:val="18"/>
                <w:lang w:val="es-ES"/>
              </w:rPr>
            </w:pPr>
            <w:r w:rsidRPr="00551CE3">
              <w:rPr>
                <w:sz w:val="18"/>
                <w:szCs w:val="18"/>
                <w:lang w:val="es-ES"/>
              </w:rPr>
              <w:t>•</w:t>
            </w:r>
            <w:r w:rsidRPr="00551CE3">
              <w:rPr>
                <w:sz w:val="18"/>
                <w:szCs w:val="18"/>
                <w:lang w:val="es-ES"/>
              </w:rPr>
              <w:tab/>
              <w:t>No menoscaba la prestación de redes y servicios.</w:t>
            </w:r>
          </w:p>
          <w:p w14:paraId="5A52C683" w14:textId="1F320CC4" w:rsidR="00FA157F" w:rsidRPr="001C4C08" w:rsidRDefault="00551CE3" w:rsidP="00551CE3">
            <w:pPr>
              <w:tabs>
                <w:tab w:val="clear" w:pos="567"/>
                <w:tab w:val="left" w:pos="234"/>
              </w:tabs>
              <w:spacing w:before="40" w:after="40"/>
              <w:ind w:left="234" w:right="-111" w:hanging="234"/>
              <w:rPr>
                <w:sz w:val="18"/>
                <w:szCs w:val="18"/>
              </w:rPr>
            </w:pPr>
            <w:r w:rsidRPr="00551CE3">
              <w:rPr>
                <w:sz w:val="18"/>
                <w:szCs w:val="18"/>
                <w:lang w:val="es-ES"/>
              </w:rPr>
              <w:t>•</w:t>
            </w:r>
            <w:r w:rsidRPr="00551CE3">
              <w:rPr>
                <w:sz w:val="18"/>
                <w:szCs w:val="18"/>
                <w:lang w:val="es-ES"/>
              </w:rPr>
              <w:tab/>
              <w:t>La disposición sigue siendo aplicable.</w:t>
            </w:r>
          </w:p>
        </w:tc>
        <w:tc>
          <w:tcPr>
            <w:tcW w:w="1843" w:type="dxa"/>
            <w:tcMar>
              <w:left w:w="85" w:type="dxa"/>
              <w:right w:w="85" w:type="dxa"/>
            </w:tcMar>
          </w:tcPr>
          <w:p w14:paraId="22D0AA11" w14:textId="77777777" w:rsidR="00931ECD" w:rsidRDefault="00931ECD" w:rsidP="00FA157F">
            <w:pPr>
              <w:spacing w:before="40" w:after="40"/>
              <w:rPr>
                <w:sz w:val="18"/>
                <w:szCs w:val="18"/>
              </w:rPr>
            </w:pPr>
          </w:p>
          <w:p w14:paraId="34967737" w14:textId="3A95E075" w:rsidR="00FA157F" w:rsidRPr="001C4C08" w:rsidRDefault="00551CE3" w:rsidP="00FA157F">
            <w:pPr>
              <w:spacing w:before="40" w:after="40"/>
              <w:rPr>
                <w:sz w:val="18"/>
                <w:szCs w:val="18"/>
              </w:rPr>
            </w:pPr>
            <w:r>
              <w:rPr>
                <w:sz w:val="18"/>
                <w:szCs w:val="18"/>
              </w:rPr>
              <w:t>Suficientemente flexible</w:t>
            </w:r>
          </w:p>
        </w:tc>
        <w:tc>
          <w:tcPr>
            <w:tcW w:w="1422" w:type="dxa"/>
            <w:tcMar>
              <w:left w:w="85" w:type="dxa"/>
              <w:right w:w="85" w:type="dxa"/>
            </w:tcMar>
          </w:tcPr>
          <w:p w14:paraId="74848B78" w14:textId="77777777" w:rsidR="00F06A8D" w:rsidRPr="00F06A8D" w:rsidRDefault="00F06A8D" w:rsidP="00FA157F">
            <w:pPr>
              <w:spacing w:before="40" w:after="40"/>
              <w:rPr>
                <w:bCs/>
                <w:sz w:val="18"/>
                <w:szCs w:val="18"/>
              </w:rPr>
            </w:pPr>
          </w:p>
          <w:p w14:paraId="0B685AD7" w14:textId="709A8F9E" w:rsidR="00FA157F" w:rsidRPr="001C4C08" w:rsidRDefault="00FA157F" w:rsidP="00FA157F">
            <w:pPr>
              <w:spacing w:before="40" w:after="40"/>
              <w:rPr>
                <w:b/>
                <w:sz w:val="18"/>
                <w:szCs w:val="18"/>
              </w:rPr>
            </w:pPr>
            <w:r w:rsidRPr="001C4C08">
              <w:rPr>
                <w:b/>
                <w:sz w:val="18"/>
                <w:szCs w:val="18"/>
              </w:rPr>
              <w:t>No se requiere cambio.</w:t>
            </w:r>
          </w:p>
        </w:tc>
      </w:tr>
      <w:tr w:rsidR="00B40D6A" w:rsidRPr="001C4C08" w14:paraId="085E16DE" w14:textId="77777777" w:rsidTr="00FA157F">
        <w:trPr>
          <w:jc w:val="center"/>
        </w:trPr>
        <w:tc>
          <w:tcPr>
            <w:tcW w:w="1129" w:type="dxa"/>
            <w:shd w:val="clear" w:color="auto" w:fill="auto"/>
            <w:tcMar>
              <w:left w:w="85" w:type="dxa"/>
              <w:right w:w="85" w:type="dxa"/>
            </w:tcMar>
          </w:tcPr>
          <w:p w14:paraId="4BFEE00F" w14:textId="325CF823" w:rsidR="004E0A94" w:rsidRPr="001C4C08" w:rsidRDefault="004E0A94" w:rsidP="00FA157F">
            <w:pPr>
              <w:spacing w:before="40" w:after="40"/>
              <w:rPr>
                <w:rFonts w:cs="Calibri"/>
                <w:b/>
                <w:bCs/>
                <w:sz w:val="18"/>
                <w:szCs w:val="18"/>
              </w:rPr>
            </w:pPr>
            <w:bookmarkStart w:id="23" w:name="lt_pId133"/>
            <w:r w:rsidRPr="001C4C08">
              <w:rPr>
                <w:rFonts w:cs="Calibri"/>
                <w:b/>
                <w:bCs/>
                <w:sz w:val="18"/>
                <w:szCs w:val="18"/>
              </w:rPr>
              <w:t xml:space="preserve">Artículo </w:t>
            </w:r>
            <w:bookmarkEnd w:id="23"/>
            <w:r w:rsidR="00FA157F">
              <w:rPr>
                <w:rFonts w:cs="Calibri"/>
                <w:b/>
                <w:bCs/>
                <w:sz w:val="18"/>
                <w:szCs w:val="18"/>
              </w:rPr>
              <w:t>8</w:t>
            </w:r>
          </w:p>
        </w:tc>
        <w:tc>
          <w:tcPr>
            <w:tcW w:w="1843" w:type="dxa"/>
            <w:shd w:val="clear" w:color="auto" w:fill="auto"/>
            <w:tcMar>
              <w:left w:w="85" w:type="dxa"/>
              <w:right w:w="85" w:type="dxa"/>
            </w:tcMar>
          </w:tcPr>
          <w:p w14:paraId="617D4069" w14:textId="1D1CEBCA" w:rsidR="00FA157F" w:rsidRPr="00FA157F" w:rsidRDefault="00FA157F" w:rsidP="00FA157F">
            <w:pPr>
              <w:spacing w:before="40" w:after="40"/>
              <w:rPr>
                <w:rFonts w:cs="Calibri"/>
                <w:b/>
                <w:sz w:val="18"/>
                <w:szCs w:val="18"/>
              </w:rPr>
            </w:pPr>
            <w:r w:rsidRPr="00FA157F">
              <w:rPr>
                <w:rFonts w:cs="Calibri"/>
                <w:b/>
                <w:sz w:val="18"/>
                <w:szCs w:val="18"/>
              </w:rPr>
              <w:t>62</w:t>
            </w:r>
          </w:p>
          <w:p w14:paraId="0BE66F67" w14:textId="5FF8A921" w:rsidR="004E0A94" w:rsidRPr="001C4C08" w:rsidRDefault="00FA157F" w:rsidP="00FA157F">
            <w:pPr>
              <w:spacing w:before="40" w:after="40"/>
              <w:rPr>
                <w:rFonts w:cs="Calibri"/>
                <w:bCs/>
                <w:sz w:val="18"/>
                <w:szCs w:val="18"/>
              </w:rPr>
            </w:pPr>
            <w:r w:rsidRPr="00FA157F">
              <w:rPr>
                <w:rFonts w:cs="Calibri"/>
                <w:bCs/>
                <w:sz w:val="18"/>
                <w:szCs w:val="18"/>
              </w:rPr>
              <w:t>8.2.5</w:t>
            </w:r>
            <w:r w:rsidRPr="00FA157F">
              <w:rPr>
                <w:rFonts w:cs="Calibri"/>
                <w:bCs/>
                <w:sz w:val="18"/>
                <w:szCs w:val="18"/>
              </w:rPr>
              <w:tab/>
              <w:t xml:space="preserve">En principio, las tasas que se imponen a los clientes por una misma prestación deberán ser idénticas en una relación determinada, cualquiera que sea la ruta internacional utilizada para esa comunicación. Los Estados Miembros deben evitar que en el establecimiento de dichas tasas exista una asimetría entre las tasas aplicables en </w:t>
            </w:r>
            <w:r w:rsidRPr="00FA157F">
              <w:rPr>
                <w:rFonts w:cs="Calibri"/>
                <w:bCs/>
                <w:sz w:val="18"/>
                <w:szCs w:val="18"/>
              </w:rPr>
              <w:lastRenderedPageBreak/>
              <w:t>cada sentido de una misma relación.</w:t>
            </w:r>
          </w:p>
        </w:tc>
        <w:tc>
          <w:tcPr>
            <w:tcW w:w="1843" w:type="dxa"/>
            <w:shd w:val="clear" w:color="auto" w:fill="auto"/>
            <w:tcMar>
              <w:left w:w="85" w:type="dxa"/>
              <w:right w:w="85" w:type="dxa"/>
            </w:tcMar>
          </w:tcPr>
          <w:p w14:paraId="07881B7E" w14:textId="0B936B4C" w:rsidR="00FA157F" w:rsidRPr="00FA157F" w:rsidRDefault="00FA157F" w:rsidP="00FA157F">
            <w:pPr>
              <w:spacing w:before="40" w:after="40"/>
              <w:rPr>
                <w:rFonts w:cs="Calibri"/>
                <w:b/>
                <w:sz w:val="18"/>
                <w:szCs w:val="18"/>
              </w:rPr>
            </w:pPr>
            <w:r w:rsidRPr="00FA157F">
              <w:rPr>
                <w:rFonts w:cs="Calibri"/>
                <w:b/>
                <w:sz w:val="18"/>
                <w:szCs w:val="18"/>
              </w:rPr>
              <w:lastRenderedPageBreak/>
              <w:t>43</w:t>
            </w:r>
          </w:p>
          <w:p w14:paraId="3E224E2C" w14:textId="47025600" w:rsidR="00FA157F" w:rsidRPr="00FA157F" w:rsidRDefault="00FA157F" w:rsidP="00FA157F">
            <w:pPr>
              <w:spacing w:before="40" w:after="40"/>
              <w:rPr>
                <w:rFonts w:cs="Calibri"/>
                <w:bCs/>
                <w:sz w:val="18"/>
                <w:szCs w:val="18"/>
              </w:rPr>
            </w:pPr>
            <w:r w:rsidRPr="00FA157F">
              <w:rPr>
                <w:rFonts w:cs="Calibri"/>
                <w:bCs/>
                <w:sz w:val="18"/>
                <w:szCs w:val="18"/>
              </w:rPr>
              <w:t>6.1.1</w:t>
            </w:r>
            <w:r w:rsidRPr="00FA157F">
              <w:rPr>
                <w:rFonts w:cs="Calibri"/>
                <w:bCs/>
                <w:sz w:val="18"/>
                <w:szCs w:val="18"/>
              </w:rPr>
              <w:tab/>
              <w:t>Cada administración</w:t>
            </w:r>
            <w:r w:rsidR="00551CE3">
              <w:rPr>
                <w:rFonts w:cs="Calibri"/>
                <w:bCs/>
                <w:sz w:val="18"/>
                <w:szCs w:val="18"/>
              </w:rPr>
              <w:t xml:space="preserve"> [o empresas privadas de explotación reconocidas]</w:t>
            </w:r>
            <w:r w:rsidRPr="00FA157F">
              <w:rPr>
                <w:rFonts w:cs="Calibri"/>
                <w:bCs/>
                <w:sz w:val="18"/>
                <w:szCs w:val="18"/>
              </w:rPr>
              <w:t xml:space="preserve"> establecerá, de conformidad con la legislación nacional aplicable, las tasas que ha de percibir de sus clientes. La fijación del nivel de estas tasas es un asunto de índole nacional; sin embargo, al establecerlas, las administraciones* procurarán que no </w:t>
            </w:r>
            <w:r w:rsidRPr="00FA157F">
              <w:rPr>
                <w:rFonts w:cs="Calibri"/>
                <w:bCs/>
                <w:sz w:val="18"/>
                <w:szCs w:val="18"/>
              </w:rPr>
              <w:lastRenderedPageBreak/>
              <w:t>haya una disimetría demasiado grande entre las tasas de percepción aplicables en los dos sentidos de una misma relación.</w:t>
            </w:r>
          </w:p>
          <w:p w14:paraId="0D25A3EA" w14:textId="619766C8" w:rsidR="00FA157F" w:rsidRDefault="00FA157F" w:rsidP="00F06A8D">
            <w:pPr>
              <w:keepNext/>
              <w:keepLines/>
              <w:spacing w:before="40" w:after="40"/>
              <w:rPr>
                <w:rFonts w:cs="Calibri"/>
                <w:bCs/>
                <w:sz w:val="18"/>
                <w:szCs w:val="18"/>
              </w:rPr>
            </w:pPr>
            <w:r w:rsidRPr="00FA157F">
              <w:rPr>
                <w:rFonts w:cs="Calibri"/>
                <w:b/>
                <w:sz w:val="18"/>
                <w:szCs w:val="18"/>
              </w:rPr>
              <w:t>44</w:t>
            </w:r>
          </w:p>
          <w:p w14:paraId="224C6EA1" w14:textId="38DCD586" w:rsidR="004E0A94" w:rsidRPr="001C4C08" w:rsidRDefault="00FA157F" w:rsidP="00F06A8D">
            <w:pPr>
              <w:keepNext/>
              <w:keepLines/>
              <w:spacing w:before="40" w:after="40"/>
              <w:rPr>
                <w:rFonts w:cs="Calibri"/>
                <w:bCs/>
                <w:sz w:val="18"/>
                <w:szCs w:val="18"/>
              </w:rPr>
            </w:pPr>
            <w:r w:rsidRPr="00FA157F">
              <w:rPr>
                <w:rFonts w:cs="Calibri"/>
                <w:bCs/>
                <w:sz w:val="18"/>
                <w:szCs w:val="18"/>
              </w:rPr>
              <w:t>6.1.2</w:t>
            </w:r>
            <w:r w:rsidRPr="00FA157F">
              <w:rPr>
                <w:rFonts w:cs="Calibri"/>
                <w:bCs/>
                <w:sz w:val="18"/>
                <w:szCs w:val="18"/>
              </w:rPr>
              <w:tab/>
              <w:t>En principio, la tasa que una administración</w:t>
            </w:r>
            <w:r w:rsidR="00551CE3">
              <w:rPr>
                <w:rFonts w:cs="Calibri"/>
                <w:bCs/>
                <w:sz w:val="18"/>
                <w:szCs w:val="18"/>
              </w:rPr>
              <w:t xml:space="preserve"> [o empresas privadas de explotación reconocidas]</w:t>
            </w:r>
            <w:r w:rsidRPr="00FA157F">
              <w:rPr>
                <w:rFonts w:cs="Calibri"/>
                <w:bCs/>
                <w:sz w:val="18"/>
                <w:szCs w:val="18"/>
              </w:rPr>
              <w:t xml:space="preserve"> ha de percibir de los clientes por una misma prestación deberá ser idéntica en una relación determinada, cualquiera que sea la ruta elegida por esta administración</w:t>
            </w:r>
            <w:r w:rsidR="00551CE3">
              <w:rPr>
                <w:rFonts w:cs="Calibri"/>
                <w:bCs/>
                <w:sz w:val="18"/>
                <w:szCs w:val="18"/>
              </w:rPr>
              <w:t xml:space="preserve"> [o empresas privadas de explotación reconocidas]</w:t>
            </w:r>
            <w:r w:rsidRPr="00FA157F">
              <w:rPr>
                <w:rFonts w:cs="Calibri"/>
                <w:bCs/>
                <w:sz w:val="18"/>
                <w:szCs w:val="18"/>
              </w:rPr>
              <w:t>.</w:t>
            </w:r>
          </w:p>
        </w:tc>
        <w:tc>
          <w:tcPr>
            <w:tcW w:w="1559" w:type="dxa"/>
            <w:shd w:val="clear" w:color="auto" w:fill="auto"/>
            <w:tcMar>
              <w:left w:w="85" w:type="dxa"/>
              <w:right w:w="85" w:type="dxa"/>
            </w:tcMar>
          </w:tcPr>
          <w:p w14:paraId="71C21764" w14:textId="77777777" w:rsidR="00931ECD" w:rsidRDefault="00931ECD" w:rsidP="00FA157F">
            <w:pPr>
              <w:spacing w:before="40" w:after="40"/>
              <w:rPr>
                <w:sz w:val="18"/>
                <w:szCs w:val="18"/>
                <w:lang w:val="es-ES"/>
              </w:rPr>
            </w:pPr>
          </w:p>
          <w:p w14:paraId="693CD068" w14:textId="3A19258B" w:rsidR="004E0A94" w:rsidRPr="00551CE3" w:rsidRDefault="00551CE3" w:rsidP="00FA157F">
            <w:pPr>
              <w:spacing w:before="40" w:after="40"/>
              <w:rPr>
                <w:sz w:val="18"/>
                <w:szCs w:val="18"/>
                <w:lang w:val="es-ES"/>
              </w:rPr>
            </w:pPr>
            <w:r w:rsidRPr="00551CE3">
              <w:rPr>
                <w:sz w:val="18"/>
                <w:szCs w:val="18"/>
                <w:lang w:val="es-ES"/>
              </w:rPr>
              <w:t>Suficientemente flexible e incentiva l</w:t>
            </w:r>
            <w:r>
              <w:rPr>
                <w:sz w:val="18"/>
                <w:szCs w:val="18"/>
                <w:lang w:val="es-ES"/>
              </w:rPr>
              <w:t>a utilización de la ruta más eficiente.</w:t>
            </w:r>
          </w:p>
        </w:tc>
        <w:tc>
          <w:tcPr>
            <w:tcW w:w="1843" w:type="dxa"/>
            <w:shd w:val="clear" w:color="auto" w:fill="auto"/>
            <w:tcMar>
              <w:left w:w="85" w:type="dxa"/>
              <w:right w:w="85" w:type="dxa"/>
            </w:tcMar>
          </w:tcPr>
          <w:p w14:paraId="5E63CCFC" w14:textId="77777777" w:rsidR="00931ECD" w:rsidRDefault="00931ECD" w:rsidP="00FA157F">
            <w:pPr>
              <w:spacing w:before="40" w:after="40"/>
              <w:rPr>
                <w:sz w:val="18"/>
                <w:szCs w:val="18"/>
              </w:rPr>
            </w:pPr>
          </w:p>
          <w:p w14:paraId="5D140F47" w14:textId="3E08459F" w:rsidR="004E0A94" w:rsidRPr="001C4C08" w:rsidRDefault="00551CE3" w:rsidP="00FA157F">
            <w:pPr>
              <w:spacing w:before="40" w:after="40"/>
              <w:rPr>
                <w:sz w:val="18"/>
                <w:szCs w:val="18"/>
              </w:rPr>
            </w:pPr>
            <w:r>
              <w:rPr>
                <w:sz w:val="18"/>
                <w:szCs w:val="18"/>
              </w:rPr>
              <w:t>Suficientemente flexible</w:t>
            </w:r>
          </w:p>
        </w:tc>
        <w:tc>
          <w:tcPr>
            <w:tcW w:w="1422" w:type="dxa"/>
            <w:shd w:val="clear" w:color="auto" w:fill="auto"/>
            <w:tcMar>
              <w:left w:w="85" w:type="dxa"/>
              <w:right w:w="85" w:type="dxa"/>
            </w:tcMar>
          </w:tcPr>
          <w:p w14:paraId="31714601" w14:textId="77777777" w:rsidR="00F06A8D" w:rsidRPr="00F06A8D" w:rsidRDefault="00F06A8D" w:rsidP="00FA157F">
            <w:pPr>
              <w:spacing w:before="40" w:after="40"/>
              <w:rPr>
                <w:bCs/>
                <w:sz w:val="18"/>
                <w:szCs w:val="18"/>
              </w:rPr>
            </w:pPr>
          </w:p>
          <w:p w14:paraId="659B0D67" w14:textId="2E092F88" w:rsidR="004E0A94" w:rsidRPr="001C4C08" w:rsidRDefault="00FA157F" w:rsidP="00FA157F">
            <w:pPr>
              <w:spacing w:before="40" w:after="40"/>
              <w:rPr>
                <w:b/>
                <w:sz w:val="18"/>
                <w:szCs w:val="18"/>
              </w:rPr>
            </w:pPr>
            <w:r w:rsidRPr="001C4C08">
              <w:rPr>
                <w:b/>
                <w:sz w:val="18"/>
                <w:szCs w:val="18"/>
              </w:rPr>
              <w:t>No se requiere cambio.</w:t>
            </w:r>
          </w:p>
        </w:tc>
      </w:tr>
      <w:tr w:rsidR="00B40D6A" w:rsidRPr="001C4C08" w14:paraId="325838F6" w14:textId="77777777" w:rsidTr="00FA157F">
        <w:trPr>
          <w:jc w:val="center"/>
        </w:trPr>
        <w:tc>
          <w:tcPr>
            <w:tcW w:w="1129" w:type="dxa"/>
            <w:tcMar>
              <w:left w:w="85" w:type="dxa"/>
              <w:right w:w="85" w:type="dxa"/>
            </w:tcMar>
          </w:tcPr>
          <w:p w14:paraId="7E7B22D0" w14:textId="7D4E6448" w:rsidR="004E0A94" w:rsidRPr="001C4C08" w:rsidRDefault="004E0A94" w:rsidP="00FA157F">
            <w:pPr>
              <w:spacing w:before="40" w:after="40"/>
              <w:rPr>
                <w:rFonts w:cs="Calibri"/>
                <w:b/>
                <w:bCs/>
                <w:sz w:val="18"/>
                <w:szCs w:val="18"/>
              </w:rPr>
            </w:pPr>
            <w:bookmarkStart w:id="24" w:name="lt_pId146"/>
            <w:r w:rsidRPr="001C4C08">
              <w:rPr>
                <w:rFonts w:cs="Calibri"/>
                <w:b/>
                <w:bCs/>
                <w:sz w:val="18"/>
                <w:szCs w:val="18"/>
              </w:rPr>
              <w:t xml:space="preserve">Artículo </w:t>
            </w:r>
            <w:bookmarkEnd w:id="24"/>
            <w:r w:rsidR="00F06A8D">
              <w:rPr>
                <w:rFonts w:cs="Calibri"/>
                <w:b/>
                <w:bCs/>
                <w:sz w:val="18"/>
                <w:szCs w:val="18"/>
              </w:rPr>
              <w:t>8</w:t>
            </w:r>
          </w:p>
        </w:tc>
        <w:tc>
          <w:tcPr>
            <w:tcW w:w="1843" w:type="dxa"/>
            <w:tcMar>
              <w:left w:w="85" w:type="dxa"/>
              <w:right w:w="85" w:type="dxa"/>
            </w:tcMar>
          </w:tcPr>
          <w:p w14:paraId="6C2B57AB" w14:textId="55CF1EC6" w:rsidR="00FA157F" w:rsidRPr="00FA157F" w:rsidRDefault="00FA157F" w:rsidP="00FA157F">
            <w:pPr>
              <w:spacing w:before="40" w:after="40"/>
              <w:rPr>
                <w:rFonts w:cs="Calibri"/>
                <w:b/>
                <w:sz w:val="18"/>
                <w:szCs w:val="18"/>
              </w:rPr>
            </w:pPr>
            <w:r w:rsidRPr="00FA157F">
              <w:rPr>
                <w:rFonts w:cs="Calibri"/>
                <w:b/>
                <w:sz w:val="18"/>
                <w:szCs w:val="18"/>
              </w:rPr>
              <w:t>64</w:t>
            </w:r>
          </w:p>
          <w:p w14:paraId="54F37A26" w14:textId="3F744FEF" w:rsidR="004E0A94" w:rsidRPr="001C4C08" w:rsidRDefault="00FA157F" w:rsidP="00FA157F">
            <w:pPr>
              <w:spacing w:before="40" w:after="40"/>
              <w:rPr>
                <w:rFonts w:cs="Calibri"/>
                <w:bCs/>
                <w:sz w:val="18"/>
                <w:szCs w:val="18"/>
              </w:rPr>
            </w:pPr>
            <w:r w:rsidRPr="00FA157F">
              <w:rPr>
                <w:rFonts w:cs="Calibri"/>
                <w:bCs/>
                <w:sz w:val="18"/>
                <w:szCs w:val="18"/>
              </w:rPr>
              <w:t>8.3.1</w:t>
            </w:r>
            <w:r w:rsidRPr="00FA157F">
              <w:rPr>
                <w:rFonts w:cs="Calibri"/>
                <w:bCs/>
                <w:sz w:val="18"/>
                <w:szCs w:val="18"/>
              </w:rPr>
              <w:tab/>
              <w: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t>
            </w:r>
          </w:p>
        </w:tc>
        <w:tc>
          <w:tcPr>
            <w:tcW w:w="1843" w:type="dxa"/>
            <w:tcMar>
              <w:left w:w="85" w:type="dxa"/>
              <w:right w:w="85" w:type="dxa"/>
            </w:tcMar>
          </w:tcPr>
          <w:p w14:paraId="6131BF9A" w14:textId="77777777" w:rsidR="00FA157F" w:rsidRDefault="00FA157F" w:rsidP="00FA157F">
            <w:pPr>
              <w:spacing w:before="40" w:after="40"/>
              <w:rPr>
                <w:rFonts w:cs="Calibri"/>
                <w:bCs/>
                <w:sz w:val="18"/>
                <w:szCs w:val="18"/>
              </w:rPr>
            </w:pPr>
            <w:r w:rsidRPr="00FA157F">
              <w:rPr>
                <w:rFonts w:cs="Calibri"/>
                <w:b/>
                <w:sz w:val="18"/>
                <w:szCs w:val="18"/>
              </w:rPr>
              <w:t>45</w:t>
            </w:r>
          </w:p>
          <w:p w14:paraId="1BA1F5EC" w14:textId="26212915" w:rsidR="004E0A94" w:rsidRPr="001C4C08" w:rsidRDefault="00FA157F" w:rsidP="00FA157F">
            <w:pPr>
              <w:spacing w:before="40" w:after="40"/>
              <w:rPr>
                <w:rFonts w:cs="Calibri"/>
                <w:bCs/>
                <w:sz w:val="18"/>
                <w:szCs w:val="18"/>
              </w:rPr>
            </w:pPr>
            <w:r w:rsidRPr="00FA157F">
              <w:rPr>
                <w:rFonts w:cs="Calibri"/>
                <w:bCs/>
                <w:sz w:val="18"/>
                <w:szCs w:val="18"/>
              </w:rPr>
              <w:t>6.1.3</w:t>
            </w:r>
            <w:r w:rsidRPr="00FA157F">
              <w:rPr>
                <w:rFonts w:cs="Calibri"/>
                <w:bCs/>
                <w:sz w:val="18"/>
                <w:szCs w:val="18"/>
              </w:rPr>
              <w:tab/>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tc>
        <w:tc>
          <w:tcPr>
            <w:tcW w:w="1559" w:type="dxa"/>
            <w:tcMar>
              <w:left w:w="85" w:type="dxa"/>
              <w:right w:w="85" w:type="dxa"/>
            </w:tcMar>
          </w:tcPr>
          <w:p w14:paraId="019250CD" w14:textId="77777777" w:rsidR="00931ECD" w:rsidRDefault="00931ECD" w:rsidP="00FA157F">
            <w:pPr>
              <w:spacing w:before="40" w:after="40"/>
              <w:rPr>
                <w:sz w:val="18"/>
                <w:szCs w:val="18"/>
                <w:lang w:val="es-ES"/>
              </w:rPr>
            </w:pPr>
          </w:p>
          <w:p w14:paraId="2F642AB7" w14:textId="35BBD2CA" w:rsidR="004E0A94" w:rsidRPr="00551CE3" w:rsidRDefault="00551CE3" w:rsidP="00FA157F">
            <w:pPr>
              <w:spacing w:before="40" w:after="40"/>
              <w:rPr>
                <w:sz w:val="18"/>
                <w:szCs w:val="18"/>
                <w:lang w:val="es-ES"/>
              </w:rPr>
            </w:pPr>
            <w:r w:rsidRPr="00551CE3">
              <w:rPr>
                <w:sz w:val="18"/>
                <w:szCs w:val="18"/>
                <w:lang w:val="es-ES"/>
              </w:rPr>
              <w:t>Esta disposición parece idéntica a</w:t>
            </w:r>
            <w:r>
              <w:rPr>
                <w:sz w:val="18"/>
                <w:szCs w:val="18"/>
                <w:lang w:val="es-ES"/>
              </w:rPr>
              <w:t xml:space="preserve"> la de 1988.</w:t>
            </w:r>
          </w:p>
        </w:tc>
        <w:tc>
          <w:tcPr>
            <w:tcW w:w="1843" w:type="dxa"/>
            <w:tcMar>
              <w:left w:w="85" w:type="dxa"/>
              <w:right w:w="85" w:type="dxa"/>
            </w:tcMar>
          </w:tcPr>
          <w:p w14:paraId="4F212A75" w14:textId="77777777" w:rsidR="00F06A8D" w:rsidRPr="00551CE3" w:rsidRDefault="00F06A8D" w:rsidP="00FA157F">
            <w:pPr>
              <w:tabs>
                <w:tab w:val="clear" w:pos="567"/>
                <w:tab w:val="left" w:pos="234"/>
              </w:tabs>
              <w:spacing w:before="40" w:after="40"/>
              <w:ind w:left="234" w:hanging="234"/>
              <w:rPr>
                <w:sz w:val="18"/>
                <w:szCs w:val="18"/>
                <w:lang w:val="es-ES"/>
              </w:rPr>
            </w:pPr>
          </w:p>
          <w:p w14:paraId="5BC64D78" w14:textId="4EAD18ED" w:rsidR="00FA157F" w:rsidRPr="0016378A" w:rsidRDefault="00FA157F" w:rsidP="00FA157F">
            <w:pPr>
              <w:tabs>
                <w:tab w:val="clear" w:pos="567"/>
                <w:tab w:val="left" w:pos="234"/>
              </w:tabs>
              <w:spacing w:before="40" w:after="40"/>
              <w:ind w:left="234" w:hanging="234"/>
              <w:rPr>
                <w:sz w:val="18"/>
                <w:szCs w:val="18"/>
                <w:lang w:val="es-ES"/>
              </w:rPr>
            </w:pPr>
            <w:r w:rsidRPr="0016378A">
              <w:rPr>
                <w:sz w:val="18"/>
                <w:szCs w:val="18"/>
                <w:lang w:val="es-ES"/>
              </w:rPr>
              <w:t>•</w:t>
            </w:r>
            <w:r w:rsidRPr="0016378A">
              <w:rPr>
                <w:sz w:val="18"/>
                <w:szCs w:val="18"/>
                <w:lang w:val="es-ES"/>
              </w:rPr>
              <w:tab/>
              <w:t>Suf</w:t>
            </w:r>
            <w:r w:rsidR="00551CE3" w:rsidRPr="0016378A">
              <w:rPr>
                <w:sz w:val="18"/>
                <w:szCs w:val="18"/>
                <w:lang w:val="es-ES"/>
              </w:rPr>
              <w:t>icientemente</w:t>
            </w:r>
            <w:r w:rsidRPr="0016378A">
              <w:rPr>
                <w:sz w:val="18"/>
                <w:szCs w:val="18"/>
                <w:lang w:val="es-ES"/>
              </w:rPr>
              <w:t xml:space="preserve"> flexible.</w:t>
            </w:r>
          </w:p>
          <w:p w14:paraId="30C76900" w14:textId="6A6A2BE9" w:rsidR="004E0A94" w:rsidRPr="00C90BE4" w:rsidRDefault="00FA157F" w:rsidP="00FA157F">
            <w:pPr>
              <w:tabs>
                <w:tab w:val="clear" w:pos="567"/>
                <w:tab w:val="left" w:pos="234"/>
              </w:tabs>
              <w:spacing w:before="40" w:after="40"/>
              <w:ind w:left="234" w:hanging="234"/>
              <w:rPr>
                <w:sz w:val="18"/>
                <w:szCs w:val="18"/>
                <w:lang w:val="es-ES"/>
              </w:rPr>
            </w:pPr>
            <w:r w:rsidRPr="00C90BE4">
              <w:rPr>
                <w:sz w:val="18"/>
                <w:szCs w:val="18"/>
                <w:lang w:val="es-ES"/>
              </w:rPr>
              <w:t>•</w:t>
            </w:r>
            <w:r w:rsidRPr="00C90BE4">
              <w:rPr>
                <w:sz w:val="18"/>
                <w:szCs w:val="18"/>
                <w:lang w:val="es-ES"/>
              </w:rPr>
              <w:tab/>
            </w:r>
            <w:r w:rsidR="00551CE3" w:rsidRPr="00C90BE4">
              <w:rPr>
                <w:sz w:val="18"/>
                <w:szCs w:val="18"/>
                <w:lang w:val="es-ES"/>
              </w:rPr>
              <w:t>no impone automáticamente tasas fiscales</w:t>
            </w:r>
            <w:r w:rsidR="00C90BE4" w:rsidRPr="00C90BE4">
              <w:rPr>
                <w:sz w:val="18"/>
                <w:szCs w:val="18"/>
                <w:lang w:val="es-ES"/>
              </w:rPr>
              <w:t xml:space="preserve"> a otros países, por lo que respecta la soberanía de los Estados Miembro</w:t>
            </w:r>
            <w:r w:rsidR="00C90BE4">
              <w:rPr>
                <w:sz w:val="18"/>
                <w:szCs w:val="18"/>
                <w:lang w:val="es-ES"/>
              </w:rPr>
              <w:t>s</w:t>
            </w:r>
            <w:r w:rsidRPr="00C90BE4">
              <w:rPr>
                <w:sz w:val="18"/>
                <w:szCs w:val="18"/>
                <w:lang w:val="es-ES"/>
              </w:rPr>
              <w:t>.</w:t>
            </w:r>
          </w:p>
        </w:tc>
        <w:tc>
          <w:tcPr>
            <w:tcW w:w="1422" w:type="dxa"/>
            <w:tcMar>
              <w:left w:w="85" w:type="dxa"/>
              <w:right w:w="85" w:type="dxa"/>
            </w:tcMar>
          </w:tcPr>
          <w:p w14:paraId="6A4B7AAF" w14:textId="77777777" w:rsidR="00F06A8D" w:rsidRPr="00C90BE4" w:rsidRDefault="00F06A8D" w:rsidP="00FA157F">
            <w:pPr>
              <w:spacing w:before="40" w:after="40"/>
              <w:rPr>
                <w:bCs/>
                <w:sz w:val="18"/>
                <w:szCs w:val="18"/>
                <w:lang w:val="es-ES"/>
              </w:rPr>
            </w:pPr>
          </w:p>
          <w:p w14:paraId="6D13F984" w14:textId="4666A16C" w:rsidR="004E0A94" w:rsidRPr="001C4C08" w:rsidRDefault="004E0A94" w:rsidP="00FA157F">
            <w:pPr>
              <w:spacing w:before="40" w:after="40"/>
              <w:rPr>
                <w:b/>
                <w:sz w:val="18"/>
                <w:szCs w:val="18"/>
              </w:rPr>
            </w:pPr>
            <w:r w:rsidRPr="001C4C08">
              <w:rPr>
                <w:b/>
                <w:sz w:val="18"/>
                <w:szCs w:val="18"/>
              </w:rPr>
              <w:t>No se requiere cambio.</w:t>
            </w:r>
          </w:p>
        </w:tc>
      </w:tr>
      <w:tr w:rsidR="00B40D6A" w:rsidRPr="001C4C08" w14:paraId="4EF524E3" w14:textId="77777777" w:rsidTr="00FA157F">
        <w:trPr>
          <w:jc w:val="center"/>
        </w:trPr>
        <w:tc>
          <w:tcPr>
            <w:tcW w:w="1129" w:type="dxa"/>
            <w:tcMar>
              <w:left w:w="85" w:type="dxa"/>
              <w:right w:w="85" w:type="dxa"/>
            </w:tcMar>
          </w:tcPr>
          <w:p w14:paraId="7D8E0084" w14:textId="4C05A5FA" w:rsidR="004E0A94" w:rsidRPr="001C4C08" w:rsidRDefault="004E0A94" w:rsidP="00FA157F">
            <w:pPr>
              <w:spacing w:before="40" w:after="40"/>
              <w:rPr>
                <w:rFonts w:cs="Calibri"/>
                <w:b/>
                <w:bCs/>
                <w:sz w:val="18"/>
                <w:szCs w:val="18"/>
              </w:rPr>
            </w:pPr>
            <w:bookmarkStart w:id="25" w:name="lt_pId155"/>
            <w:r w:rsidRPr="001C4C08">
              <w:rPr>
                <w:rFonts w:cs="Calibri"/>
                <w:b/>
                <w:bCs/>
                <w:sz w:val="18"/>
                <w:szCs w:val="18"/>
              </w:rPr>
              <w:t xml:space="preserve">Artículo </w:t>
            </w:r>
            <w:bookmarkEnd w:id="25"/>
            <w:r w:rsidR="00FA157F">
              <w:rPr>
                <w:rFonts w:cs="Calibri"/>
                <w:b/>
                <w:bCs/>
                <w:sz w:val="18"/>
                <w:szCs w:val="18"/>
              </w:rPr>
              <w:t>8</w:t>
            </w:r>
          </w:p>
        </w:tc>
        <w:tc>
          <w:tcPr>
            <w:tcW w:w="1843" w:type="dxa"/>
            <w:tcMar>
              <w:left w:w="85" w:type="dxa"/>
              <w:right w:w="85" w:type="dxa"/>
            </w:tcMar>
          </w:tcPr>
          <w:p w14:paraId="05EC9972" w14:textId="60C74CA8" w:rsidR="00FA157F" w:rsidRDefault="00FA157F" w:rsidP="00FA157F">
            <w:pPr>
              <w:spacing w:before="40" w:after="40"/>
              <w:rPr>
                <w:rFonts w:cs="Calibri"/>
                <w:b/>
                <w:bCs/>
                <w:sz w:val="18"/>
                <w:szCs w:val="18"/>
              </w:rPr>
            </w:pPr>
            <w:r w:rsidRPr="00FA157F">
              <w:rPr>
                <w:rFonts w:cs="Calibri"/>
                <w:b/>
                <w:bCs/>
                <w:sz w:val="18"/>
                <w:szCs w:val="18"/>
              </w:rPr>
              <w:t>66</w:t>
            </w:r>
          </w:p>
          <w:p w14:paraId="4BB6CF46" w14:textId="26116F6E" w:rsidR="004E0A94" w:rsidRPr="001C4C08" w:rsidRDefault="00FA157F" w:rsidP="00FA157F">
            <w:pPr>
              <w:spacing w:before="40" w:after="40"/>
              <w:rPr>
                <w:rFonts w:cs="Calibri"/>
                <w:bCs/>
                <w:sz w:val="18"/>
                <w:szCs w:val="18"/>
              </w:rPr>
            </w:pPr>
            <w:r w:rsidRPr="00FA157F">
              <w:rPr>
                <w:rFonts w:cs="Calibri"/>
                <w:sz w:val="18"/>
                <w:szCs w:val="18"/>
              </w:rPr>
              <w:t>8.4.1</w:t>
            </w:r>
            <w:r w:rsidRPr="00FA157F">
              <w:rPr>
                <w:rFonts w:cs="Calibri"/>
                <w:sz w:val="18"/>
                <w:szCs w:val="18"/>
              </w:rPr>
              <w:tab/>
              <w:t xml:space="preserve">Las empresas de explotación autorizadas podrán en principio renunciar a incluir las telecomunicaciones de servicio en la </w:t>
            </w:r>
            <w:r w:rsidRPr="00FA157F">
              <w:rPr>
                <w:rFonts w:cs="Calibri"/>
                <w:sz w:val="18"/>
                <w:szCs w:val="18"/>
              </w:rPr>
              <w:lastRenderedPageBreak/>
              <w:t>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 autorizadas pueden proporcionar dichos servicios de telecomunicación de forma gratuita.</w:t>
            </w:r>
          </w:p>
        </w:tc>
        <w:tc>
          <w:tcPr>
            <w:tcW w:w="1843" w:type="dxa"/>
            <w:tcMar>
              <w:left w:w="85" w:type="dxa"/>
              <w:right w:w="85" w:type="dxa"/>
            </w:tcMar>
          </w:tcPr>
          <w:p w14:paraId="64641D12" w14:textId="6FBC2689" w:rsidR="00FA157F" w:rsidRDefault="00FA157F" w:rsidP="00FA157F">
            <w:pPr>
              <w:spacing w:before="40" w:after="40"/>
              <w:rPr>
                <w:rFonts w:cs="Calibri"/>
                <w:bCs/>
                <w:sz w:val="18"/>
                <w:szCs w:val="18"/>
              </w:rPr>
            </w:pPr>
            <w:r w:rsidRPr="00FA157F">
              <w:rPr>
                <w:rFonts w:cs="Calibri"/>
                <w:b/>
                <w:sz w:val="18"/>
                <w:szCs w:val="18"/>
              </w:rPr>
              <w:lastRenderedPageBreak/>
              <w:t>54</w:t>
            </w:r>
          </w:p>
          <w:p w14:paraId="3F3A8C11" w14:textId="22448323" w:rsidR="004E0A94" w:rsidRPr="001C4C08" w:rsidRDefault="00FA157F" w:rsidP="00FA157F">
            <w:pPr>
              <w:spacing w:before="40" w:after="40"/>
              <w:rPr>
                <w:rFonts w:cs="Calibri"/>
                <w:bCs/>
                <w:sz w:val="18"/>
                <w:szCs w:val="18"/>
              </w:rPr>
            </w:pPr>
            <w:r w:rsidRPr="00FA157F">
              <w:rPr>
                <w:rFonts w:cs="Calibri"/>
                <w:bCs/>
                <w:sz w:val="18"/>
                <w:szCs w:val="18"/>
              </w:rPr>
              <w:t>6.5.1</w:t>
            </w:r>
            <w:r w:rsidRPr="00FA157F">
              <w:rPr>
                <w:rFonts w:cs="Calibri"/>
                <w:bCs/>
                <w:sz w:val="18"/>
                <w:szCs w:val="18"/>
              </w:rPr>
              <w:tab/>
              <w:t>Las administraciones</w:t>
            </w:r>
            <w:r w:rsidR="00C90BE4">
              <w:rPr>
                <w:rFonts w:cs="Calibri"/>
                <w:bCs/>
                <w:sz w:val="18"/>
                <w:szCs w:val="18"/>
              </w:rPr>
              <w:t xml:space="preserve"> [o empresas privadas de explotación reconocidas]</w:t>
            </w:r>
            <w:r w:rsidRPr="00FA157F">
              <w:rPr>
                <w:rFonts w:cs="Calibri"/>
                <w:bCs/>
                <w:sz w:val="18"/>
                <w:szCs w:val="18"/>
              </w:rPr>
              <w:t xml:space="preserve"> deberán aplicar las disposiciones </w:t>
            </w:r>
            <w:r w:rsidRPr="00FA157F">
              <w:rPr>
                <w:rFonts w:cs="Calibri"/>
                <w:bCs/>
                <w:sz w:val="18"/>
                <w:szCs w:val="18"/>
              </w:rPr>
              <w:lastRenderedPageBreak/>
              <w:t>pertinentes que figuran en el Apéndice</w:t>
            </w:r>
            <w:r>
              <w:rPr>
                <w:rFonts w:cs="Calibri"/>
                <w:bCs/>
                <w:sz w:val="18"/>
                <w:szCs w:val="18"/>
              </w:rPr>
              <w:t> </w:t>
            </w:r>
            <w:r w:rsidRPr="00FA157F">
              <w:rPr>
                <w:rFonts w:cs="Calibri"/>
                <w:bCs/>
                <w:sz w:val="18"/>
                <w:szCs w:val="18"/>
              </w:rPr>
              <w:t>3.</w:t>
            </w:r>
          </w:p>
        </w:tc>
        <w:tc>
          <w:tcPr>
            <w:tcW w:w="1559" w:type="dxa"/>
            <w:tcMar>
              <w:left w:w="85" w:type="dxa"/>
              <w:right w:w="85" w:type="dxa"/>
            </w:tcMar>
          </w:tcPr>
          <w:p w14:paraId="7A7AF968" w14:textId="77777777" w:rsidR="00F06A8D" w:rsidRDefault="00F06A8D" w:rsidP="00FA157F">
            <w:pPr>
              <w:spacing w:before="40" w:after="40"/>
              <w:rPr>
                <w:bCs/>
                <w:sz w:val="18"/>
                <w:szCs w:val="18"/>
              </w:rPr>
            </w:pPr>
          </w:p>
          <w:p w14:paraId="441C47A2" w14:textId="3D049A67" w:rsidR="004E0A94" w:rsidRPr="00C90BE4" w:rsidRDefault="00C90BE4" w:rsidP="00FA157F">
            <w:pPr>
              <w:spacing w:before="40" w:after="40"/>
              <w:rPr>
                <w:bCs/>
                <w:sz w:val="18"/>
                <w:szCs w:val="18"/>
                <w:lang w:val="es-ES"/>
              </w:rPr>
            </w:pPr>
            <w:r w:rsidRPr="00C90BE4">
              <w:rPr>
                <w:bCs/>
                <w:sz w:val="18"/>
                <w:szCs w:val="18"/>
                <w:lang w:val="es-ES"/>
              </w:rPr>
              <w:t>Las disposiciones del Apéndice</w:t>
            </w:r>
            <w:r w:rsidR="00FA157F" w:rsidRPr="00C90BE4">
              <w:rPr>
                <w:bCs/>
                <w:sz w:val="18"/>
                <w:szCs w:val="18"/>
                <w:lang w:val="es-ES"/>
              </w:rPr>
              <w:t xml:space="preserve"> 3 </w:t>
            </w:r>
            <w:r w:rsidRPr="00C90BE4">
              <w:rPr>
                <w:bCs/>
                <w:sz w:val="18"/>
                <w:szCs w:val="18"/>
                <w:lang w:val="es-ES"/>
              </w:rPr>
              <w:t>del RTI de</w:t>
            </w:r>
            <w:r w:rsidR="00FA157F" w:rsidRPr="00C90BE4">
              <w:rPr>
                <w:bCs/>
                <w:sz w:val="18"/>
                <w:szCs w:val="18"/>
                <w:lang w:val="es-ES"/>
              </w:rPr>
              <w:t xml:space="preserve"> 1988 </w:t>
            </w:r>
            <w:r w:rsidRPr="00C90BE4">
              <w:rPr>
                <w:bCs/>
                <w:sz w:val="18"/>
                <w:szCs w:val="18"/>
                <w:lang w:val="es-ES"/>
              </w:rPr>
              <w:t>se integraron en el</w:t>
            </w:r>
            <w:r>
              <w:rPr>
                <w:bCs/>
                <w:sz w:val="18"/>
                <w:szCs w:val="18"/>
                <w:lang w:val="es-ES"/>
              </w:rPr>
              <w:t xml:space="preserve"> RTI de 2012</w:t>
            </w:r>
            <w:r w:rsidR="00FA157F" w:rsidRPr="00C90BE4">
              <w:rPr>
                <w:bCs/>
                <w:sz w:val="18"/>
                <w:szCs w:val="18"/>
                <w:lang w:val="es-ES"/>
              </w:rPr>
              <w:t>.</w:t>
            </w:r>
          </w:p>
        </w:tc>
        <w:tc>
          <w:tcPr>
            <w:tcW w:w="1843" w:type="dxa"/>
            <w:tcMar>
              <w:left w:w="85" w:type="dxa"/>
              <w:right w:w="85" w:type="dxa"/>
            </w:tcMar>
          </w:tcPr>
          <w:p w14:paraId="5A546745" w14:textId="77777777" w:rsidR="00931ECD" w:rsidRDefault="00931ECD" w:rsidP="00FA157F">
            <w:pPr>
              <w:spacing w:before="40" w:after="40"/>
              <w:rPr>
                <w:bCs/>
                <w:sz w:val="18"/>
                <w:szCs w:val="18"/>
              </w:rPr>
            </w:pPr>
          </w:p>
          <w:p w14:paraId="0BF4FB6E" w14:textId="65326B8A" w:rsidR="004E0A94" w:rsidRPr="001C4C08" w:rsidRDefault="00C90BE4" w:rsidP="00FA157F">
            <w:pPr>
              <w:spacing w:before="40" w:after="40"/>
              <w:rPr>
                <w:bCs/>
                <w:sz w:val="18"/>
                <w:szCs w:val="18"/>
              </w:rPr>
            </w:pPr>
            <w:r>
              <w:rPr>
                <w:bCs/>
                <w:sz w:val="18"/>
                <w:szCs w:val="18"/>
              </w:rPr>
              <w:t>Suficientemente flexible</w:t>
            </w:r>
          </w:p>
        </w:tc>
        <w:tc>
          <w:tcPr>
            <w:tcW w:w="1422" w:type="dxa"/>
            <w:tcMar>
              <w:left w:w="85" w:type="dxa"/>
              <w:right w:w="85" w:type="dxa"/>
            </w:tcMar>
          </w:tcPr>
          <w:p w14:paraId="134232B8" w14:textId="77777777" w:rsidR="00F06A8D" w:rsidRPr="00F06A8D" w:rsidRDefault="00F06A8D" w:rsidP="00FA157F">
            <w:pPr>
              <w:spacing w:before="40" w:after="40"/>
              <w:rPr>
                <w:bCs/>
                <w:sz w:val="18"/>
                <w:szCs w:val="18"/>
              </w:rPr>
            </w:pPr>
          </w:p>
          <w:p w14:paraId="505E5BD0" w14:textId="21389894" w:rsidR="004E0A94" w:rsidRPr="001C4C08" w:rsidRDefault="00FA157F" w:rsidP="00FA157F">
            <w:pPr>
              <w:spacing w:before="40" w:after="40"/>
              <w:rPr>
                <w:b/>
                <w:sz w:val="18"/>
                <w:szCs w:val="18"/>
              </w:rPr>
            </w:pPr>
            <w:r w:rsidRPr="001C4C08">
              <w:rPr>
                <w:b/>
                <w:sz w:val="18"/>
                <w:szCs w:val="18"/>
              </w:rPr>
              <w:t>No se requiere cambio.</w:t>
            </w:r>
          </w:p>
        </w:tc>
      </w:tr>
      <w:tr w:rsidR="00B40D6A" w:rsidRPr="001C4C08" w14:paraId="294F3DF1" w14:textId="77777777" w:rsidTr="00FA157F">
        <w:trPr>
          <w:jc w:val="center"/>
        </w:trPr>
        <w:tc>
          <w:tcPr>
            <w:tcW w:w="1129" w:type="dxa"/>
            <w:shd w:val="clear" w:color="auto" w:fill="FFFFFF"/>
            <w:tcMar>
              <w:left w:w="85" w:type="dxa"/>
              <w:right w:w="85" w:type="dxa"/>
            </w:tcMar>
          </w:tcPr>
          <w:p w14:paraId="2D94E8A4" w14:textId="6E54714F" w:rsidR="004E0A94" w:rsidRPr="001C4C08" w:rsidRDefault="004E0A94" w:rsidP="00FA157F">
            <w:pPr>
              <w:spacing w:before="40" w:after="40"/>
              <w:rPr>
                <w:rFonts w:cs="Calibri"/>
                <w:b/>
                <w:bCs/>
                <w:sz w:val="18"/>
                <w:szCs w:val="18"/>
              </w:rPr>
            </w:pPr>
            <w:bookmarkStart w:id="26" w:name="lt_pId164"/>
            <w:r w:rsidRPr="001C4C08">
              <w:rPr>
                <w:rFonts w:cs="Calibri"/>
                <w:b/>
                <w:bCs/>
                <w:sz w:val="18"/>
                <w:szCs w:val="18"/>
              </w:rPr>
              <w:t xml:space="preserve">Artículo </w:t>
            </w:r>
            <w:bookmarkEnd w:id="26"/>
            <w:r w:rsidR="00FA157F">
              <w:rPr>
                <w:rFonts w:cs="Calibri"/>
                <w:b/>
                <w:bCs/>
                <w:sz w:val="18"/>
                <w:szCs w:val="18"/>
              </w:rPr>
              <w:t>8</w:t>
            </w:r>
          </w:p>
        </w:tc>
        <w:tc>
          <w:tcPr>
            <w:tcW w:w="1843" w:type="dxa"/>
            <w:shd w:val="clear" w:color="auto" w:fill="FFFFFF"/>
            <w:tcMar>
              <w:left w:w="85" w:type="dxa"/>
              <w:right w:w="85" w:type="dxa"/>
            </w:tcMar>
          </w:tcPr>
          <w:p w14:paraId="6D2355DC" w14:textId="77777777" w:rsidR="00FA157F" w:rsidRDefault="00FA157F" w:rsidP="00FA157F">
            <w:pPr>
              <w:spacing w:before="40" w:after="40"/>
              <w:rPr>
                <w:rFonts w:cs="Calibri"/>
                <w:bCs/>
                <w:sz w:val="18"/>
                <w:szCs w:val="18"/>
              </w:rPr>
            </w:pPr>
            <w:r w:rsidRPr="00FA157F">
              <w:rPr>
                <w:rFonts w:cs="Calibri"/>
                <w:b/>
                <w:sz w:val="18"/>
                <w:szCs w:val="18"/>
              </w:rPr>
              <w:t>67</w:t>
            </w:r>
          </w:p>
          <w:p w14:paraId="44AD9CB1" w14:textId="7A849C9F" w:rsidR="004E0A94" w:rsidRPr="001C4C08" w:rsidRDefault="00FA157F" w:rsidP="00FA157F">
            <w:pPr>
              <w:spacing w:before="40" w:after="40"/>
              <w:rPr>
                <w:rFonts w:cs="Calibri"/>
                <w:bCs/>
                <w:sz w:val="18"/>
                <w:szCs w:val="18"/>
              </w:rPr>
            </w:pPr>
            <w:r w:rsidRPr="00FA157F">
              <w:rPr>
                <w:rFonts w:cs="Calibri"/>
                <w:bCs/>
                <w:sz w:val="18"/>
                <w:szCs w:val="18"/>
              </w:rPr>
              <w:t>8.4.2</w:t>
            </w:r>
            <w:r w:rsidRPr="00FA157F">
              <w:rPr>
                <w:rFonts w:cs="Calibri"/>
                <w:bCs/>
                <w:sz w:val="18"/>
                <w:szCs w:val="18"/>
              </w:rPr>
              <w:tab/>
              <w:t>Los principios generales de explotación, tasación y contabilidad aplicables a las telecomunicaciones de servicio deberían tener en cuenta las Recomendaciones UIT</w:t>
            </w:r>
            <w:r w:rsidR="00F06A8D">
              <w:rPr>
                <w:rFonts w:cs="Calibri"/>
                <w:bCs/>
                <w:sz w:val="18"/>
                <w:szCs w:val="18"/>
              </w:rPr>
              <w:noBreakHyphen/>
            </w:r>
            <w:r w:rsidRPr="00FA157F">
              <w:rPr>
                <w:rFonts w:cs="Calibri"/>
                <w:bCs/>
                <w:sz w:val="18"/>
                <w:szCs w:val="18"/>
              </w:rPr>
              <w:t>T pertinentes.</w:t>
            </w:r>
          </w:p>
        </w:tc>
        <w:tc>
          <w:tcPr>
            <w:tcW w:w="1843" w:type="dxa"/>
            <w:shd w:val="clear" w:color="auto" w:fill="FFFFFF"/>
            <w:tcMar>
              <w:left w:w="85" w:type="dxa"/>
              <w:right w:w="85" w:type="dxa"/>
            </w:tcMar>
          </w:tcPr>
          <w:p w14:paraId="4223C761" w14:textId="77777777" w:rsidR="00F06A8D" w:rsidRDefault="00F06A8D" w:rsidP="00FA157F">
            <w:pPr>
              <w:spacing w:before="40" w:after="40"/>
              <w:rPr>
                <w:rFonts w:cs="Calibri"/>
                <w:bCs/>
                <w:sz w:val="18"/>
                <w:szCs w:val="18"/>
              </w:rPr>
            </w:pPr>
          </w:p>
          <w:p w14:paraId="53610638" w14:textId="6DA08539" w:rsidR="004E0A94" w:rsidRPr="001C4C08" w:rsidRDefault="00FA157F" w:rsidP="00FA157F">
            <w:pPr>
              <w:spacing w:before="40" w:after="40"/>
              <w:rPr>
                <w:rFonts w:cs="Calibri"/>
                <w:bCs/>
                <w:sz w:val="18"/>
                <w:szCs w:val="18"/>
              </w:rPr>
            </w:pPr>
            <w:r w:rsidRPr="00FA157F">
              <w:rPr>
                <w:rFonts w:cs="Calibri"/>
                <w:bCs/>
                <w:sz w:val="18"/>
                <w:szCs w:val="18"/>
              </w:rPr>
              <w:t>No hay disposición análoga.</w:t>
            </w:r>
          </w:p>
        </w:tc>
        <w:tc>
          <w:tcPr>
            <w:tcW w:w="1559" w:type="dxa"/>
            <w:shd w:val="clear" w:color="auto" w:fill="FFFFFF"/>
            <w:tcMar>
              <w:left w:w="85" w:type="dxa"/>
              <w:right w:w="85" w:type="dxa"/>
            </w:tcMar>
          </w:tcPr>
          <w:p w14:paraId="55D3C5A5" w14:textId="77777777" w:rsidR="00F06A8D" w:rsidRPr="0016378A" w:rsidRDefault="00F06A8D" w:rsidP="00FA157F">
            <w:pPr>
              <w:spacing w:before="40" w:after="40"/>
              <w:rPr>
                <w:sz w:val="18"/>
                <w:szCs w:val="18"/>
                <w:lang w:val="es-ES"/>
              </w:rPr>
            </w:pPr>
          </w:p>
          <w:p w14:paraId="4C387CF7" w14:textId="028F5FCE" w:rsidR="004E0A94" w:rsidRPr="00C74ADE" w:rsidRDefault="00C90BE4" w:rsidP="00FA157F">
            <w:pPr>
              <w:spacing w:before="40" w:after="40"/>
              <w:rPr>
                <w:sz w:val="18"/>
                <w:szCs w:val="18"/>
                <w:lang w:val="en-US"/>
              </w:rPr>
            </w:pPr>
            <w:r w:rsidRPr="00C90BE4">
              <w:rPr>
                <w:sz w:val="18"/>
                <w:szCs w:val="18"/>
                <w:lang w:val="es-ES"/>
              </w:rPr>
              <w:t>Esta disposición obliga la aplicación de los princip</w:t>
            </w:r>
            <w:r>
              <w:rPr>
                <w:sz w:val="18"/>
                <w:szCs w:val="18"/>
                <w:lang w:val="es-ES"/>
              </w:rPr>
              <w:t>i</w:t>
            </w:r>
            <w:r w:rsidRPr="00C90BE4">
              <w:rPr>
                <w:sz w:val="18"/>
                <w:szCs w:val="18"/>
                <w:lang w:val="es-ES"/>
              </w:rPr>
              <w:t>os de las tasas de distribución</w:t>
            </w:r>
            <w:r>
              <w:rPr>
                <w:sz w:val="18"/>
                <w:szCs w:val="18"/>
                <w:lang w:val="es-ES"/>
              </w:rPr>
              <w:t xml:space="preserve"> en los acuerdos internacionales. </w:t>
            </w:r>
            <w:r w:rsidRPr="00C90BE4">
              <w:rPr>
                <w:sz w:val="18"/>
                <w:szCs w:val="18"/>
                <w:lang w:val="en-US"/>
              </w:rPr>
              <w:t xml:space="preserve">No </w:t>
            </w:r>
            <w:r>
              <w:rPr>
                <w:sz w:val="18"/>
                <w:szCs w:val="18"/>
                <w:lang w:val="en-US"/>
              </w:rPr>
              <w:t>menoscaba la prestación de redes y servicios</w:t>
            </w:r>
            <w:r w:rsidR="00FA157F" w:rsidRPr="00C74ADE">
              <w:rPr>
                <w:sz w:val="18"/>
                <w:szCs w:val="18"/>
                <w:lang w:val="en-US"/>
              </w:rPr>
              <w:t>.</w:t>
            </w:r>
          </w:p>
        </w:tc>
        <w:tc>
          <w:tcPr>
            <w:tcW w:w="1843" w:type="dxa"/>
            <w:shd w:val="clear" w:color="auto" w:fill="FFFFFF"/>
            <w:tcMar>
              <w:left w:w="85" w:type="dxa"/>
              <w:right w:w="85" w:type="dxa"/>
            </w:tcMar>
          </w:tcPr>
          <w:p w14:paraId="41DB6405" w14:textId="77777777" w:rsidR="00F06A8D" w:rsidRPr="0016378A" w:rsidRDefault="00F06A8D" w:rsidP="00FA157F">
            <w:pPr>
              <w:spacing w:before="40" w:after="40"/>
              <w:rPr>
                <w:sz w:val="18"/>
                <w:szCs w:val="18"/>
                <w:lang w:val="es-ES"/>
              </w:rPr>
            </w:pPr>
          </w:p>
          <w:p w14:paraId="2E1EFBC7" w14:textId="112B696C" w:rsidR="004E0A94" w:rsidRPr="00C90BE4" w:rsidRDefault="00C90BE4" w:rsidP="00FA157F">
            <w:pPr>
              <w:spacing w:before="40" w:after="40"/>
              <w:rPr>
                <w:sz w:val="18"/>
                <w:szCs w:val="18"/>
                <w:lang w:val="es-ES"/>
              </w:rPr>
            </w:pPr>
            <w:r w:rsidRPr="00C90BE4">
              <w:rPr>
                <w:sz w:val="18"/>
                <w:szCs w:val="18"/>
                <w:lang w:val="es-ES"/>
              </w:rPr>
              <w:t xml:space="preserve">Suficientemente flexible; son de aplicación las Recomendaciones </w:t>
            </w:r>
            <w:r>
              <w:rPr>
                <w:sz w:val="18"/>
                <w:szCs w:val="18"/>
                <w:lang w:val="es-ES"/>
              </w:rPr>
              <w:t>UIT-T más recientes</w:t>
            </w:r>
            <w:r w:rsidR="00FA157F" w:rsidRPr="00C90BE4">
              <w:rPr>
                <w:sz w:val="18"/>
                <w:szCs w:val="18"/>
                <w:lang w:val="es-ES"/>
              </w:rPr>
              <w:t>.</w:t>
            </w:r>
          </w:p>
        </w:tc>
        <w:tc>
          <w:tcPr>
            <w:tcW w:w="1422" w:type="dxa"/>
            <w:shd w:val="clear" w:color="auto" w:fill="FFFFFF"/>
            <w:tcMar>
              <w:left w:w="85" w:type="dxa"/>
              <w:right w:w="85" w:type="dxa"/>
            </w:tcMar>
          </w:tcPr>
          <w:p w14:paraId="3C3E6A96" w14:textId="77777777" w:rsidR="00F06A8D" w:rsidRPr="00C90BE4" w:rsidRDefault="00F06A8D" w:rsidP="00FA157F">
            <w:pPr>
              <w:spacing w:before="40" w:after="40"/>
              <w:rPr>
                <w:bCs/>
                <w:sz w:val="18"/>
                <w:szCs w:val="18"/>
                <w:lang w:val="es-ES"/>
              </w:rPr>
            </w:pPr>
          </w:p>
          <w:p w14:paraId="75ADD848" w14:textId="1898E2B8" w:rsidR="004E0A94" w:rsidRPr="001C4C08" w:rsidRDefault="004E0A94" w:rsidP="00FA157F">
            <w:pPr>
              <w:spacing w:before="40" w:after="40"/>
              <w:rPr>
                <w:b/>
                <w:sz w:val="18"/>
                <w:szCs w:val="18"/>
              </w:rPr>
            </w:pPr>
            <w:r w:rsidRPr="001C4C08">
              <w:rPr>
                <w:b/>
                <w:sz w:val="18"/>
                <w:szCs w:val="18"/>
              </w:rPr>
              <w:t>No se requiere cambio.</w:t>
            </w:r>
          </w:p>
        </w:tc>
      </w:tr>
      <w:tr w:rsidR="00B40D6A" w:rsidRPr="001C4C08" w14:paraId="504E287D" w14:textId="77777777" w:rsidTr="00FA157F">
        <w:trPr>
          <w:jc w:val="center"/>
        </w:trPr>
        <w:tc>
          <w:tcPr>
            <w:tcW w:w="1129" w:type="dxa"/>
            <w:tcMar>
              <w:left w:w="85" w:type="dxa"/>
              <w:right w:w="85" w:type="dxa"/>
            </w:tcMar>
          </w:tcPr>
          <w:p w14:paraId="6007FCB9" w14:textId="395235A5" w:rsidR="004E0A94" w:rsidRPr="001C4C08" w:rsidRDefault="00FA157F" w:rsidP="00FA157F">
            <w:pPr>
              <w:spacing w:before="40" w:after="40"/>
              <w:rPr>
                <w:rFonts w:cs="Calibri"/>
                <w:b/>
                <w:bCs/>
                <w:sz w:val="18"/>
                <w:szCs w:val="18"/>
              </w:rPr>
            </w:pPr>
            <w:bookmarkStart w:id="27" w:name="lt_pId172"/>
            <w:r>
              <w:rPr>
                <w:rFonts w:cs="Calibri"/>
                <w:b/>
                <w:bCs/>
                <w:sz w:val="18"/>
                <w:szCs w:val="18"/>
              </w:rPr>
              <w:t>Apéndice</w:t>
            </w:r>
            <w:r w:rsidR="004E0A94" w:rsidRPr="001C4C08">
              <w:rPr>
                <w:rFonts w:cs="Calibri"/>
                <w:b/>
                <w:bCs/>
                <w:sz w:val="18"/>
                <w:szCs w:val="18"/>
              </w:rPr>
              <w:t xml:space="preserve"> </w:t>
            </w:r>
            <w:bookmarkEnd w:id="27"/>
            <w:r>
              <w:rPr>
                <w:rFonts w:cs="Calibri"/>
                <w:b/>
                <w:bCs/>
                <w:sz w:val="18"/>
                <w:szCs w:val="18"/>
              </w:rPr>
              <w:t>1</w:t>
            </w:r>
          </w:p>
        </w:tc>
        <w:tc>
          <w:tcPr>
            <w:tcW w:w="1843" w:type="dxa"/>
            <w:tcMar>
              <w:left w:w="85" w:type="dxa"/>
              <w:right w:w="85" w:type="dxa"/>
            </w:tcMar>
          </w:tcPr>
          <w:p w14:paraId="2D772B8F" w14:textId="4D75B6A1" w:rsidR="004E0A94" w:rsidRPr="001C4C08" w:rsidRDefault="00F06A8D" w:rsidP="00FA157F">
            <w:pPr>
              <w:spacing w:before="40" w:after="40"/>
              <w:rPr>
                <w:rFonts w:cs="Calibri"/>
                <w:bCs/>
                <w:sz w:val="18"/>
                <w:szCs w:val="18"/>
              </w:rPr>
            </w:pPr>
            <w:r w:rsidRPr="00F06A8D">
              <w:rPr>
                <w:rFonts w:cs="Calibri"/>
                <w:bCs/>
                <w:sz w:val="18"/>
                <w:szCs w:val="18"/>
              </w:rPr>
              <w:t>Disposiciones generales relativas a la contabilidad</w:t>
            </w:r>
          </w:p>
        </w:tc>
        <w:tc>
          <w:tcPr>
            <w:tcW w:w="1843" w:type="dxa"/>
            <w:tcMar>
              <w:left w:w="85" w:type="dxa"/>
              <w:right w:w="85" w:type="dxa"/>
            </w:tcMar>
          </w:tcPr>
          <w:p w14:paraId="4FCEEB6F" w14:textId="000A78A7" w:rsidR="004E0A94" w:rsidRPr="001C4C08" w:rsidRDefault="00C90BE4" w:rsidP="00FA157F">
            <w:pPr>
              <w:spacing w:before="40" w:after="40"/>
              <w:rPr>
                <w:rFonts w:cs="Calibri"/>
                <w:bCs/>
                <w:sz w:val="18"/>
                <w:szCs w:val="18"/>
              </w:rPr>
            </w:pPr>
            <w:r>
              <w:rPr>
                <w:rFonts w:cs="Calibri"/>
                <w:bCs/>
                <w:sz w:val="18"/>
                <w:szCs w:val="18"/>
              </w:rPr>
              <w:t>Disposiciones generales relativas a la contabilidad</w:t>
            </w:r>
          </w:p>
        </w:tc>
        <w:tc>
          <w:tcPr>
            <w:tcW w:w="1559" w:type="dxa"/>
            <w:tcMar>
              <w:left w:w="85" w:type="dxa"/>
              <w:right w:w="85" w:type="dxa"/>
            </w:tcMar>
          </w:tcPr>
          <w:p w14:paraId="502ADD09" w14:textId="7030A136" w:rsidR="004E0A94" w:rsidRPr="00C90BE4" w:rsidRDefault="00C90BE4" w:rsidP="00FA157F">
            <w:pPr>
              <w:spacing w:before="40" w:after="40"/>
              <w:rPr>
                <w:sz w:val="18"/>
                <w:szCs w:val="18"/>
                <w:lang w:val="es-ES"/>
              </w:rPr>
            </w:pPr>
            <w:r w:rsidRPr="00C90BE4">
              <w:rPr>
                <w:sz w:val="18"/>
                <w:szCs w:val="18"/>
                <w:lang w:val="es-ES"/>
              </w:rPr>
              <w:t>No obstaculiza la prestación y</w:t>
            </w:r>
            <w:r>
              <w:rPr>
                <w:sz w:val="18"/>
                <w:szCs w:val="18"/>
                <w:lang w:val="es-ES"/>
              </w:rPr>
              <w:t xml:space="preserve"> el desarrollo de redes y servicios</w:t>
            </w:r>
          </w:p>
        </w:tc>
        <w:tc>
          <w:tcPr>
            <w:tcW w:w="1843" w:type="dxa"/>
            <w:tcMar>
              <w:left w:w="85" w:type="dxa"/>
              <w:right w:w="85" w:type="dxa"/>
            </w:tcMar>
          </w:tcPr>
          <w:p w14:paraId="5AEC73F7" w14:textId="389B2817" w:rsidR="00FA157F" w:rsidRPr="00C90BE4" w:rsidRDefault="00FA157F" w:rsidP="00FA157F">
            <w:pPr>
              <w:tabs>
                <w:tab w:val="clear" w:pos="567"/>
                <w:tab w:val="left" w:pos="234"/>
              </w:tabs>
              <w:spacing w:before="40" w:after="40"/>
              <w:ind w:left="234" w:hanging="234"/>
              <w:rPr>
                <w:sz w:val="18"/>
                <w:szCs w:val="18"/>
                <w:lang w:val="es-ES"/>
              </w:rPr>
            </w:pPr>
            <w:r w:rsidRPr="00C90BE4">
              <w:rPr>
                <w:sz w:val="18"/>
                <w:szCs w:val="18"/>
                <w:lang w:val="es-ES"/>
              </w:rPr>
              <w:t>•</w:t>
            </w:r>
            <w:r w:rsidRPr="00C90BE4">
              <w:rPr>
                <w:sz w:val="18"/>
                <w:szCs w:val="18"/>
                <w:lang w:val="es-ES"/>
              </w:rPr>
              <w:tab/>
              <w:t>Suf</w:t>
            </w:r>
            <w:r w:rsidR="00C90BE4" w:rsidRPr="00C90BE4">
              <w:rPr>
                <w:sz w:val="18"/>
                <w:szCs w:val="18"/>
                <w:lang w:val="es-ES"/>
              </w:rPr>
              <w:t xml:space="preserve">icientemente </w:t>
            </w:r>
            <w:r w:rsidRPr="00C90BE4">
              <w:rPr>
                <w:sz w:val="18"/>
                <w:szCs w:val="18"/>
                <w:lang w:val="es-ES"/>
              </w:rPr>
              <w:t>flexible.</w:t>
            </w:r>
          </w:p>
          <w:p w14:paraId="176E88B3" w14:textId="7DB7AF26" w:rsidR="004E0A94" w:rsidRPr="00C90BE4" w:rsidRDefault="00FA157F" w:rsidP="00FA157F">
            <w:pPr>
              <w:tabs>
                <w:tab w:val="clear" w:pos="567"/>
                <w:tab w:val="left" w:pos="234"/>
              </w:tabs>
              <w:spacing w:before="40" w:after="40"/>
              <w:ind w:left="234" w:hanging="234"/>
              <w:rPr>
                <w:sz w:val="18"/>
                <w:szCs w:val="18"/>
                <w:lang w:val="es-ES"/>
              </w:rPr>
            </w:pPr>
            <w:r w:rsidRPr="00C90BE4">
              <w:rPr>
                <w:sz w:val="18"/>
                <w:szCs w:val="18"/>
                <w:lang w:val="es-ES"/>
              </w:rPr>
              <w:t>•</w:t>
            </w:r>
            <w:r w:rsidRPr="00C90BE4">
              <w:rPr>
                <w:sz w:val="18"/>
                <w:szCs w:val="18"/>
                <w:lang w:val="es-ES"/>
              </w:rPr>
              <w:tab/>
            </w:r>
            <w:r w:rsidR="00931ECD">
              <w:rPr>
                <w:sz w:val="18"/>
                <w:szCs w:val="18"/>
                <w:lang w:val="es-ES"/>
              </w:rPr>
              <w:t>S</w:t>
            </w:r>
            <w:r w:rsidR="00C90BE4" w:rsidRPr="00C90BE4">
              <w:rPr>
                <w:sz w:val="18"/>
                <w:szCs w:val="18"/>
                <w:lang w:val="es-ES"/>
              </w:rPr>
              <w:t>e permiten los acuerdos comerc</w:t>
            </w:r>
            <w:r w:rsidR="00C90BE4">
              <w:rPr>
                <w:sz w:val="18"/>
                <w:szCs w:val="18"/>
                <w:lang w:val="es-ES"/>
              </w:rPr>
              <w:t>iales</w:t>
            </w:r>
            <w:r w:rsidRPr="00C90BE4">
              <w:rPr>
                <w:sz w:val="18"/>
                <w:szCs w:val="18"/>
                <w:lang w:val="es-ES"/>
              </w:rPr>
              <w:t>.</w:t>
            </w:r>
          </w:p>
        </w:tc>
        <w:tc>
          <w:tcPr>
            <w:tcW w:w="1422" w:type="dxa"/>
            <w:tcMar>
              <w:left w:w="85" w:type="dxa"/>
              <w:right w:w="85" w:type="dxa"/>
            </w:tcMar>
          </w:tcPr>
          <w:p w14:paraId="067EFA1F" w14:textId="77777777" w:rsidR="004E0A94" w:rsidRPr="001C4C08" w:rsidRDefault="004E0A94" w:rsidP="00FA157F">
            <w:pPr>
              <w:spacing w:before="40" w:after="40"/>
              <w:rPr>
                <w:b/>
                <w:sz w:val="18"/>
                <w:szCs w:val="18"/>
              </w:rPr>
            </w:pPr>
            <w:r w:rsidRPr="001C4C08">
              <w:rPr>
                <w:b/>
                <w:sz w:val="18"/>
                <w:szCs w:val="18"/>
              </w:rPr>
              <w:t>No se requiere cambio.</w:t>
            </w:r>
          </w:p>
        </w:tc>
      </w:tr>
      <w:bookmarkEnd w:id="10"/>
      <w:bookmarkEnd w:id="11"/>
    </w:tbl>
    <w:p w14:paraId="3F079EDA" w14:textId="77777777" w:rsidR="00FA157F" w:rsidRDefault="00FA157F" w:rsidP="00411C49">
      <w:pPr>
        <w:pStyle w:val="Reasons"/>
      </w:pPr>
    </w:p>
    <w:p w14:paraId="2265DC80" w14:textId="77777777" w:rsidR="00FA157F" w:rsidRDefault="00FA157F">
      <w:pPr>
        <w:jc w:val="center"/>
      </w:pPr>
      <w:r>
        <w:t>______________</w:t>
      </w:r>
    </w:p>
    <w:sectPr w:rsidR="00FA157F"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9037A" w14:textId="77777777" w:rsidR="00385C01" w:rsidRDefault="00385C01">
      <w:r>
        <w:separator/>
      </w:r>
    </w:p>
  </w:endnote>
  <w:endnote w:type="continuationSeparator" w:id="0">
    <w:p w14:paraId="37DD6E4D" w14:textId="77777777" w:rsidR="00385C01" w:rsidRDefault="0038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ova Cond">
    <w:altName w:val="Arial Nova Cond"/>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2C28" w14:textId="618F6865" w:rsidR="00760F1C" w:rsidRDefault="00B85D0E" w:rsidP="00B85D0E">
    <w:pPr>
      <w:pStyle w:val="Footer"/>
      <w:rPr>
        <w:lang w:val="en-US"/>
      </w:rPr>
    </w:pPr>
    <w:r w:rsidRPr="00B85D0E">
      <w:rPr>
        <w:lang w:val="en-US"/>
      </w:rPr>
      <w:fldChar w:fldCharType="begin"/>
    </w:r>
    <w:r w:rsidRPr="00B85D0E">
      <w:rPr>
        <w:lang w:val="en-US"/>
      </w:rPr>
      <w:instrText xml:space="preserve"> FILENAME \p  \* MERGEFORMAT </w:instrText>
    </w:r>
    <w:r w:rsidRPr="00B85D0E">
      <w:rPr>
        <w:lang w:val="en-US"/>
      </w:rPr>
      <w:fldChar w:fldCharType="separate"/>
    </w:r>
    <w:r w:rsidR="00A52368">
      <w:rPr>
        <w:lang w:val="en-US"/>
      </w:rPr>
      <w:t>P:\ESP\SG\CONSEIL\EG-ITR\EG-ITR-3\000\002S.docx</w:t>
    </w:r>
    <w:r w:rsidRPr="00B85D0E">
      <w:rPr>
        <w:lang w:val="en-US"/>
      </w:rPr>
      <w:fldChar w:fldCharType="end"/>
    </w:r>
    <w:r w:rsidRPr="00B85D0E">
      <w:rPr>
        <w:lang w:val="en-US"/>
      </w:rPr>
      <w:t xml:space="preserve"> (</w:t>
    </w:r>
    <w:r>
      <w:rPr>
        <w:lang w:val="en-US"/>
      </w:rPr>
      <w:t>476444</w:t>
    </w:r>
    <w:r w:rsidRPr="00B85D0E">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7F00A" w14:textId="1DC98BA1" w:rsidR="00760F1C" w:rsidRPr="0016378A" w:rsidRDefault="00760F1C">
    <w:pPr>
      <w:spacing w:after="120"/>
      <w:jc w:val="center"/>
      <w:rPr>
        <w:lang w:val="en-US"/>
      </w:rPr>
    </w:pPr>
    <w:r w:rsidRPr="0016378A">
      <w:rPr>
        <w:lang w:val="en-US"/>
      </w:rPr>
      <w:t xml:space="preserve">• </w:t>
    </w:r>
    <w:hyperlink r:id="rId1" w:history="1">
      <w:r w:rsidRPr="0016378A">
        <w:rPr>
          <w:rStyle w:val="Hyperlink"/>
          <w:lang w:val="en-US"/>
        </w:rPr>
        <w:t>http://www.itu.int/council</w:t>
      </w:r>
    </w:hyperlink>
    <w:r w:rsidRPr="0016378A">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25B52" w14:textId="77777777" w:rsidR="00385C01" w:rsidRDefault="00385C01">
      <w:r>
        <w:t>____________________</w:t>
      </w:r>
    </w:p>
  </w:footnote>
  <w:footnote w:type="continuationSeparator" w:id="0">
    <w:p w14:paraId="478C7022" w14:textId="77777777" w:rsidR="00385C01" w:rsidRDefault="0038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7883"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63B4318C" w14:textId="19B66593" w:rsidR="00760F1C" w:rsidRDefault="00012E27" w:rsidP="00B8298E">
    <w:pPr>
      <w:pStyle w:val="Header"/>
    </w:pPr>
    <w:r>
      <w:rPr>
        <w:noProof/>
      </w:rPr>
      <w:t>EG-ITRs-</w:t>
    </w:r>
    <w:r w:rsidR="00B85D0E">
      <w:rPr>
        <w:noProof/>
      </w:rPr>
      <w:t>3</w:t>
    </w:r>
    <w:r>
      <w:rPr>
        <w:noProof/>
      </w:rPr>
      <w:t>\</w:t>
    </w:r>
    <w:r w:rsidR="00B85D0E">
      <w:rPr>
        <w:noProof/>
      </w:rPr>
      <w:t>2</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562B0"/>
    <w:multiLevelType w:val="hybridMultilevel"/>
    <w:tmpl w:val="79008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01"/>
    <w:rsid w:val="00012E27"/>
    <w:rsid w:val="000159E9"/>
    <w:rsid w:val="00093EEB"/>
    <w:rsid w:val="000B0D00"/>
    <w:rsid w:val="000B7C15"/>
    <w:rsid w:val="000D1D0F"/>
    <w:rsid w:val="000F5290"/>
    <w:rsid w:val="0010165C"/>
    <w:rsid w:val="0012138C"/>
    <w:rsid w:val="001304D3"/>
    <w:rsid w:val="00146BFB"/>
    <w:rsid w:val="0016378A"/>
    <w:rsid w:val="001F14A2"/>
    <w:rsid w:val="001F60AD"/>
    <w:rsid w:val="002801AA"/>
    <w:rsid w:val="002C4676"/>
    <w:rsid w:val="002C70B0"/>
    <w:rsid w:val="002E4E98"/>
    <w:rsid w:val="002F3CC4"/>
    <w:rsid w:val="00385C01"/>
    <w:rsid w:val="003A34BF"/>
    <w:rsid w:val="004E0A94"/>
    <w:rsid w:val="004F56E9"/>
    <w:rsid w:val="00513630"/>
    <w:rsid w:val="005262CD"/>
    <w:rsid w:val="00551CE3"/>
    <w:rsid w:val="00560125"/>
    <w:rsid w:val="00585553"/>
    <w:rsid w:val="005B34D9"/>
    <w:rsid w:val="005D0CCF"/>
    <w:rsid w:val="005F410F"/>
    <w:rsid w:val="0060149A"/>
    <w:rsid w:val="00601924"/>
    <w:rsid w:val="006447EA"/>
    <w:rsid w:val="0064731F"/>
    <w:rsid w:val="006710F6"/>
    <w:rsid w:val="0067129F"/>
    <w:rsid w:val="006C1B56"/>
    <w:rsid w:val="006D4761"/>
    <w:rsid w:val="00726872"/>
    <w:rsid w:val="00760F1C"/>
    <w:rsid w:val="007657F0"/>
    <w:rsid w:val="0077252D"/>
    <w:rsid w:val="007E5DD3"/>
    <w:rsid w:val="007F350B"/>
    <w:rsid w:val="00820BE4"/>
    <w:rsid w:val="008451E8"/>
    <w:rsid w:val="008664D4"/>
    <w:rsid w:val="00913B9C"/>
    <w:rsid w:val="00931ECD"/>
    <w:rsid w:val="00956E77"/>
    <w:rsid w:val="00A52368"/>
    <w:rsid w:val="00AA390C"/>
    <w:rsid w:val="00B0200A"/>
    <w:rsid w:val="00B40D6A"/>
    <w:rsid w:val="00B574DB"/>
    <w:rsid w:val="00B76F12"/>
    <w:rsid w:val="00B826C2"/>
    <w:rsid w:val="00B8298E"/>
    <w:rsid w:val="00B85D0E"/>
    <w:rsid w:val="00BA4764"/>
    <w:rsid w:val="00BD0723"/>
    <w:rsid w:val="00BD2518"/>
    <w:rsid w:val="00BF1D1C"/>
    <w:rsid w:val="00C20C59"/>
    <w:rsid w:val="00C55B1F"/>
    <w:rsid w:val="00C74ADE"/>
    <w:rsid w:val="00C85B97"/>
    <w:rsid w:val="00C90BE4"/>
    <w:rsid w:val="00CF1A67"/>
    <w:rsid w:val="00D2750E"/>
    <w:rsid w:val="00D62446"/>
    <w:rsid w:val="00D92832"/>
    <w:rsid w:val="00DA4EA2"/>
    <w:rsid w:val="00DC3D3E"/>
    <w:rsid w:val="00DE2C90"/>
    <w:rsid w:val="00DE3B24"/>
    <w:rsid w:val="00E06947"/>
    <w:rsid w:val="00E32ED5"/>
    <w:rsid w:val="00E3592D"/>
    <w:rsid w:val="00E92DE8"/>
    <w:rsid w:val="00EB1212"/>
    <w:rsid w:val="00ED65AB"/>
    <w:rsid w:val="00F06A8D"/>
    <w:rsid w:val="00F12850"/>
    <w:rsid w:val="00F33BF4"/>
    <w:rsid w:val="00F70229"/>
    <w:rsid w:val="00F7105E"/>
    <w:rsid w:val="00F75F57"/>
    <w:rsid w:val="00F82FEE"/>
    <w:rsid w:val="00FA157F"/>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531E4D"/>
  <w15:docId w15:val="{006C2E11-C49C-4C64-AAEE-649DF84E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0B0D00"/>
    <w:rPr>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4E0A94"/>
    <w:rPr>
      <w:rFonts w:ascii="Calibri" w:hAnsi="Calibri"/>
      <w:sz w:val="24"/>
      <w:lang w:val="es-ES_tradnl" w:eastAsia="en-US"/>
    </w:rPr>
  </w:style>
  <w:style w:type="table" w:customStyle="1" w:styleId="TableGrid1">
    <w:name w:val="Table Grid1"/>
    <w:basedOn w:val="TableNormal"/>
    <w:next w:val="TableGrid"/>
    <w:uiPriority w:val="39"/>
    <w:rsid w:val="004E0A94"/>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E0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6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8</TotalTime>
  <Pages>8</Pages>
  <Words>2068</Words>
  <Characters>12382</Characters>
  <Application>Microsoft Office Word</Application>
  <DocSecurity>0</DocSecurity>
  <Lines>103</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14422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Saez Grau, Ricardo</dc:creator>
  <cp:keywords>C2010, C10</cp:keywords>
  <dc:description>Documento C17/-S  Para: _x000d_Fecha del documento: enero de 2017_x000d_Registrado por ITU51009317 a 15:32:38 el 06/04/2017</dc:description>
  <cp:lastModifiedBy>Ayala Martinez, Beatriz</cp:lastModifiedBy>
  <cp:revision>5</cp:revision>
  <cp:lastPrinted>2006-03-24T09:51:00Z</cp:lastPrinted>
  <dcterms:created xsi:type="dcterms:W3CDTF">2020-09-07T07:13:00Z</dcterms:created>
  <dcterms:modified xsi:type="dcterms:W3CDTF">2020-09-07T07:15:00Z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