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690CED" w:rsidRPr="00A50C32" w14:paraId="1927A2A8" w14:textId="77777777" w:rsidTr="0031503F">
        <w:trPr>
          <w:cantSplit/>
        </w:trPr>
        <w:tc>
          <w:tcPr>
            <w:tcW w:w="6629" w:type="dxa"/>
            <w:vAlign w:val="center"/>
          </w:tcPr>
          <w:p w14:paraId="34C6FFE6" w14:textId="0CADF258" w:rsidR="00690CED" w:rsidRPr="00A50C32" w:rsidRDefault="00690CED" w:rsidP="00690CED">
            <w:pPr>
              <w:overflowPunct/>
              <w:autoSpaceDE/>
              <w:autoSpaceDN/>
              <w:adjustRightInd/>
              <w:spacing w:before="0"/>
              <w:textAlignment w:val="auto"/>
              <w:rPr>
                <w:rFonts w:eastAsia="Calibri" w:cs="Calibri"/>
                <w:color w:val="000000"/>
                <w:szCs w:val="24"/>
                <w:lang w:val="en-US"/>
              </w:rPr>
            </w:pPr>
            <w:r w:rsidRPr="00790F2A">
              <w:rPr>
                <w:rFonts w:cs="Times"/>
                <w:b/>
                <w:sz w:val="30"/>
                <w:szCs w:val="30"/>
              </w:rPr>
              <w:t>Expert Group on the International</w:t>
            </w:r>
            <w:r w:rsidRPr="00790F2A">
              <w:rPr>
                <w:rFonts w:cs="Times"/>
                <w:b/>
                <w:sz w:val="30"/>
                <w:szCs w:val="30"/>
              </w:rPr>
              <w:br/>
              <w:t>Telecommunication Regulations (EG-ITRs)</w:t>
            </w:r>
            <w:r w:rsidRPr="00790F2A">
              <w:rPr>
                <w:rFonts w:cs="Times"/>
                <w:b/>
                <w:sz w:val="32"/>
                <w:szCs w:val="32"/>
              </w:rPr>
              <w:br/>
            </w:r>
            <w:r w:rsidRPr="00790F2A">
              <w:rPr>
                <w:b/>
                <w:bCs/>
                <w:szCs w:val="24"/>
              </w:rPr>
              <w:t>Third meeting – Virtual meeting, 17-18 September 2020</w:t>
            </w:r>
          </w:p>
        </w:tc>
        <w:tc>
          <w:tcPr>
            <w:tcW w:w="3544" w:type="dxa"/>
            <w:vAlign w:val="center"/>
          </w:tcPr>
          <w:p w14:paraId="5153DBE4" w14:textId="0836CAD3" w:rsidR="00690CED" w:rsidRPr="00A50C32" w:rsidRDefault="00690CED" w:rsidP="00690CED">
            <w:pPr>
              <w:spacing w:before="0"/>
              <w:rPr>
                <w:szCs w:val="24"/>
                <w:lang w:val="en-US"/>
              </w:rPr>
            </w:pPr>
            <w:r w:rsidRPr="00790F2A">
              <w:rPr>
                <w:noProof/>
              </w:rPr>
              <w:drawing>
                <wp:inline distT="0" distB="0" distL="0" distR="0" wp14:anchorId="390FC49D" wp14:editId="2CF68B36">
                  <wp:extent cx="684000" cy="720000"/>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DF4EDF" w:rsidRPr="00A50C32" w14:paraId="0CE05E7F" w14:textId="77777777" w:rsidTr="00010562">
        <w:trPr>
          <w:cantSplit/>
        </w:trPr>
        <w:tc>
          <w:tcPr>
            <w:tcW w:w="6629" w:type="dxa"/>
            <w:tcBorders>
              <w:top w:val="single" w:sz="12" w:space="0" w:color="auto"/>
            </w:tcBorders>
          </w:tcPr>
          <w:p w14:paraId="2097BEEE" w14:textId="77777777" w:rsidR="00DF4EDF" w:rsidRPr="00A50C32" w:rsidRDefault="00DF4EDF" w:rsidP="00010562">
            <w:pPr>
              <w:spacing w:before="0" w:after="48"/>
              <w:rPr>
                <w:b/>
                <w:smallCaps/>
                <w:szCs w:val="24"/>
                <w:lang w:val="en-US"/>
              </w:rPr>
            </w:pPr>
          </w:p>
        </w:tc>
        <w:tc>
          <w:tcPr>
            <w:tcW w:w="3544" w:type="dxa"/>
            <w:tcBorders>
              <w:top w:val="single" w:sz="12" w:space="0" w:color="auto"/>
            </w:tcBorders>
          </w:tcPr>
          <w:p w14:paraId="78847744" w14:textId="77777777" w:rsidR="00DF4EDF" w:rsidRPr="00A50C32" w:rsidRDefault="00DF4EDF" w:rsidP="00010562">
            <w:pPr>
              <w:spacing w:before="0"/>
              <w:rPr>
                <w:szCs w:val="24"/>
                <w:lang w:val="en-US"/>
              </w:rPr>
            </w:pPr>
          </w:p>
        </w:tc>
      </w:tr>
      <w:tr w:rsidR="00DF4EDF" w:rsidRPr="00BA5DD5" w14:paraId="6CB882D5" w14:textId="77777777" w:rsidTr="00010562">
        <w:trPr>
          <w:cantSplit/>
          <w:trHeight w:val="23"/>
        </w:trPr>
        <w:tc>
          <w:tcPr>
            <w:tcW w:w="6629" w:type="dxa"/>
            <w:vMerge w:val="restart"/>
          </w:tcPr>
          <w:p w14:paraId="1695EC1B" w14:textId="77777777" w:rsidR="00DF4EDF" w:rsidRPr="00A50C32" w:rsidRDefault="00DF4EDF" w:rsidP="00010562">
            <w:pPr>
              <w:tabs>
                <w:tab w:val="left" w:pos="851"/>
              </w:tabs>
              <w:rPr>
                <w:b/>
                <w:lang w:val="en-US"/>
              </w:rPr>
            </w:pPr>
            <w:bookmarkStart w:id="0" w:name="dmeeting" w:colFirst="0" w:colLast="0"/>
            <w:bookmarkStart w:id="1" w:name="dnum" w:colFirst="1" w:colLast="1"/>
          </w:p>
        </w:tc>
        <w:tc>
          <w:tcPr>
            <w:tcW w:w="3544" w:type="dxa"/>
          </w:tcPr>
          <w:p w14:paraId="108F839B" w14:textId="33347D7D" w:rsidR="00DF4EDF" w:rsidRPr="00BA5DD5" w:rsidRDefault="009517E4" w:rsidP="00D276E1">
            <w:pPr>
              <w:tabs>
                <w:tab w:val="left" w:pos="851"/>
              </w:tabs>
              <w:overflowPunct/>
              <w:autoSpaceDE/>
              <w:autoSpaceDN/>
              <w:adjustRightInd/>
              <w:spacing w:before="0"/>
              <w:textAlignment w:val="auto"/>
              <w:rPr>
                <w:rFonts w:eastAsia="Calibri" w:cs="Calibri"/>
                <w:color w:val="000000"/>
                <w:szCs w:val="24"/>
                <w:lang w:val="fr-CH"/>
              </w:rPr>
            </w:pPr>
            <w:r>
              <w:rPr>
                <w:b/>
                <w:bCs/>
                <w:szCs w:val="24"/>
              </w:rPr>
              <w:t>D</w:t>
            </w:r>
            <w:r w:rsidR="00D70C50" w:rsidRPr="00984F5D">
              <w:rPr>
                <w:b/>
                <w:bCs/>
                <w:szCs w:val="24"/>
              </w:rPr>
              <w:t>ocument EG-ITRs-</w:t>
            </w:r>
            <w:r w:rsidR="00D70C50">
              <w:rPr>
                <w:b/>
                <w:bCs/>
                <w:szCs w:val="24"/>
              </w:rPr>
              <w:t>3</w:t>
            </w:r>
            <w:r w:rsidR="00D70C50" w:rsidRPr="00984F5D">
              <w:rPr>
                <w:b/>
                <w:bCs/>
                <w:szCs w:val="24"/>
              </w:rPr>
              <w:t>/</w:t>
            </w:r>
            <w:r>
              <w:rPr>
                <w:b/>
                <w:bCs/>
                <w:szCs w:val="24"/>
              </w:rPr>
              <w:t>3</w:t>
            </w:r>
            <w:r w:rsidR="00D70C50" w:rsidRPr="00984F5D">
              <w:rPr>
                <w:b/>
                <w:bCs/>
                <w:szCs w:val="24"/>
              </w:rPr>
              <w:t>-E</w:t>
            </w:r>
          </w:p>
        </w:tc>
      </w:tr>
      <w:tr w:rsidR="00DF4EDF" w:rsidRPr="00A50C32" w14:paraId="256FB655" w14:textId="77777777" w:rsidTr="00010562">
        <w:trPr>
          <w:cantSplit/>
          <w:trHeight w:val="23"/>
        </w:trPr>
        <w:tc>
          <w:tcPr>
            <w:tcW w:w="6629" w:type="dxa"/>
            <w:vMerge/>
          </w:tcPr>
          <w:p w14:paraId="7D80280D" w14:textId="77777777" w:rsidR="00DF4EDF" w:rsidRPr="00BA5DD5" w:rsidRDefault="00DF4EDF" w:rsidP="00010562">
            <w:pPr>
              <w:tabs>
                <w:tab w:val="left" w:pos="851"/>
              </w:tabs>
              <w:rPr>
                <w:b/>
                <w:lang w:val="fr-CH"/>
              </w:rPr>
            </w:pPr>
            <w:bookmarkStart w:id="2" w:name="ddate" w:colFirst="1" w:colLast="1"/>
            <w:bookmarkEnd w:id="0"/>
            <w:bookmarkEnd w:id="1"/>
          </w:p>
        </w:tc>
        <w:tc>
          <w:tcPr>
            <w:tcW w:w="3544" w:type="dxa"/>
          </w:tcPr>
          <w:p w14:paraId="388D7289" w14:textId="5D82EB0A" w:rsidR="00DF4EDF" w:rsidRPr="00A50C32" w:rsidRDefault="009517E4" w:rsidP="00D21377">
            <w:pPr>
              <w:tabs>
                <w:tab w:val="left" w:pos="993"/>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3</w:t>
            </w:r>
            <w:r w:rsidR="00D70C50">
              <w:rPr>
                <w:rFonts w:eastAsia="Calibri" w:cs="Calibri"/>
                <w:b/>
                <w:color w:val="000000"/>
                <w:szCs w:val="24"/>
                <w:lang w:val="en-US"/>
              </w:rPr>
              <w:t xml:space="preserve"> September </w:t>
            </w:r>
            <w:r w:rsidR="00DF4EDF" w:rsidRPr="00A50C32">
              <w:rPr>
                <w:rFonts w:eastAsia="Calibri" w:cs="Calibri"/>
                <w:b/>
                <w:color w:val="000000"/>
                <w:szCs w:val="24"/>
                <w:lang w:val="en-US"/>
              </w:rPr>
              <w:t>20</w:t>
            </w:r>
            <w:r w:rsidR="00D276E1">
              <w:rPr>
                <w:rFonts w:eastAsia="Calibri" w:cs="Calibri"/>
                <w:b/>
                <w:color w:val="000000"/>
                <w:szCs w:val="24"/>
                <w:lang w:val="en-US"/>
              </w:rPr>
              <w:t>20</w:t>
            </w:r>
          </w:p>
        </w:tc>
      </w:tr>
      <w:tr w:rsidR="00DF4EDF" w:rsidRPr="00A50C32" w14:paraId="61591C0F" w14:textId="77777777" w:rsidTr="00010562">
        <w:trPr>
          <w:cantSplit/>
          <w:trHeight w:val="23"/>
        </w:trPr>
        <w:tc>
          <w:tcPr>
            <w:tcW w:w="6629" w:type="dxa"/>
            <w:vMerge/>
          </w:tcPr>
          <w:p w14:paraId="49B29612" w14:textId="77777777" w:rsidR="00DF4EDF" w:rsidRPr="00A50C32" w:rsidRDefault="00DF4EDF" w:rsidP="00010562">
            <w:pPr>
              <w:tabs>
                <w:tab w:val="left" w:pos="851"/>
              </w:tabs>
              <w:rPr>
                <w:b/>
                <w:lang w:val="en-US"/>
              </w:rPr>
            </w:pPr>
            <w:bookmarkStart w:id="3" w:name="dorlang" w:colFirst="1" w:colLast="1"/>
            <w:bookmarkEnd w:id="2"/>
          </w:p>
        </w:tc>
        <w:tc>
          <w:tcPr>
            <w:tcW w:w="3544" w:type="dxa"/>
          </w:tcPr>
          <w:p w14:paraId="63341D68" w14:textId="38591CD3" w:rsidR="00DF4EDF" w:rsidRPr="00A50C32" w:rsidRDefault="00DF4EDF" w:rsidP="00010562">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Original: </w:t>
            </w:r>
            <w:r w:rsidR="00BA5DD5">
              <w:rPr>
                <w:rFonts w:eastAsia="Calibri" w:cs="Calibri"/>
                <w:b/>
                <w:color w:val="000000"/>
                <w:szCs w:val="24"/>
                <w:lang w:val="en-US"/>
              </w:rPr>
              <w:t xml:space="preserve"> </w:t>
            </w:r>
            <w:r w:rsidR="00D21377">
              <w:rPr>
                <w:b/>
                <w:szCs w:val="24"/>
              </w:rPr>
              <w:t>English</w:t>
            </w:r>
          </w:p>
        </w:tc>
      </w:tr>
      <w:tr w:rsidR="00DF4EDF" w:rsidRPr="00A50C32" w14:paraId="4DF7CAFF" w14:textId="77777777" w:rsidTr="00010562">
        <w:trPr>
          <w:cantSplit/>
        </w:trPr>
        <w:tc>
          <w:tcPr>
            <w:tcW w:w="10173" w:type="dxa"/>
            <w:gridSpan w:val="2"/>
          </w:tcPr>
          <w:p w14:paraId="32966043" w14:textId="45A77774" w:rsidR="00DF4EDF" w:rsidRPr="00A50C32" w:rsidRDefault="002A3517" w:rsidP="00010562">
            <w:pPr>
              <w:pStyle w:val="Source"/>
              <w:rPr>
                <w:lang w:val="en-US"/>
              </w:rPr>
            </w:pPr>
            <w:bookmarkStart w:id="4" w:name="dsource" w:colFirst="0" w:colLast="0"/>
            <w:bookmarkEnd w:id="3"/>
            <w:r>
              <w:t xml:space="preserve">Australia, Canada, </w:t>
            </w:r>
            <w:r w:rsidR="00BA5DD5" w:rsidRPr="00BA5DD5">
              <w:t>United States of America</w:t>
            </w:r>
          </w:p>
        </w:tc>
      </w:tr>
      <w:tr w:rsidR="00DF4EDF" w:rsidRPr="00A50C32" w14:paraId="708D2F0A" w14:textId="77777777" w:rsidTr="00010562">
        <w:trPr>
          <w:cantSplit/>
        </w:trPr>
        <w:tc>
          <w:tcPr>
            <w:tcW w:w="10173" w:type="dxa"/>
            <w:gridSpan w:val="2"/>
          </w:tcPr>
          <w:p w14:paraId="441490A4" w14:textId="77777777" w:rsidR="0075349D" w:rsidRDefault="00BA5DD5" w:rsidP="00010562">
            <w:pPr>
              <w:pStyle w:val="Title1"/>
              <w:rPr>
                <w:rFonts w:asciiTheme="minorHAnsi" w:hAnsiTheme="minorHAnsi"/>
                <w:bCs/>
                <w:szCs w:val="24"/>
              </w:rPr>
            </w:pPr>
            <w:bookmarkStart w:id="5" w:name="dtitle1" w:colFirst="0" w:colLast="0"/>
            <w:bookmarkEnd w:id="4"/>
            <w:r w:rsidRPr="00BA5DD5">
              <w:rPr>
                <w:rFonts w:asciiTheme="minorHAnsi" w:hAnsiTheme="minorHAnsi"/>
                <w:bCs/>
                <w:szCs w:val="24"/>
              </w:rPr>
              <w:t xml:space="preserve">VIEWS ON </w:t>
            </w:r>
            <w:r w:rsidR="005D3E6D">
              <w:rPr>
                <w:rFonts w:asciiTheme="minorHAnsi" w:hAnsiTheme="minorHAnsi"/>
                <w:bCs/>
                <w:szCs w:val="24"/>
              </w:rPr>
              <w:t>article</w:t>
            </w:r>
            <w:r w:rsidR="00DA66CC">
              <w:rPr>
                <w:rFonts w:asciiTheme="minorHAnsi" w:hAnsiTheme="minorHAnsi"/>
                <w:bCs/>
                <w:szCs w:val="24"/>
              </w:rPr>
              <w:t>s</w:t>
            </w:r>
            <w:r w:rsidR="005D3E6D">
              <w:rPr>
                <w:rFonts w:asciiTheme="minorHAnsi" w:hAnsiTheme="minorHAnsi"/>
                <w:bCs/>
                <w:szCs w:val="24"/>
              </w:rPr>
              <w:t xml:space="preserve"> five through eight and appendix 1 </w:t>
            </w:r>
            <w:r w:rsidRPr="00BA5DD5">
              <w:rPr>
                <w:rFonts w:asciiTheme="minorHAnsi" w:hAnsiTheme="minorHAnsi"/>
                <w:bCs/>
                <w:szCs w:val="24"/>
              </w:rPr>
              <w:t>OF</w:t>
            </w:r>
          </w:p>
          <w:p w14:paraId="36337E9D" w14:textId="63FDBD57" w:rsidR="00DF4EDF" w:rsidRPr="00A50C32" w:rsidRDefault="00BA5DD5" w:rsidP="0075349D">
            <w:pPr>
              <w:pStyle w:val="Title1"/>
              <w:spacing w:before="0"/>
              <w:rPr>
                <w:lang w:val="en-US"/>
              </w:rPr>
            </w:pPr>
            <w:r w:rsidRPr="00BA5DD5">
              <w:rPr>
                <w:rFonts w:asciiTheme="minorHAnsi" w:hAnsiTheme="minorHAnsi"/>
                <w:bCs/>
                <w:szCs w:val="24"/>
              </w:rPr>
              <w:t>THE 2012 INTERNATIONAL TELECOMMUNICATION REGULATIONS</w:t>
            </w:r>
          </w:p>
        </w:tc>
      </w:tr>
    </w:tbl>
    <w:bookmarkEnd w:id="5"/>
    <w:p w14:paraId="79CF6187" w14:textId="77777777" w:rsidR="00BA5DD5" w:rsidRPr="006C6885" w:rsidRDefault="00BA5DD5" w:rsidP="00BA5DD5">
      <w:pPr>
        <w:tabs>
          <w:tab w:val="clear" w:pos="567"/>
          <w:tab w:val="clear" w:pos="1134"/>
          <w:tab w:val="clear" w:pos="1701"/>
          <w:tab w:val="clear" w:pos="2268"/>
          <w:tab w:val="clear" w:pos="2835"/>
        </w:tabs>
        <w:spacing w:before="720" w:after="120"/>
        <w:jc w:val="both"/>
        <w:rPr>
          <w:b/>
          <w:bCs/>
        </w:rPr>
      </w:pPr>
      <w:r w:rsidRPr="006C6885">
        <w:rPr>
          <w:b/>
          <w:bCs/>
        </w:rPr>
        <w:t>Introduction</w:t>
      </w:r>
    </w:p>
    <w:p w14:paraId="23DD72C7" w14:textId="18DAF4AF" w:rsidR="00BA5DD5" w:rsidRPr="00311F08" w:rsidRDefault="00BA5DD5" w:rsidP="00BA5DD5">
      <w:pPr>
        <w:tabs>
          <w:tab w:val="clear" w:pos="567"/>
          <w:tab w:val="clear" w:pos="1134"/>
          <w:tab w:val="clear" w:pos="1701"/>
          <w:tab w:val="clear" w:pos="2268"/>
          <w:tab w:val="clear" w:pos="2835"/>
        </w:tabs>
        <w:spacing w:after="120"/>
        <w:jc w:val="both"/>
        <w:rPr>
          <w:szCs w:val="24"/>
        </w:rPr>
      </w:pPr>
      <w:r w:rsidRPr="00311F08">
        <w:rPr>
          <w:szCs w:val="24"/>
        </w:rPr>
        <w:t xml:space="preserve">Pursuant to the Work Plan agreed to at the September meeting of the Expert Group on the International Telecommunication Regulations (EG-ITRs), </w:t>
      </w:r>
      <w:r w:rsidR="002A3517" w:rsidRPr="00311F08">
        <w:rPr>
          <w:szCs w:val="24"/>
        </w:rPr>
        <w:t xml:space="preserve">Australia, Canada, and the </w:t>
      </w:r>
      <w:r w:rsidRPr="00311F08">
        <w:rPr>
          <w:szCs w:val="24"/>
        </w:rPr>
        <w:t xml:space="preserve">United States </w:t>
      </w:r>
      <w:r w:rsidR="002A3517" w:rsidRPr="00311F08">
        <w:rPr>
          <w:szCs w:val="24"/>
        </w:rPr>
        <w:t>are</w:t>
      </w:r>
      <w:r w:rsidRPr="00311F08">
        <w:rPr>
          <w:szCs w:val="24"/>
        </w:rPr>
        <w:t xml:space="preserve"> pleased to offer their views on Articles </w:t>
      </w:r>
      <w:r w:rsidR="00B50975" w:rsidRPr="00311F08">
        <w:rPr>
          <w:szCs w:val="24"/>
        </w:rPr>
        <w:t>5</w:t>
      </w:r>
      <w:r w:rsidRPr="00311F08">
        <w:rPr>
          <w:szCs w:val="24"/>
        </w:rPr>
        <w:t xml:space="preserve"> through </w:t>
      </w:r>
      <w:r w:rsidR="00DA66CC" w:rsidRPr="00311F08">
        <w:rPr>
          <w:szCs w:val="24"/>
        </w:rPr>
        <w:t xml:space="preserve">8 and Appendix 1 </w:t>
      </w:r>
      <w:r w:rsidRPr="00311F08">
        <w:rPr>
          <w:szCs w:val="24"/>
        </w:rPr>
        <w:t>of the 2012 ITRs.</w:t>
      </w:r>
      <w:r w:rsidR="004F33DB" w:rsidRPr="00311F08">
        <w:rPr>
          <w:szCs w:val="24"/>
        </w:rPr>
        <w:t xml:space="preserve">  </w:t>
      </w:r>
      <w:r w:rsidR="00E0692E" w:rsidRPr="00311F08">
        <w:rPr>
          <w:szCs w:val="24"/>
        </w:rPr>
        <w:t>T</w:t>
      </w:r>
      <w:r w:rsidR="006407BC" w:rsidRPr="00311F08">
        <w:rPr>
          <w:szCs w:val="24"/>
        </w:rPr>
        <w:t xml:space="preserve">he </w:t>
      </w:r>
      <w:r w:rsidRPr="00311F08">
        <w:rPr>
          <w:szCs w:val="24"/>
        </w:rPr>
        <w:t xml:space="preserve">provisions </w:t>
      </w:r>
      <w:r w:rsidR="00DB3D4D" w:rsidRPr="00311F08">
        <w:rPr>
          <w:szCs w:val="24"/>
        </w:rPr>
        <w:t>on</w:t>
      </w:r>
      <w:r w:rsidR="006407BC" w:rsidRPr="00311F08">
        <w:rPr>
          <w:szCs w:val="24"/>
        </w:rPr>
        <w:t xml:space="preserve"> charging and accounting rates</w:t>
      </w:r>
      <w:r w:rsidR="00DB3D4D" w:rsidRPr="00311F08">
        <w:rPr>
          <w:szCs w:val="24"/>
        </w:rPr>
        <w:t>,</w:t>
      </w:r>
      <w:r w:rsidR="006407BC" w:rsidRPr="00311F08">
        <w:rPr>
          <w:szCs w:val="24"/>
        </w:rPr>
        <w:t xml:space="preserve"> security and robustness of networks</w:t>
      </w:r>
      <w:r w:rsidR="00DB3D4D" w:rsidRPr="00311F08">
        <w:rPr>
          <w:szCs w:val="24"/>
        </w:rPr>
        <w:t>,</w:t>
      </w:r>
      <w:r w:rsidR="006407BC" w:rsidRPr="00311F08">
        <w:rPr>
          <w:szCs w:val="24"/>
        </w:rPr>
        <w:t xml:space="preserve"> and unsolicited bulk electronic communication</w:t>
      </w:r>
      <w:r w:rsidR="00145BF6" w:rsidRPr="00311F08">
        <w:rPr>
          <w:szCs w:val="24"/>
        </w:rPr>
        <w:t xml:space="preserve">, in our view, are neither applicable nor flexible </w:t>
      </w:r>
      <w:r w:rsidRPr="00311F08">
        <w:rPr>
          <w:szCs w:val="24"/>
        </w:rPr>
        <w:t>in today’s communications environment. Any attempt to revise the 2012 ITRs to address existing economic conditions and emerging technologies and services will meet the same fate as the current provisions – because of the rapidly changing market and regulatory environment, detailed treaty provisions will perpetually be obsolete.</w:t>
      </w:r>
    </w:p>
    <w:p w14:paraId="01890427" w14:textId="77777777" w:rsidR="00BA5DD5" w:rsidRPr="00BA5DD5" w:rsidRDefault="00BA5DD5" w:rsidP="00BA5DD5">
      <w:pPr>
        <w:tabs>
          <w:tab w:val="clear" w:pos="567"/>
          <w:tab w:val="clear" w:pos="1134"/>
          <w:tab w:val="clear" w:pos="1701"/>
          <w:tab w:val="clear" w:pos="2268"/>
          <w:tab w:val="clear" w:pos="2835"/>
        </w:tabs>
        <w:spacing w:before="360" w:after="120"/>
        <w:jc w:val="both"/>
        <w:rPr>
          <w:b/>
          <w:bCs/>
        </w:rPr>
      </w:pPr>
      <w:r w:rsidRPr="00BA5DD5">
        <w:rPr>
          <w:b/>
          <w:bCs/>
        </w:rPr>
        <w:t>Discussion</w:t>
      </w:r>
    </w:p>
    <w:p w14:paraId="2C9DC259" w14:textId="0F6882A2" w:rsidR="002B46BC" w:rsidRPr="00311F08" w:rsidRDefault="00BA5DD5" w:rsidP="002B46BC">
      <w:pPr>
        <w:tabs>
          <w:tab w:val="clear" w:pos="567"/>
          <w:tab w:val="clear" w:pos="1134"/>
          <w:tab w:val="clear" w:pos="1701"/>
          <w:tab w:val="clear" w:pos="2268"/>
          <w:tab w:val="clear" w:pos="2835"/>
        </w:tabs>
        <w:spacing w:after="120"/>
        <w:jc w:val="both"/>
        <w:rPr>
          <w:szCs w:val="24"/>
          <w:lang w:val="en-US"/>
        </w:rPr>
      </w:pPr>
      <w:r w:rsidRPr="00311F08">
        <w:rPr>
          <w:szCs w:val="24"/>
        </w:rPr>
        <w:t>In an earlier contribution</w:t>
      </w:r>
      <w:r w:rsidR="00BD0119" w:rsidRPr="00311F08">
        <w:rPr>
          <w:szCs w:val="24"/>
        </w:rPr>
        <w:t xml:space="preserve"> to the EG-ITR meeting in September 2019</w:t>
      </w:r>
      <w:r w:rsidRPr="00311F08">
        <w:rPr>
          <w:szCs w:val="24"/>
        </w:rPr>
        <w:t xml:space="preserve">, we highlighted </w:t>
      </w:r>
      <w:r w:rsidR="002B46BC" w:rsidRPr="00311F08">
        <w:rPr>
          <w:szCs w:val="24"/>
          <w:lang w:val="en-US"/>
        </w:rPr>
        <w:t xml:space="preserve">one of the fundamental problems with the use of a treaty instrument to attempt to regulate a competitive and dynamic marketplace. Treaty provisions relating to telecommunications must be flexible enough to withstand constant changes in the market. Treaty provisions designed to address specific aspects of </w:t>
      </w:r>
      <w:r w:rsidR="00BD0119" w:rsidRPr="00311F08">
        <w:rPr>
          <w:szCs w:val="24"/>
          <w:lang w:val="en-US"/>
        </w:rPr>
        <w:t xml:space="preserve">an evolving </w:t>
      </w:r>
      <w:r w:rsidR="002B46BC" w:rsidRPr="00311F08">
        <w:rPr>
          <w:szCs w:val="24"/>
          <w:lang w:val="en-US"/>
        </w:rPr>
        <w:t xml:space="preserve">market will continually face obsolescence.  </w:t>
      </w:r>
    </w:p>
    <w:p w14:paraId="3B3592DE" w14:textId="0BD1465D" w:rsidR="002B46BC" w:rsidRPr="00311F08" w:rsidRDefault="002B46BC" w:rsidP="002B46BC">
      <w:pPr>
        <w:tabs>
          <w:tab w:val="clear" w:pos="567"/>
          <w:tab w:val="clear" w:pos="1134"/>
          <w:tab w:val="clear" w:pos="1701"/>
          <w:tab w:val="clear" w:pos="2268"/>
          <w:tab w:val="clear" w:pos="2835"/>
        </w:tabs>
        <w:spacing w:after="120"/>
        <w:jc w:val="both"/>
        <w:rPr>
          <w:szCs w:val="24"/>
          <w:lang w:val="en-US"/>
        </w:rPr>
      </w:pPr>
      <w:r w:rsidRPr="00311F08">
        <w:rPr>
          <w:szCs w:val="24"/>
          <w:lang w:val="en-US"/>
        </w:rPr>
        <w:t xml:space="preserve">This fundamental tension can be seen in many provisions of the 2012 ITRs. For example, Article 8 and Appendix 1 on </w:t>
      </w:r>
      <w:r w:rsidR="00784B81" w:rsidRPr="00311F08">
        <w:rPr>
          <w:szCs w:val="24"/>
          <w:lang w:val="en-US"/>
        </w:rPr>
        <w:t>C</w:t>
      </w:r>
      <w:r w:rsidRPr="00311F08">
        <w:rPr>
          <w:szCs w:val="24"/>
          <w:lang w:val="en-US"/>
        </w:rPr>
        <w:t xml:space="preserve">harging and </w:t>
      </w:r>
      <w:r w:rsidR="00784B81" w:rsidRPr="00311F08">
        <w:rPr>
          <w:szCs w:val="24"/>
          <w:lang w:val="en-US"/>
        </w:rPr>
        <w:t>A</w:t>
      </w:r>
      <w:r w:rsidRPr="00311F08">
        <w:rPr>
          <w:szCs w:val="24"/>
          <w:lang w:val="en-US"/>
        </w:rPr>
        <w:t xml:space="preserve">ccounting include several detailed provisions that govern the establishment of accounting rates between Member States, but </w:t>
      </w:r>
      <w:proofErr w:type="gramStart"/>
      <w:r w:rsidRPr="00311F08">
        <w:rPr>
          <w:szCs w:val="24"/>
          <w:lang w:val="en-US"/>
        </w:rPr>
        <w:t>the vast majority of</w:t>
      </w:r>
      <w:proofErr w:type="gramEnd"/>
      <w:r w:rsidRPr="00311F08">
        <w:rPr>
          <w:szCs w:val="24"/>
          <w:lang w:val="en-US"/>
        </w:rPr>
        <w:t xml:space="preserve"> traffic is no longer exchanged under such an accounting rate regime. As a result, Article 8 and Appendix 1 are largely irrelevant to the current international telecommunications environment. Trying to apply the accounting rate provisions or even to revise them to apply to current market-based arrangements would impede the flow of international telecommunication traffic and deter market and technological innovations that improve services and lower prices for consumers. </w:t>
      </w:r>
      <w:bookmarkStart w:id="6" w:name="_Hlk47526724"/>
      <w:r w:rsidR="006C6885" w:rsidRPr="00311F08">
        <w:rPr>
          <w:szCs w:val="24"/>
          <w:lang w:val="en-US"/>
        </w:rPr>
        <w:t xml:space="preserve">In addition, </w:t>
      </w:r>
      <w:r w:rsidR="00743D36" w:rsidRPr="00311F08">
        <w:rPr>
          <w:szCs w:val="24"/>
          <w:lang w:val="en-US"/>
        </w:rPr>
        <w:t>over the year</w:t>
      </w:r>
      <w:r w:rsidR="007261A5" w:rsidRPr="00311F08">
        <w:rPr>
          <w:szCs w:val="24"/>
          <w:lang w:val="en-US"/>
        </w:rPr>
        <w:t>s</w:t>
      </w:r>
      <w:r w:rsidR="00743D36" w:rsidRPr="00311F08">
        <w:rPr>
          <w:szCs w:val="24"/>
          <w:lang w:val="en-US"/>
        </w:rPr>
        <w:t xml:space="preserve"> </w:t>
      </w:r>
      <w:r w:rsidR="006C6885" w:rsidRPr="00311F08">
        <w:rPr>
          <w:szCs w:val="24"/>
          <w:lang w:val="en-US"/>
        </w:rPr>
        <w:t>increased investment</w:t>
      </w:r>
      <w:r w:rsidR="00743D36" w:rsidRPr="00311F08">
        <w:rPr>
          <w:szCs w:val="24"/>
          <w:lang w:val="en-US"/>
        </w:rPr>
        <w:t xml:space="preserve"> and </w:t>
      </w:r>
      <w:r w:rsidR="006C6885" w:rsidRPr="00311F08">
        <w:rPr>
          <w:szCs w:val="24"/>
          <w:lang w:val="en-US"/>
        </w:rPr>
        <w:t xml:space="preserve">competition </w:t>
      </w:r>
      <w:r w:rsidR="00073ED6" w:rsidRPr="00311F08">
        <w:rPr>
          <w:szCs w:val="24"/>
          <w:lang w:val="en-US"/>
        </w:rPr>
        <w:t>led to</w:t>
      </w:r>
      <w:r w:rsidR="00743D36" w:rsidRPr="00311F08">
        <w:rPr>
          <w:szCs w:val="24"/>
          <w:lang w:val="en-US"/>
        </w:rPr>
        <w:t xml:space="preserve"> added network capacity and lower price for exchanging international </w:t>
      </w:r>
      <w:r w:rsidR="00073ED6" w:rsidRPr="00311F08">
        <w:rPr>
          <w:szCs w:val="24"/>
          <w:lang w:val="en-US"/>
        </w:rPr>
        <w:t>traffic than under the accounting rate regime.</w:t>
      </w:r>
      <w:bookmarkEnd w:id="6"/>
      <w:r w:rsidR="00C2481D" w:rsidRPr="00311F08">
        <w:rPr>
          <w:szCs w:val="24"/>
          <w:lang w:val="en-US"/>
        </w:rPr>
        <w:t xml:space="preserve"> </w:t>
      </w:r>
    </w:p>
    <w:p w14:paraId="0F553972" w14:textId="7A3E6F7C" w:rsidR="00B50975" w:rsidRPr="00311F08" w:rsidRDefault="00BD0119" w:rsidP="00BA5DD5">
      <w:pPr>
        <w:tabs>
          <w:tab w:val="clear" w:pos="567"/>
          <w:tab w:val="clear" w:pos="1134"/>
          <w:tab w:val="clear" w:pos="1701"/>
          <w:tab w:val="clear" w:pos="2268"/>
          <w:tab w:val="clear" w:pos="2835"/>
        </w:tabs>
        <w:spacing w:after="120"/>
        <w:jc w:val="both"/>
        <w:rPr>
          <w:szCs w:val="24"/>
        </w:rPr>
      </w:pPr>
      <w:proofErr w:type="gramStart"/>
      <w:r w:rsidRPr="00311F08">
        <w:rPr>
          <w:szCs w:val="24"/>
        </w:rPr>
        <w:t xml:space="preserve">The </w:t>
      </w:r>
      <w:r w:rsidR="00B50975" w:rsidRPr="00311F08">
        <w:rPr>
          <w:szCs w:val="24"/>
        </w:rPr>
        <w:t xml:space="preserve">majority </w:t>
      </w:r>
      <w:r w:rsidRPr="00311F08">
        <w:rPr>
          <w:szCs w:val="24"/>
        </w:rPr>
        <w:t>of</w:t>
      </w:r>
      <w:proofErr w:type="gramEnd"/>
      <w:r w:rsidRPr="00311F08">
        <w:rPr>
          <w:szCs w:val="24"/>
        </w:rPr>
        <w:t xml:space="preserve"> the </w:t>
      </w:r>
      <w:r w:rsidR="00B50975" w:rsidRPr="00311F08">
        <w:rPr>
          <w:szCs w:val="24"/>
        </w:rPr>
        <w:t xml:space="preserve">provisions of Article 5 on Safety of Life and </w:t>
      </w:r>
      <w:r w:rsidR="00784B81" w:rsidRPr="00311F08">
        <w:rPr>
          <w:szCs w:val="24"/>
        </w:rPr>
        <w:t>P</w:t>
      </w:r>
      <w:r w:rsidR="00B50975" w:rsidRPr="00311F08">
        <w:rPr>
          <w:szCs w:val="24"/>
        </w:rPr>
        <w:t xml:space="preserve">riority of </w:t>
      </w:r>
      <w:r w:rsidR="00784B81" w:rsidRPr="00311F08">
        <w:rPr>
          <w:szCs w:val="24"/>
        </w:rPr>
        <w:t>T</w:t>
      </w:r>
      <w:r w:rsidR="00B50975" w:rsidRPr="00311F08">
        <w:rPr>
          <w:szCs w:val="24"/>
        </w:rPr>
        <w:t>elecommunications are reflected in all instruments of the Union</w:t>
      </w:r>
      <w:r w:rsidRPr="00311F08">
        <w:rPr>
          <w:szCs w:val="24"/>
        </w:rPr>
        <w:t xml:space="preserve"> and do not add additional releva</w:t>
      </w:r>
      <w:r w:rsidR="00784B81" w:rsidRPr="00311F08">
        <w:rPr>
          <w:szCs w:val="24"/>
        </w:rPr>
        <w:t xml:space="preserve">nce/value here.  </w:t>
      </w:r>
      <w:r w:rsidR="00784B81" w:rsidRPr="00311F08">
        <w:rPr>
          <w:szCs w:val="24"/>
        </w:rPr>
        <w:lastRenderedPageBreak/>
        <w:t xml:space="preserve">Additionally, </w:t>
      </w:r>
      <w:r w:rsidR="00B50975" w:rsidRPr="00311F08">
        <w:rPr>
          <w:szCs w:val="24"/>
        </w:rPr>
        <w:t xml:space="preserve">the </w:t>
      </w:r>
      <w:r w:rsidR="00B46D62" w:rsidRPr="00311F08">
        <w:rPr>
          <w:szCs w:val="24"/>
        </w:rPr>
        <w:t xml:space="preserve">provision on free emergency call </w:t>
      </w:r>
      <w:r w:rsidRPr="00311F08">
        <w:rPr>
          <w:szCs w:val="24"/>
        </w:rPr>
        <w:t xml:space="preserve">is </w:t>
      </w:r>
      <w:r w:rsidR="00B46D62" w:rsidRPr="00311F08">
        <w:rPr>
          <w:szCs w:val="24"/>
        </w:rPr>
        <w:t>redundant considering</w:t>
      </w:r>
      <w:r w:rsidRPr="00311F08">
        <w:rPr>
          <w:szCs w:val="24"/>
        </w:rPr>
        <w:t xml:space="preserve"> that</w:t>
      </w:r>
      <w:r w:rsidR="00B46D62" w:rsidRPr="00311F08">
        <w:rPr>
          <w:szCs w:val="24"/>
        </w:rPr>
        <w:t xml:space="preserve"> operators in</w:t>
      </w:r>
      <w:r w:rsidRPr="00311F08">
        <w:rPr>
          <w:szCs w:val="24"/>
        </w:rPr>
        <w:t xml:space="preserve"> a</w:t>
      </w:r>
      <w:r w:rsidR="00B46D62" w:rsidRPr="00311F08">
        <w:rPr>
          <w:szCs w:val="24"/>
        </w:rPr>
        <w:t xml:space="preserve"> majority</w:t>
      </w:r>
      <w:r w:rsidRPr="00311F08">
        <w:rPr>
          <w:szCs w:val="24"/>
        </w:rPr>
        <w:t>,</w:t>
      </w:r>
      <w:r w:rsidR="00B46D62" w:rsidRPr="00311F08">
        <w:rPr>
          <w:szCs w:val="24"/>
        </w:rPr>
        <w:t xml:space="preserve"> if not </w:t>
      </w:r>
      <w:proofErr w:type="gramStart"/>
      <w:r w:rsidR="00B46D62" w:rsidRPr="00311F08">
        <w:rPr>
          <w:szCs w:val="24"/>
        </w:rPr>
        <w:t xml:space="preserve">all </w:t>
      </w:r>
      <w:r w:rsidRPr="00311F08">
        <w:rPr>
          <w:szCs w:val="24"/>
        </w:rPr>
        <w:t>of</w:t>
      </w:r>
      <w:proofErr w:type="gramEnd"/>
      <w:r w:rsidRPr="00311F08">
        <w:rPr>
          <w:szCs w:val="24"/>
        </w:rPr>
        <w:t xml:space="preserve"> the </w:t>
      </w:r>
      <w:r w:rsidR="00B46D62" w:rsidRPr="00311F08">
        <w:rPr>
          <w:szCs w:val="24"/>
        </w:rPr>
        <w:t>Member States</w:t>
      </w:r>
      <w:r w:rsidRPr="00311F08">
        <w:rPr>
          <w:szCs w:val="24"/>
        </w:rPr>
        <w:t>,</w:t>
      </w:r>
      <w:r w:rsidR="00B46D62" w:rsidRPr="00311F08">
        <w:rPr>
          <w:szCs w:val="24"/>
        </w:rPr>
        <w:t xml:space="preserve"> </w:t>
      </w:r>
      <w:r w:rsidR="002A0E13" w:rsidRPr="00311F08">
        <w:rPr>
          <w:szCs w:val="24"/>
        </w:rPr>
        <w:t>ha</w:t>
      </w:r>
      <w:r w:rsidR="00AC2548" w:rsidRPr="00311F08">
        <w:rPr>
          <w:szCs w:val="24"/>
        </w:rPr>
        <w:t>ve</w:t>
      </w:r>
      <w:r w:rsidR="002A0E13" w:rsidRPr="00311F08">
        <w:rPr>
          <w:szCs w:val="24"/>
        </w:rPr>
        <w:t xml:space="preserve"> a long tradition</w:t>
      </w:r>
      <w:r w:rsidR="00AC2548" w:rsidRPr="00311F08">
        <w:rPr>
          <w:szCs w:val="24"/>
        </w:rPr>
        <w:t xml:space="preserve"> of providing such service.  </w:t>
      </w:r>
    </w:p>
    <w:p w14:paraId="7D4B28B4" w14:textId="6EB2078E" w:rsidR="00F843A7" w:rsidRPr="00311F08" w:rsidRDefault="00773FB4" w:rsidP="00BA5DD5">
      <w:pPr>
        <w:tabs>
          <w:tab w:val="clear" w:pos="567"/>
          <w:tab w:val="clear" w:pos="1134"/>
          <w:tab w:val="clear" w:pos="1701"/>
          <w:tab w:val="clear" w:pos="2268"/>
          <w:tab w:val="clear" w:pos="2835"/>
        </w:tabs>
        <w:spacing w:after="120"/>
        <w:jc w:val="both"/>
        <w:rPr>
          <w:szCs w:val="24"/>
        </w:rPr>
      </w:pPr>
      <w:r w:rsidRPr="00311F08">
        <w:rPr>
          <w:szCs w:val="24"/>
        </w:rPr>
        <w:t>The</w:t>
      </w:r>
      <w:r w:rsidR="00AC2548" w:rsidRPr="00311F08">
        <w:rPr>
          <w:szCs w:val="24"/>
        </w:rPr>
        <w:t xml:space="preserve"> provision on Security and Robustness of Network </w:t>
      </w:r>
      <w:r w:rsidR="00784B81" w:rsidRPr="00311F08">
        <w:rPr>
          <w:szCs w:val="24"/>
        </w:rPr>
        <w:t xml:space="preserve">in Article 6 </w:t>
      </w:r>
      <w:r w:rsidRPr="00311F08">
        <w:rPr>
          <w:szCs w:val="24"/>
        </w:rPr>
        <w:t xml:space="preserve">in our opinion </w:t>
      </w:r>
      <w:r w:rsidR="00AC2548" w:rsidRPr="00311F08">
        <w:rPr>
          <w:szCs w:val="24"/>
        </w:rPr>
        <w:t xml:space="preserve">is </w:t>
      </w:r>
      <w:r w:rsidRPr="00311F08">
        <w:rPr>
          <w:szCs w:val="24"/>
        </w:rPr>
        <w:t xml:space="preserve">of little practical use.  </w:t>
      </w:r>
      <w:r w:rsidR="002D5D5C" w:rsidRPr="00311F08">
        <w:rPr>
          <w:szCs w:val="24"/>
        </w:rPr>
        <w:t xml:space="preserve">We believe technical solutions to address network security and robustness would produce </w:t>
      </w:r>
      <w:r w:rsidR="0046504C" w:rsidRPr="00311F08">
        <w:rPr>
          <w:szCs w:val="24"/>
        </w:rPr>
        <w:t xml:space="preserve">a more </w:t>
      </w:r>
      <w:r w:rsidR="002D5D5C" w:rsidRPr="00311F08">
        <w:rPr>
          <w:szCs w:val="24"/>
        </w:rPr>
        <w:t xml:space="preserve">desirable outcome than the </w:t>
      </w:r>
      <w:r w:rsidR="0046504C" w:rsidRPr="00311F08">
        <w:rPr>
          <w:szCs w:val="24"/>
        </w:rPr>
        <w:t xml:space="preserve">regulatory </w:t>
      </w:r>
      <w:r w:rsidR="002D5D5C" w:rsidRPr="00311F08">
        <w:rPr>
          <w:szCs w:val="24"/>
        </w:rPr>
        <w:t xml:space="preserve">provision </w:t>
      </w:r>
      <w:r w:rsidR="0046504C" w:rsidRPr="00311F08">
        <w:rPr>
          <w:szCs w:val="24"/>
        </w:rPr>
        <w:t>of</w:t>
      </w:r>
      <w:r w:rsidR="002D5D5C" w:rsidRPr="00311F08">
        <w:rPr>
          <w:szCs w:val="24"/>
        </w:rPr>
        <w:t xml:space="preserve"> the ITRs.  </w:t>
      </w:r>
    </w:p>
    <w:p w14:paraId="7D33B33F" w14:textId="47BED165" w:rsidR="00AC2548" w:rsidRPr="00311F08" w:rsidRDefault="002D5D5C" w:rsidP="00BA5DD5">
      <w:pPr>
        <w:tabs>
          <w:tab w:val="clear" w:pos="567"/>
          <w:tab w:val="clear" w:pos="1134"/>
          <w:tab w:val="clear" w:pos="1701"/>
          <w:tab w:val="clear" w:pos="2268"/>
          <w:tab w:val="clear" w:pos="2835"/>
        </w:tabs>
        <w:spacing w:after="120"/>
        <w:jc w:val="both"/>
        <w:rPr>
          <w:szCs w:val="24"/>
        </w:rPr>
      </w:pPr>
      <w:r w:rsidRPr="00311F08">
        <w:rPr>
          <w:szCs w:val="24"/>
        </w:rPr>
        <w:t xml:space="preserve">Similarly, we believe the provision in </w:t>
      </w:r>
      <w:r w:rsidR="00784B81" w:rsidRPr="00311F08">
        <w:rPr>
          <w:szCs w:val="24"/>
        </w:rPr>
        <w:t>U</w:t>
      </w:r>
      <w:r w:rsidRPr="00311F08">
        <w:rPr>
          <w:szCs w:val="24"/>
        </w:rPr>
        <w:t xml:space="preserve">nsolicited bulk electronic communications (e.g., SPAM) </w:t>
      </w:r>
      <w:r w:rsidR="00784B81" w:rsidRPr="00311F08">
        <w:rPr>
          <w:szCs w:val="24"/>
        </w:rPr>
        <w:t xml:space="preserve">in Article 7 </w:t>
      </w:r>
      <w:r w:rsidRPr="00311F08">
        <w:rPr>
          <w:szCs w:val="24"/>
        </w:rPr>
        <w:t xml:space="preserve">is neither effective nor applicable.  </w:t>
      </w:r>
      <w:r w:rsidR="00F843A7" w:rsidRPr="00311F08">
        <w:rPr>
          <w:szCs w:val="24"/>
          <w:lang w:val="en-US"/>
        </w:rPr>
        <w:t xml:space="preserve">Measures to counter spam are evolving too rapidly to be addressed in a stable document such as a treaty like the ITRs.  Advances are made in this area continually and any attempt to address SPAM through the ITRs would be ineffective and would be outdated immediately.  The most effective mechanisms for responding to SPAM are technological.  </w:t>
      </w:r>
    </w:p>
    <w:p w14:paraId="5E8A12D4" w14:textId="77777777" w:rsidR="00BA5DD5" w:rsidRPr="00BA5DD5" w:rsidRDefault="00BA5DD5" w:rsidP="00BA5DD5">
      <w:pPr>
        <w:tabs>
          <w:tab w:val="clear" w:pos="567"/>
          <w:tab w:val="clear" w:pos="1134"/>
          <w:tab w:val="clear" w:pos="1701"/>
          <w:tab w:val="clear" w:pos="2268"/>
          <w:tab w:val="clear" w:pos="2835"/>
        </w:tabs>
        <w:spacing w:before="360" w:after="120"/>
        <w:jc w:val="both"/>
        <w:rPr>
          <w:b/>
          <w:bCs/>
        </w:rPr>
      </w:pPr>
      <w:r w:rsidRPr="00BA5DD5">
        <w:rPr>
          <w:b/>
          <w:bCs/>
        </w:rPr>
        <w:t>Conclusion</w:t>
      </w:r>
    </w:p>
    <w:p w14:paraId="33DF1055" w14:textId="53EB6218" w:rsidR="00BA5DD5" w:rsidRPr="006C6885" w:rsidRDefault="00BA5DD5" w:rsidP="00BA5DD5">
      <w:pPr>
        <w:tabs>
          <w:tab w:val="clear" w:pos="567"/>
          <w:tab w:val="clear" w:pos="1134"/>
          <w:tab w:val="clear" w:pos="1701"/>
          <w:tab w:val="clear" w:pos="2268"/>
          <w:tab w:val="clear" w:pos="2835"/>
        </w:tabs>
        <w:spacing w:after="120"/>
        <w:jc w:val="both"/>
        <w:rPr>
          <w:sz w:val="22"/>
          <w:szCs w:val="22"/>
        </w:rPr>
      </w:pPr>
      <w:r w:rsidRPr="00311F08">
        <w:rPr>
          <w:szCs w:val="24"/>
        </w:rPr>
        <w:t>Treaty provisions that are general in nature</w:t>
      </w:r>
      <w:r w:rsidR="00AA3DA5" w:rsidRPr="00311F08">
        <w:rPr>
          <w:szCs w:val="24"/>
        </w:rPr>
        <w:t xml:space="preserve"> </w:t>
      </w:r>
      <w:r w:rsidRPr="00311F08">
        <w:rPr>
          <w:szCs w:val="24"/>
        </w:rPr>
        <w:t xml:space="preserve">are more likely to withstand changing market conditions and technological innovation. We believe </w:t>
      </w:r>
      <w:r w:rsidR="00784B81" w:rsidRPr="00311F08">
        <w:rPr>
          <w:szCs w:val="24"/>
        </w:rPr>
        <w:t xml:space="preserve">that </w:t>
      </w:r>
      <w:r w:rsidRPr="00311F08">
        <w:rPr>
          <w:szCs w:val="24"/>
        </w:rPr>
        <w:t xml:space="preserve">general provisions of the ITRs included in the ITU Constitution and Convention are </w:t>
      </w:r>
      <w:r w:rsidR="00784B81" w:rsidRPr="00311F08">
        <w:rPr>
          <w:szCs w:val="24"/>
        </w:rPr>
        <w:t xml:space="preserve">more </w:t>
      </w:r>
      <w:r w:rsidRPr="00311F08">
        <w:rPr>
          <w:szCs w:val="24"/>
        </w:rPr>
        <w:t>resilient and capable of enduring changing market and technological environment</w:t>
      </w:r>
      <w:r w:rsidRPr="006C6885">
        <w:rPr>
          <w:sz w:val="22"/>
          <w:szCs w:val="22"/>
        </w:rPr>
        <w:t>.</w:t>
      </w:r>
      <w:r w:rsidRPr="006C6885">
        <w:rPr>
          <w:rStyle w:val="FootnoteReference"/>
          <w:sz w:val="22"/>
          <w:szCs w:val="22"/>
        </w:rPr>
        <w:footnoteReference w:id="1"/>
      </w:r>
    </w:p>
    <w:p w14:paraId="7AD29705" w14:textId="77777777" w:rsidR="00BA5DD5" w:rsidRPr="006C6885" w:rsidRDefault="00BA5DD5" w:rsidP="00462666">
      <w:pPr>
        <w:spacing w:before="360"/>
        <w:jc w:val="center"/>
        <w:rPr>
          <w:sz w:val="22"/>
          <w:szCs w:val="22"/>
        </w:rPr>
      </w:pPr>
      <w:r w:rsidRPr="006C6885">
        <w:rPr>
          <w:sz w:val="22"/>
          <w:szCs w:val="22"/>
        </w:rPr>
        <w:t>____________________</w:t>
      </w:r>
    </w:p>
    <w:sectPr w:rsidR="00BA5DD5" w:rsidRPr="006C6885" w:rsidSect="0075349D">
      <w:headerReference w:type="default" r:id="rId9"/>
      <w:footerReference w:type="default" r:id="rId10"/>
      <w:footerReference w:type="first" r:id="rId11"/>
      <w:pgSz w:w="11907" w:h="16834"/>
      <w:pgMar w:top="171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BD4CB" w14:textId="77777777" w:rsidR="002265A8" w:rsidRDefault="002265A8">
      <w:r>
        <w:separator/>
      </w:r>
    </w:p>
  </w:endnote>
  <w:endnote w:type="continuationSeparator" w:id="0">
    <w:p w14:paraId="4F31B950" w14:textId="77777777" w:rsidR="002265A8" w:rsidRDefault="0022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2EED" w14:textId="0D07A797" w:rsidR="00CB18FF" w:rsidRPr="00462666" w:rsidRDefault="00DA6C57">
    <w:pPr>
      <w:pStyle w:val="Footer"/>
      <w:rPr>
        <w:color w:val="BFBFBF" w:themeColor="background1" w:themeShade="BF"/>
      </w:rPr>
    </w:pPr>
    <w:r w:rsidRPr="00462666">
      <w:rPr>
        <w:color w:val="BFBFBF" w:themeColor="background1" w:themeShade="BF"/>
      </w:rPr>
      <w:fldChar w:fldCharType="begin"/>
    </w:r>
    <w:r w:rsidRPr="00462666">
      <w:rPr>
        <w:color w:val="BFBFBF" w:themeColor="background1" w:themeShade="BF"/>
      </w:rPr>
      <w:instrText xml:space="preserve"> FILENAME \p  \* MERGEFORMAT </w:instrText>
    </w:r>
    <w:r w:rsidRPr="00462666">
      <w:rPr>
        <w:color w:val="BFBFBF" w:themeColor="background1" w:themeShade="BF"/>
      </w:rPr>
      <w:fldChar w:fldCharType="separate"/>
    </w:r>
    <w:r w:rsidR="00D276E1" w:rsidRPr="00462666">
      <w:rPr>
        <w:color w:val="BFBFBF" w:themeColor="background1" w:themeShade="BF"/>
      </w:rPr>
      <w:t>Document1</w:t>
    </w:r>
    <w:r w:rsidRPr="00462666">
      <w:rPr>
        <w:color w:val="BFBFBF" w:themeColor="background1" w:themeShade="BF"/>
      </w:rPr>
      <w:fldChar w:fldCharType="end"/>
    </w:r>
    <w:r w:rsidR="00CB18FF" w:rsidRPr="00462666">
      <w:rPr>
        <w:color w:val="BFBFBF" w:themeColor="background1" w:themeShade="BF"/>
      </w:rPr>
      <w:tab/>
    </w:r>
    <w:r w:rsidR="00864AFF" w:rsidRPr="00462666">
      <w:rPr>
        <w:color w:val="BFBFBF" w:themeColor="background1" w:themeShade="BF"/>
      </w:rPr>
      <w:fldChar w:fldCharType="begin"/>
    </w:r>
    <w:r w:rsidR="00CB18FF" w:rsidRPr="00462666">
      <w:rPr>
        <w:color w:val="BFBFBF" w:themeColor="background1" w:themeShade="BF"/>
      </w:rPr>
      <w:instrText xml:space="preserve"> SAVEDATE \@ DD.MM.YY </w:instrText>
    </w:r>
    <w:r w:rsidR="00864AFF" w:rsidRPr="00462666">
      <w:rPr>
        <w:color w:val="BFBFBF" w:themeColor="background1" w:themeShade="BF"/>
      </w:rPr>
      <w:fldChar w:fldCharType="separate"/>
    </w:r>
    <w:r w:rsidR="009517E4">
      <w:rPr>
        <w:color w:val="BFBFBF" w:themeColor="background1" w:themeShade="BF"/>
      </w:rPr>
      <w:t>01.09.20</w:t>
    </w:r>
    <w:r w:rsidR="00864AFF" w:rsidRPr="00462666">
      <w:rPr>
        <w:color w:val="BFBFBF" w:themeColor="background1" w:themeShade="BF"/>
      </w:rPr>
      <w:fldChar w:fldCharType="end"/>
    </w:r>
    <w:r w:rsidR="00CB18FF" w:rsidRPr="00462666">
      <w:rPr>
        <w:color w:val="BFBFBF" w:themeColor="background1" w:themeShade="BF"/>
      </w:rPr>
      <w:tab/>
    </w:r>
    <w:r w:rsidR="00864AFF" w:rsidRPr="00462666">
      <w:rPr>
        <w:color w:val="BFBFBF" w:themeColor="background1" w:themeShade="BF"/>
      </w:rPr>
      <w:fldChar w:fldCharType="begin"/>
    </w:r>
    <w:r w:rsidR="00CB18FF" w:rsidRPr="00462666">
      <w:rPr>
        <w:color w:val="BFBFBF" w:themeColor="background1" w:themeShade="BF"/>
      </w:rPr>
      <w:instrText xml:space="preserve"> PRINTDATE \@ DD.MM.YY </w:instrText>
    </w:r>
    <w:r w:rsidR="00864AFF" w:rsidRPr="00462666">
      <w:rPr>
        <w:color w:val="BFBFBF" w:themeColor="background1" w:themeShade="BF"/>
      </w:rPr>
      <w:fldChar w:fldCharType="separate"/>
    </w:r>
    <w:r w:rsidR="00D276E1" w:rsidRPr="00462666">
      <w:rPr>
        <w:color w:val="BFBFBF" w:themeColor="background1" w:themeShade="BF"/>
      </w:rPr>
      <w:t>18.07.00</w:t>
    </w:r>
    <w:r w:rsidR="00864AFF" w:rsidRPr="00462666">
      <w:rPr>
        <w:color w:val="BFBFBF" w:themeColor="background1"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9B0E" w14:textId="77777777" w:rsidR="00322D0D" w:rsidRPr="00462666" w:rsidRDefault="00322D0D">
    <w:pPr>
      <w:spacing w:after="120"/>
      <w:jc w:val="center"/>
      <w:rPr>
        <w:sz w:val="22"/>
        <w:szCs w:val="22"/>
      </w:rPr>
    </w:pPr>
    <w:r w:rsidRPr="00462666">
      <w:rPr>
        <w:sz w:val="22"/>
        <w:szCs w:val="22"/>
      </w:rPr>
      <w:t xml:space="preserve">• </w:t>
    </w:r>
    <w:hyperlink r:id="rId1" w:history="1">
      <w:r w:rsidRPr="00462666">
        <w:rPr>
          <w:rStyle w:val="Hyperlink"/>
          <w:sz w:val="22"/>
          <w:szCs w:val="22"/>
        </w:rPr>
        <w:t>http://www.itu.int/council</w:t>
      </w:r>
    </w:hyperlink>
    <w:r w:rsidRPr="00462666">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40CF1" w14:textId="77777777" w:rsidR="002265A8" w:rsidRDefault="002265A8">
      <w:r>
        <w:t>____________________</w:t>
      </w:r>
    </w:p>
  </w:footnote>
  <w:footnote w:type="continuationSeparator" w:id="0">
    <w:p w14:paraId="52127890" w14:textId="77777777" w:rsidR="002265A8" w:rsidRDefault="002265A8">
      <w:r>
        <w:continuationSeparator/>
      </w:r>
    </w:p>
  </w:footnote>
  <w:footnote w:id="1">
    <w:p w14:paraId="7E5E9FAA" w14:textId="55DECD3E" w:rsidR="00BA5DD5" w:rsidRPr="00BA5DD5" w:rsidRDefault="00BA5DD5" w:rsidP="00462666">
      <w:pPr>
        <w:pStyle w:val="FootnoteText"/>
        <w:spacing w:before="80"/>
      </w:pPr>
      <w:r>
        <w:rPr>
          <w:rStyle w:val="FootnoteReference"/>
        </w:rPr>
        <w:footnoteRef/>
      </w:r>
      <w:r w:rsidR="00462666">
        <w:tab/>
      </w:r>
      <w:r w:rsidRPr="00BA5DD5">
        <w:rPr>
          <w:sz w:val="20"/>
        </w:rPr>
        <w:t xml:space="preserve">See Expert Group to Review the ITRs (2007 – 2009), Information Document 5 on Relation between the ITRs and Constitution and Convention available at </w:t>
      </w:r>
      <w:hyperlink r:id="rId1" w:history="1">
        <w:r w:rsidRPr="00BA5DD5">
          <w:rPr>
            <w:rStyle w:val="Hyperlink"/>
            <w:sz w:val="20"/>
          </w:rPr>
          <w:t>https://www.itu.int/md/T05-ITR.EG-INF-0005/en</w:t>
        </w:r>
      </w:hyperlink>
      <w:r w:rsidRPr="00BA5DD5">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A458" w14:textId="6A6423F7" w:rsidR="00322D0D" w:rsidRDefault="006535F1" w:rsidP="00CE433C">
    <w:pPr>
      <w:pStyle w:val="Header"/>
    </w:pPr>
    <w:r>
      <w:fldChar w:fldCharType="begin"/>
    </w:r>
    <w:r>
      <w:instrText>PAGE</w:instrText>
    </w:r>
    <w:r>
      <w:fldChar w:fldCharType="separate"/>
    </w:r>
    <w:r w:rsidR="007261A5">
      <w:rPr>
        <w:noProof/>
      </w:rPr>
      <w:t>2</w:t>
    </w:r>
    <w:r>
      <w:rPr>
        <w:noProof/>
      </w:rPr>
      <w:fldChar w:fldCharType="end"/>
    </w:r>
  </w:p>
  <w:p w14:paraId="2541AA79" w14:textId="2FA7AD29" w:rsidR="00322D0D" w:rsidRDefault="00D276E1" w:rsidP="005243FF">
    <w:pPr>
      <w:pStyle w:val="Header"/>
    </w:pPr>
    <w:r>
      <w:rPr>
        <w:noProof/>
      </w:rPr>
      <w:t>EG-ITRs-</w:t>
    </w:r>
    <w:r w:rsidR="00535B39">
      <w:rPr>
        <w:noProof/>
      </w:rPr>
      <w:t>3</w:t>
    </w:r>
    <w:r w:rsidR="00D21377">
      <w:rPr>
        <w:noProof/>
      </w:rPr>
      <w:t>\</w:t>
    </w:r>
    <w:r w:rsidR="00535B39">
      <w:rPr>
        <w:noProof/>
      </w:rPr>
      <w:t>3</w:t>
    </w:r>
    <w:r w:rsidR="00D21377">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E1"/>
    <w:rsid w:val="000210D4"/>
    <w:rsid w:val="000554A9"/>
    <w:rsid w:val="00062104"/>
    <w:rsid w:val="00063016"/>
    <w:rsid w:val="00066795"/>
    <w:rsid w:val="00073ED6"/>
    <w:rsid w:val="00076AF6"/>
    <w:rsid w:val="00085CF2"/>
    <w:rsid w:val="000B1705"/>
    <w:rsid w:val="000D75B2"/>
    <w:rsid w:val="001121F5"/>
    <w:rsid w:val="001400DC"/>
    <w:rsid w:val="00140CE1"/>
    <w:rsid w:val="00145BF6"/>
    <w:rsid w:val="0017539C"/>
    <w:rsid w:val="00175AC2"/>
    <w:rsid w:val="0017609F"/>
    <w:rsid w:val="001C628E"/>
    <w:rsid w:val="001E0F7B"/>
    <w:rsid w:val="00207F38"/>
    <w:rsid w:val="002119FD"/>
    <w:rsid w:val="002130E0"/>
    <w:rsid w:val="002265A8"/>
    <w:rsid w:val="00261B34"/>
    <w:rsid w:val="00264425"/>
    <w:rsid w:val="00265875"/>
    <w:rsid w:val="0027303B"/>
    <w:rsid w:val="0028109B"/>
    <w:rsid w:val="002A0E13"/>
    <w:rsid w:val="002A2188"/>
    <w:rsid w:val="002A3517"/>
    <w:rsid w:val="002B1F58"/>
    <w:rsid w:val="002B46BC"/>
    <w:rsid w:val="002C1C7A"/>
    <w:rsid w:val="002D5D5C"/>
    <w:rsid w:val="0030160F"/>
    <w:rsid w:val="00311F08"/>
    <w:rsid w:val="00322D0D"/>
    <w:rsid w:val="0033023B"/>
    <w:rsid w:val="003942D4"/>
    <w:rsid w:val="003958A8"/>
    <w:rsid w:val="003C2533"/>
    <w:rsid w:val="0040435A"/>
    <w:rsid w:val="00416A24"/>
    <w:rsid w:val="00431D9E"/>
    <w:rsid w:val="00433CE8"/>
    <w:rsid w:val="00434A5C"/>
    <w:rsid w:val="004544D9"/>
    <w:rsid w:val="00462666"/>
    <w:rsid w:val="004639AD"/>
    <w:rsid w:val="0046504C"/>
    <w:rsid w:val="00490E72"/>
    <w:rsid w:val="00491157"/>
    <w:rsid w:val="004921C8"/>
    <w:rsid w:val="004D1851"/>
    <w:rsid w:val="004D599D"/>
    <w:rsid w:val="004E2EA5"/>
    <w:rsid w:val="004E3AEB"/>
    <w:rsid w:val="004F33DB"/>
    <w:rsid w:val="0050223C"/>
    <w:rsid w:val="005243FF"/>
    <w:rsid w:val="005335D1"/>
    <w:rsid w:val="00535B39"/>
    <w:rsid w:val="00564FBC"/>
    <w:rsid w:val="00582442"/>
    <w:rsid w:val="005D3E6D"/>
    <w:rsid w:val="006407BC"/>
    <w:rsid w:val="0064737F"/>
    <w:rsid w:val="006535F1"/>
    <w:rsid w:val="0065557D"/>
    <w:rsid w:val="00662984"/>
    <w:rsid w:val="006716BB"/>
    <w:rsid w:val="00690CED"/>
    <w:rsid w:val="006B6680"/>
    <w:rsid w:val="006B6DCC"/>
    <w:rsid w:val="006C6885"/>
    <w:rsid w:val="00702DEF"/>
    <w:rsid w:val="00703E81"/>
    <w:rsid w:val="00706861"/>
    <w:rsid w:val="007261A5"/>
    <w:rsid w:val="00743D36"/>
    <w:rsid w:val="0075051B"/>
    <w:rsid w:val="0075349D"/>
    <w:rsid w:val="00770C29"/>
    <w:rsid w:val="00773FB4"/>
    <w:rsid w:val="00784B81"/>
    <w:rsid w:val="00794D34"/>
    <w:rsid w:val="00813E5E"/>
    <w:rsid w:val="008349C6"/>
    <w:rsid w:val="0083581B"/>
    <w:rsid w:val="008358F4"/>
    <w:rsid w:val="00864AFF"/>
    <w:rsid w:val="008B4A6A"/>
    <w:rsid w:val="008C7E27"/>
    <w:rsid w:val="008F53E5"/>
    <w:rsid w:val="009173EF"/>
    <w:rsid w:val="00923406"/>
    <w:rsid w:val="00932906"/>
    <w:rsid w:val="009517E4"/>
    <w:rsid w:val="00961B0B"/>
    <w:rsid w:val="00973E84"/>
    <w:rsid w:val="009B38C3"/>
    <w:rsid w:val="009E17BD"/>
    <w:rsid w:val="009E485A"/>
    <w:rsid w:val="00A04CEC"/>
    <w:rsid w:val="00A27F92"/>
    <w:rsid w:val="00A32257"/>
    <w:rsid w:val="00A36D20"/>
    <w:rsid w:val="00A55622"/>
    <w:rsid w:val="00A738E9"/>
    <w:rsid w:val="00A83502"/>
    <w:rsid w:val="00AA3DA5"/>
    <w:rsid w:val="00AC2548"/>
    <w:rsid w:val="00AD15B3"/>
    <w:rsid w:val="00AF6E49"/>
    <w:rsid w:val="00B04A67"/>
    <w:rsid w:val="00B0583C"/>
    <w:rsid w:val="00B40A81"/>
    <w:rsid w:val="00B44910"/>
    <w:rsid w:val="00B46D62"/>
    <w:rsid w:val="00B50975"/>
    <w:rsid w:val="00B72267"/>
    <w:rsid w:val="00B76EB6"/>
    <w:rsid w:val="00B7737B"/>
    <w:rsid w:val="00B824C8"/>
    <w:rsid w:val="00BA5DD5"/>
    <w:rsid w:val="00BC251A"/>
    <w:rsid w:val="00BD0119"/>
    <w:rsid w:val="00BD032B"/>
    <w:rsid w:val="00BE2640"/>
    <w:rsid w:val="00C01189"/>
    <w:rsid w:val="00C2481D"/>
    <w:rsid w:val="00C374DE"/>
    <w:rsid w:val="00C47AD4"/>
    <w:rsid w:val="00C52D81"/>
    <w:rsid w:val="00C55198"/>
    <w:rsid w:val="00C75EB8"/>
    <w:rsid w:val="00CA6393"/>
    <w:rsid w:val="00CB18FF"/>
    <w:rsid w:val="00CD0C08"/>
    <w:rsid w:val="00CE03FB"/>
    <w:rsid w:val="00CE433C"/>
    <w:rsid w:val="00CF33F3"/>
    <w:rsid w:val="00D06183"/>
    <w:rsid w:val="00D21377"/>
    <w:rsid w:val="00D22C42"/>
    <w:rsid w:val="00D276E1"/>
    <w:rsid w:val="00D65041"/>
    <w:rsid w:val="00D70C50"/>
    <w:rsid w:val="00DA66CC"/>
    <w:rsid w:val="00DA6C57"/>
    <w:rsid w:val="00DB384B"/>
    <w:rsid w:val="00DB3D4D"/>
    <w:rsid w:val="00DF4EDF"/>
    <w:rsid w:val="00E017F1"/>
    <w:rsid w:val="00E0692E"/>
    <w:rsid w:val="00E10E80"/>
    <w:rsid w:val="00E124F0"/>
    <w:rsid w:val="00E60F04"/>
    <w:rsid w:val="00E61D0A"/>
    <w:rsid w:val="00E854E4"/>
    <w:rsid w:val="00EB0D6F"/>
    <w:rsid w:val="00EB2232"/>
    <w:rsid w:val="00EC5337"/>
    <w:rsid w:val="00F0527A"/>
    <w:rsid w:val="00F2150A"/>
    <w:rsid w:val="00F231D8"/>
    <w:rsid w:val="00F45152"/>
    <w:rsid w:val="00F46C5F"/>
    <w:rsid w:val="00F843A7"/>
    <w:rsid w:val="00F94A63"/>
    <w:rsid w:val="00FA1C28"/>
    <w:rsid w:val="00FB7596"/>
    <w:rsid w:val="00FE4077"/>
    <w:rsid w:val="00FE77D2"/>
    <w:rsid w:val="00FF6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A4718"/>
  <w15:docId w15:val="{2808896A-0CB0-4B23-B908-5D4C2CA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0621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2104"/>
    <w:rPr>
      <w:rFonts w:ascii="Segoe UI" w:hAnsi="Segoe UI" w:cs="Segoe UI"/>
      <w:sz w:val="18"/>
      <w:szCs w:val="18"/>
      <w:lang w:val="en-GB" w:eastAsia="en-US"/>
    </w:rPr>
  </w:style>
  <w:style w:type="character" w:styleId="CommentReference">
    <w:name w:val="annotation reference"/>
    <w:basedOn w:val="DefaultParagraphFont"/>
    <w:semiHidden/>
    <w:unhideWhenUsed/>
    <w:rsid w:val="00784B81"/>
    <w:rPr>
      <w:sz w:val="16"/>
      <w:szCs w:val="16"/>
    </w:rPr>
  </w:style>
  <w:style w:type="paragraph" w:styleId="CommentText">
    <w:name w:val="annotation text"/>
    <w:basedOn w:val="Normal"/>
    <w:link w:val="CommentTextChar"/>
    <w:semiHidden/>
    <w:unhideWhenUsed/>
    <w:rsid w:val="00784B81"/>
    <w:rPr>
      <w:sz w:val="20"/>
    </w:rPr>
  </w:style>
  <w:style w:type="character" w:customStyle="1" w:styleId="CommentTextChar">
    <w:name w:val="Comment Text Char"/>
    <w:basedOn w:val="DefaultParagraphFont"/>
    <w:link w:val="CommentText"/>
    <w:semiHidden/>
    <w:rsid w:val="00784B81"/>
    <w:rPr>
      <w:rFonts w:ascii="Calibri" w:hAnsi="Calibri"/>
      <w:lang w:val="en-GB" w:eastAsia="en-US"/>
    </w:rPr>
  </w:style>
  <w:style w:type="paragraph" w:styleId="CommentSubject">
    <w:name w:val="annotation subject"/>
    <w:basedOn w:val="CommentText"/>
    <w:next w:val="CommentText"/>
    <w:link w:val="CommentSubjectChar"/>
    <w:semiHidden/>
    <w:unhideWhenUsed/>
    <w:rsid w:val="00784B81"/>
    <w:rPr>
      <w:b/>
      <w:bCs/>
    </w:rPr>
  </w:style>
  <w:style w:type="character" w:customStyle="1" w:styleId="CommentSubjectChar">
    <w:name w:val="Comment Subject Char"/>
    <w:basedOn w:val="CommentTextChar"/>
    <w:link w:val="CommentSubject"/>
    <w:semiHidden/>
    <w:rsid w:val="00784B81"/>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733219">
      <w:bodyDiv w:val="1"/>
      <w:marLeft w:val="0"/>
      <w:marRight w:val="0"/>
      <w:marTop w:val="0"/>
      <w:marBottom w:val="0"/>
      <w:divBdr>
        <w:top w:val="none" w:sz="0" w:space="0" w:color="auto"/>
        <w:left w:val="none" w:sz="0" w:space="0" w:color="auto"/>
        <w:bottom w:val="none" w:sz="0" w:space="0" w:color="auto"/>
        <w:right w:val="none" w:sz="0" w:space="0" w:color="auto"/>
      </w:divBdr>
    </w:div>
    <w:div w:id="20480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EE75-7E98-4E29-BCDD-8C34A68A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2</TotalTime>
  <Pages>2</Pages>
  <Words>590</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Joint Contribution - Views on the provision by provision review of the 2012 ITRs</vt:lpstr>
    </vt:vector>
  </TitlesOfParts>
  <Manager>General Secretariat - Pool</Manager>
  <Company>International Telecommunication Union (ITU)</Company>
  <LinksUpToDate>false</LinksUpToDate>
  <CharactersWithSpaces>4023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Contribution - Views on the provision by provision review of the 2012 ITRs</dc:title>
  <dc:subject>Expert Group on ITRs</dc:subject>
  <dc:creator>user</dc:creator>
  <cp:keywords>EG-ITRs</cp:keywords>
  <dc:description/>
  <cp:lastModifiedBy>Janin, Patricia</cp:lastModifiedBy>
  <cp:revision>3</cp:revision>
  <cp:lastPrinted>2000-07-18T13:30:00Z</cp:lastPrinted>
  <dcterms:created xsi:type="dcterms:W3CDTF">2020-09-03T06:49:00Z</dcterms:created>
  <dcterms:modified xsi:type="dcterms:W3CDTF">2020-09-03T06:51:00Z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MSIP_Label_1665d9ee-429a-4d5f-97cc-cfb56e044a6e_Enabled">
    <vt:lpwstr>True</vt:lpwstr>
  </property>
  <property fmtid="{D5CDD505-2E9C-101B-9397-08002B2CF9AE}" pid="9" name="MSIP_Label_1665d9ee-429a-4d5f-97cc-cfb56e044a6e_SiteId">
    <vt:lpwstr>66cf5074-5afe-48d1-a691-a12b2121f44b</vt:lpwstr>
  </property>
  <property fmtid="{D5CDD505-2E9C-101B-9397-08002B2CF9AE}" pid="10" name="MSIP_Label_1665d9ee-429a-4d5f-97cc-cfb56e044a6e_Owner">
    <vt:lpwstr>GordonMR@state.gov</vt:lpwstr>
  </property>
  <property fmtid="{D5CDD505-2E9C-101B-9397-08002B2CF9AE}" pid="11" name="MSIP_Label_1665d9ee-429a-4d5f-97cc-cfb56e044a6e_SetDate">
    <vt:lpwstr>2020-08-25T18:12:35.7232289Z</vt:lpwstr>
  </property>
  <property fmtid="{D5CDD505-2E9C-101B-9397-08002B2CF9AE}" pid="12" name="MSIP_Label_1665d9ee-429a-4d5f-97cc-cfb56e044a6e_Name">
    <vt:lpwstr>Unclassified</vt:lpwstr>
  </property>
  <property fmtid="{D5CDD505-2E9C-101B-9397-08002B2CF9AE}" pid="13" name="MSIP_Label_1665d9ee-429a-4d5f-97cc-cfb56e044a6e_Application">
    <vt:lpwstr>Microsoft Azure Information Protection</vt:lpwstr>
  </property>
  <property fmtid="{D5CDD505-2E9C-101B-9397-08002B2CF9AE}" pid="14" name="MSIP_Label_1665d9ee-429a-4d5f-97cc-cfb56e044a6e_ActionId">
    <vt:lpwstr>ffdfcc5a-6dda-4626-aca7-8c0967e11711</vt:lpwstr>
  </property>
  <property fmtid="{D5CDD505-2E9C-101B-9397-08002B2CF9AE}" pid="15" name="MSIP_Label_1665d9ee-429a-4d5f-97cc-cfb56e044a6e_Extended_MSFT_Method">
    <vt:lpwstr>Manual</vt:lpwstr>
  </property>
  <property fmtid="{D5CDD505-2E9C-101B-9397-08002B2CF9AE}" pid="16" name="Sensitivity">
    <vt:lpwstr>Unclassified</vt:lpwstr>
  </property>
</Properties>
</file>