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923A1B" w14:paraId="6E1681AE" w14:textId="77777777" w:rsidTr="002238C4">
        <w:trPr>
          <w:cantSplit/>
          <w:trHeight w:val="851"/>
        </w:trPr>
        <w:tc>
          <w:tcPr>
            <w:tcW w:w="6345" w:type="dxa"/>
            <w:vAlign w:val="center"/>
          </w:tcPr>
          <w:p w14:paraId="29D32417" w14:textId="4125AF84" w:rsidR="00923A1B" w:rsidRPr="003737DE" w:rsidRDefault="000854C6" w:rsidP="003A4012">
            <w:pPr>
              <w:shd w:val="solid" w:color="FFFFFF" w:fill="FFFFFF"/>
              <w:spacing w:after="0"/>
              <w:rPr>
                <w:rFonts w:cs="Times"/>
                <w:b/>
              </w:rPr>
            </w:pPr>
            <w:r>
              <w:rPr>
                <w:rFonts w:cs="Times"/>
                <w:b/>
                <w:sz w:val="32"/>
                <w:szCs w:val="32"/>
              </w:rPr>
              <w:t>Expert Group on the International</w:t>
            </w:r>
            <w:r>
              <w:rPr>
                <w:rFonts w:cs="Times"/>
                <w:b/>
                <w:sz w:val="32"/>
                <w:szCs w:val="32"/>
              </w:rPr>
              <w:br/>
              <w:t>Telecommunication Regulations (EG-ITRs)</w:t>
            </w:r>
          </w:p>
        </w:tc>
        <w:tc>
          <w:tcPr>
            <w:tcW w:w="3492" w:type="dxa"/>
          </w:tcPr>
          <w:p w14:paraId="241C55DB" w14:textId="785EB79F" w:rsidR="00923A1B" w:rsidRDefault="00B36E39" w:rsidP="0025471D">
            <w:pPr>
              <w:pStyle w:val="dnum"/>
              <w:framePr w:hSpace="0" w:wrap="auto" w:vAnchor="margin" w:hAnchor="text" w:yAlign="inline"/>
              <w:spacing w:after="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14:paraId="42C1BC8B" w14:textId="77777777" w:rsidTr="00923A1B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14:paraId="7079E938" w14:textId="3FD18449" w:rsidR="00923A1B" w:rsidRPr="003737DE" w:rsidRDefault="00891151" w:rsidP="00891151">
            <w:pPr>
              <w:shd w:val="solid" w:color="FFFFFF" w:fill="FFFFFF"/>
              <w:spacing w:after="0"/>
              <w:rPr>
                <w:rFonts w:cs="Times"/>
                <w:b/>
              </w:rPr>
            </w:pPr>
            <w:r>
              <w:rPr>
                <w:b/>
                <w:bCs/>
                <w:sz w:val="24"/>
                <w:szCs w:val="40"/>
              </w:rPr>
              <w:t>Third</w:t>
            </w:r>
            <w:r w:rsidR="000854C6">
              <w:rPr>
                <w:b/>
                <w:bCs/>
                <w:sz w:val="24"/>
                <w:szCs w:val="40"/>
              </w:rPr>
              <w:t xml:space="preserve"> meeting - </w:t>
            </w:r>
            <w:r w:rsidR="00643559" w:rsidRPr="00790F2A">
              <w:rPr>
                <w:b/>
                <w:bCs/>
                <w:szCs w:val="24"/>
              </w:rPr>
              <w:t>– Virtual meeting, 17-18 September 2020</w:t>
            </w: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14:paraId="0FF4F0AC" w14:textId="77777777" w:rsidR="00923A1B" w:rsidRDefault="00923A1B" w:rsidP="0025471D">
            <w:pPr>
              <w:pStyle w:val="dnum"/>
              <w:framePr w:hSpace="0" w:wrap="auto" w:vAnchor="margin" w:hAnchor="text" w:yAlign="inline"/>
              <w:spacing w:after="0"/>
              <w:rPr>
                <w:rFonts w:ascii="Verdana" w:hAnsi="Verdana"/>
              </w:rPr>
            </w:pPr>
          </w:p>
        </w:tc>
      </w:tr>
      <w:tr w:rsidR="00923A1B" w:rsidRPr="00F5094D" w14:paraId="406D6FB1" w14:textId="77777777" w:rsidTr="00923A1B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14:paraId="1D6AF3F8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2B1E31E9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143A6D" w14:paraId="1BBCA794" w14:textId="77777777" w:rsidTr="00923A1B">
        <w:trPr>
          <w:cantSplit/>
          <w:trHeight w:val="138"/>
        </w:trPr>
        <w:tc>
          <w:tcPr>
            <w:tcW w:w="6345" w:type="dxa"/>
          </w:tcPr>
          <w:p w14:paraId="4162AE0B" w14:textId="31302F2B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01BBC68C" w14:textId="588D5A39" w:rsidR="00923A1B" w:rsidRPr="002238C4" w:rsidRDefault="00923A1B" w:rsidP="000854C6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r w:rsidRPr="002238C4">
              <w:rPr>
                <w:b/>
                <w:bCs/>
                <w:sz w:val="24"/>
                <w:szCs w:val="24"/>
                <w:lang w:val="es-ES"/>
              </w:rPr>
              <w:t xml:space="preserve">Document </w:t>
            </w:r>
            <w:r w:rsidR="000854C6">
              <w:rPr>
                <w:b/>
                <w:bCs/>
                <w:sz w:val="24"/>
                <w:szCs w:val="24"/>
                <w:lang w:val="es-ES"/>
              </w:rPr>
              <w:t>EG-ITRs</w:t>
            </w:r>
            <w:r w:rsidR="00FE123D">
              <w:rPr>
                <w:b/>
                <w:bCs/>
                <w:sz w:val="24"/>
                <w:szCs w:val="24"/>
                <w:lang w:val="es-ES"/>
              </w:rPr>
              <w:t>-3</w:t>
            </w:r>
            <w:r w:rsidR="00643559">
              <w:rPr>
                <w:b/>
                <w:bCs/>
                <w:sz w:val="24"/>
                <w:szCs w:val="24"/>
                <w:lang w:val="es-ES"/>
              </w:rPr>
              <w:t>\5-</w:t>
            </w:r>
            <w:r w:rsidR="000854C6">
              <w:rPr>
                <w:b/>
                <w:bCs/>
                <w:sz w:val="24"/>
                <w:szCs w:val="24"/>
                <w:lang w:val="es-ES"/>
              </w:rPr>
              <w:t>E</w:t>
            </w:r>
          </w:p>
        </w:tc>
      </w:tr>
      <w:tr w:rsidR="00923A1B" w:rsidRPr="003737DE" w14:paraId="100AEFFF" w14:textId="77777777" w:rsidTr="00923A1B">
        <w:trPr>
          <w:cantSplit/>
          <w:trHeight w:val="138"/>
        </w:trPr>
        <w:tc>
          <w:tcPr>
            <w:tcW w:w="6345" w:type="dxa"/>
          </w:tcPr>
          <w:p w14:paraId="2F758D85" w14:textId="77777777" w:rsidR="00923A1B" w:rsidRDefault="00923A1B" w:rsidP="0025471D">
            <w:pPr>
              <w:shd w:val="solid" w:color="FFFFFF" w:fill="FFFFFF"/>
              <w:spacing w:after="0"/>
              <w:ind w:right="284"/>
              <w:rPr>
                <w:lang w:val="es-ES"/>
              </w:rPr>
            </w:pPr>
          </w:p>
        </w:tc>
        <w:tc>
          <w:tcPr>
            <w:tcW w:w="3492" w:type="dxa"/>
          </w:tcPr>
          <w:p w14:paraId="4BC2ED00" w14:textId="055E0D75" w:rsidR="00923A1B" w:rsidRPr="002238C4" w:rsidRDefault="00A17094" w:rsidP="00A17094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8167B" w:rsidRPr="00D8167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September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3A4012">
              <w:rPr>
                <w:b/>
                <w:sz w:val="24"/>
                <w:szCs w:val="24"/>
              </w:rPr>
              <w:t>2020</w:t>
            </w:r>
          </w:p>
        </w:tc>
      </w:tr>
      <w:tr w:rsidR="00923A1B" w:rsidRPr="003737DE" w14:paraId="71FD0A17" w14:textId="77777777" w:rsidTr="00923A1B">
        <w:trPr>
          <w:cantSplit/>
          <w:trHeight w:val="138"/>
        </w:trPr>
        <w:tc>
          <w:tcPr>
            <w:tcW w:w="6345" w:type="dxa"/>
          </w:tcPr>
          <w:p w14:paraId="0EA5B8B2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492" w:type="dxa"/>
          </w:tcPr>
          <w:p w14:paraId="06AB3AD7" w14:textId="027DE7F4" w:rsidR="00923A1B" w:rsidRPr="002238C4" w:rsidRDefault="003A4012" w:rsidP="00D8167B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Original: </w:t>
            </w:r>
            <w:r w:rsidR="00D8167B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3737DE" w14:paraId="2CF60B2A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300B59E4" w14:textId="77777777" w:rsidR="008A1017" w:rsidRDefault="008A1017" w:rsidP="008A1017">
            <w:pPr>
              <w:pStyle w:val="Source"/>
              <w:spacing w:before="0" w:line="240" w:lineRule="auto"/>
            </w:pPr>
          </w:p>
          <w:p w14:paraId="6FF82D9F" w14:textId="688958E2" w:rsidR="008A1017" w:rsidRDefault="008A1017" w:rsidP="008A1017">
            <w:pPr>
              <w:pStyle w:val="Source"/>
              <w:spacing w:before="0" w:line="240" w:lineRule="auto"/>
            </w:pPr>
          </w:p>
          <w:p w14:paraId="775DFACB" w14:textId="77777777" w:rsidR="00FE123D" w:rsidRDefault="00BF6095" w:rsidP="00A17094">
            <w:pPr>
              <w:pStyle w:val="Source"/>
              <w:spacing w:before="0" w:line="240" w:lineRule="auto"/>
            </w:pPr>
            <w:r>
              <w:t xml:space="preserve">Bell </w:t>
            </w:r>
            <w:r w:rsidR="008820C5">
              <w:t>Mobility (Canada)</w:t>
            </w:r>
            <w:r w:rsidR="00A17094">
              <w:t xml:space="preserve">; KDDI, NTT DOCOMO </w:t>
            </w:r>
            <w:r>
              <w:t xml:space="preserve">Inc. </w:t>
            </w:r>
            <w:r w:rsidR="00A17094">
              <w:t>(Japan); AT&amp;T</w:t>
            </w:r>
            <w:r w:rsidR="00FE123D">
              <w:t xml:space="preserve">, </w:t>
            </w:r>
          </w:p>
          <w:p w14:paraId="2B7E725C" w14:textId="457367B2" w:rsidR="000854C6" w:rsidRDefault="00FE123D" w:rsidP="00A17094">
            <w:pPr>
              <w:pStyle w:val="Source"/>
              <w:spacing w:before="0" w:line="240" w:lineRule="auto"/>
            </w:pPr>
            <w:r>
              <w:t>Verizon</w:t>
            </w:r>
            <w:r w:rsidR="00A17094">
              <w:t xml:space="preserve"> (United States) </w:t>
            </w:r>
          </w:p>
        </w:tc>
      </w:tr>
      <w:tr w:rsidR="000854C6" w:rsidRPr="003737DE" w14:paraId="27824CBA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6659976" w14:textId="77777777" w:rsidR="003A1D45" w:rsidRDefault="003A1D45" w:rsidP="003A1D45">
            <w:pPr>
              <w:pStyle w:val="Title1"/>
              <w:spacing w:before="0" w:line="240" w:lineRule="auto"/>
            </w:pPr>
          </w:p>
          <w:p w14:paraId="476C20BE" w14:textId="26A5C159" w:rsidR="003A1D45" w:rsidRDefault="00D8167B" w:rsidP="003A1D45">
            <w:pPr>
              <w:pStyle w:val="Title1"/>
              <w:spacing w:before="0" w:line="240" w:lineRule="auto"/>
            </w:pPr>
            <w:r>
              <w:t xml:space="preserve">Sector member contribution </w:t>
            </w:r>
            <w:r w:rsidR="003A1D45">
              <w:t xml:space="preserve">on Articles 5 through 8 and </w:t>
            </w:r>
          </w:p>
          <w:p w14:paraId="11774442" w14:textId="67B9367C" w:rsidR="000854C6" w:rsidRDefault="003A1D45" w:rsidP="003A1D45">
            <w:pPr>
              <w:pStyle w:val="Title1"/>
              <w:spacing w:before="0" w:line="240" w:lineRule="auto"/>
            </w:pPr>
            <w:r>
              <w:t xml:space="preserve">Appendix 1 of the </w:t>
            </w:r>
            <w:r w:rsidR="00D8167B">
              <w:t>2012 i</w:t>
            </w:r>
            <w:r>
              <w:t xml:space="preserve">nternational </w:t>
            </w:r>
            <w:r w:rsidR="00D8167B">
              <w:t>t</w:t>
            </w:r>
            <w:r>
              <w:t>elecommunication regulations</w:t>
            </w:r>
            <w:r w:rsidR="00D8167B">
              <w:t xml:space="preserve">  </w:t>
            </w:r>
          </w:p>
        </w:tc>
      </w:tr>
    </w:tbl>
    <w:p w14:paraId="049AE32F" w14:textId="139470D2" w:rsidR="000854C6" w:rsidRDefault="000854C6">
      <w:pPr>
        <w:spacing w:after="0" w:line="240" w:lineRule="auto"/>
        <w:rPr>
          <w:sz w:val="24"/>
          <w:szCs w:val="24"/>
        </w:rPr>
      </w:pPr>
    </w:p>
    <w:p w14:paraId="78AB812D" w14:textId="77777777" w:rsidR="00547AD8" w:rsidRDefault="00547AD8">
      <w:pPr>
        <w:spacing w:after="0" w:line="240" w:lineRule="auto"/>
        <w:rPr>
          <w:b/>
          <w:sz w:val="24"/>
          <w:szCs w:val="24"/>
        </w:rPr>
      </w:pPr>
    </w:p>
    <w:p w14:paraId="2B815BBC" w14:textId="0A625034" w:rsidR="00E90E06" w:rsidRPr="00E90E06" w:rsidRDefault="00E90E06">
      <w:pPr>
        <w:spacing w:after="0" w:line="240" w:lineRule="auto"/>
        <w:rPr>
          <w:b/>
          <w:sz w:val="24"/>
          <w:szCs w:val="24"/>
        </w:rPr>
      </w:pPr>
      <w:r w:rsidRPr="00E90E06">
        <w:rPr>
          <w:b/>
          <w:sz w:val="24"/>
          <w:szCs w:val="24"/>
        </w:rPr>
        <w:t>Introduction</w:t>
      </w:r>
    </w:p>
    <w:p w14:paraId="71322A0C" w14:textId="2C84014D" w:rsidR="00E90E06" w:rsidRDefault="00E90E06">
      <w:pPr>
        <w:spacing w:after="0" w:line="240" w:lineRule="auto"/>
        <w:rPr>
          <w:sz w:val="24"/>
          <w:szCs w:val="24"/>
        </w:rPr>
      </w:pPr>
    </w:p>
    <w:p w14:paraId="359B644E" w14:textId="1FFB1604" w:rsidR="00E90E06" w:rsidRDefault="00423080">
      <w:pPr>
        <w:spacing w:after="0" w:line="240" w:lineRule="auto"/>
        <w:rPr>
          <w:sz w:val="24"/>
          <w:szCs w:val="24"/>
        </w:rPr>
      </w:pPr>
      <w:r w:rsidRPr="00423080">
        <w:rPr>
          <w:sz w:val="24"/>
          <w:szCs w:val="24"/>
        </w:rPr>
        <w:t>The above-listed</w:t>
      </w:r>
      <w:r w:rsidR="001C495A">
        <w:rPr>
          <w:sz w:val="24"/>
          <w:szCs w:val="24"/>
        </w:rPr>
        <w:t xml:space="preserve"> ITU-T</w:t>
      </w:r>
      <w:r w:rsidRPr="00423080">
        <w:rPr>
          <w:sz w:val="24"/>
          <w:szCs w:val="24"/>
        </w:rPr>
        <w:t xml:space="preserve"> Sector Members appreciate the opportunity to contribute </w:t>
      </w:r>
      <w:r w:rsidR="00E44F0C">
        <w:rPr>
          <w:sz w:val="24"/>
          <w:szCs w:val="24"/>
        </w:rPr>
        <w:t xml:space="preserve">our views </w:t>
      </w:r>
      <w:r w:rsidR="00AD360B">
        <w:rPr>
          <w:sz w:val="24"/>
          <w:szCs w:val="24"/>
        </w:rPr>
        <w:t>on</w:t>
      </w:r>
      <w:r w:rsidR="00F656C6">
        <w:rPr>
          <w:sz w:val="24"/>
          <w:szCs w:val="24"/>
        </w:rPr>
        <w:t xml:space="preserve"> </w:t>
      </w:r>
      <w:r w:rsidR="00F656C6" w:rsidRPr="00F656C6">
        <w:rPr>
          <w:sz w:val="24"/>
          <w:szCs w:val="24"/>
        </w:rPr>
        <w:t>Articles 5 through 8 and Appendix 1</w:t>
      </w:r>
      <w:r w:rsidR="0056266C">
        <w:rPr>
          <w:sz w:val="24"/>
          <w:szCs w:val="24"/>
        </w:rPr>
        <w:t xml:space="preserve"> of the 2012 International Telecommunication Regulations</w:t>
      </w:r>
      <w:r w:rsidR="00A430A9">
        <w:rPr>
          <w:sz w:val="24"/>
          <w:szCs w:val="24"/>
        </w:rPr>
        <w:t xml:space="preserve"> (ITRs)</w:t>
      </w:r>
      <w:r w:rsidR="00F656C6">
        <w:rPr>
          <w:sz w:val="24"/>
          <w:szCs w:val="24"/>
        </w:rPr>
        <w:t xml:space="preserve">, </w:t>
      </w:r>
      <w:r w:rsidR="00381AA6">
        <w:rPr>
          <w:sz w:val="24"/>
          <w:szCs w:val="24"/>
        </w:rPr>
        <w:t xml:space="preserve">as set forth in </w:t>
      </w:r>
      <w:r w:rsidR="00F656C6">
        <w:rPr>
          <w:sz w:val="24"/>
          <w:szCs w:val="24"/>
        </w:rPr>
        <w:t>the E</w:t>
      </w:r>
      <w:r w:rsidR="0056266C">
        <w:rPr>
          <w:sz w:val="24"/>
          <w:szCs w:val="24"/>
        </w:rPr>
        <w:t xml:space="preserve">xpert </w:t>
      </w:r>
      <w:r w:rsidR="00F656C6">
        <w:rPr>
          <w:sz w:val="24"/>
          <w:szCs w:val="24"/>
        </w:rPr>
        <w:t>G</w:t>
      </w:r>
      <w:r w:rsidR="0056266C">
        <w:rPr>
          <w:sz w:val="24"/>
          <w:szCs w:val="24"/>
        </w:rPr>
        <w:t>roup</w:t>
      </w:r>
      <w:r w:rsidR="00AC0231">
        <w:rPr>
          <w:sz w:val="24"/>
          <w:szCs w:val="24"/>
        </w:rPr>
        <w:t>-ITRs work plan.</w:t>
      </w:r>
      <w:r w:rsidR="00654B8D">
        <w:rPr>
          <w:sz w:val="24"/>
          <w:szCs w:val="24"/>
        </w:rPr>
        <w:t xml:space="preserve"> </w:t>
      </w:r>
      <w:r w:rsidR="00AC0231">
        <w:rPr>
          <w:sz w:val="24"/>
          <w:szCs w:val="24"/>
        </w:rPr>
        <w:t xml:space="preserve"> </w:t>
      </w:r>
      <w:r w:rsidR="00592E10">
        <w:rPr>
          <w:sz w:val="24"/>
          <w:szCs w:val="24"/>
        </w:rPr>
        <w:t>Ba</w:t>
      </w:r>
      <w:r w:rsidRPr="00423080">
        <w:rPr>
          <w:sz w:val="24"/>
          <w:szCs w:val="24"/>
        </w:rPr>
        <w:t>sed on our collective operational experience, the ITRs are no longer applicable to or relevant in today’s highly competitive internati</w:t>
      </w:r>
      <w:r w:rsidR="001C495A">
        <w:rPr>
          <w:sz w:val="24"/>
          <w:szCs w:val="24"/>
        </w:rPr>
        <w:t xml:space="preserve">onal telecommunications market. Rather, the </w:t>
      </w:r>
      <w:r w:rsidR="001C495A" w:rsidRPr="001C495A">
        <w:rPr>
          <w:sz w:val="24"/>
          <w:szCs w:val="24"/>
        </w:rPr>
        <w:t xml:space="preserve">continued successful deployment and use of telecommunication infrastructure and services worldwide is mostly realized through </w:t>
      </w:r>
      <w:r w:rsidR="00054660">
        <w:rPr>
          <w:sz w:val="24"/>
          <w:szCs w:val="24"/>
        </w:rPr>
        <w:t xml:space="preserve">flexible </w:t>
      </w:r>
      <w:r w:rsidR="001C495A" w:rsidRPr="001C495A">
        <w:rPr>
          <w:sz w:val="24"/>
          <w:szCs w:val="24"/>
        </w:rPr>
        <w:t>policy frameworks that support ongoing innovation, market-based competition</w:t>
      </w:r>
      <w:r w:rsidR="00143A6D">
        <w:rPr>
          <w:sz w:val="24"/>
          <w:szCs w:val="24"/>
        </w:rPr>
        <w:t xml:space="preserve">, mutually acceptable reciprocal </w:t>
      </w:r>
      <w:r w:rsidR="006A0C04">
        <w:rPr>
          <w:sz w:val="24"/>
          <w:szCs w:val="24"/>
        </w:rPr>
        <w:t xml:space="preserve">operating </w:t>
      </w:r>
      <w:r w:rsidR="00143A6D">
        <w:rPr>
          <w:sz w:val="24"/>
          <w:szCs w:val="24"/>
        </w:rPr>
        <w:t>agreements bet</w:t>
      </w:r>
      <w:r w:rsidR="006A0C04">
        <w:rPr>
          <w:sz w:val="24"/>
          <w:szCs w:val="24"/>
        </w:rPr>
        <w:t>ween</w:t>
      </w:r>
      <w:r w:rsidR="00661342">
        <w:rPr>
          <w:sz w:val="24"/>
          <w:szCs w:val="24"/>
        </w:rPr>
        <w:t xml:space="preserve"> providers</w:t>
      </w:r>
      <w:r w:rsidR="009F1D09">
        <w:rPr>
          <w:sz w:val="24"/>
          <w:szCs w:val="24"/>
        </w:rPr>
        <w:t>,</w:t>
      </w:r>
      <w:r w:rsidR="001C495A" w:rsidRPr="001C495A">
        <w:rPr>
          <w:sz w:val="24"/>
          <w:szCs w:val="24"/>
        </w:rPr>
        <w:t xml:space="preserve"> and private sector investment</w:t>
      </w:r>
      <w:r w:rsidR="009F1D09">
        <w:rPr>
          <w:sz w:val="24"/>
          <w:szCs w:val="24"/>
        </w:rPr>
        <w:t>;</w:t>
      </w:r>
      <w:r w:rsidR="001C495A" w:rsidRPr="001C495A">
        <w:rPr>
          <w:sz w:val="24"/>
          <w:szCs w:val="24"/>
        </w:rPr>
        <w:t xml:space="preserve"> not through a treaty </w:t>
      </w:r>
      <w:r w:rsidR="001C495A">
        <w:rPr>
          <w:sz w:val="24"/>
          <w:szCs w:val="24"/>
        </w:rPr>
        <w:t>instrument such as the ITRs.</w:t>
      </w:r>
    </w:p>
    <w:p w14:paraId="2607E0C4" w14:textId="77777777" w:rsidR="00AC0231" w:rsidRDefault="00AC0231">
      <w:pPr>
        <w:spacing w:after="0" w:line="240" w:lineRule="auto"/>
        <w:rPr>
          <w:b/>
          <w:sz w:val="24"/>
          <w:szCs w:val="24"/>
        </w:rPr>
      </w:pPr>
    </w:p>
    <w:p w14:paraId="02BC9C9F" w14:textId="4C57ABF3" w:rsidR="00E90E06" w:rsidRPr="00E90E06" w:rsidRDefault="00E90E06">
      <w:pPr>
        <w:spacing w:after="0" w:line="240" w:lineRule="auto"/>
        <w:rPr>
          <w:b/>
          <w:sz w:val="24"/>
          <w:szCs w:val="24"/>
        </w:rPr>
      </w:pPr>
      <w:r w:rsidRPr="00E90E06">
        <w:rPr>
          <w:b/>
          <w:sz w:val="24"/>
          <w:szCs w:val="24"/>
        </w:rPr>
        <w:t>Discussion</w:t>
      </w:r>
    </w:p>
    <w:p w14:paraId="76A1D0FB" w14:textId="38DB2CA3" w:rsidR="00E90E06" w:rsidRDefault="00E90E06">
      <w:pPr>
        <w:spacing w:after="0" w:line="240" w:lineRule="auto"/>
        <w:rPr>
          <w:sz w:val="24"/>
          <w:szCs w:val="24"/>
        </w:rPr>
      </w:pPr>
    </w:p>
    <w:p w14:paraId="7DE50613" w14:textId="087489B5" w:rsidR="00654B8D" w:rsidRDefault="009F1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While issues of security and safety are of significant importance to global operators, i</w:t>
      </w:r>
      <w:r w:rsidR="00A17094">
        <w:rPr>
          <w:sz w:val="24"/>
          <w:szCs w:val="24"/>
        </w:rPr>
        <w:t>n our view, Articles 5</w:t>
      </w:r>
      <w:r w:rsidR="006674BA">
        <w:rPr>
          <w:sz w:val="24"/>
          <w:szCs w:val="24"/>
        </w:rPr>
        <w:t xml:space="preserve"> and 6 </w:t>
      </w:r>
      <w:r w:rsidR="00F656C6">
        <w:rPr>
          <w:sz w:val="24"/>
          <w:szCs w:val="24"/>
        </w:rPr>
        <w:t xml:space="preserve">are </w:t>
      </w:r>
      <w:r>
        <w:rPr>
          <w:sz w:val="24"/>
          <w:szCs w:val="24"/>
        </w:rPr>
        <w:t>no</w:t>
      </w:r>
      <w:r w:rsidR="00023E44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F656C6" w:rsidRPr="00F656C6">
        <w:rPr>
          <w:sz w:val="24"/>
          <w:szCs w:val="24"/>
        </w:rPr>
        <w:t xml:space="preserve">applicable </w:t>
      </w:r>
      <w:r w:rsidR="00A402CF">
        <w:rPr>
          <w:sz w:val="24"/>
          <w:szCs w:val="24"/>
        </w:rPr>
        <w:t xml:space="preserve">to fostering </w:t>
      </w:r>
      <w:r>
        <w:rPr>
          <w:sz w:val="24"/>
          <w:szCs w:val="24"/>
        </w:rPr>
        <w:t>the</w:t>
      </w:r>
      <w:r w:rsidR="00A402CF">
        <w:rPr>
          <w:sz w:val="24"/>
          <w:szCs w:val="24"/>
        </w:rPr>
        <w:t xml:space="preserve"> development of international networks and services</w:t>
      </w:r>
      <w:r>
        <w:rPr>
          <w:sz w:val="24"/>
          <w:szCs w:val="24"/>
        </w:rPr>
        <w:t xml:space="preserve">, </w:t>
      </w:r>
      <w:r w:rsidR="00023E44">
        <w:rPr>
          <w:sz w:val="24"/>
          <w:szCs w:val="24"/>
        </w:rPr>
        <w:t>and</w:t>
      </w:r>
      <w:r>
        <w:rPr>
          <w:sz w:val="24"/>
          <w:szCs w:val="24"/>
        </w:rPr>
        <w:t xml:space="preserve"> not</w:t>
      </w:r>
      <w:r w:rsidR="00F656C6" w:rsidRPr="00F656C6">
        <w:rPr>
          <w:sz w:val="24"/>
          <w:szCs w:val="24"/>
        </w:rPr>
        <w:t xml:space="preserve"> flexible</w:t>
      </w:r>
      <w:r w:rsidR="00143A6D">
        <w:rPr>
          <w:sz w:val="24"/>
          <w:szCs w:val="24"/>
        </w:rPr>
        <w:t xml:space="preserve"> enough</w:t>
      </w:r>
      <w:r w:rsidR="00661342">
        <w:rPr>
          <w:sz w:val="24"/>
          <w:szCs w:val="24"/>
        </w:rPr>
        <w:t xml:space="preserve"> </w:t>
      </w:r>
      <w:r w:rsidR="00A402CF">
        <w:rPr>
          <w:sz w:val="24"/>
          <w:szCs w:val="24"/>
        </w:rPr>
        <w:t>to accommodate today’s dynamic market place</w:t>
      </w:r>
      <w:r>
        <w:rPr>
          <w:sz w:val="24"/>
          <w:szCs w:val="24"/>
        </w:rPr>
        <w:t xml:space="preserve"> and evolving technological landscape</w:t>
      </w:r>
      <w:r w:rsidR="00054660">
        <w:rPr>
          <w:sz w:val="24"/>
          <w:szCs w:val="24"/>
        </w:rPr>
        <w:t xml:space="preserve">. </w:t>
      </w:r>
      <w:r w:rsidR="00D64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Similar to rigid top-down national regulations in these areas, </w:t>
      </w:r>
      <w:r w:rsidR="00AE78AE">
        <w:rPr>
          <w:sz w:val="24"/>
          <w:szCs w:val="24"/>
        </w:rPr>
        <w:t>t</w:t>
      </w:r>
      <w:r w:rsidR="00206BA3">
        <w:rPr>
          <w:sz w:val="24"/>
          <w:szCs w:val="24"/>
        </w:rPr>
        <w:t xml:space="preserve">reaty provisions </w:t>
      </w:r>
      <w:r w:rsidR="00D64BC2">
        <w:rPr>
          <w:sz w:val="24"/>
          <w:szCs w:val="24"/>
        </w:rPr>
        <w:t xml:space="preserve">cannot keep pace with the rapid speed of technology development and innovation.  </w:t>
      </w:r>
    </w:p>
    <w:p w14:paraId="2E585579" w14:textId="77777777" w:rsidR="00654B8D" w:rsidRDefault="00654B8D">
      <w:pPr>
        <w:spacing w:after="0" w:line="240" w:lineRule="auto"/>
        <w:rPr>
          <w:sz w:val="24"/>
          <w:szCs w:val="24"/>
        </w:rPr>
      </w:pPr>
    </w:p>
    <w:p w14:paraId="5D2CBC60" w14:textId="79D39767" w:rsidR="007253D6" w:rsidRDefault="00D64B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example, </w:t>
      </w:r>
      <w:r w:rsidR="00A402CF">
        <w:rPr>
          <w:sz w:val="24"/>
          <w:szCs w:val="24"/>
        </w:rPr>
        <w:t xml:space="preserve">Article 5 </w:t>
      </w:r>
      <w:r w:rsidR="006512B4" w:rsidRPr="006512B4">
        <w:rPr>
          <w:sz w:val="24"/>
          <w:szCs w:val="24"/>
        </w:rPr>
        <w:t>(Safety of life and priority of telecommunications)</w:t>
      </w:r>
      <w:r w:rsidR="006512B4">
        <w:rPr>
          <w:sz w:val="24"/>
          <w:szCs w:val="24"/>
        </w:rPr>
        <w:t xml:space="preserve"> </w:t>
      </w:r>
      <w:r w:rsidR="00F01631">
        <w:rPr>
          <w:sz w:val="24"/>
          <w:szCs w:val="24"/>
        </w:rPr>
        <w:t xml:space="preserve">addresses emergency calling, a capability that has long been a standard practice adopted by most, if not all, operators around the world. </w:t>
      </w:r>
      <w:r w:rsidR="009F1D09">
        <w:rPr>
          <w:sz w:val="24"/>
          <w:szCs w:val="24"/>
        </w:rPr>
        <w:t>While an important topic, w</w:t>
      </w:r>
      <w:r w:rsidR="002717C4">
        <w:rPr>
          <w:sz w:val="24"/>
          <w:szCs w:val="24"/>
        </w:rPr>
        <w:t xml:space="preserve">e consider this </w:t>
      </w:r>
      <w:r w:rsidR="00F01631">
        <w:rPr>
          <w:sz w:val="24"/>
          <w:szCs w:val="24"/>
        </w:rPr>
        <w:t xml:space="preserve">particular provision to be outdated in today’s </w:t>
      </w:r>
      <w:r w:rsidR="009F1D09">
        <w:rPr>
          <w:sz w:val="24"/>
          <w:szCs w:val="24"/>
        </w:rPr>
        <w:t xml:space="preserve">dynamic </w:t>
      </w:r>
      <w:r w:rsidR="00F01631">
        <w:rPr>
          <w:sz w:val="24"/>
          <w:szCs w:val="24"/>
        </w:rPr>
        <w:t>international telecommunication environment</w:t>
      </w:r>
      <w:r w:rsidR="00AE78AE">
        <w:rPr>
          <w:sz w:val="24"/>
          <w:szCs w:val="24"/>
        </w:rPr>
        <w:t xml:space="preserve"> where operators tailor their approaches to these issues at a national level</w:t>
      </w:r>
      <w:r w:rsidR="00F01631">
        <w:rPr>
          <w:sz w:val="24"/>
          <w:szCs w:val="24"/>
        </w:rPr>
        <w:t>. Furthermore, Article 5 in</w:t>
      </w:r>
      <w:r w:rsidR="002717C4">
        <w:rPr>
          <w:sz w:val="24"/>
          <w:szCs w:val="24"/>
        </w:rPr>
        <w:t>clu</w:t>
      </w:r>
      <w:r w:rsidR="00F01631">
        <w:rPr>
          <w:sz w:val="24"/>
          <w:szCs w:val="24"/>
        </w:rPr>
        <w:t xml:space="preserve">des </w:t>
      </w:r>
      <w:r w:rsidR="00A402CF">
        <w:rPr>
          <w:sz w:val="24"/>
          <w:szCs w:val="24"/>
        </w:rPr>
        <w:t xml:space="preserve">provisions </w:t>
      </w:r>
      <w:r w:rsidR="006E7FAE">
        <w:rPr>
          <w:sz w:val="24"/>
          <w:szCs w:val="24"/>
        </w:rPr>
        <w:t xml:space="preserve">contained </w:t>
      </w:r>
      <w:r w:rsidR="00A402CF">
        <w:rPr>
          <w:sz w:val="24"/>
          <w:szCs w:val="24"/>
        </w:rPr>
        <w:t>in the ITU Constitution and Convention</w:t>
      </w:r>
      <w:r w:rsidR="005A0109">
        <w:rPr>
          <w:sz w:val="24"/>
          <w:szCs w:val="24"/>
        </w:rPr>
        <w:t xml:space="preserve"> and </w:t>
      </w:r>
      <w:r w:rsidR="00A402CF">
        <w:rPr>
          <w:sz w:val="24"/>
          <w:szCs w:val="24"/>
        </w:rPr>
        <w:t>we do not believe the</w:t>
      </w:r>
      <w:r w:rsidR="00FF2525">
        <w:rPr>
          <w:sz w:val="24"/>
          <w:szCs w:val="24"/>
        </w:rPr>
        <w:t xml:space="preserve">re is </w:t>
      </w:r>
      <w:r w:rsidR="00A747B9">
        <w:rPr>
          <w:sz w:val="24"/>
          <w:szCs w:val="24"/>
        </w:rPr>
        <w:t xml:space="preserve">a </w:t>
      </w:r>
      <w:r w:rsidR="00FF2525">
        <w:rPr>
          <w:sz w:val="24"/>
          <w:szCs w:val="24"/>
        </w:rPr>
        <w:t xml:space="preserve">need for their </w:t>
      </w:r>
      <w:r w:rsidR="00DC7349">
        <w:rPr>
          <w:sz w:val="24"/>
          <w:szCs w:val="24"/>
        </w:rPr>
        <w:t xml:space="preserve">inclusion in the ITRs. </w:t>
      </w:r>
      <w:r w:rsidR="00E94569">
        <w:rPr>
          <w:sz w:val="24"/>
          <w:szCs w:val="24"/>
        </w:rPr>
        <w:t xml:space="preserve"> </w:t>
      </w:r>
    </w:p>
    <w:p w14:paraId="3B609576" w14:textId="77777777" w:rsidR="007253D6" w:rsidRDefault="007253D6">
      <w:pPr>
        <w:spacing w:after="0" w:line="240" w:lineRule="auto"/>
        <w:rPr>
          <w:sz w:val="24"/>
          <w:szCs w:val="24"/>
        </w:rPr>
      </w:pPr>
    </w:p>
    <w:p w14:paraId="4B4C4201" w14:textId="58286C3B" w:rsidR="00E90E06" w:rsidRDefault="00697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With respect to Article 6 </w:t>
      </w:r>
      <w:r w:rsidRPr="00697898">
        <w:rPr>
          <w:sz w:val="24"/>
          <w:szCs w:val="24"/>
        </w:rPr>
        <w:t>(Security and robustness of networks) and Article 7 (Bulk electronic communications</w:t>
      </w:r>
      <w:r>
        <w:rPr>
          <w:sz w:val="24"/>
          <w:szCs w:val="24"/>
        </w:rPr>
        <w:t xml:space="preserve">), </w:t>
      </w:r>
      <w:r w:rsidR="003F0640">
        <w:rPr>
          <w:sz w:val="24"/>
          <w:szCs w:val="24"/>
        </w:rPr>
        <w:t>attempts</w:t>
      </w:r>
      <w:r>
        <w:rPr>
          <w:sz w:val="24"/>
          <w:szCs w:val="24"/>
        </w:rPr>
        <w:t xml:space="preserve"> to address such issues i</w:t>
      </w:r>
      <w:r w:rsidRPr="00697898">
        <w:rPr>
          <w:sz w:val="24"/>
          <w:szCs w:val="24"/>
        </w:rPr>
        <w:t xml:space="preserve">n a treaty instrument </w:t>
      </w:r>
      <w:r w:rsidR="00654B8D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may have the </w:t>
      </w:r>
      <w:r w:rsidR="00AC0231">
        <w:rPr>
          <w:sz w:val="24"/>
          <w:szCs w:val="24"/>
        </w:rPr>
        <w:t>un</w:t>
      </w:r>
      <w:r>
        <w:rPr>
          <w:sz w:val="24"/>
          <w:szCs w:val="24"/>
        </w:rPr>
        <w:t>intended consequenc</w:t>
      </w:r>
      <w:r w:rsidR="005B7B0B">
        <w:rPr>
          <w:sz w:val="24"/>
          <w:szCs w:val="24"/>
        </w:rPr>
        <w:t xml:space="preserve">e of </w:t>
      </w:r>
      <w:r w:rsidR="00DC7349">
        <w:rPr>
          <w:sz w:val="24"/>
          <w:szCs w:val="24"/>
        </w:rPr>
        <w:t xml:space="preserve">impeding </w:t>
      </w:r>
      <w:r w:rsidR="005B7B0B">
        <w:rPr>
          <w:sz w:val="24"/>
          <w:szCs w:val="24"/>
        </w:rPr>
        <w:t>network operators’</w:t>
      </w:r>
      <w:r>
        <w:rPr>
          <w:sz w:val="24"/>
          <w:szCs w:val="24"/>
        </w:rPr>
        <w:t xml:space="preserve"> ability </w:t>
      </w:r>
      <w:r w:rsidR="00AC0231">
        <w:rPr>
          <w:sz w:val="24"/>
          <w:szCs w:val="24"/>
        </w:rPr>
        <w:t xml:space="preserve">to </w:t>
      </w:r>
      <w:r w:rsidR="00DC7349">
        <w:rPr>
          <w:sz w:val="24"/>
          <w:szCs w:val="24"/>
        </w:rPr>
        <w:t xml:space="preserve">quickly respond to changing </w:t>
      </w:r>
      <w:r w:rsidR="002717C4">
        <w:rPr>
          <w:sz w:val="24"/>
          <w:szCs w:val="24"/>
        </w:rPr>
        <w:t xml:space="preserve">network </w:t>
      </w:r>
      <w:r w:rsidR="00DC7349">
        <w:rPr>
          <w:sz w:val="24"/>
          <w:szCs w:val="24"/>
        </w:rPr>
        <w:t>environments</w:t>
      </w:r>
      <w:r w:rsidR="00381AA6">
        <w:rPr>
          <w:sz w:val="24"/>
          <w:szCs w:val="24"/>
        </w:rPr>
        <w:t xml:space="preserve">. </w:t>
      </w:r>
      <w:r w:rsidR="00AC0231">
        <w:rPr>
          <w:sz w:val="24"/>
          <w:szCs w:val="24"/>
        </w:rPr>
        <w:t>Rather than including such provisions in an intergovernmental treaty, we believe such matters are most effectively addressed through voluntary risk-based approaches</w:t>
      </w:r>
      <w:r w:rsidR="00B9232D">
        <w:rPr>
          <w:sz w:val="24"/>
          <w:szCs w:val="24"/>
        </w:rPr>
        <w:t xml:space="preserve"> and other efforts at the national level</w:t>
      </w:r>
      <w:r w:rsidR="00AC0231">
        <w:rPr>
          <w:sz w:val="24"/>
          <w:szCs w:val="24"/>
        </w:rPr>
        <w:t xml:space="preserve">.  </w:t>
      </w:r>
    </w:p>
    <w:p w14:paraId="3CB90527" w14:textId="57FD7169" w:rsidR="002E365A" w:rsidRDefault="002E365A">
      <w:pPr>
        <w:spacing w:after="0" w:line="240" w:lineRule="auto"/>
        <w:rPr>
          <w:sz w:val="24"/>
          <w:szCs w:val="24"/>
        </w:rPr>
      </w:pPr>
    </w:p>
    <w:p w14:paraId="07B2A288" w14:textId="48B65BD8" w:rsidR="005A64B8" w:rsidRDefault="002E36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Article 8 (Charging and accounting) and Appendix 1 </w:t>
      </w:r>
      <w:r w:rsidR="00CB48EE" w:rsidRPr="00CB48EE">
        <w:rPr>
          <w:sz w:val="24"/>
          <w:szCs w:val="24"/>
        </w:rPr>
        <w:t>speak to the re</w:t>
      </w:r>
      <w:r w:rsidR="00A747B9">
        <w:rPr>
          <w:sz w:val="24"/>
          <w:szCs w:val="24"/>
        </w:rPr>
        <w:t>gulatory needs of a bygone era</w:t>
      </w:r>
      <w:r w:rsidR="00CB48EE">
        <w:rPr>
          <w:sz w:val="24"/>
          <w:szCs w:val="24"/>
        </w:rPr>
        <w:t xml:space="preserve"> in which </w:t>
      </w:r>
      <w:r w:rsidR="00A747B9">
        <w:rPr>
          <w:sz w:val="24"/>
          <w:szCs w:val="24"/>
        </w:rPr>
        <w:t xml:space="preserve">international traffic exchange was conducted by </w:t>
      </w:r>
      <w:r w:rsidR="00CB48EE">
        <w:rPr>
          <w:sz w:val="24"/>
          <w:szCs w:val="24"/>
        </w:rPr>
        <w:t>m</w:t>
      </w:r>
      <w:r w:rsidR="00CB48EE" w:rsidRPr="00CB48EE">
        <w:rPr>
          <w:sz w:val="24"/>
          <w:szCs w:val="24"/>
        </w:rPr>
        <w:t>onopoly carriers t</w:t>
      </w:r>
      <w:r w:rsidR="00CB48EE">
        <w:rPr>
          <w:sz w:val="24"/>
          <w:szCs w:val="24"/>
        </w:rPr>
        <w:t>hat were often government-owned</w:t>
      </w:r>
      <w:r w:rsidR="00A747B9">
        <w:rPr>
          <w:sz w:val="24"/>
          <w:szCs w:val="24"/>
        </w:rPr>
        <w:t xml:space="preserve">, </w:t>
      </w:r>
      <w:r w:rsidR="00CB48EE">
        <w:rPr>
          <w:sz w:val="24"/>
          <w:szCs w:val="24"/>
        </w:rPr>
        <w:t>and served as the basis for an intergovernmental treaty</w:t>
      </w:r>
      <w:r w:rsidR="00CB48EE" w:rsidRPr="00CB48EE">
        <w:rPr>
          <w:sz w:val="24"/>
          <w:szCs w:val="24"/>
        </w:rPr>
        <w:t>.</w:t>
      </w:r>
      <w:r w:rsidR="00A747B9" w:rsidRPr="00A747B9">
        <w:t xml:space="preserve"> </w:t>
      </w:r>
      <w:r w:rsidR="00A747B9" w:rsidRPr="00A747B9">
        <w:rPr>
          <w:sz w:val="24"/>
          <w:szCs w:val="24"/>
        </w:rPr>
        <w:t>Over the past two decades, international and domestic telecommunication markets have experienced significant structural and technological transformations</w:t>
      </w:r>
      <w:r w:rsidR="00692F3E">
        <w:rPr>
          <w:sz w:val="24"/>
          <w:szCs w:val="24"/>
        </w:rPr>
        <w:t>. T</w:t>
      </w:r>
      <w:r w:rsidR="00983658">
        <w:rPr>
          <w:sz w:val="24"/>
          <w:szCs w:val="24"/>
        </w:rPr>
        <w:t xml:space="preserve">o our knowledge, </w:t>
      </w:r>
      <w:r w:rsidR="005A64B8" w:rsidRPr="005A64B8">
        <w:rPr>
          <w:sz w:val="24"/>
          <w:szCs w:val="24"/>
        </w:rPr>
        <w:t xml:space="preserve">there are very few countries </w:t>
      </w:r>
      <w:r w:rsidR="00983658">
        <w:rPr>
          <w:sz w:val="24"/>
          <w:szCs w:val="24"/>
        </w:rPr>
        <w:t xml:space="preserve">or carriers </w:t>
      </w:r>
      <w:r w:rsidR="005A64B8" w:rsidRPr="005A64B8">
        <w:rPr>
          <w:sz w:val="24"/>
          <w:szCs w:val="24"/>
        </w:rPr>
        <w:t>that continue to rely on the I</w:t>
      </w:r>
      <w:r w:rsidR="0040042A">
        <w:rPr>
          <w:sz w:val="24"/>
          <w:szCs w:val="24"/>
        </w:rPr>
        <w:t xml:space="preserve">TR-based accounting rate regime. </w:t>
      </w:r>
    </w:p>
    <w:p w14:paraId="5FF582F4" w14:textId="77777777" w:rsidR="009616E4" w:rsidRPr="002820A2" w:rsidRDefault="009616E4">
      <w:pPr>
        <w:spacing w:after="0" w:line="240" w:lineRule="auto"/>
        <w:rPr>
          <w:sz w:val="24"/>
          <w:szCs w:val="24"/>
        </w:rPr>
      </w:pPr>
    </w:p>
    <w:p w14:paraId="07CEBE67" w14:textId="1F9DF5E1" w:rsidR="00E90E06" w:rsidRPr="00E90E06" w:rsidRDefault="00E90E06">
      <w:pPr>
        <w:spacing w:after="0" w:line="240" w:lineRule="auto"/>
        <w:rPr>
          <w:b/>
          <w:sz w:val="24"/>
          <w:szCs w:val="24"/>
        </w:rPr>
      </w:pPr>
      <w:r w:rsidRPr="00E90E06">
        <w:rPr>
          <w:b/>
          <w:sz w:val="24"/>
          <w:szCs w:val="24"/>
        </w:rPr>
        <w:t>Conclusion</w:t>
      </w:r>
    </w:p>
    <w:p w14:paraId="23EFB311" w14:textId="27100CA4" w:rsidR="00E90E06" w:rsidRDefault="00E90E06">
      <w:pPr>
        <w:spacing w:after="0" w:line="240" w:lineRule="auto"/>
        <w:rPr>
          <w:sz w:val="24"/>
          <w:szCs w:val="24"/>
        </w:rPr>
      </w:pPr>
    </w:p>
    <w:p w14:paraId="2CBEEBCE" w14:textId="2A0AFC06" w:rsidR="00DA71EA" w:rsidRDefault="009616E4" w:rsidP="00381A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our view, </w:t>
      </w:r>
      <w:r w:rsidR="00381AA6" w:rsidRPr="00381AA6">
        <w:rPr>
          <w:sz w:val="24"/>
          <w:szCs w:val="24"/>
        </w:rPr>
        <w:t xml:space="preserve">Articles 5 through 8 and Appendix 1 are neither applicable to the fostering and development of international networks and services nor flexible to accommodate today’s dynamic </w:t>
      </w:r>
      <w:r w:rsidR="009F1D09">
        <w:rPr>
          <w:sz w:val="24"/>
          <w:szCs w:val="24"/>
        </w:rPr>
        <w:t xml:space="preserve">and innovative </w:t>
      </w:r>
      <w:r w:rsidR="00381AA6" w:rsidRPr="00381AA6">
        <w:rPr>
          <w:sz w:val="24"/>
          <w:szCs w:val="24"/>
        </w:rPr>
        <w:t>market place.</w:t>
      </w:r>
      <w:r w:rsidR="00983658">
        <w:rPr>
          <w:sz w:val="24"/>
          <w:szCs w:val="24"/>
        </w:rPr>
        <w:t xml:space="preserve">  </w:t>
      </w:r>
      <w:r w:rsidR="00983658" w:rsidRPr="00983658">
        <w:rPr>
          <w:sz w:val="24"/>
          <w:szCs w:val="24"/>
        </w:rPr>
        <w:t>Today, the emergence of multiple competing private-sector operators in each country has resulted in a competitive landscape that does not require any treaty instrument like the ITRs</w:t>
      </w:r>
      <w:r w:rsidR="00692F3E">
        <w:rPr>
          <w:sz w:val="24"/>
          <w:szCs w:val="24"/>
        </w:rPr>
        <w:t>.</w:t>
      </w:r>
    </w:p>
    <w:p w14:paraId="11A74B4F" w14:textId="77777777" w:rsidR="00DA71EA" w:rsidRDefault="00DA71EA" w:rsidP="00381AA6">
      <w:pPr>
        <w:spacing w:after="0" w:line="240" w:lineRule="auto"/>
        <w:rPr>
          <w:sz w:val="24"/>
          <w:szCs w:val="24"/>
        </w:rPr>
      </w:pPr>
    </w:p>
    <w:p w14:paraId="67EB18E0" w14:textId="3078368A" w:rsidR="00AB2815" w:rsidRPr="004A29FF" w:rsidRDefault="00AB2815" w:rsidP="00DA71EA">
      <w:pPr>
        <w:spacing w:after="0" w:line="240" w:lineRule="auto"/>
        <w:jc w:val="center"/>
        <w:rPr>
          <w:sz w:val="24"/>
          <w:szCs w:val="24"/>
        </w:rPr>
      </w:pPr>
      <w:r w:rsidRPr="004A29FF">
        <w:rPr>
          <w:sz w:val="24"/>
          <w:szCs w:val="24"/>
        </w:rPr>
        <w:t>_______________</w:t>
      </w:r>
    </w:p>
    <w:sectPr w:rsidR="00AB2815" w:rsidRPr="004A29FF" w:rsidSect="004D18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D59AB" w14:textId="77777777" w:rsidR="003C3E03" w:rsidRDefault="003C3E03">
      <w:r>
        <w:separator/>
      </w:r>
    </w:p>
  </w:endnote>
  <w:endnote w:type="continuationSeparator" w:id="0">
    <w:p w14:paraId="38914AE0" w14:textId="77777777" w:rsidR="003C3E03" w:rsidRDefault="003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3033" w14:textId="77777777" w:rsidR="003A4012" w:rsidRDefault="003A4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29EB" w14:textId="77777777" w:rsidR="003A4012" w:rsidRDefault="003A4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7C4AD" w14:textId="77777777" w:rsidR="003C3E03" w:rsidRDefault="003C3E03">
      <w:r>
        <w:t>____________________</w:t>
      </w:r>
    </w:p>
  </w:footnote>
  <w:footnote w:type="continuationSeparator" w:id="0">
    <w:p w14:paraId="20DA3122" w14:textId="77777777" w:rsidR="003C3E03" w:rsidRDefault="003C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EE54" w14:textId="77777777" w:rsidR="003A4012" w:rsidRDefault="003A4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970D" w14:textId="392AEF61" w:rsidR="00542BAB" w:rsidRDefault="00542BAB" w:rsidP="003A4012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E6555C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E6555C">
      <w:rPr>
        <w:noProof/>
      </w:rPr>
      <w:t>-3</w:t>
    </w:r>
    <w:r w:rsidR="000854C6">
      <w:rPr>
        <w:noProof/>
      </w:rPr>
      <w:t>\</w:t>
    </w:r>
    <w:r w:rsidR="00643559">
      <w:rPr>
        <w:noProof/>
      </w:rPr>
      <w:t>5</w:t>
    </w:r>
    <w:r>
      <w:rPr>
        <w:noProof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77E4B" w14:textId="77777777" w:rsidR="003A4012" w:rsidRDefault="003A4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23E44"/>
    <w:rsid w:val="00030247"/>
    <w:rsid w:val="00033979"/>
    <w:rsid w:val="0003420F"/>
    <w:rsid w:val="00037AD9"/>
    <w:rsid w:val="00054660"/>
    <w:rsid w:val="0005540C"/>
    <w:rsid w:val="00063016"/>
    <w:rsid w:val="00066DF5"/>
    <w:rsid w:val="000761CC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D75B2"/>
    <w:rsid w:val="001121F5"/>
    <w:rsid w:val="00140CE1"/>
    <w:rsid w:val="001421C9"/>
    <w:rsid w:val="00143690"/>
    <w:rsid w:val="00143A6D"/>
    <w:rsid w:val="00144165"/>
    <w:rsid w:val="0016020C"/>
    <w:rsid w:val="00171F42"/>
    <w:rsid w:val="0017539C"/>
    <w:rsid w:val="00175AC2"/>
    <w:rsid w:val="0017609F"/>
    <w:rsid w:val="00193682"/>
    <w:rsid w:val="00195328"/>
    <w:rsid w:val="001A4E06"/>
    <w:rsid w:val="001C495A"/>
    <w:rsid w:val="001C628E"/>
    <w:rsid w:val="001E0F7B"/>
    <w:rsid w:val="001F4FF7"/>
    <w:rsid w:val="00206BA3"/>
    <w:rsid w:val="002119FD"/>
    <w:rsid w:val="002130E0"/>
    <w:rsid w:val="00216F45"/>
    <w:rsid w:val="00221C8F"/>
    <w:rsid w:val="002238C4"/>
    <w:rsid w:val="0025471D"/>
    <w:rsid w:val="00256D0F"/>
    <w:rsid w:val="00257BDE"/>
    <w:rsid w:val="00265875"/>
    <w:rsid w:val="002667C5"/>
    <w:rsid w:val="002717C4"/>
    <w:rsid w:val="0027303B"/>
    <w:rsid w:val="0028109B"/>
    <w:rsid w:val="002820A2"/>
    <w:rsid w:val="00293DE5"/>
    <w:rsid w:val="00295397"/>
    <w:rsid w:val="002B1870"/>
    <w:rsid w:val="002B1F58"/>
    <w:rsid w:val="002C1C7A"/>
    <w:rsid w:val="002C5285"/>
    <w:rsid w:val="002D1E7F"/>
    <w:rsid w:val="002D494F"/>
    <w:rsid w:val="002E365A"/>
    <w:rsid w:val="0030160F"/>
    <w:rsid w:val="0032195E"/>
    <w:rsid w:val="00322D0D"/>
    <w:rsid w:val="00326D48"/>
    <w:rsid w:val="0033276E"/>
    <w:rsid w:val="00337854"/>
    <w:rsid w:val="00337CE2"/>
    <w:rsid w:val="003439CB"/>
    <w:rsid w:val="003662CE"/>
    <w:rsid w:val="003735DF"/>
    <w:rsid w:val="0037461E"/>
    <w:rsid w:val="00375F3C"/>
    <w:rsid w:val="0038108D"/>
    <w:rsid w:val="00381AA6"/>
    <w:rsid w:val="00384DD6"/>
    <w:rsid w:val="0039110F"/>
    <w:rsid w:val="003914A7"/>
    <w:rsid w:val="00393888"/>
    <w:rsid w:val="003942D4"/>
    <w:rsid w:val="003958A8"/>
    <w:rsid w:val="003A1D45"/>
    <w:rsid w:val="003A4012"/>
    <w:rsid w:val="003A5A36"/>
    <w:rsid w:val="003A71C2"/>
    <w:rsid w:val="003C0228"/>
    <w:rsid w:val="003C2533"/>
    <w:rsid w:val="003C3E03"/>
    <w:rsid w:val="003D15D8"/>
    <w:rsid w:val="003D6F32"/>
    <w:rsid w:val="003E10DE"/>
    <w:rsid w:val="003F0640"/>
    <w:rsid w:val="003F170A"/>
    <w:rsid w:val="0040042A"/>
    <w:rsid w:val="0040435A"/>
    <w:rsid w:val="00407B9C"/>
    <w:rsid w:val="00415736"/>
    <w:rsid w:val="00416A24"/>
    <w:rsid w:val="00423080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1C11"/>
    <w:rsid w:val="004921C8"/>
    <w:rsid w:val="0049335F"/>
    <w:rsid w:val="004A29FF"/>
    <w:rsid w:val="004A45DD"/>
    <w:rsid w:val="004B5D1C"/>
    <w:rsid w:val="004C679A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259D5"/>
    <w:rsid w:val="00542AE7"/>
    <w:rsid w:val="00542BAB"/>
    <w:rsid w:val="00544CA6"/>
    <w:rsid w:val="005467AE"/>
    <w:rsid w:val="005471D2"/>
    <w:rsid w:val="00547AD8"/>
    <w:rsid w:val="0056266C"/>
    <w:rsid w:val="00564FBC"/>
    <w:rsid w:val="0057569B"/>
    <w:rsid w:val="00582442"/>
    <w:rsid w:val="0058499C"/>
    <w:rsid w:val="00592E10"/>
    <w:rsid w:val="005A0109"/>
    <w:rsid w:val="005A3B8A"/>
    <w:rsid w:val="005A64B8"/>
    <w:rsid w:val="005B4351"/>
    <w:rsid w:val="005B7B0B"/>
    <w:rsid w:val="005C37A0"/>
    <w:rsid w:val="005D32DC"/>
    <w:rsid w:val="005D6131"/>
    <w:rsid w:val="005E1F1E"/>
    <w:rsid w:val="005F2D25"/>
    <w:rsid w:val="005F40A4"/>
    <w:rsid w:val="00605347"/>
    <w:rsid w:val="00643559"/>
    <w:rsid w:val="006512B4"/>
    <w:rsid w:val="006535F1"/>
    <w:rsid w:val="00654B8D"/>
    <w:rsid w:val="0065557D"/>
    <w:rsid w:val="00661342"/>
    <w:rsid w:val="00662984"/>
    <w:rsid w:val="006674BA"/>
    <w:rsid w:val="006716BB"/>
    <w:rsid w:val="006771E7"/>
    <w:rsid w:val="006836DB"/>
    <w:rsid w:val="00692F3E"/>
    <w:rsid w:val="00697898"/>
    <w:rsid w:val="006A0C04"/>
    <w:rsid w:val="006B6DCC"/>
    <w:rsid w:val="006B7318"/>
    <w:rsid w:val="006D3B24"/>
    <w:rsid w:val="006D3B29"/>
    <w:rsid w:val="006E1C23"/>
    <w:rsid w:val="006E7FAE"/>
    <w:rsid w:val="007253D6"/>
    <w:rsid w:val="00727FB1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A57B2"/>
    <w:rsid w:val="007B5111"/>
    <w:rsid w:val="007C116C"/>
    <w:rsid w:val="007C14C0"/>
    <w:rsid w:val="007C2E8B"/>
    <w:rsid w:val="007D134F"/>
    <w:rsid w:val="007D7FD5"/>
    <w:rsid w:val="00813E5E"/>
    <w:rsid w:val="0081547A"/>
    <w:rsid w:val="00820BAF"/>
    <w:rsid w:val="008222D1"/>
    <w:rsid w:val="0083581B"/>
    <w:rsid w:val="00855BA7"/>
    <w:rsid w:val="00864AFF"/>
    <w:rsid w:val="008662BD"/>
    <w:rsid w:val="008820C5"/>
    <w:rsid w:val="00891151"/>
    <w:rsid w:val="008911FB"/>
    <w:rsid w:val="0089474C"/>
    <w:rsid w:val="008A1017"/>
    <w:rsid w:val="008A16A8"/>
    <w:rsid w:val="008B04D1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44BC2"/>
    <w:rsid w:val="009616E4"/>
    <w:rsid w:val="00961B0B"/>
    <w:rsid w:val="00983658"/>
    <w:rsid w:val="00987D95"/>
    <w:rsid w:val="00996E42"/>
    <w:rsid w:val="009A4E24"/>
    <w:rsid w:val="009A56C8"/>
    <w:rsid w:val="009B38C3"/>
    <w:rsid w:val="009C6A0F"/>
    <w:rsid w:val="009D629C"/>
    <w:rsid w:val="009D7C02"/>
    <w:rsid w:val="009E17BD"/>
    <w:rsid w:val="009F1D09"/>
    <w:rsid w:val="00A04CEC"/>
    <w:rsid w:val="00A17094"/>
    <w:rsid w:val="00A27F92"/>
    <w:rsid w:val="00A30574"/>
    <w:rsid w:val="00A32257"/>
    <w:rsid w:val="00A36066"/>
    <w:rsid w:val="00A36D20"/>
    <w:rsid w:val="00A402CF"/>
    <w:rsid w:val="00A430A9"/>
    <w:rsid w:val="00A462B5"/>
    <w:rsid w:val="00A5280F"/>
    <w:rsid w:val="00A54FD8"/>
    <w:rsid w:val="00A550D1"/>
    <w:rsid w:val="00A55622"/>
    <w:rsid w:val="00A56000"/>
    <w:rsid w:val="00A620DA"/>
    <w:rsid w:val="00A747B9"/>
    <w:rsid w:val="00A83502"/>
    <w:rsid w:val="00AB2815"/>
    <w:rsid w:val="00AB393C"/>
    <w:rsid w:val="00AC0231"/>
    <w:rsid w:val="00AC393D"/>
    <w:rsid w:val="00AD360B"/>
    <w:rsid w:val="00AE78AE"/>
    <w:rsid w:val="00AF6E49"/>
    <w:rsid w:val="00B04A67"/>
    <w:rsid w:val="00B0583C"/>
    <w:rsid w:val="00B13953"/>
    <w:rsid w:val="00B36E39"/>
    <w:rsid w:val="00B40A81"/>
    <w:rsid w:val="00B447F3"/>
    <w:rsid w:val="00B44910"/>
    <w:rsid w:val="00B47B8F"/>
    <w:rsid w:val="00B556C1"/>
    <w:rsid w:val="00B71F52"/>
    <w:rsid w:val="00B72267"/>
    <w:rsid w:val="00B769F8"/>
    <w:rsid w:val="00B76EB6"/>
    <w:rsid w:val="00B824C8"/>
    <w:rsid w:val="00B85905"/>
    <w:rsid w:val="00B9232D"/>
    <w:rsid w:val="00BA74C0"/>
    <w:rsid w:val="00BB1653"/>
    <w:rsid w:val="00BC251A"/>
    <w:rsid w:val="00BD032B"/>
    <w:rsid w:val="00BD6810"/>
    <w:rsid w:val="00BE2640"/>
    <w:rsid w:val="00BE30A1"/>
    <w:rsid w:val="00BF27F0"/>
    <w:rsid w:val="00BF6095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3C52"/>
    <w:rsid w:val="00C664FA"/>
    <w:rsid w:val="00C8040F"/>
    <w:rsid w:val="00CA6393"/>
    <w:rsid w:val="00CB18FF"/>
    <w:rsid w:val="00CB48EE"/>
    <w:rsid w:val="00CC5EF0"/>
    <w:rsid w:val="00CD0C08"/>
    <w:rsid w:val="00CE03FB"/>
    <w:rsid w:val="00CE433C"/>
    <w:rsid w:val="00CF33F3"/>
    <w:rsid w:val="00D00FA2"/>
    <w:rsid w:val="00D03062"/>
    <w:rsid w:val="00D0338D"/>
    <w:rsid w:val="00D06183"/>
    <w:rsid w:val="00D13BA1"/>
    <w:rsid w:val="00D21749"/>
    <w:rsid w:val="00D22C42"/>
    <w:rsid w:val="00D3608E"/>
    <w:rsid w:val="00D64BC2"/>
    <w:rsid w:val="00D65041"/>
    <w:rsid w:val="00D8167B"/>
    <w:rsid w:val="00D9148E"/>
    <w:rsid w:val="00D945E6"/>
    <w:rsid w:val="00DA51F3"/>
    <w:rsid w:val="00DA71EA"/>
    <w:rsid w:val="00DC7349"/>
    <w:rsid w:val="00DE2B20"/>
    <w:rsid w:val="00DF0F5D"/>
    <w:rsid w:val="00E00F7D"/>
    <w:rsid w:val="00E06D24"/>
    <w:rsid w:val="00E10E80"/>
    <w:rsid w:val="00E124F0"/>
    <w:rsid w:val="00E378C5"/>
    <w:rsid w:val="00E44F0C"/>
    <w:rsid w:val="00E55AE0"/>
    <w:rsid w:val="00E60F04"/>
    <w:rsid w:val="00E6555C"/>
    <w:rsid w:val="00E8113B"/>
    <w:rsid w:val="00E9013A"/>
    <w:rsid w:val="00E90E06"/>
    <w:rsid w:val="00E94569"/>
    <w:rsid w:val="00EA48F9"/>
    <w:rsid w:val="00EB0D6F"/>
    <w:rsid w:val="00EB2232"/>
    <w:rsid w:val="00EB52A2"/>
    <w:rsid w:val="00EC1A42"/>
    <w:rsid w:val="00EC5337"/>
    <w:rsid w:val="00EE2A3B"/>
    <w:rsid w:val="00F01631"/>
    <w:rsid w:val="00F2150A"/>
    <w:rsid w:val="00F231D8"/>
    <w:rsid w:val="00F301E0"/>
    <w:rsid w:val="00F36D40"/>
    <w:rsid w:val="00F36FE0"/>
    <w:rsid w:val="00F44ED7"/>
    <w:rsid w:val="00F46C5F"/>
    <w:rsid w:val="00F54A63"/>
    <w:rsid w:val="00F55CA0"/>
    <w:rsid w:val="00F56D59"/>
    <w:rsid w:val="00F656C6"/>
    <w:rsid w:val="00F70098"/>
    <w:rsid w:val="00F856EC"/>
    <w:rsid w:val="00F94A63"/>
    <w:rsid w:val="00F96CA1"/>
    <w:rsid w:val="00FB7596"/>
    <w:rsid w:val="00FC08D9"/>
    <w:rsid w:val="00FD60B3"/>
    <w:rsid w:val="00FE1048"/>
    <w:rsid w:val="00FE123D"/>
    <w:rsid w:val="00FE4077"/>
    <w:rsid w:val="00FE77D2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9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139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13953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25471D"/>
    <w:pPr>
      <w:spacing w:before="48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4230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2308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f33a761d0977584808d69aa2fcb1e3f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7bfef7ca1e367f5bb2d62984669dbb2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FD361-57E9-4D14-9E91-2CAEBE4D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B09600-7C5D-48C6-B5B8-46E9CC57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31E78-57BA-48C0-8AD0-1E5C12D37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0B736-356C-4BED-8811-AD6E31395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3782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2000-07-18T13:30:00Z</cp:lastPrinted>
  <dcterms:created xsi:type="dcterms:W3CDTF">2020-09-04T05:42:00Z</dcterms:created>
  <dcterms:modified xsi:type="dcterms:W3CDTF">2020-09-04T05:45:00Z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