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A5968" w14:paraId="357514C5" w14:textId="77777777">
        <w:trPr>
          <w:cantSplit/>
        </w:trPr>
        <w:tc>
          <w:tcPr>
            <w:tcW w:w="6912" w:type="dxa"/>
          </w:tcPr>
          <w:p w14:paraId="764C1E3E" w14:textId="77777777" w:rsidR="00093EEB" w:rsidRPr="00CA5968" w:rsidRDefault="00D92832" w:rsidP="00D92832">
            <w:pPr>
              <w:spacing w:before="240"/>
              <w:rPr>
                <w:szCs w:val="24"/>
                <w:lang w:val="es-ES"/>
              </w:rPr>
            </w:pPr>
            <w:bookmarkStart w:id="0" w:name="dbluepink" w:colFirst="0" w:colLast="0"/>
            <w:r w:rsidRPr="00CA5968">
              <w:rPr>
                <w:b/>
                <w:bCs/>
                <w:position w:val="6"/>
                <w:sz w:val="30"/>
                <w:szCs w:val="30"/>
                <w:lang w:val="es-ES"/>
              </w:rPr>
              <w:t xml:space="preserve">Grupo de Expertos sobre el Reglamento de las </w:t>
            </w:r>
            <w:r w:rsidRPr="00CA5968">
              <w:rPr>
                <w:b/>
                <w:bCs/>
                <w:position w:val="6"/>
                <w:sz w:val="30"/>
                <w:szCs w:val="30"/>
                <w:lang w:val="es-ES"/>
              </w:rPr>
              <w:br/>
              <w:t>Telecomunicaciones Internacionales (GE-RTI)</w:t>
            </w:r>
          </w:p>
        </w:tc>
        <w:tc>
          <w:tcPr>
            <w:tcW w:w="3261" w:type="dxa"/>
          </w:tcPr>
          <w:p w14:paraId="61312569" w14:textId="77777777" w:rsidR="00093EEB" w:rsidRPr="00CA5968" w:rsidRDefault="00012E27" w:rsidP="00C85B97">
            <w:pPr>
              <w:spacing w:before="0"/>
              <w:rPr>
                <w:szCs w:val="24"/>
                <w:lang w:val="es-ES"/>
              </w:rPr>
            </w:pPr>
            <w:bookmarkStart w:id="1" w:name="ditulogo"/>
            <w:bookmarkEnd w:id="1"/>
            <w:r w:rsidRPr="00CA5968">
              <w:rPr>
                <w:noProof/>
                <w:lang w:val="es-ES"/>
              </w:rPr>
              <w:drawing>
                <wp:inline distT="0" distB="0" distL="0" distR="0" wp14:anchorId="30DAAEA4" wp14:editId="506A9554">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CA5968" w14:paraId="197F309E" w14:textId="77777777">
        <w:trPr>
          <w:cantSplit/>
          <w:trHeight w:val="20"/>
        </w:trPr>
        <w:tc>
          <w:tcPr>
            <w:tcW w:w="10173" w:type="dxa"/>
            <w:gridSpan w:val="2"/>
            <w:tcBorders>
              <w:bottom w:val="single" w:sz="12" w:space="0" w:color="auto"/>
            </w:tcBorders>
          </w:tcPr>
          <w:p w14:paraId="67AAAB6C" w14:textId="65CE8F97" w:rsidR="00093EEB" w:rsidRPr="00CA5968" w:rsidRDefault="002A1B82" w:rsidP="00012E27">
            <w:pPr>
              <w:spacing w:before="0"/>
              <w:rPr>
                <w:b/>
                <w:bCs/>
                <w:szCs w:val="24"/>
                <w:lang w:val="es-ES"/>
              </w:rPr>
            </w:pPr>
            <w:r>
              <w:rPr>
                <w:rFonts w:eastAsia="Calibri" w:cs="Calibri"/>
                <w:b/>
                <w:color w:val="000000"/>
                <w:szCs w:val="24"/>
                <w:lang w:val="es-ES"/>
              </w:rPr>
              <w:t>Tercera</w:t>
            </w:r>
            <w:r w:rsidR="00012E27" w:rsidRPr="00CA5968">
              <w:rPr>
                <w:rFonts w:eastAsia="Calibri" w:cs="Calibri"/>
                <w:b/>
                <w:color w:val="000000"/>
                <w:szCs w:val="24"/>
                <w:lang w:val="es-ES"/>
              </w:rPr>
              <w:t xml:space="preserve"> reunión </w:t>
            </w:r>
            <w:r w:rsidR="00D92832" w:rsidRPr="00CA5968">
              <w:rPr>
                <w:b/>
                <w:bCs/>
                <w:lang w:val="es-ES"/>
              </w:rPr>
              <w:t xml:space="preserve">– </w:t>
            </w:r>
            <w:r>
              <w:rPr>
                <w:b/>
                <w:bCs/>
                <w:lang w:val="es-ES"/>
              </w:rPr>
              <w:t>Virtual</w:t>
            </w:r>
            <w:r w:rsidR="00D92832" w:rsidRPr="00CA5968">
              <w:rPr>
                <w:b/>
                <w:bCs/>
                <w:lang w:val="es-ES"/>
              </w:rPr>
              <w:t xml:space="preserve">, </w:t>
            </w:r>
            <w:r w:rsidR="00744511" w:rsidRPr="00CA5968">
              <w:rPr>
                <w:b/>
                <w:bCs/>
                <w:lang w:val="es-ES"/>
              </w:rPr>
              <w:t xml:space="preserve">17-18 </w:t>
            </w:r>
            <w:r w:rsidRPr="00CA5968">
              <w:rPr>
                <w:b/>
                <w:bCs/>
                <w:lang w:val="es-ES"/>
              </w:rPr>
              <w:t xml:space="preserve">de septiembre </w:t>
            </w:r>
            <w:r w:rsidR="00D92832" w:rsidRPr="00CA5968">
              <w:rPr>
                <w:b/>
                <w:bCs/>
                <w:lang w:val="es-ES"/>
              </w:rPr>
              <w:t>de 20</w:t>
            </w:r>
            <w:r w:rsidR="00C85B97" w:rsidRPr="00CA5968">
              <w:rPr>
                <w:b/>
                <w:bCs/>
                <w:lang w:val="es-ES"/>
              </w:rPr>
              <w:t>20</w:t>
            </w:r>
          </w:p>
        </w:tc>
      </w:tr>
      <w:tr w:rsidR="00093EEB" w:rsidRPr="00CA5968" w14:paraId="109C9317" w14:textId="77777777">
        <w:trPr>
          <w:cantSplit/>
          <w:trHeight w:val="20"/>
        </w:trPr>
        <w:tc>
          <w:tcPr>
            <w:tcW w:w="6912" w:type="dxa"/>
            <w:tcBorders>
              <w:top w:val="single" w:sz="12" w:space="0" w:color="auto"/>
            </w:tcBorders>
          </w:tcPr>
          <w:p w14:paraId="3F78E3D5" w14:textId="77777777" w:rsidR="00093EEB" w:rsidRPr="00CA5968"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1BC93254" w14:textId="77777777" w:rsidR="00093EEB" w:rsidRPr="00CA5968" w:rsidRDefault="00093EEB">
            <w:pPr>
              <w:spacing w:before="0"/>
              <w:rPr>
                <w:b/>
                <w:bCs/>
                <w:szCs w:val="24"/>
                <w:lang w:val="es-ES"/>
              </w:rPr>
            </w:pPr>
          </w:p>
        </w:tc>
      </w:tr>
      <w:tr w:rsidR="00093EEB" w:rsidRPr="00CA5968" w14:paraId="3EE9F3B6" w14:textId="77777777">
        <w:trPr>
          <w:cantSplit/>
          <w:trHeight w:val="20"/>
        </w:trPr>
        <w:tc>
          <w:tcPr>
            <w:tcW w:w="6912" w:type="dxa"/>
            <w:shd w:val="clear" w:color="auto" w:fill="auto"/>
          </w:tcPr>
          <w:p w14:paraId="61C39346" w14:textId="77777777" w:rsidR="00093EEB" w:rsidRPr="00CA5968" w:rsidRDefault="00093EEB">
            <w:pPr>
              <w:tabs>
                <w:tab w:val="clear" w:pos="2268"/>
                <w:tab w:val="left" w:pos="1560"/>
                <w:tab w:val="left" w:pos="2269"/>
                <w:tab w:val="left" w:pos="3544"/>
                <w:tab w:val="left" w:pos="3969"/>
              </w:tabs>
              <w:spacing w:before="0" w:line="240" w:lineRule="atLeast"/>
              <w:rPr>
                <w:rFonts w:cs="Times"/>
                <w:b/>
                <w:szCs w:val="24"/>
                <w:lang w:val="es-ES"/>
              </w:rPr>
            </w:pPr>
            <w:bookmarkStart w:id="2" w:name="dnum" w:colFirst="1" w:colLast="1"/>
            <w:bookmarkStart w:id="3" w:name="dmeeting" w:colFirst="0" w:colLast="0"/>
          </w:p>
        </w:tc>
        <w:tc>
          <w:tcPr>
            <w:tcW w:w="3261" w:type="dxa"/>
          </w:tcPr>
          <w:p w14:paraId="26F5CDEE" w14:textId="178AF342" w:rsidR="00093EEB" w:rsidRPr="00CA5968" w:rsidRDefault="00093EEB" w:rsidP="001F60AD">
            <w:pPr>
              <w:spacing w:before="0"/>
              <w:rPr>
                <w:b/>
                <w:bCs/>
                <w:szCs w:val="24"/>
                <w:lang w:val="es-ES"/>
              </w:rPr>
            </w:pPr>
            <w:r w:rsidRPr="00CA5968">
              <w:rPr>
                <w:b/>
                <w:bCs/>
                <w:szCs w:val="24"/>
                <w:lang w:val="es-ES"/>
              </w:rPr>
              <w:t xml:space="preserve">Documento </w:t>
            </w:r>
            <w:r w:rsidR="00D92832" w:rsidRPr="00CA5968">
              <w:rPr>
                <w:rFonts w:asciiTheme="minorHAnsi" w:hAnsiTheme="minorHAnsi" w:cs="Times New Roman Bold"/>
                <w:b/>
                <w:spacing w:val="-4"/>
                <w:lang w:val="es-ES"/>
              </w:rPr>
              <w:t>EG-ITRs-</w:t>
            </w:r>
            <w:r w:rsidR="00744511" w:rsidRPr="00CA5968">
              <w:rPr>
                <w:rFonts w:asciiTheme="minorHAnsi" w:hAnsiTheme="minorHAnsi" w:cs="Times New Roman Bold"/>
                <w:b/>
                <w:spacing w:val="-4"/>
                <w:lang w:val="es-ES"/>
              </w:rPr>
              <w:t>3</w:t>
            </w:r>
            <w:r w:rsidR="00D92832" w:rsidRPr="00CA5968">
              <w:rPr>
                <w:rFonts w:asciiTheme="minorHAnsi" w:hAnsiTheme="minorHAnsi" w:cs="Times New Roman Bold"/>
                <w:b/>
                <w:spacing w:val="-4"/>
                <w:lang w:val="es-ES"/>
              </w:rPr>
              <w:t>/</w:t>
            </w:r>
            <w:r w:rsidR="00744511" w:rsidRPr="00CA5968">
              <w:rPr>
                <w:rFonts w:asciiTheme="minorHAnsi" w:hAnsiTheme="minorHAnsi" w:cs="Times New Roman Bold"/>
                <w:b/>
                <w:spacing w:val="-4"/>
                <w:lang w:val="es-ES"/>
              </w:rPr>
              <w:t>6</w:t>
            </w:r>
            <w:r w:rsidR="00D92832" w:rsidRPr="00CA5968">
              <w:rPr>
                <w:rFonts w:asciiTheme="minorHAnsi" w:hAnsiTheme="minorHAnsi" w:cs="Times New Roman Bold"/>
                <w:b/>
                <w:spacing w:val="-4"/>
                <w:lang w:val="es-ES"/>
              </w:rPr>
              <w:t>-S</w:t>
            </w:r>
          </w:p>
        </w:tc>
      </w:tr>
      <w:tr w:rsidR="00093EEB" w:rsidRPr="00CA5968" w14:paraId="1AF23C27" w14:textId="77777777">
        <w:trPr>
          <w:cantSplit/>
          <w:trHeight w:val="20"/>
        </w:trPr>
        <w:tc>
          <w:tcPr>
            <w:tcW w:w="6912" w:type="dxa"/>
            <w:shd w:val="clear" w:color="auto" w:fill="auto"/>
          </w:tcPr>
          <w:p w14:paraId="30375533" w14:textId="77777777" w:rsidR="00093EEB" w:rsidRPr="00CA5968" w:rsidRDefault="00093EEB">
            <w:pPr>
              <w:shd w:val="solid" w:color="FFFFFF" w:fill="FFFFFF"/>
              <w:spacing w:before="0"/>
              <w:rPr>
                <w:smallCaps/>
                <w:szCs w:val="24"/>
                <w:lang w:val="es-ES"/>
              </w:rPr>
            </w:pPr>
            <w:bookmarkStart w:id="4" w:name="ddate" w:colFirst="1" w:colLast="1"/>
            <w:bookmarkEnd w:id="2"/>
            <w:bookmarkEnd w:id="3"/>
          </w:p>
        </w:tc>
        <w:tc>
          <w:tcPr>
            <w:tcW w:w="3261" w:type="dxa"/>
          </w:tcPr>
          <w:p w14:paraId="55CC5553" w14:textId="664563ED" w:rsidR="00093EEB" w:rsidRPr="00CA5968" w:rsidRDefault="00744511" w:rsidP="001F60AD">
            <w:pPr>
              <w:spacing w:before="0"/>
              <w:rPr>
                <w:b/>
                <w:bCs/>
                <w:szCs w:val="24"/>
                <w:lang w:val="es-ES"/>
              </w:rPr>
            </w:pPr>
            <w:r w:rsidRPr="00CA5968">
              <w:rPr>
                <w:b/>
                <w:bCs/>
                <w:szCs w:val="24"/>
                <w:lang w:val="es-ES"/>
              </w:rPr>
              <w:t>3</w:t>
            </w:r>
            <w:r w:rsidR="0077252D" w:rsidRPr="00CA5968">
              <w:rPr>
                <w:b/>
                <w:bCs/>
                <w:szCs w:val="24"/>
                <w:lang w:val="es-ES"/>
              </w:rPr>
              <w:t xml:space="preserve"> </w:t>
            </w:r>
            <w:r w:rsidR="00D92832" w:rsidRPr="00CA5968">
              <w:rPr>
                <w:b/>
                <w:bCs/>
                <w:szCs w:val="24"/>
                <w:lang w:val="es-ES"/>
              </w:rPr>
              <w:t xml:space="preserve">de </w:t>
            </w:r>
            <w:r w:rsidR="002A1B82" w:rsidRPr="00CA5968">
              <w:rPr>
                <w:b/>
                <w:bCs/>
                <w:szCs w:val="24"/>
                <w:lang w:val="es-ES"/>
              </w:rPr>
              <w:t xml:space="preserve">septiembre </w:t>
            </w:r>
            <w:r w:rsidR="00093EEB" w:rsidRPr="00CA5968">
              <w:rPr>
                <w:b/>
                <w:bCs/>
                <w:szCs w:val="24"/>
                <w:lang w:val="es-ES"/>
              </w:rPr>
              <w:t>de 20</w:t>
            </w:r>
            <w:r w:rsidR="00C85B97" w:rsidRPr="00CA5968">
              <w:rPr>
                <w:b/>
                <w:bCs/>
                <w:szCs w:val="24"/>
                <w:lang w:val="es-ES"/>
              </w:rPr>
              <w:t>20</w:t>
            </w:r>
          </w:p>
        </w:tc>
      </w:tr>
      <w:tr w:rsidR="00093EEB" w:rsidRPr="00CA5968" w14:paraId="591C40FE" w14:textId="77777777">
        <w:trPr>
          <w:cantSplit/>
          <w:trHeight w:val="20"/>
        </w:trPr>
        <w:tc>
          <w:tcPr>
            <w:tcW w:w="6912" w:type="dxa"/>
            <w:shd w:val="clear" w:color="auto" w:fill="auto"/>
          </w:tcPr>
          <w:p w14:paraId="59FA6654" w14:textId="77777777" w:rsidR="00093EEB" w:rsidRPr="00CA5968" w:rsidRDefault="00093EEB">
            <w:pPr>
              <w:shd w:val="solid" w:color="FFFFFF" w:fill="FFFFFF"/>
              <w:spacing w:before="0"/>
              <w:rPr>
                <w:smallCaps/>
                <w:szCs w:val="24"/>
                <w:lang w:val="es-ES"/>
              </w:rPr>
            </w:pPr>
            <w:bookmarkStart w:id="5" w:name="dorlang" w:colFirst="1" w:colLast="1"/>
            <w:bookmarkEnd w:id="4"/>
          </w:p>
        </w:tc>
        <w:tc>
          <w:tcPr>
            <w:tcW w:w="3261" w:type="dxa"/>
          </w:tcPr>
          <w:p w14:paraId="76348D43" w14:textId="37DC76D9" w:rsidR="00093EEB" w:rsidRPr="00CA5968" w:rsidRDefault="00093EEB" w:rsidP="00093EEB">
            <w:pPr>
              <w:spacing w:before="0"/>
              <w:rPr>
                <w:b/>
                <w:bCs/>
                <w:szCs w:val="24"/>
                <w:lang w:val="es-ES"/>
              </w:rPr>
            </w:pPr>
            <w:r w:rsidRPr="00CA5968">
              <w:rPr>
                <w:b/>
                <w:bCs/>
                <w:szCs w:val="24"/>
                <w:lang w:val="es-ES"/>
              </w:rPr>
              <w:t xml:space="preserve">Original: </w:t>
            </w:r>
            <w:r w:rsidR="00AE6A66" w:rsidRPr="00CA5968">
              <w:rPr>
                <w:b/>
                <w:bCs/>
                <w:szCs w:val="24"/>
                <w:lang w:val="es-ES"/>
              </w:rPr>
              <w:t>ruso</w:t>
            </w:r>
          </w:p>
        </w:tc>
      </w:tr>
      <w:tr w:rsidR="00093EEB" w:rsidRPr="00CA5968" w14:paraId="2141039A" w14:textId="77777777">
        <w:trPr>
          <w:cantSplit/>
        </w:trPr>
        <w:tc>
          <w:tcPr>
            <w:tcW w:w="10173" w:type="dxa"/>
            <w:gridSpan w:val="2"/>
          </w:tcPr>
          <w:p w14:paraId="2BF641A4" w14:textId="65FE681F" w:rsidR="00093EEB" w:rsidRPr="00CA5968" w:rsidRDefault="00AE6A66">
            <w:pPr>
              <w:pStyle w:val="Source"/>
              <w:rPr>
                <w:lang w:val="es-ES"/>
              </w:rPr>
            </w:pPr>
            <w:bookmarkStart w:id="6" w:name="dsource" w:colFirst="0" w:colLast="0"/>
            <w:bookmarkEnd w:id="0"/>
            <w:bookmarkEnd w:id="5"/>
            <w:r w:rsidRPr="00CA5968">
              <w:rPr>
                <w:lang w:val="es-ES"/>
              </w:rPr>
              <w:t>Federación de Rusia</w:t>
            </w:r>
          </w:p>
        </w:tc>
      </w:tr>
      <w:tr w:rsidR="00093EEB" w:rsidRPr="00CA5968" w14:paraId="206415D6" w14:textId="77777777">
        <w:trPr>
          <w:cantSplit/>
        </w:trPr>
        <w:tc>
          <w:tcPr>
            <w:tcW w:w="10173" w:type="dxa"/>
            <w:gridSpan w:val="2"/>
          </w:tcPr>
          <w:p w14:paraId="5633E850" w14:textId="11A05A6C" w:rsidR="00093EEB" w:rsidRPr="00CA5968" w:rsidRDefault="003F54CC">
            <w:pPr>
              <w:pStyle w:val="Title1"/>
              <w:rPr>
                <w:lang w:val="es-ES"/>
              </w:rPr>
            </w:pPr>
            <w:bookmarkStart w:id="7" w:name="dtitle1" w:colFirst="0" w:colLast="0"/>
            <w:bookmarkEnd w:id="6"/>
            <w:r w:rsidRPr="00CA5968">
              <w:rPr>
                <w:bCs/>
                <w:lang w:val="es-ES"/>
              </w:rPr>
              <w:t xml:space="preserve">examen disposición por disposición de secciones del Reglamento de las Telecomunicaciones Internacionales en la </w:t>
            </w:r>
            <w:r w:rsidR="002A1B82">
              <w:rPr>
                <w:bCs/>
                <w:lang w:val="es-ES"/>
              </w:rPr>
              <w:t>tercera</w:t>
            </w:r>
            <w:r w:rsidRPr="00CA5968">
              <w:rPr>
                <w:bCs/>
                <w:lang w:val="es-ES"/>
              </w:rPr>
              <w:t xml:space="preserve"> reunión del ge-rti </w:t>
            </w:r>
            <w:r w:rsidR="00D378F1" w:rsidRPr="00CA5968">
              <w:rPr>
                <w:bCs/>
                <w:lang w:val="es-ES"/>
              </w:rPr>
              <w:br/>
            </w:r>
            <w:r w:rsidRPr="00CA5968">
              <w:rPr>
                <w:bCs/>
                <w:lang w:val="es-ES"/>
              </w:rPr>
              <w:t>con arreglo al plan de trabajo adoptado en la primera reunión</w:t>
            </w:r>
            <w:r w:rsidR="002A1B82">
              <w:rPr>
                <w:bCs/>
                <w:lang w:val="es-ES"/>
              </w:rPr>
              <w:t xml:space="preserve"> del grupo</w:t>
            </w:r>
          </w:p>
        </w:tc>
      </w:tr>
    </w:tbl>
    <w:bookmarkEnd w:id="7"/>
    <w:p w14:paraId="3EAF3F5C" w14:textId="18BC7A66" w:rsidR="00AE6A66" w:rsidRPr="00CA5968" w:rsidRDefault="00AE6A66" w:rsidP="00AE6A66">
      <w:pPr>
        <w:pStyle w:val="Heading1"/>
        <w:rPr>
          <w:lang w:val="es-ES"/>
        </w:rPr>
      </w:pPr>
      <w:r w:rsidRPr="00CA5968">
        <w:rPr>
          <w:lang w:val="es-ES"/>
        </w:rPr>
        <w:t>1</w:t>
      </w:r>
      <w:r w:rsidRPr="00CA5968">
        <w:rPr>
          <w:lang w:val="es-ES"/>
        </w:rPr>
        <w:tab/>
      </w:r>
      <w:r w:rsidR="003F54CC" w:rsidRPr="00CA5968">
        <w:rPr>
          <w:lang w:val="es-ES"/>
        </w:rPr>
        <w:t>Introducción</w:t>
      </w:r>
    </w:p>
    <w:p w14:paraId="641E8955" w14:textId="38556CBC" w:rsidR="00AE6A66" w:rsidRPr="00CA5968" w:rsidRDefault="003F54CC" w:rsidP="00AE6A66">
      <w:pPr>
        <w:rPr>
          <w:lang w:val="es-ES"/>
        </w:rPr>
      </w:pPr>
      <w:r w:rsidRPr="00CA5968">
        <w:rPr>
          <w:lang w:val="es-ES"/>
        </w:rPr>
        <w:t>La primera reunión del GE-RTI, tras examinar y discutir propuestas sobre las actividades del Grupo, acordó un plan de trabajo para el Grupo de Expertos y aprobó una plantilla para el examen del RTI disposición por disposición</w:t>
      </w:r>
      <w:r w:rsidR="00AE6A66" w:rsidRPr="00CA5968">
        <w:rPr>
          <w:lang w:val="es-ES"/>
        </w:rPr>
        <w:t>.</w:t>
      </w:r>
    </w:p>
    <w:p w14:paraId="028764B7" w14:textId="152AFA52" w:rsidR="00AE6A66" w:rsidRPr="00CA5968" w:rsidRDefault="003F54CC" w:rsidP="00AE6A66">
      <w:pPr>
        <w:rPr>
          <w:lang w:val="es-ES"/>
        </w:rPr>
      </w:pPr>
      <w:r w:rsidRPr="00CA5968">
        <w:rPr>
          <w:lang w:val="es-ES"/>
        </w:rPr>
        <w:t>De acuerdo con el plan de trabajo adoptado</w:t>
      </w:r>
      <w:r w:rsidR="002A1B82">
        <w:rPr>
          <w:lang w:val="es-ES"/>
        </w:rPr>
        <w:t xml:space="preserve"> en </w:t>
      </w:r>
      <w:r w:rsidR="00FF0DF6">
        <w:rPr>
          <w:lang w:val="es-ES"/>
        </w:rPr>
        <w:t>la</w:t>
      </w:r>
      <w:r w:rsidR="002A1B82">
        <w:rPr>
          <w:lang w:val="es-ES"/>
        </w:rPr>
        <w:t xml:space="preserve"> primera reunión</w:t>
      </w:r>
      <w:r w:rsidRPr="00CA5968">
        <w:rPr>
          <w:lang w:val="es-ES"/>
        </w:rPr>
        <w:t xml:space="preserve">, la </w:t>
      </w:r>
      <w:r w:rsidR="00FA161B" w:rsidRPr="00CA5968">
        <w:rPr>
          <w:lang w:val="es-ES"/>
        </w:rPr>
        <w:t xml:space="preserve">tercera </w:t>
      </w:r>
      <w:r w:rsidRPr="00CA5968">
        <w:rPr>
          <w:lang w:val="es-ES"/>
        </w:rPr>
        <w:t>reunión del GE-RTI debe realizar un estudio de las siguientes secciones del RTI:</w:t>
      </w:r>
    </w:p>
    <w:p w14:paraId="1F2F6400" w14:textId="5A9EA22C" w:rsidR="00AE6A66" w:rsidRPr="00CA5968" w:rsidRDefault="00AE6A66" w:rsidP="00AE6A66">
      <w:pPr>
        <w:pStyle w:val="enumlev1"/>
        <w:rPr>
          <w:lang w:val="es-ES"/>
        </w:rPr>
      </w:pPr>
      <w:r w:rsidRPr="00CA5968">
        <w:rPr>
          <w:lang w:val="es-ES"/>
        </w:rPr>
        <w:t>–</w:t>
      </w:r>
      <w:r w:rsidRPr="00CA5968">
        <w:rPr>
          <w:lang w:val="es-ES"/>
        </w:rPr>
        <w:tab/>
      </w:r>
      <w:r w:rsidR="00FA161B" w:rsidRPr="00CA5968">
        <w:rPr>
          <w:lang w:val="es-ES"/>
        </w:rPr>
        <w:t>Artículo 5</w:t>
      </w:r>
      <w:r w:rsidR="00FA161B" w:rsidRPr="00CA5968">
        <w:rPr>
          <w:lang w:val="es-ES"/>
        </w:rPr>
        <w:tab/>
        <w:t>Seguridad de la vida humana y prioridad de las telecomunicaciones</w:t>
      </w:r>
    </w:p>
    <w:p w14:paraId="781C0B39" w14:textId="0450D550" w:rsidR="00AE6A66" w:rsidRPr="00CA5968" w:rsidRDefault="00AE6A66" w:rsidP="00AE6A66">
      <w:pPr>
        <w:pStyle w:val="enumlev1"/>
        <w:rPr>
          <w:lang w:val="es-ES"/>
        </w:rPr>
      </w:pPr>
      <w:r w:rsidRPr="00CA5968">
        <w:rPr>
          <w:lang w:val="es-ES"/>
        </w:rPr>
        <w:t>–</w:t>
      </w:r>
      <w:r w:rsidRPr="00CA5968">
        <w:rPr>
          <w:lang w:val="es-ES"/>
        </w:rPr>
        <w:tab/>
      </w:r>
      <w:r w:rsidR="00F13C7F" w:rsidRPr="00CA5968">
        <w:rPr>
          <w:lang w:val="es-ES"/>
        </w:rPr>
        <w:t xml:space="preserve">Artículo </w:t>
      </w:r>
      <w:r w:rsidR="00FA161B" w:rsidRPr="00CA5968">
        <w:rPr>
          <w:lang w:val="es-ES"/>
        </w:rPr>
        <w:t>6</w:t>
      </w:r>
      <w:r w:rsidR="00F13C7F" w:rsidRPr="00CA5968">
        <w:rPr>
          <w:lang w:val="es-ES"/>
        </w:rPr>
        <w:tab/>
      </w:r>
      <w:r w:rsidR="00FA161B" w:rsidRPr="00CA5968">
        <w:rPr>
          <w:lang w:val="es-ES"/>
        </w:rPr>
        <w:t>Seguridad y robustez de las redes</w:t>
      </w:r>
    </w:p>
    <w:p w14:paraId="66E77587" w14:textId="295BF3EC" w:rsidR="00AE6A66" w:rsidRPr="00CA5968" w:rsidRDefault="00AE6A66" w:rsidP="00AE6A66">
      <w:pPr>
        <w:pStyle w:val="enumlev1"/>
        <w:rPr>
          <w:lang w:val="es-ES"/>
        </w:rPr>
      </w:pPr>
      <w:r w:rsidRPr="00CA5968">
        <w:rPr>
          <w:lang w:val="es-ES"/>
        </w:rPr>
        <w:t>–</w:t>
      </w:r>
      <w:r w:rsidRPr="00CA5968">
        <w:rPr>
          <w:lang w:val="es-ES"/>
        </w:rPr>
        <w:tab/>
      </w:r>
      <w:r w:rsidR="00F13C7F" w:rsidRPr="00CA5968">
        <w:rPr>
          <w:lang w:val="es-ES"/>
        </w:rPr>
        <w:t xml:space="preserve">Artículo </w:t>
      </w:r>
      <w:r w:rsidR="00FA161B" w:rsidRPr="00CA5968">
        <w:rPr>
          <w:lang w:val="es-ES"/>
        </w:rPr>
        <w:t>7</w:t>
      </w:r>
      <w:r w:rsidR="00F13C7F" w:rsidRPr="00CA5968">
        <w:rPr>
          <w:lang w:val="es-ES"/>
        </w:rPr>
        <w:tab/>
      </w:r>
      <w:r w:rsidR="00FA161B" w:rsidRPr="00CA5968">
        <w:rPr>
          <w:lang w:val="es-ES"/>
        </w:rPr>
        <w:t>Comunicaciones electrónicas masivas no solicitadas</w:t>
      </w:r>
    </w:p>
    <w:p w14:paraId="5894A491" w14:textId="21D5E241" w:rsidR="00AE6A66" w:rsidRPr="00CA5968" w:rsidRDefault="00AE6A66" w:rsidP="00AE6A66">
      <w:pPr>
        <w:pStyle w:val="enumlev1"/>
        <w:rPr>
          <w:lang w:val="es-ES"/>
        </w:rPr>
      </w:pPr>
      <w:r w:rsidRPr="00CA5968">
        <w:rPr>
          <w:lang w:val="es-ES"/>
        </w:rPr>
        <w:t>–</w:t>
      </w:r>
      <w:r w:rsidRPr="00CA5968">
        <w:rPr>
          <w:lang w:val="es-ES"/>
        </w:rPr>
        <w:tab/>
      </w:r>
      <w:r w:rsidR="00F13C7F" w:rsidRPr="00CA5968">
        <w:rPr>
          <w:lang w:val="es-ES"/>
        </w:rPr>
        <w:t xml:space="preserve">Artículo </w:t>
      </w:r>
      <w:r w:rsidR="00FA161B" w:rsidRPr="00CA5968">
        <w:rPr>
          <w:lang w:val="es-ES"/>
        </w:rPr>
        <w:t>8</w:t>
      </w:r>
      <w:r w:rsidR="00F13C7F" w:rsidRPr="00CA5968">
        <w:rPr>
          <w:lang w:val="es-ES"/>
        </w:rPr>
        <w:tab/>
      </w:r>
      <w:r w:rsidR="00FA161B" w:rsidRPr="00CA5968">
        <w:rPr>
          <w:lang w:val="es-ES"/>
        </w:rPr>
        <w:t>Tasación y contabilidad</w:t>
      </w:r>
    </w:p>
    <w:p w14:paraId="597A376D" w14:textId="11752E8B" w:rsidR="00AE6A66" w:rsidRPr="00CA5968" w:rsidRDefault="00AE6A66" w:rsidP="00AE6A66">
      <w:pPr>
        <w:pStyle w:val="enumlev1"/>
        <w:rPr>
          <w:lang w:val="es-ES"/>
        </w:rPr>
      </w:pPr>
      <w:r w:rsidRPr="00CA5968">
        <w:rPr>
          <w:lang w:val="es-ES"/>
        </w:rPr>
        <w:t>–</w:t>
      </w:r>
      <w:r w:rsidRPr="00CA5968">
        <w:rPr>
          <w:lang w:val="es-ES"/>
        </w:rPr>
        <w:tab/>
      </w:r>
      <w:r w:rsidR="00FA161B" w:rsidRPr="00CA5968">
        <w:rPr>
          <w:lang w:val="es-ES"/>
        </w:rPr>
        <w:t>Apéndice 1</w:t>
      </w:r>
      <w:r w:rsidR="00F13C7F" w:rsidRPr="00CA5968">
        <w:rPr>
          <w:lang w:val="es-ES"/>
        </w:rPr>
        <w:tab/>
      </w:r>
      <w:r w:rsidR="00FA161B" w:rsidRPr="00CA5968">
        <w:rPr>
          <w:lang w:val="es-ES"/>
        </w:rPr>
        <w:t>Disposiciones generales relativas a la contabilidad</w:t>
      </w:r>
    </w:p>
    <w:p w14:paraId="4DE020C2" w14:textId="6BBC28B7" w:rsidR="00AE6A66" w:rsidRPr="00CA5968" w:rsidRDefault="003F54CC" w:rsidP="00AE6A66">
      <w:pPr>
        <w:rPr>
          <w:lang w:val="es-ES"/>
        </w:rPr>
      </w:pPr>
      <w:r w:rsidRPr="00CA5968">
        <w:rPr>
          <w:lang w:val="es-ES"/>
        </w:rPr>
        <w:t xml:space="preserve">La posición de la Federación de Rusia respecto de las disposiciones del RTI que han de examinarse en la </w:t>
      </w:r>
      <w:r w:rsidR="00FA161B" w:rsidRPr="00CA5968">
        <w:rPr>
          <w:lang w:val="es-ES"/>
        </w:rPr>
        <w:t>tercera</w:t>
      </w:r>
      <w:r w:rsidRPr="00CA5968">
        <w:rPr>
          <w:lang w:val="es-ES"/>
        </w:rPr>
        <w:t xml:space="preserve"> reunión del GE-RTI se detalla en el Cuadro 1 que se presenta más abajo.</w:t>
      </w:r>
    </w:p>
    <w:p w14:paraId="2A557E88" w14:textId="70EF48B9" w:rsidR="00AE6A66" w:rsidRPr="00CA5968" w:rsidRDefault="003F54CC" w:rsidP="00AE6A66">
      <w:pPr>
        <w:rPr>
          <w:lang w:val="es-ES"/>
        </w:rPr>
      </w:pPr>
      <w:r w:rsidRPr="00CA5968">
        <w:rPr>
          <w:lang w:val="es-ES"/>
        </w:rPr>
        <w:t>Cabe señalar que, en mucho</w:t>
      </w:r>
      <w:r w:rsidR="00FA7D0A" w:rsidRPr="00CA5968">
        <w:rPr>
          <w:lang w:val="es-ES"/>
        </w:rPr>
        <w:t>s</w:t>
      </w:r>
      <w:r w:rsidRPr="00CA5968">
        <w:rPr>
          <w:lang w:val="es-ES"/>
        </w:rPr>
        <w:t xml:space="preserve"> casos, el RTI de 1988 no ha permitido </w:t>
      </w:r>
      <w:r w:rsidR="00FA7D0A" w:rsidRPr="00CA5968">
        <w:rPr>
          <w:lang w:val="es-ES"/>
        </w:rPr>
        <w:t xml:space="preserve">responder a </w:t>
      </w:r>
      <w:r w:rsidRPr="00CA5968">
        <w:rPr>
          <w:lang w:val="es-ES"/>
        </w:rPr>
        <w:t xml:space="preserve">los cambios que se han producido en el ecosistema de las telecomunicaciones/TIC desde 1988, en particular la gama significativamente mayor de </w:t>
      </w:r>
      <w:r w:rsidR="00FA7D0A" w:rsidRPr="00CA5968">
        <w:rPr>
          <w:lang w:val="es-ES"/>
        </w:rPr>
        <w:t xml:space="preserve">las </w:t>
      </w:r>
      <w:r w:rsidRPr="00CA5968">
        <w:rPr>
          <w:lang w:val="es-ES"/>
        </w:rPr>
        <w:t xml:space="preserve">entidades que prestan servicios de telecomunicaciones internacionales, que va mucho más allá de las </w:t>
      </w:r>
      <w:r w:rsidR="003916DF" w:rsidRPr="00CA5968">
        <w:rPr>
          <w:lang w:val="es-ES"/>
        </w:rPr>
        <w:t>"</w:t>
      </w:r>
      <w:r w:rsidRPr="00CA5968">
        <w:rPr>
          <w:lang w:val="es-ES"/>
        </w:rPr>
        <w:t>empresas privadas de explotación reconocidas</w:t>
      </w:r>
      <w:r w:rsidR="003916DF" w:rsidRPr="00CA5968">
        <w:rPr>
          <w:lang w:val="es-ES"/>
        </w:rPr>
        <w:t>"</w:t>
      </w:r>
      <w:r w:rsidRPr="00CA5968">
        <w:rPr>
          <w:lang w:val="es-ES"/>
        </w:rPr>
        <w:t xml:space="preserve">. Además, el RTI de 1988 utiliza </w:t>
      </w:r>
      <w:r w:rsidR="00FA7D0A" w:rsidRPr="00CA5968">
        <w:rPr>
          <w:lang w:val="es-ES"/>
        </w:rPr>
        <w:t xml:space="preserve">una </w:t>
      </w:r>
      <w:r w:rsidRPr="00CA5968">
        <w:rPr>
          <w:lang w:val="es-ES"/>
        </w:rPr>
        <w:t xml:space="preserve">terminología </w:t>
      </w:r>
      <w:r w:rsidR="00FA7D0A" w:rsidRPr="00CA5968">
        <w:rPr>
          <w:lang w:val="es-ES"/>
        </w:rPr>
        <w:t>que no responde a la de la</w:t>
      </w:r>
      <w:r w:rsidR="00FA161B" w:rsidRPr="00CA5968">
        <w:rPr>
          <w:lang w:val="es-ES"/>
        </w:rPr>
        <w:t>s actuales disposiciones de la</w:t>
      </w:r>
      <w:r w:rsidR="00FA7D0A" w:rsidRPr="00CA5968">
        <w:rPr>
          <w:lang w:val="es-ES"/>
        </w:rPr>
        <w:t xml:space="preserve"> Constitución y el Convenio de la UIT, y términos anticuados que dan lugar a equivocaciones y errores en la aplicación del Reglamento.</w:t>
      </w:r>
    </w:p>
    <w:p w14:paraId="22F1022B" w14:textId="77777777" w:rsidR="00FA161B" w:rsidRPr="00CA5968" w:rsidRDefault="00FA7D0A" w:rsidP="00FA161B">
      <w:pPr>
        <w:rPr>
          <w:lang w:val="es-ES"/>
        </w:rPr>
      </w:pPr>
      <w:r w:rsidRPr="00CA5968">
        <w:rPr>
          <w:lang w:val="es-ES"/>
        </w:rPr>
        <w:t>Con el fin de perfeccionar aún más el RTI, sería útil incluir en el texto del Reglamento términos y/o disposiciones relativas</w:t>
      </w:r>
      <w:r w:rsidR="00FA161B" w:rsidRPr="00CA5968">
        <w:rPr>
          <w:lang w:val="es-ES"/>
        </w:rPr>
        <w:t xml:space="preserve"> a diferentes aspectos relacionados con el desarrollo, la aplicación y la utilización de las telecomunicaciones y las tecnologías de la información y las telecomunicaciones (telecomunicaciones/TIC). Estos aspectos podrían incluir, por ejemplo, las cuestiones de la reducción de la brecha digital y la utilización de las telecomunicaciones/TIC en situaciones de emergencia, incluidas las pandemias, los enfoques del servicio universal, la itinerancia y las comunicaciones electrónicas no solicitadas, así como las principales disposiciones de las </w:t>
      </w:r>
      <w:r w:rsidR="00FA161B" w:rsidRPr="00CA5968">
        <w:rPr>
          <w:lang w:val="es-ES"/>
        </w:rPr>
        <w:lastRenderedPageBreak/>
        <w:t>resoluciones correspondientes de la Conferencia de Plenipotenciarios, la Asamblea Mundial de Normalización de las Telecomunicaciones, la Asamblea de Radiocomunicaciones y la Conferencia Mundial de Desarrollo de las Telecomunicaciones.</w:t>
      </w:r>
    </w:p>
    <w:p w14:paraId="12ECDDAD" w14:textId="77777777" w:rsidR="00FA161B" w:rsidRPr="00CA5968" w:rsidRDefault="00FA161B" w:rsidP="00FA161B">
      <w:pPr>
        <w:rPr>
          <w:lang w:val="es-ES"/>
        </w:rPr>
      </w:pPr>
    </w:p>
    <w:p w14:paraId="09605091" w14:textId="77777777" w:rsidR="00D378F1" w:rsidRPr="00CA5968" w:rsidRDefault="00D378F1" w:rsidP="00D378F1">
      <w:pPr>
        <w:spacing w:before="0"/>
        <w:rPr>
          <w:sz w:val="18"/>
          <w:szCs w:val="14"/>
          <w:lang w:val="es-ES"/>
        </w:rPr>
      </w:pPr>
    </w:p>
    <w:p w14:paraId="3E091DBF" w14:textId="77777777" w:rsidR="00AE6A66" w:rsidRPr="00CA5968" w:rsidRDefault="00AE6A66" w:rsidP="00D92832">
      <w:pPr>
        <w:rPr>
          <w:lang w:val="es-ES"/>
        </w:rPr>
        <w:sectPr w:rsidR="00AE6A66" w:rsidRPr="00CA5968"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p w14:paraId="4B25BF04" w14:textId="54B735EB" w:rsidR="00AE6A66" w:rsidRPr="00CA5968" w:rsidRDefault="00057E10" w:rsidP="00181FE6">
      <w:pPr>
        <w:pStyle w:val="TableNo"/>
        <w:rPr>
          <w:lang w:val="es-ES"/>
        </w:rPr>
      </w:pPr>
      <w:bookmarkStart w:id="8" w:name="lt_pId025"/>
      <w:r w:rsidRPr="00CA5968">
        <w:rPr>
          <w:lang w:val="es-ES"/>
        </w:rPr>
        <w:lastRenderedPageBreak/>
        <w:t>Cuadro</w:t>
      </w:r>
      <w:r w:rsidR="00AE6A66" w:rsidRPr="00CA5968">
        <w:rPr>
          <w:lang w:val="es-ES"/>
        </w:rPr>
        <w:t xml:space="preserve"> 1</w:t>
      </w:r>
      <w:bookmarkEnd w:id="8"/>
    </w:p>
    <w:tbl>
      <w:tblPr>
        <w:tblStyle w:val="TableGrid"/>
        <w:tblW w:w="14460" w:type="dxa"/>
        <w:tblLayout w:type="fixed"/>
        <w:tblCellMar>
          <w:left w:w="14" w:type="dxa"/>
          <w:right w:w="14" w:type="dxa"/>
        </w:tblCellMar>
        <w:tblLook w:val="04A0" w:firstRow="1" w:lastRow="0" w:firstColumn="1" w:lastColumn="0" w:noHBand="0" w:noVBand="1"/>
      </w:tblPr>
      <w:tblGrid>
        <w:gridCol w:w="1130"/>
        <w:gridCol w:w="3547"/>
        <w:gridCol w:w="3601"/>
        <w:gridCol w:w="2341"/>
        <w:gridCol w:w="1981"/>
        <w:gridCol w:w="1860"/>
      </w:tblGrid>
      <w:tr w:rsidR="00CA5968" w:rsidRPr="00CA5968" w14:paraId="43A18DF4" w14:textId="77777777" w:rsidTr="00CA5968">
        <w:trPr>
          <w:tblHeader/>
        </w:trPr>
        <w:tc>
          <w:tcPr>
            <w:tcW w:w="1130" w:type="dxa"/>
            <w:tcBorders>
              <w:top w:val="single" w:sz="4" w:space="0" w:color="auto"/>
              <w:left w:val="single" w:sz="4" w:space="0" w:color="auto"/>
              <w:bottom w:val="single" w:sz="4" w:space="0" w:color="auto"/>
              <w:right w:val="single" w:sz="4" w:space="0" w:color="auto"/>
            </w:tcBorders>
            <w:vAlign w:val="center"/>
            <w:hideMark/>
          </w:tcPr>
          <w:p w14:paraId="2BCB501D" w14:textId="12FD1F06" w:rsidR="00CA5968" w:rsidRPr="00CA5968" w:rsidRDefault="00CA5968" w:rsidP="00CA5968">
            <w:pPr>
              <w:keepNext/>
              <w:tabs>
                <w:tab w:val="clear" w:pos="567"/>
                <w:tab w:val="left" w:pos="720"/>
              </w:tabs>
              <w:spacing w:before="20" w:after="20" w:line="216" w:lineRule="auto"/>
              <w:jc w:val="center"/>
              <w:rPr>
                <w:rFonts w:asciiTheme="minorHAnsi" w:hAnsiTheme="minorHAnsi" w:cstheme="minorHAnsi"/>
                <w:b/>
                <w:bCs/>
                <w:sz w:val="22"/>
                <w:highlight w:val="yellow"/>
                <w:lang w:val="es-ES"/>
              </w:rPr>
            </w:pPr>
            <w:r w:rsidRPr="00CA5968">
              <w:rPr>
                <w:b/>
                <w:bCs/>
                <w:lang w:val="es-ES" w:eastAsia="zh-CN"/>
              </w:rPr>
              <w:t>Artículo de 2012</w:t>
            </w:r>
          </w:p>
        </w:tc>
        <w:tc>
          <w:tcPr>
            <w:tcW w:w="3547" w:type="dxa"/>
            <w:tcBorders>
              <w:top w:val="single" w:sz="4" w:space="0" w:color="auto"/>
              <w:left w:val="single" w:sz="4" w:space="0" w:color="auto"/>
              <w:bottom w:val="single" w:sz="4" w:space="0" w:color="auto"/>
              <w:right w:val="single" w:sz="4" w:space="0" w:color="auto"/>
            </w:tcBorders>
            <w:vAlign w:val="center"/>
            <w:hideMark/>
          </w:tcPr>
          <w:p w14:paraId="31CD3B1B" w14:textId="5CBD9297" w:rsidR="00CA5968" w:rsidRPr="00CA5968" w:rsidRDefault="00CA5968" w:rsidP="00CA5968">
            <w:pPr>
              <w:keepNext/>
              <w:tabs>
                <w:tab w:val="clear" w:pos="567"/>
                <w:tab w:val="left" w:pos="720"/>
              </w:tabs>
              <w:spacing w:before="0"/>
              <w:ind w:right="130"/>
              <w:jc w:val="center"/>
              <w:rPr>
                <w:rFonts w:asciiTheme="minorHAnsi" w:hAnsiTheme="minorHAnsi" w:cstheme="minorHAnsi"/>
                <w:b/>
                <w:bCs/>
                <w:sz w:val="22"/>
                <w:highlight w:val="yellow"/>
                <w:lang w:val="es-ES"/>
              </w:rPr>
            </w:pPr>
            <w:r w:rsidRPr="00CA5968">
              <w:rPr>
                <w:b/>
                <w:bCs/>
                <w:lang w:val="es-ES" w:eastAsia="zh-CN"/>
              </w:rPr>
              <w:t>Párrafo y disposición</w:t>
            </w:r>
          </w:p>
        </w:tc>
        <w:tc>
          <w:tcPr>
            <w:tcW w:w="3601" w:type="dxa"/>
            <w:tcBorders>
              <w:top w:val="single" w:sz="4" w:space="0" w:color="auto"/>
              <w:left w:val="single" w:sz="4" w:space="0" w:color="auto"/>
              <w:bottom w:val="single" w:sz="4" w:space="0" w:color="auto"/>
              <w:right w:val="single" w:sz="4" w:space="0" w:color="auto"/>
            </w:tcBorders>
            <w:vAlign w:val="center"/>
            <w:hideMark/>
          </w:tcPr>
          <w:p w14:paraId="29615B18" w14:textId="71E4AE83" w:rsidR="00CA5968" w:rsidRPr="00CA5968" w:rsidRDefault="00CA5968" w:rsidP="00CA5968">
            <w:pPr>
              <w:keepNext/>
              <w:tabs>
                <w:tab w:val="clear" w:pos="567"/>
                <w:tab w:val="left" w:pos="720"/>
              </w:tabs>
              <w:spacing w:before="20" w:after="20" w:line="216" w:lineRule="auto"/>
              <w:ind w:left="-57" w:right="44"/>
              <w:jc w:val="center"/>
              <w:rPr>
                <w:rFonts w:asciiTheme="minorHAnsi" w:hAnsiTheme="minorHAnsi" w:cstheme="minorHAnsi"/>
                <w:b/>
                <w:bCs/>
                <w:sz w:val="22"/>
                <w:highlight w:val="yellow"/>
                <w:lang w:val="es-ES"/>
              </w:rPr>
            </w:pPr>
            <w:r w:rsidRPr="00CA5968">
              <w:rPr>
                <w:b/>
                <w:bCs/>
                <w:lang w:val="es-ES" w:eastAsia="zh-CN"/>
              </w:rPr>
              <w:t xml:space="preserve">Párrafo y disposición </w:t>
            </w:r>
            <w:r w:rsidRPr="00CA5968">
              <w:rPr>
                <w:b/>
                <w:bCs/>
                <w:lang w:val="es-ES" w:eastAsia="zh-CN"/>
              </w:rPr>
              <w:br/>
              <w:t>conexos de 1988</w:t>
            </w:r>
          </w:p>
        </w:tc>
        <w:tc>
          <w:tcPr>
            <w:tcW w:w="2341" w:type="dxa"/>
            <w:tcBorders>
              <w:top w:val="single" w:sz="4" w:space="0" w:color="auto"/>
              <w:left w:val="single" w:sz="4" w:space="0" w:color="auto"/>
              <w:bottom w:val="single" w:sz="4" w:space="0" w:color="auto"/>
              <w:right w:val="single" w:sz="4" w:space="0" w:color="auto"/>
            </w:tcBorders>
            <w:vAlign w:val="center"/>
            <w:hideMark/>
          </w:tcPr>
          <w:p w14:paraId="16F06ADB" w14:textId="5C878B30" w:rsidR="00CA5968" w:rsidRPr="00CA5968" w:rsidRDefault="00CA5968" w:rsidP="00CA5968">
            <w:pPr>
              <w:keepNext/>
              <w:tabs>
                <w:tab w:val="clear" w:pos="567"/>
                <w:tab w:val="left" w:pos="720"/>
              </w:tabs>
              <w:spacing w:before="20" w:after="20" w:line="216" w:lineRule="auto"/>
              <w:jc w:val="center"/>
              <w:rPr>
                <w:rFonts w:asciiTheme="minorHAnsi" w:hAnsiTheme="minorHAnsi" w:cstheme="minorHAnsi"/>
                <w:b/>
                <w:bCs/>
                <w:sz w:val="22"/>
                <w:highlight w:val="yellow"/>
                <w:lang w:val="es-ES"/>
              </w:rPr>
            </w:pPr>
            <w:r w:rsidRPr="00CA5968">
              <w:rPr>
                <w:b/>
                <w:bCs/>
                <w:lang w:val="es-ES" w:eastAsia="zh-CN"/>
              </w:rPr>
              <w:t xml:space="preserve">Aplicabilidad </w:t>
            </w:r>
            <w:r w:rsidRPr="00CA5968">
              <w:rPr>
                <w:b/>
                <w:bCs/>
                <w:lang w:val="es-ES" w:eastAsia="zh-CN"/>
              </w:rPr>
              <w:br/>
              <w:t xml:space="preserve">para fomentar </w:t>
            </w:r>
            <w:r w:rsidRPr="00CA5968">
              <w:rPr>
                <w:b/>
                <w:bCs/>
                <w:lang w:val="es-ES" w:eastAsia="zh-CN"/>
              </w:rPr>
              <w:br/>
              <w:t xml:space="preserve">la prestación y el desarrollo de redes </w:t>
            </w:r>
            <w:r w:rsidRPr="00CA5968">
              <w:rPr>
                <w:b/>
                <w:bCs/>
                <w:lang w:val="es-ES" w:eastAsia="zh-CN"/>
              </w:rPr>
              <w:br/>
              <w:t>y servicios</w:t>
            </w:r>
          </w:p>
        </w:tc>
        <w:tc>
          <w:tcPr>
            <w:tcW w:w="1981" w:type="dxa"/>
            <w:tcBorders>
              <w:top w:val="single" w:sz="4" w:space="0" w:color="auto"/>
              <w:left w:val="single" w:sz="4" w:space="0" w:color="auto"/>
              <w:bottom w:val="single" w:sz="4" w:space="0" w:color="auto"/>
              <w:right w:val="single" w:sz="4" w:space="0" w:color="auto"/>
            </w:tcBorders>
            <w:vAlign w:val="center"/>
            <w:hideMark/>
          </w:tcPr>
          <w:p w14:paraId="204023CF" w14:textId="59AA84D7" w:rsidR="00CA5968" w:rsidRPr="00CA5968" w:rsidRDefault="00CA5968" w:rsidP="00CA5968">
            <w:pPr>
              <w:keepNext/>
              <w:tabs>
                <w:tab w:val="clear" w:pos="567"/>
                <w:tab w:val="left" w:pos="720"/>
              </w:tabs>
              <w:spacing w:before="20" w:after="20" w:line="216" w:lineRule="auto"/>
              <w:jc w:val="center"/>
              <w:rPr>
                <w:rFonts w:asciiTheme="minorHAnsi" w:hAnsiTheme="minorHAnsi" w:cstheme="minorHAnsi"/>
                <w:b/>
                <w:bCs/>
                <w:sz w:val="22"/>
                <w:highlight w:val="yellow"/>
                <w:lang w:val="es-ES"/>
              </w:rPr>
            </w:pPr>
            <w:r w:rsidRPr="00CA5968">
              <w:rPr>
                <w:b/>
                <w:bCs/>
                <w:lang w:val="es-ES" w:eastAsia="zh-CN"/>
              </w:rPr>
              <w:t>Flexibilidad para adaptarse a las nuevas tendencias y a los problemas emergentes</w:t>
            </w:r>
          </w:p>
        </w:tc>
        <w:tc>
          <w:tcPr>
            <w:tcW w:w="1860" w:type="dxa"/>
            <w:tcBorders>
              <w:top w:val="single" w:sz="4" w:space="0" w:color="auto"/>
              <w:left w:val="single" w:sz="4" w:space="0" w:color="auto"/>
              <w:bottom w:val="single" w:sz="4" w:space="0" w:color="auto"/>
              <w:right w:val="single" w:sz="4" w:space="0" w:color="auto"/>
            </w:tcBorders>
            <w:vAlign w:val="center"/>
            <w:hideMark/>
          </w:tcPr>
          <w:p w14:paraId="57AA8447" w14:textId="7AD98031" w:rsidR="00CA5968" w:rsidRPr="00CA5968" w:rsidRDefault="00CA5968" w:rsidP="00CA5968">
            <w:pPr>
              <w:keepNext/>
              <w:tabs>
                <w:tab w:val="clear" w:pos="567"/>
                <w:tab w:val="clear" w:pos="1134"/>
                <w:tab w:val="clear" w:pos="1701"/>
                <w:tab w:val="clear" w:pos="2268"/>
                <w:tab w:val="clear" w:pos="2835"/>
                <w:tab w:val="left" w:pos="3119"/>
                <w:tab w:val="left" w:pos="3402"/>
                <w:tab w:val="left" w:pos="3686"/>
                <w:tab w:val="left" w:pos="3969"/>
              </w:tabs>
              <w:spacing w:before="20" w:after="20" w:line="216" w:lineRule="auto"/>
              <w:jc w:val="center"/>
              <w:rPr>
                <w:rFonts w:asciiTheme="minorHAnsi" w:hAnsiTheme="minorHAnsi" w:cstheme="minorHAnsi"/>
                <w:b/>
                <w:bCs/>
                <w:sz w:val="22"/>
                <w:highlight w:val="yellow"/>
                <w:lang w:val="es-ES"/>
              </w:rPr>
            </w:pPr>
            <w:r w:rsidRPr="00CA5968">
              <w:rPr>
                <w:b/>
                <w:bCs/>
                <w:lang w:val="es-ES" w:eastAsia="zh-CN"/>
              </w:rPr>
              <w:t>Resultado resumido</w:t>
            </w:r>
          </w:p>
        </w:tc>
      </w:tr>
      <w:tr w:rsidR="00CA5968" w:rsidRPr="00CA5968" w14:paraId="46F13AE3" w14:textId="77777777" w:rsidTr="00CA5968">
        <w:tc>
          <w:tcPr>
            <w:tcW w:w="1130" w:type="dxa"/>
            <w:vMerge w:val="restart"/>
            <w:tcBorders>
              <w:top w:val="single" w:sz="4" w:space="0" w:color="auto"/>
              <w:left w:val="single" w:sz="4" w:space="0" w:color="auto"/>
              <w:right w:val="single" w:sz="4" w:space="0" w:color="auto"/>
            </w:tcBorders>
            <w:textDirection w:val="btLr"/>
            <w:vAlign w:val="center"/>
            <w:hideMark/>
          </w:tcPr>
          <w:p w14:paraId="27CFB4A4" w14:textId="7EC6FDC4" w:rsidR="00CA5968" w:rsidRPr="00CA5968" w:rsidRDefault="00CA5968" w:rsidP="00CA5968">
            <w:pPr>
              <w:tabs>
                <w:tab w:val="clear" w:pos="567"/>
                <w:tab w:val="left" w:pos="720"/>
              </w:tabs>
              <w:spacing w:before="0"/>
              <w:ind w:left="113" w:right="113"/>
              <w:jc w:val="center"/>
              <w:rPr>
                <w:rFonts w:asciiTheme="minorHAnsi" w:hAnsiTheme="minorHAnsi" w:cstheme="minorHAnsi"/>
                <w:b/>
                <w:sz w:val="22"/>
                <w:lang w:val="es-ES"/>
              </w:rPr>
            </w:pPr>
            <w:r w:rsidRPr="00CA5968">
              <w:rPr>
                <w:lang w:val="es-ES"/>
              </w:rPr>
              <w:t>ARTÍCULO 5</w:t>
            </w:r>
            <w:r w:rsidRPr="00CA5968">
              <w:rPr>
                <w:rStyle w:val="href"/>
                <w:lang w:val="es-ES"/>
              </w:rPr>
              <w:br/>
            </w:r>
            <w:r w:rsidRPr="00CA5968">
              <w:rPr>
                <w:b/>
                <w:bCs/>
                <w:lang w:val="es-ES"/>
              </w:rPr>
              <w:t>Seguridad de la vida humana y prioridad</w:t>
            </w:r>
            <w:r>
              <w:rPr>
                <w:b/>
                <w:bCs/>
                <w:lang w:val="es-ES"/>
              </w:rPr>
              <w:t xml:space="preserve"> </w:t>
            </w:r>
            <w:r w:rsidRPr="00CA5968">
              <w:rPr>
                <w:b/>
                <w:bCs/>
                <w:lang w:val="es-ES"/>
              </w:rPr>
              <w:t>de las telecomunicaciones</w:t>
            </w:r>
          </w:p>
        </w:tc>
        <w:tc>
          <w:tcPr>
            <w:tcW w:w="3547" w:type="dxa"/>
            <w:tcBorders>
              <w:top w:val="single" w:sz="4" w:space="0" w:color="auto"/>
              <w:left w:val="single" w:sz="4" w:space="0" w:color="auto"/>
              <w:bottom w:val="single" w:sz="4" w:space="0" w:color="auto"/>
              <w:right w:val="single" w:sz="4" w:space="0" w:color="auto"/>
            </w:tcBorders>
            <w:hideMark/>
          </w:tcPr>
          <w:p w14:paraId="081716E6" w14:textId="77777777" w:rsidR="00CA5968" w:rsidRPr="00CA5968" w:rsidRDefault="00CA5968" w:rsidP="00CA5968">
            <w:pPr>
              <w:tabs>
                <w:tab w:val="clear" w:pos="1134"/>
              </w:tabs>
              <w:spacing w:before="280"/>
            </w:pPr>
            <w:r w:rsidRPr="00CA5968">
              <w:rPr>
                <w:rStyle w:val="Artdef"/>
                <w:rFonts w:cs="Times New Roman"/>
                <w:lang w:val="es-ES"/>
              </w:rPr>
              <w:t>45</w:t>
            </w:r>
            <w:r w:rsidRPr="00CA5968">
              <w:rPr>
                <w:rStyle w:val="Artdef"/>
                <w:rFonts w:cs="Times New Roman"/>
                <w:lang w:val="es-ES"/>
              </w:rPr>
              <w:tab/>
            </w:r>
            <w:r w:rsidRPr="00CA5968">
              <w:t>5.1</w:t>
            </w:r>
            <w:r w:rsidRPr="00CA5968">
              <w:tab/>
              <w:t>Las telecomunicaciones relacionadas con la seguridad de la vida humana, como las telecomunicaciones de socorro, tendrán derecho absoluto a la transmisión y gozarán, en la medida en que sea técnicamente viable, de prioridad absoluta sobre todas las demás telecomunicaciones, conforme a los artículos pertinentes de la Constitución y el Convenio y teniendo debidamente en cuenta las Recomendaciones UIT-T pertinentes.</w:t>
            </w:r>
          </w:p>
          <w:p w14:paraId="6651B9BD" w14:textId="78D61AF1" w:rsidR="00CA5968" w:rsidRPr="00CA5968" w:rsidRDefault="00CA5968" w:rsidP="00CA5968">
            <w:pPr>
              <w:tabs>
                <w:tab w:val="clear" w:pos="567"/>
                <w:tab w:val="left" w:pos="720"/>
              </w:tabs>
              <w:overflowPunct/>
              <w:autoSpaceDE/>
              <w:adjustRightInd/>
              <w:spacing w:before="0"/>
              <w:ind w:right="130"/>
              <w:rPr>
                <w:rFonts w:asciiTheme="minorHAnsi" w:hAnsiTheme="minorHAnsi" w:cstheme="minorHAnsi"/>
                <w:sz w:val="22"/>
                <w:lang w:val="es-ES"/>
              </w:rPr>
            </w:pPr>
          </w:p>
        </w:tc>
        <w:tc>
          <w:tcPr>
            <w:tcW w:w="3601" w:type="dxa"/>
            <w:tcBorders>
              <w:top w:val="single" w:sz="4" w:space="0" w:color="auto"/>
              <w:left w:val="single" w:sz="4" w:space="0" w:color="auto"/>
              <w:bottom w:val="single" w:sz="4" w:space="0" w:color="auto"/>
              <w:right w:val="single" w:sz="4" w:space="0" w:color="auto"/>
            </w:tcBorders>
            <w:hideMark/>
          </w:tcPr>
          <w:p w14:paraId="684F7068" w14:textId="0FEF4213" w:rsidR="00CA5968" w:rsidRPr="00CA5968" w:rsidRDefault="00CA5968" w:rsidP="00CA5968">
            <w:pPr>
              <w:tabs>
                <w:tab w:val="clear" w:pos="567"/>
                <w:tab w:val="left" w:pos="720"/>
              </w:tabs>
              <w:spacing w:before="0"/>
              <w:ind w:right="44"/>
              <w:rPr>
                <w:rFonts w:asciiTheme="minorHAnsi" w:hAnsiTheme="minorHAnsi" w:cstheme="minorHAnsi"/>
                <w:sz w:val="22"/>
                <w:lang w:val="es-ES"/>
              </w:rPr>
            </w:pPr>
            <w:r w:rsidRPr="00CA5968">
              <w:rPr>
                <w:rStyle w:val="Artdef"/>
                <w:lang w:val="es-ES"/>
              </w:rPr>
              <w:t>39</w:t>
            </w:r>
            <w:r w:rsidRPr="00CA5968">
              <w:rPr>
                <w:lang w:val="es-ES"/>
              </w:rPr>
              <w:tab/>
              <w:t>5.1</w:t>
            </w:r>
            <w:r w:rsidRPr="00CA5968">
              <w:rPr>
                <w:lang w:val="es-ES"/>
              </w:rPr>
              <w:tab/>
            </w:r>
            <w:r w:rsidR="00E61738" w:rsidRPr="00E61738">
              <w:rPr>
                <w:lang w:val="es-ES"/>
              </w:rPr>
              <w:t>Las telecomunicaciones relacionadas con la seguridad de la vida humana, como las telecomunicaciones de socorro, tendrán derecho absoluto a la transmisión y gozarán, en la medida en que sea técnicamente viable, de prioridad absoluta sobre todas las demás telecomunicaciones, conforme a los artículos pertinentes del Convenio y teniendo debidamente en cuenta las Recomendaciones pertinentes del CCITT</w:t>
            </w:r>
            <w:r w:rsidRPr="00CA5968">
              <w:rPr>
                <w:lang w:val="es-ES"/>
              </w:rPr>
              <w:t>.</w:t>
            </w:r>
          </w:p>
        </w:tc>
        <w:tc>
          <w:tcPr>
            <w:tcW w:w="2341" w:type="dxa"/>
            <w:tcBorders>
              <w:top w:val="single" w:sz="4" w:space="0" w:color="auto"/>
              <w:left w:val="single" w:sz="4" w:space="0" w:color="auto"/>
              <w:bottom w:val="single" w:sz="4" w:space="0" w:color="auto"/>
              <w:right w:val="single" w:sz="4" w:space="0" w:color="auto"/>
            </w:tcBorders>
          </w:tcPr>
          <w:p w14:paraId="4A984370" w14:textId="759AA5AC" w:rsidR="00CA5968" w:rsidRPr="00CA5968" w:rsidRDefault="00AA6BF7" w:rsidP="00CA5968">
            <w:pPr>
              <w:tabs>
                <w:tab w:val="left" w:pos="284"/>
                <w:tab w:val="left" w:pos="851"/>
                <w:tab w:val="left" w:pos="1418"/>
                <w:tab w:val="left" w:pos="1985"/>
                <w:tab w:val="left" w:pos="2552"/>
                <w:tab w:val="left" w:pos="3119"/>
                <w:tab w:val="left" w:pos="3402"/>
                <w:tab w:val="left" w:pos="3686"/>
                <w:tab w:val="left" w:pos="3969"/>
              </w:tabs>
              <w:spacing w:before="40" w:after="40"/>
              <w:rPr>
                <w:sz w:val="20"/>
                <w:lang w:val="es-ES"/>
              </w:rPr>
            </w:pPr>
            <w:r>
              <w:rPr>
                <w:rFonts w:asciiTheme="minorHAnsi" w:hAnsiTheme="minorHAnsi" w:cstheme="minorHAnsi"/>
                <w:bCs/>
                <w:sz w:val="22"/>
                <w:lang w:val="es-ES"/>
              </w:rPr>
              <w:t>La disposición es aplicable para fomentar el suministro y el desarrollo de redes y servicios</w:t>
            </w:r>
            <w:r w:rsidR="00FF0DF6">
              <w:rPr>
                <w:rFonts w:asciiTheme="minorHAnsi" w:hAnsiTheme="minorHAnsi" w:cstheme="minorHAnsi"/>
                <w:bCs/>
                <w:sz w:val="22"/>
                <w:lang w:val="es-ES"/>
              </w:rPr>
              <w:t>.</w:t>
            </w:r>
          </w:p>
        </w:tc>
        <w:tc>
          <w:tcPr>
            <w:tcW w:w="1981" w:type="dxa"/>
            <w:tcBorders>
              <w:top w:val="single" w:sz="4" w:space="0" w:color="auto"/>
              <w:left w:val="single" w:sz="4" w:space="0" w:color="auto"/>
              <w:bottom w:val="single" w:sz="4" w:space="0" w:color="auto"/>
              <w:right w:val="single" w:sz="4" w:space="0" w:color="auto"/>
            </w:tcBorders>
            <w:hideMark/>
          </w:tcPr>
          <w:p w14:paraId="4E5FEA9E" w14:textId="48D2B896" w:rsidR="00CA5968" w:rsidRPr="00CA5968" w:rsidRDefault="00AA6BF7" w:rsidP="00CA5968">
            <w:pPr>
              <w:tabs>
                <w:tab w:val="clear" w:pos="567"/>
                <w:tab w:val="left" w:pos="720"/>
              </w:tabs>
              <w:spacing w:before="0"/>
              <w:rPr>
                <w:rFonts w:asciiTheme="minorHAnsi" w:hAnsiTheme="minorHAnsi" w:cstheme="minorHAnsi"/>
                <w:bCs/>
                <w:sz w:val="22"/>
                <w:lang w:val="es-ES"/>
              </w:rPr>
            </w:pPr>
            <w:r>
              <w:rPr>
                <w:rFonts w:asciiTheme="minorHAnsi" w:hAnsiTheme="minorHAnsi" w:cstheme="minorHAnsi"/>
                <w:bCs/>
                <w:sz w:val="22"/>
                <w:lang w:val="es-ES"/>
              </w:rPr>
              <w:t>Esta disposición garantiza la flexibilidad necesaria para dar cabida a nuevas tendencias y cuestiones emergentes</w:t>
            </w:r>
            <w:r w:rsidR="00FF0DF6">
              <w:rPr>
                <w:rFonts w:asciiTheme="minorHAnsi" w:hAnsiTheme="minorHAnsi" w:cstheme="minorHAnsi"/>
                <w:bCs/>
                <w:sz w:val="22"/>
                <w:lang w:val="es-ES"/>
              </w:rPr>
              <w:t>.</w:t>
            </w:r>
          </w:p>
        </w:tc>
        <w:tc>
          <w:tcPr>
            <w:tcW w:w="1860" w:type="dxa"/>
            <w:tcBorders>
              <w:top w:val="single" w:sz="4" w:space="0" w:color="auto"/>
              <w:left w:val="single" w:sz="4" w:space="0" w:color="auto"/>
              <w:bottom w:val="single" w:sz="4" w:space="0" w:color="auto"/>
              <w:right w:val="single" w:sz="4" w:space="0" w:color="auto"/>
            </w:tcBorders>
            <w:hideMark/>
          </w:tcPr>
          <w:p w14:paraId="50B87B73" w14:textId="0EEF6FB2" w:rsidR="00CA5968" w:rsidRPr="00CA5968" w:rsidRDefault="00AA6BF7" w:rsidP="002A1B82">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lang w:val="es-ES"/>
              </w:rPr>
            </w:pPr>
            <w:r>
              <w:rPr>
                <w:rFonts w:asciiTheme="minorHAnsi" w:hAnsiTheme="minorHAnsi" w:cstheme="minorHAnsi"/>
                <w:bCs/>
                <w:sz w:val="22"/>
                <w:lang w:val="es-ES"/>
              </w:rPr>
              <w:t>La disposición no requiere modificación, ya que es aplicable y flexible</w:t>
            </w:r>
            <w:r w:rsidR="00CA5968" w:rsidRPr="00CA5968">
              <w:rPr>
                <w:rFonts w:asciiTheme="minorHAnsi" w:hAnsiTheme="minorHAnsi" w:cstheme="minorHAnsi"/>
                <w:bCs/>
                <w:sz w:val="22"/>
                <w:lang w:val="es-ES"/>
              </w:rPr>
              <w:t>.</w:t>
            </w:r>
          </w:p>
          <w:p w14:paraId="5064D2A1" w14:textId="33967F37" w:rsidR="00CA5968" w:rsidRPr="00CA5968" w:rsidRDefault="00B07EBE" w:rsidP="002A1B82">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lang w:val="es-ES"/>
              </w:rPr>
            </w:pPr>
            <w:r>
              <w:rPr>
                <w:rFonts w:asciiTheme="minorHAnsi" w:hAnsiTheme="minorHAnsi" w:cstheme="minorHAnsi"/>
                <w:bCs/>
                <w:sz w:val="22"/>
                <w:lang w:val="es-ES"/>
              </w:rPr>
              <w:t>Parece apropiado sustituir la referencia a las Recomendaciones del UIT-T con una referencia a las Recomendaciones de la UIT ya que se utilizan telecomunicaciones de todo tipo para la transmisión de tales mensajes.</w:t>
            </w:r>
          </w:p>
        </w:tc>
      </w:tr>
      <w:tr w:rsidR="00CA5968" w:rsidRPr="00CA5968" w14:paraId="17CD12B9" w14:textId="77777777" w:rsidTr="00CA5968">
        <w:tc>
          <w:tcPr>
            <w:tcW w:w="1130" w:type="dxa"/>
            <w:vMerge/>
            <w:tcBorders>
              <w:left w:val="single" w:sz="4" w:space="0" w:color="auto"/>
              <w:right w:val="single" w:sz="4" w:space="0" w:color="auto"/>
            </w:tcBorders>
            <w:vAlign w:val="center"/>
            <w:hideMark/>
          </w:tcPr>
          <w:p w14:paraId="2F6CEC7C" w14:textId="77777777" w:rsidR="00CA5968" w:rsidRPr="00CA5968"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b/>
                <w:sz w:val="22"/>
                <w:lang w:val="es-ES"/>
              </w:rPr>
            </w:pPr>
          </w:p>
        </w:tc>
        <w:tc>
          <w:tcPr>
            <w:tcW w:w="3547" w:type="dxa"/>
            <w:tcBorders>
              <w:top w:val="single" w:sz="4" w:space="0" w:color="auto"/>
              <w:left w:val="single" w:sz="4" w:space="0" w:color="auto"/>
              <w:bottom w:val="single" w:sz="4" w:space="0" w:color="auto"/>
              <w:right w:val="single" w:sz="4" w:space="0" w:color="auto"/>
            </w:tcBorders>
            <w:hideMark/>
          </w:tcPr>
          <w:p w14:paraId="00B9189C" w14:textId="26DFCCD4" w:rsidR="00CA5968" w:rsidRPr="00CA5968" w:rsidRDefault="00CA5968" w:rsidP="00CA5968">
            <w:pPr>
              <w:tabs>
                <w:tab w:val="clear" w:pos="567"/>
                <w:tab w:val="left" w:pos="720"/>
              </w:tabs>
              <w:overflowPunct/>
              <w:autoSpaceDE/>
              <w:adjustRightInd/>
              <w:spacing w:before="0"/>
              <w:ind w:right="130"/>
              <w:rPr>
                <w:rFonts w:asciiTheme="minorHAnsi" w:hAnsiTheme="minorHAnsi" w:cstheme="minorHAnsi"/>
                <w:sz w:val="22"/>
                <w:lang w:val="es-ES"/>
              </w:rPr>
            </w:pPr>
            <w:r w:rsidRPr="00CA5968">
              <w:rPr>
                <w:rStyle w:val="Artdef"/>
                <w:rFonts w:cs="Times New Roman"/>
                <w:lang w:val="es-ES"/>
              </w:rPr>
              <w:t>46</w:t>
            </w:r>
            <w:r w:rsidRPr="00CA5968">
              <w:rPr>
                <w:rStyle w:val="Artdef"/>
                <w:rFonts w:cs="Times New Roman"/>
                <w:lang w:val="es-ES"/>
              </w:rPr>
              <w:tab/>
            </w:r>
            <w:r w:rsidRPr="00CA5968">
              <w:rPr>
                <w:rFonts w:eastAsia="Times New Roman" w:cs="Times New Roman"/>
                <w:szCs w:val="20"/>
              </w:rPr>
              <w:t>5.2</w:t>
            </w:r>
            <w:r w:rsidRPr="00CA5968">
              <w:rPr>
                <w:rFonts w:eastAsia="Times New Roman" w:cs="Times New Roman"/>
                <w:szCs w:val="20"/>
              </w:rPr>
              <w:tab/>
              <w:t xml:space="preserve">Las telecomunicaciones de Estado, incluidas las relativas a la aplicación de ciertas disposiciones de la Carta de las Naciones Unidas, gozarán, en la medida en que sea técnicamente viable, de un derecho prioritario sobre las telecomunicaciones distintas de </w:t>
            </w:r>
            <w:r w:rsidRPr="00CA5968">
              <w:rPr>
                <w:rFonts w:eastAsia="Times New Roman" w:cs="Times New Roman"/>
                <w:szCs w:val="20"/>
              </w:rPr>
              <w:lastRenderedPageBreak/>
              <w:t xml:space="preserve">las mencionadas en el número 39 (5.1) </w:t>
            </w:r>
            <w:r w:rsidRPr="00CA5968">
              <w:rPr>
                <w:rFonts w:eastAsia="Times New Roman" w:cs="Times New Roman"/>
                <w:i/>
                <w:iCs/>
                <w:szCs w:val="20"/>
              </w:rPr>
              <w:t>supra</w:t>
            </w:r>
            <w:r w:rsidRPr="00CA5968">
              <w:rPr>
                <w:rFonts w:eastAsia="Times New Roman" w:cs="Times New Roman"/>
                <w:szCs w:val="20"/>
              </w:rPr>
              <w:t>, conforme a las disposiciones pertinentes de la Constitución y el Convenio y teniendo debidamente en cuenta las Recomendaciones UIT-T pertinentes.</w:t>
            </w:r>
          </w:p>
        </w:tc>
        <w:tc>
          <w:tcPr>
            <w:tcW w:w="3601" w:type="dxa"/>
            <w:tcBorders>
              <w:top w:val="single" w:sz="4" w:space="0" w:color="auto"/>
              <w:left w:val="single" w:sz="4" w:space="0" w:color="auto"/>
              <w:bottom w:val="single" w:sz="4" w:space="0" w:color="auto"/>
              <w:right w:val="single" w:sz="4" w:space="0" w:color="auto"/>
            </w:tcBorders>
          </w:tcPr>
          <w:p w14:paraId="57F1B7B1" w14:textId="7635A329" w:rsidR="00CA5968" w:rsidRPr="00CA5968" w:rsidRDefault="00CA5968" w:rsidP="00CA5968">
            <w:pPr>
              <w:tabs>
                <w:tab w:val="clear" w:pos="567"/>
                <w:tab w:val="left" w:pos="720"/>
              </w:tabs>
              <w:spacing w:before="0"/>
              <w:ind w:right="44"/>
              <w:rPr>
                <w:rFonts w:asciiTheme="minorHAnsi" w:hAnsiTheme="minorHAnsi"/>
                <w:bCs/>
                <w:sz w:val="22"/>
                <w:lang w:val="es-ES"/>
              </w:rPr>
            </w:pPr>
            <w:r w:rsidRPr="00CA5968">
              <w:rPr>
                <w:rStyle w:val="Artdef"/>
                <w:lang w:val="es-ES"/>
              </w:rPr>
              <w:lastRenderedPageBreak/>
              <w:t>40</w:t>
            </w:r>
            <w:r w:rsidRPr="00CA5968">
              <w:rPr>
                <w:lang w:val="es-ES"/>
              </w:rPr>
              <w:tab/>
              <w:t>5.2</w:t>
            </w:r>
            <w:r w:rsidRPr="00CA5968">
              <w:rPr>
                <w:lang w:val="es-ES"/>
              </w:rPr>
              <w:tab/>
            </w:r>
            <w:r w:rsidR="00E61738" w:rsidRPr="00E61738">
              <w:rPr>
                <w:lang w:val="es-ES"/>
              </w:rPr>
              <w:t xml:space="preserve">Las telecomunicaciones de Estado, comprendidas las relativas a la aplicación de ciertas disposiciones de la Carta de las Naciones Unidas, gozarán, en la medida en que sea técnicamente viable, de un derecho prioritario sobre las telecomunicaciones distintas de las mencionadas en el </w:t>
            </w:r>
            <w:r w:rsidR="00E61738" w:rsidRPr="00E61738">
              <w:rPr>
                <w:lang w:val="es-ES"/>
              </w:rPr>
              <w:lastRenderedPageBreak/>
              <w:t>número 39, conforme a las disposiciones pertinentes del Convenio y teniendo debidamente en cuenta las Recomendaciones pertinentes del CCITT</w:t>
            </w:r>
            <w:r w:rsidRPr="00CA5968">
              <w:rPr>
                <w:lang w:val="es-ES"/>
              </w:rPr>
              <w:t>.</w:t>
            </w:r>
          </w:p>
        </w:tc>
        <w:tc>
          <w:tcPr>
            <w:tcW w:w="2341" w:type="dxa"/>
            <w:tcBorders>
              <w:top w:val="single" w:sz="4" w:space="0" w:color="auto"/>
              <w:left w:val="single" w:sz="4" w:space="0" w:color="auto"/>
              <w:bottom w:val="single" w:sz="4" w:space="0" w:color="auto"/>
              <w:right w:val="single" w:sz="4" w:space="0" w:color="auto"/>
            </w:tcBorders>
            <w:hideMark/>
          </w:tcPr>
          <w:p w14:paraId="6F20E2C8" w14:textId="1382A80A" w:rsidR="00CA5968" w:rsidRPr="00CA5968" w:rsidRDefault="00AA6BF7" w:rsidP="00CA5968">
            <w:pPr>
              <w:tabs>
                <w:tab w:val="clear" w:pos="567"/>
                <w:tab w:val="left" w:pos="720"/>
              </w:tabs>
              <w:spacing w:before="0"/>
              <w:rPr>
                <w:rFonts w:asciiTheme="minorHAnsi" w:hAnsiTheme="minorHAnsi"/>
                <w:bCs/>
                <w:sz w:val="22"/>
                <w:lang w:val="es-ES"/>
              </w:rPr>
            </w:pPr>
            <w:r>
              <w:rPr>
                <w:rFonts w:asciiTheme="minorHAnsi" w:hAnsiTheme="minorHAnsi" w:cstheme="minorHAnsi"/>
                <w:bCs/>
                <w:sz w:val="22"/>
                <w:lang w:val="es-ES"/>
              </w:rPr>
              <w:lastRenderedPageBreak/>
              <w:t>La disposición es aplicable para fomentar el suministro y el desarrollo de redes y servicios</w:t>
            </w:r>
            <w:r w:rsidR="00356713">
              <w:rPr>
                <w:rFonts w:asciiTheme="minorHAnsi" w:hAnsiTheme="minorHAnsi" w:cstheme="minorHAnsi"/>
                <w:bCs/>
                <w:sz w:val="22"/>
                <w:lang w:val="es-ES"/>
              </w:rPr>
              <w:t>.</w:t>
            </w:r>
          </w:p>
          <w:p w14:paraId="5BA90405" w14:textId="11831083" w:rsidR="00CA5968" w:rsidRPr="00CA5968" w:rsidRDefault="00356713" w:rsidP="00CA5968">
            <w:pPr>
              <w:tabs>
                <w:tab w:val="clear" w:pos="567"/>
                <w:tab w:val="left" w:pos="720"/>
              </w:tabs>
              <w:spacing w:before="0"/>
              <w:rPr>
                <w:rFonts w:asciiTheme="minorHAnsi" w:hAnsiTheme="minorHAnsi"/>
                <w:bCs/>
                <w:sz w:val="22"/>
                <w:lang w:val="es-ES"/>
              </w:rPr>
            </w:pPr>
            <w:r>
              <w:rPr>
                <w:rFonts w:asciiTheme="minorHAnsi" w:hAnsiTheme="minorHAnsi"/>
                <w:bCs/>
                <w:sz w:val="22"/>
                <w:lang w:val="es-ES"/>
              </w:rPr>
              <w:t>El núm.</w:t>
            </w:r>
            <w:r w:rsidR="00CA5968" w:rsidRPr="00CA5968">
              <w:rPr>
                <w:rFonts w:asciiTheme="minorHAnsi" w:hAnsiTheme="minorHAnsi"/>
                <w:bCs/>
                <w:sz w:val="22"/>
                <w:lang w:val="es-ES"/>
              </w:rPr>
              <w:t xml:space="preserve"> 40 </w:t>
            </w:r>
            <w:r>
              <w:rPr>
                <w:rFonts w:asciiTheme="minorHAnsi" w:hAnsiTheme="minorHAnsi"/>
                <w:bCs/>
                <w:sz w:val="22"/>
                <w:lang w:val="es-ES"/>
              </w:rPr>
              <w:t>del RTI de</w:t>
            </w:r>
            <w:r w:rsidR="00CA5968" w:rsidRPr="00CA5968">
              <w:rPr>
                <w:rFonts w:asciiTheme="minorHAnsi" w:hAnsiTheme="minorHAnsi"/>
                <w:bCs/>
                <w:sz w:val="22"/>
                <w:lang w:val="es-ES"/>
              </w:rPr>
              <w:t xml:space="preserve"> 1988 </w:t>
            </w:r>
            <w:r>
              <w:rPr>
                <w:rFonts w:asciiTheme="minorHAnsi" w:hAnsiTheme="minorHAnsi"/>
                <w:bCs/>
                <w:sz w:val="22"/>
                <w:lang w:val="es-ES"/>
              </w:rPr>
              <w:t>incluye una referencia obsoleta al Convenio.</w:t>
            </w:r>
          </w:p>
        </w:tc>
        <w:tc>
          <w:tcPr>
            <w:tcW w:w="1981" w:type="dxa"/>
            <w:tcBorders>
              <w:top w:val="single" w:sz="4" w:space="0" w:color="auto"/>
              <w:left w:val="single" w:sz="4" w:space="0" w:color="auto"/>
              <w:bottom w:val="single" w:sz="4" w:space="0" w:color="auto"/>
              <w:right w:val="single" w:sz="4" w:space="0" w:color="auto"/>
            </w:tcBorders>
            <w:hideMark/>
          </w:tcPr>
          <w:p w14:paraId="7E0C2D46" w14:textId="73F22603" w:rsidR="00CA5968" w:rsidRPr="00CA5968" w:rsidRDefault="00AA6BF7" w:rsidP="00CA5968">
            <w:pPr>
              <w:tabs>
                <w:tab w:val="clear" w:pos="567"/>
                <w:tab w:val="left" w:pos="720"/>
              </w:tabs>
              <w:spacing w:before="0"/>
              <w:rPr>
                <w:rFonts w:asciiTheme="minorHAnsi" w:hAnsiTheme="minorHAnsi"/>
                <w:bCs/>
                <w:sz w:val="22"/>
                <w:lang w:val="es-ES"/>
              </w:rPr>
            </w:pPr>
            <w:r>
              <w:rPr>
                <w:rFonts w:asciiTheme="minorHAnsi" w:hAnsiTheme="minorHAnsi" w:cstheme="minorHAnsi"/>
                <w:bCs/>
                <w:sz w:val="22"/>
                <w:lang w:val="es-ES"/>
              </w:rPr>
              <w:t>Esta disposición garantiza la flexibilidad necesaria para dar cabida a nuevas tendencias y cuestiones emergentes</w:t>
            </w:r>
            <w:r w:rsidR="00356713">
              <w:rPr>
                <w:rFonts w:asciiTheme="minorHAnsi" w:hAnsiTheme="minorHAnsi" w:cstheme="minorHAnsi"/>
                <w:bCs/>
                <w:sz w:val="22"/>
                <w:lang w:val="es-ES"/>
              </w:rPr>
              <w:t>.</w:t>
            </w:r>
          </w:p>
          <w:p w14:paraId="3431C121" w14:textId="6D91A579" w:rsidR="00CA5968" w:rsidRPr="00CA5968" w:rsidRDefault="00356713" w:rsidP="00CA5968">
            <w:pPr>
              <w:tabs>
                <w:tab w:val="clear" w:pos="567"/>
                <w:tab w:val="left" w:pos="720"/>
              </w:tabs>
              <w:spacing w:before="0"/>
              <w:rPr>
                <w:rFonts w:asciiTheme="minorHAnsi" w:hAnsiTheme="minorHAnsi"/>
                <w:bCs/>
                <w:sz w:val="22"/>
                <w:lang w:val="es-ES"/>
              </w:rPr>
            </w:pPr>
            <w:r>
              <w:rPr>
                <w:rFonts w:asciiTheme="minorHAnsi" w:hAnsiTheme="minorHAnsi"/>
                <w:bCs/>
                <w:sz w:val="22"/>
                <w:lang w:val="es-ES"/>
              </w:rPr>
              <w:t>El núm.</w:t>
            </w:r>
            <w:r w:rsidRPr="00CA5968">
              <w:rPr>
                <w:rFonts w:asciiTheme="minorHAnsi" w:hAnsiTheme="minorHAnsi"/>
                <w:bCs/>
                <w:sz w:val="22"/>
                <w:lang w:val="es-ES"/>
              </w:rPr>
              <w:t xml:space="preserve"> 40 </w:t>
            </w:r>
            <w:r>
              <w:rPr>
                <w:rFonts w:asciiTheme="minorHAnsi" w:hAnsiTheme="minorHAnsi"/>
                <w:bCs/>
                <w:sz w:val="22"/>
                <w:lang w:val="es-ES"/>
              </w:rPr>
              <w:t>del RTI de</w:t>
            </w:r>
            <w:r w:rsidRPr="00CA5968">
              <w:rPr>
                <w:rFonts w:asciiTheme="minorHAnsi" w:hAnsiTheme="minorHAnsi"/>
                <w:bCs/>
                <w:sz w:val="22"/>
                <w:lang w:val="es-ES"/>
              </w:rPr>
              <w:t xml:space="preserve"> 1988 </w:t>
            </w:r>
            <w:r>
              <w:rPr>
                <w:rFonts w:asciiTheme="minorHAnsi" w:hAnsiTheme="minorHAnsi"/>
                <w:bCs/>
                <w:sz w:val="22"/>
                <w:lang w:val="es-ES"/>
              </w:rPr>
              <w:t xml:space="preserve">incluye una </w:t>
            </w:r>
            <w:r>
              <w:rPr>
                <w:rFonts w:asciiTheme="minorHAnsi" w:hAnsiTheme="minorHAnsi"/>
                <w:bCs/>
                <w:sz w:val="22"/>
                <w:lang w:val="es-ES"/>
              </w:rPr>
              <w:lastRenderedPageBreak/>
              <w:t>referencia obsoleta al Convenio.</w:t>
            </w:r>
          </w:p>
        </w:tc>
        <w:tc>
          <w:tcPr>
            <w:tcW w:w="1860" w:type="dxa"/>
            <w:tcBorders>
              <w:top w:val="single" w:sz="4" w:space="0" w:color="auto"/>
              <w:left w:val="single" w:sz="4" w:space="0" w:color="auto"/>
              <w:bottom w:val="single" w:sz="4" w:space="0" w:color="auto"/>
              <w:right w:val="single" w:sz="4" w:space="0" w:color="auto"/>
            </w:tcBorders>
          </w:tcPr>
          <w:p w14:paraId="73CADBA3" w14:textId="1E8BD508" w:rsidR="00CA5968" w:rsidRPr="00CA5968" w:rsidRDefault="00AA6BF7" w:rsidP="002A1B82">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lang w:val="es-ES"/>
              </w:rPr>
            </w:pPr>
            <w:r>
              <w:rPr>
                <w:rFonts w:asciiTheme="minorHAnsi" w:hAnsiTheme="minorHAnsi" w:cstheme="minorHAnsi"/>
                <w:bCs/>
                <w:sz w:val="22"/>
                <w:lang w:val="es-ES"/>
              </w:rPr>
              <w:lastRenderedPageBreak/>
              <w:t>La disposición no requiere modificación, ya que es aplicable y flexible</w:t>
            </w:r>
            <w:r w:rsidR="00CA5968" w:rsidRPr="00CA5968">
              <w:rPr>
                <w:rFonts w:asciiTheme="minorHAnsi" w:hAnsiTheme="minorHAnsi" w:cstheme="minorHAnsi"/>
                <w:bCs/>
                <w:sz w:val="22"/>
                <w:lang w:val="es-ES"/>
              </w:rPr>
              <w:t>.</w:t>
            </w:r>
          </w:p>
          <w:p w14:paraId="4858F573" w14:textId="3A8EE09D" w:rsidR="00CA5968" w:rsidRPr="00CA5968" w:rsidRDefault="00356713" w:rsidP="00CA5968">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bCs/>
                <w:sz w:val="22"/>
                <w:lang w:val="es-ES"/>
              </w:rPr>
            </w:pPr>
            <w:r>
              <w:rPr>
                <w:rFonts w:asciiTheme="minorHAnsi" w:hAnsiTheme="minorHAnsi" w:cstheme="minorHAnsi"/>
                <w:bCs/>
                <w:sz w:val="22"/>
                <w:lang w:val="es-ES"/>
              </w:rPr>
              <w:t xml:space="preserve">Parece apropiado sustituir la referencia a las Recomendaciones del UIT-T con una </w:t>
            </w:r>
            <w:r>
              <w:rPr>
                <w:rFonts w:asciiTheme="minorHAnsi" w:hAnsiTheme="minorHAnsi" w:cstheme="minorHAnsi"/>
                <w:bCs/>
                <w:sz w:val="22"/>
                <w:lang w:val="es-ES"/>
              </w:rPr>
              <w:lastRenderedPageBreak/>
              <w:t xml:space="preserve">referencia a las Recomendaciones de la UIT ya que se utilizan telecomunicaciones de todo tipo para la transmisión de tales mensajes. </w:t>
            </w:r>
          </w:p>
        </w:tc>
      </w:tr>
      <w:tr w:rsidR="00CA5968" w:rsidRPr="00CA5968" w14:paraId="7D2AA04D" w14:textId="77777777" w:rsidTr="00CA5968">
        <w:tc>
          <w:tcPr>
            <w:tcW w:w="1130" w:type="dxa"/>
            <w:vMerge/>
            <w:tcBorders>
              <w:left w:val="single" w:sz="4" w:space="0" w:color="auto"/>
              <w:right w:val="single" w:sz="4" w:space="0" w:color="auto"/>
            </w:tcBorders>
            <w:vAlign w:val="center"/>
            <w:hideMark/>
          </w:tcPr>
          <w:p w14:paraId="315403CC" w14:textId="77777777" w:rsidR="00CA5968" w:rsidRPr="00CA5968"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b/>
                <w:sz w:val="22"/>
                <w:lang w:val="es-ES"/>
              </w:rPr>
            </w:pPr>
          </w:p>
        </w:tc>
        <w:tc>
          <w:tcPr>
            <w:tcW w:w="3547" w:type="dxa"/>
            <w:tcBorders>
              <w:top w:val="single" w:sz="4" w:space="0" w:color="auto"/>
              <w:left w:val="single" w:sz="4" w:space="0" w:color="auto"/>
              <w:bottom w:val="single" w:sz="4" w:space="0" w:color="auto"/>
              <w:right w:val="single" w:sz="4" w:space="0" w:color="auto"/>
            </w:tcBorders>
            <w:hideMark/>
          </w:tcPr>
          <w:p w14:paraId="7F22729C" w14:textId="1B88FE0E" w:rsidR="00CA5968" w:rsidRPr="00CA5968" w:rsidRDefault="00CA5968" w:rsidP="00CA5968">
            <w:pPr>
              <w:tabs>
                <w:tab w:val="clear" w:pos="567"/>
                <w:tab w:val="left" w:pos="720"/>
              </w:tabs>
              <w:spacing w:before="0"/>
              <w:ind w:right="130"/>
              <w:rPr>
                <w:rFonts w:asciiTheme="minorHAnsi" w:hAnsiTheme="minorHAnsi"/>
                <w:bCs/>
                <w:sz w:val="22"/>
                <w:lang w:val="es-ES"/>
              </w:rPr>
            </w:pPr>
            <w:r w:rsidRPr="00CA5968">
              <w:rPr>
                <w:rStyle w:val="Artdef"/>
                <w:rFonts w:cs="Times New Roman"/>
                <w:lang w:val="es-ES"/>
              </w:rPr>
              <w:t>47</w:t>
            </w:r>
            <w:r w:rsidRPr="00CA5968">
              <w:rPr>
                <w:rStyle w:val="Artdef"/>
                <w:rFonts w:cs="Times New Roman"/>
                <w:lang w:val="es-ES"/>
              </w:rPr>
              <w:tab/>
            </w:r>
            <w:r w:rsidRPr="00CA5968">
              <w:rPr>
                <w:lang w:val="es-ES"/>
              </w:rPr>
              <w:t>5.3</w:t>
            </w:r>
            <w:r w:rsidRPr="00CA5968">
              <w:rPr>
                <w:lang w:val="es-ES"/>
              </w:rPr>
              <w:tab/>
              <w:t>Las disposiciones que definen el orden de prioridad de cualquier otro servicio de telecomunicaciones se encuentran en las Recomendaciones UIT-T pertinentes.</w:t>
            </w:r>
          </w:p>
        </w:tc>
        <w:tc>
          <w:tcPr>
            <w:tcW w:w="3601" w:type="dxa"/>
            <w:tcBorders>
              <w:top w:val="single" w:sz="4" w:space="0" w:color="auto"/>
              <w:left w:val="single" w:sz="4" w:space="0" w:color="auto"/>
              <w:bottom w:val="single" w:sz="4" w:space="0" w:color="auto"/>
              <w:right w:val="single" w:sz="4" w:space="0" w:color="auto"/>
            </w:tcBorders>
          </w:tcPr>
          <w:p w14:paraId="6793D224" w14:textId="2122CF47" w:rsidR="00CA5968" w:rsidRPr="00CA5968" w:rsidRDefault="00CA5968" w:rsidP="00CA5968">
            <w:pPr>
              <w:tabs>
                <w:tab w:val="clear" w:pos="567"/>
                <w:tab w:val="left" w:pos="720"/>
              </w:tabs>
              <w:spacing w:before="0"/>
              <w:ind w:right="44"/>
              <w:rPr>
                <w:rFonts w:asciiTheme="minorHAnsi" w:hAnsiTheme="minorHAnsi"/>
                <w:bCs/>
                <w:sz w:val="22"/>
                <w:lang w:val="es-ES"/>
              </w:rPr>
            </w:pPr>
            <w:r w:rsidRPr="00CA5968">
              <w:rPr>
                <w:rStyle w:val="Artdef"/>
                <w:lang w:val="es-ES"/>
              </w:rPr>
              <w:t>41</w:t>
            </w:r>
            <w:r w:rsidRPr="00CA5968">
              <w:rPr>
                <w:lang w:val="es-ES"/>
              </w:rPr>
              <w:tab/>
              <w:t>5.3</w:t>
            </w:r>
            <w:r w:rsidRPr="00CA5968">
              <w:rPr>
                <w:lang w:val="es-ES"/>
              </w:rPr>
              <w:tab/>
            </w:r>
            <w:r w:rsidR="00E61738" w:rsidRPr="00E61738">
              <w:rPr>
                <w:lang w:val="es-ES"/>
              </w:rPr>
              <w:t>El orden de prioridad de todas las demás telecomunicaciones se regirá por lo dispuesto en las Recomendaciones pertinentes del CCITT</w:t>
            </w:r>
            <w:r w:rsidRPr="00CA5968">
              <w:rPr>
                <w:lang w:val="es-ES"/>
              </w:rPr>
              <w:t>.</w:t>
            </w:r>
          </w:p>
        </w:tc>
        <w:tc>
          <w:tcPr>
            <w:tcW w:w="2341" w:type="dxa"/>
            <w:tcBorders>
              <w:top w:val="single" w:sz="4" w:space="0" w:color="auto"/>
              <w:left w:val="single" w:sz="4" w:space="0" w:color="auto"/>
              <w:bottom w:val="single" w:sz="4" w:space="0" w:color="auto"/>
              <w:right w:val="single" w:sz="4" w:space="0" w:color="auto"/>
            </w:tcBorders>
            <w:hideMark/>
          </w:tcPr>
          <w:p w14:paraId="2CF19881" w14:textId="57002B22" w:rsidR="00CA5968" w:rsidRPr="00CA5968" w:rsidRDefault="00AA6BF7" w:rsidP="00CA5968">
            <w:pPr>
              <w:tabs>
                <w:tab w:val="clear" w:pos="567"/>
                <w:tab w:val="left" w:pos="720"/>
              </w:tabs>
              <w:spacing w:before="0"/>
              <w:rPr>
                <w:rFonts w:asciiTheme="minorHAnsi" w:hAnsiTheme="minorHAnsi"/>
                <w:bCs/>
                <w:sz w:val="22"/>
                <w:lang w:val="es-ES"/>
              </w:rPr>
            </w:pPr>
            <w:r>
              <w:rPr>
                <w:rFonts w:asciiTheme="minorHAnsi" w:hAnsiTheme="minorHAnsi" w:cstheme="minorHAnsi"/>
                <w:bCs/>
                <w:sz w:val="22"/>
                <w:lang w:val="es-ES"/>
              </w:rPr>
              <w:t>La disposición es aplicable para fomentar el suministro y el desarrollo de redes y servicios</w:t>
            </w:r>
            <w:r w:rsidR="00FF0DF6">
              <w:rPr>
                <w:rFonts w:asciiTheme="minorHAnsi" w:hAnsiTheme="minorHAnsi" w:cstheme="minorHAnsi"/>
                <w:bCs/>
                <w:sz w:val="22"/>
                <w:lang w:val="es-ES"/>
              </w:rPr>
              <w:t>.</w:t>
            </w:r>
          </w:p>
        </w:tc>
        <w:tc>
          <w:tcPr>
            <w:tcW w:w="1981" w:type="dxa"/>
            <w:tcBorders>
              <w:top w:val="single" w:sz="4" w:space="0" w:color="auto"/>
              <w:left w:val="single" w:sz="4" w:space="0" w:color="auto"/>
              <w:bottom w:val="single" w:sz="4" w:space="0" w:color="auto"/>
              <w:right w:val="single" w:sz="4" w:space="0" w:color="auto"/>
            </w:tcBorders>
            <w:hideMark/>
          </w:tcPr>
          <w:p w14:paraId="4B745625" w14:textId="3C838C9F" w:rsidR="00CA5968" w:rsidRPr="00CA5968" w:rsidRDefault="00AA6BF7" w:rsidP="00CA5968">
            <w:pPr>
              <w:tabs>
                <w:tab w:val="clear" w:pos="567"/>
                <w:tab w:val="left" w:pos="720"/>
              </w:tabs>
              <w:spacing w:before="0"/>
              <w:rPr>
                <w:rFonts w:asciiTheme="minorHAnsi" w:hAnsiTheme="minorHAnsi"/>
                <w:bCs/>
                <w:sz w:val="22"/>
                <w:lang w:val="es-ES"/>
              </w:rPr>
            </w:pPr>
            <w:r>
              <w:rPr>
                <w:rFonts w:asciiTheme="minorHAnsi" w:hAnsiTheme="minorHAnsi" w:cstheme="minorHAnsi"/>
                <w:bCs/>
                <w:sz w:val="22"/>
                <w:lang w:val="es-ES"/>
              </w:rPr>
              <w:t>Esta disposición garantiza la flexibilidad necesaria para dar cabida a nuevas tendencias y cuestiones emergentes</w:t>
            </w:r>
            <w:r w:rsidR="00FF0DF6">
              <w:rPr>
                <w:rFonts w:asciiTheme="minorHAnsi" w:hAnsiTheme="minorHAnsi" w:cstheme="minorHAnsi"/>
                <w:bCs/>
                <w:sz w:val="22"/>
                <w:lang w:val="es-ES"/>
              </w:rPr>
              <w:t>.</w:t>
            </w:r>
          </w:p>
        </w:tc>
        <w:tc>
          <w:tcPr>
            <w:tcW w:w="1860" w:type="dxa"/>
            <w:tcBorders>
              <w:top w:val="single" w:sz="4" w:space="0" w:color="auto"/>
              <w:left w:val="single" w:sz="4" w:space="0" w:color="auto"/>
              <w:bottom w:val="single" w:sz="4" w:space="0" w:color="auto"/>
              <w:right w:val="single" w:sz="4" w:space="0" w:color="auto"/>
            </w:tcBorders>
          </w:tcPr>
          <w:p w14:paraId="491995A5" w14:textId="243476CF" w:rsidR="00CA5968" w:rsidRPr="00CA5968" w:rsidRDefault="00AA6BF7" w:rsidP="002A1B82">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lang w:val="es-ES"/>
              </w:rPr>
            </w:pPr>
            <w:r>
              <w:rPr>
                <w:rFonts w:asciiTheme="minorHAnsi" w:hAnsiTheme="minorHAnsi" w:cstheme="minorHAnsi"/>
                <w:bCs/>
                <w:sz w:val="22"/>
                <w:lang w:val="es-ES"/>
              </w:rPr>
              <w:t>La disposición no requiere modificación, ya que es aplicable y flexible</w:t>
            </w:r>
            <w:r w:rsidR="00CA5968" w:rsidRPr="00CA5968">
              <w:rPr>
                <w:rFonts w:asciiTheme="minorHAnsi" w:hAnsiTheme="minorHAnsi" w:cstheme="minorHAnsi"/>
                <w:bCs/>
                <w:sz w:val="22"/>
                <w:lang w:val="es-ES"/>
              </w:rPr>
              <w:t>.</w:t>
            </w:r>
          </w:p>
          <w:p w14:paraId="758EAA5D" w14:textId="77777777" w:rsidR="00CA5968" w:rsidRPr="00CA5968" w:rsidRDefault="00CA5968" w:rsidP="00CA5968">
            <w:pPr>
              <w:tabs>
                <w:tab w:val="left" w:pos="284"/>
                <w:tab w:val="left" w:pos="851"/>
                <w:tab w:val="left" w:pos="1418"/>
                <w:tab w:val="left" w:pos="1985"/>
                <w:tab w:val="left" w:pos="2552"/>
                <w:tab w:val="left" w:pos="3119"/>
                <w:tab w:val="left" w:pos="3402"/>
                <w:tab w:val="left" w:pos="3686"/>
                <w:tab w:val="left" w:pos="3969"/>
              </w:tabs>
              <w:spacing w:before="0"/>
              <w:jc w:val="both"/>
              <w:rPr>
                <w:rFonts w:asciiTheme="minorHAnsi" w:hAnsiTheme="minorHAnsi"/>
                <w:bCs/>
                <w:sz w:val="22"/>
                <w:lang w:val="es-ES"/>
              </w:rPr>
            </w:pPr>
          </w:p>
        </w:tc>
      </w:tr>
      <w:tr w:rsidR="00CA5968" w:rsidRPr="00CA5968" w14:paraId="0087C156" w14:textId="77777777" w:rsidTr="00CA5968">
        <w:tc>
          <w:tcPr>
            <w:tcW w:w="1130" w:type="dxa"/>
            <w:vMerge/>
            <w:tcBorders>
              <w:left w:val="single" w:sz="4" w:space="0" w:color="auto"/>
              <w:bottom w:val="single" w:sz="4" w:space="0" w:color="auto"/>
              <w:right w:val="single" w:sz="4" w:space="0" w:color="auto"/>
            </w:tcBorders>
            <w:vAlign w:val="center"/>
          </w:tcPr>
          <w:p w14:paraId="6754A72D" w14:textId="77777777" w:rsidR="00CA5968" w:rsidRPr="00CA5968"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b/>
                <w:sz w:val="22"/>
                <w:lang w:val="es-ES"/>
              </w:rPr>
            </w:pPr>
          </w:p>
        </w:tc>
        <w:tc>
          <w:tcPr>
            <w:tcW w:w="3547" w:type="dxa"/>
            <w:tcBorders>
              <w:top w:val="single" w:sz="4" w:space="0" w:color="auto"/>
              <w:left w:val="single" w:sz="4" w:space="0" w:color="auto"/>
              <w:bottom w:val="single" w:sz="4" w:space="0" w:color="auto"/>
              <w:right w:val="single" w:sz="4" w:space="0" w:color="auto"/>
            </w:tcBorders>
          </w:tcPr>
          <w:p w14:paraId="359E5745" w14:textId="406818CC" w:rsidR="00CA5968" w:rsidRPr="00CA5968" w:rsidRDefault="00CA5968" w:rsidP="00CA5968">
            <w:pPr>
              <w:tabs>
                <w:tab w:val="clear" w:pos="567"/>
                <w:tab w:val="left" w:pos="720"/>
              </w:tabs>
              <w:spacing w:before="0"/>
              <w:ind w:right="130"/>
              <w:rPr>
                <w:rStyle w:val="Artdef"/>
                <w:lang w:val="es-ES"/>
              </w:rPr>
            </w:pPr>
            <w:r w:rsidRPr="00CA5968">
              <w:rPr>
                <w:rStyle w:val="Artdef"/>
                <w:rFonts w:cs="Times New Roman"/>
                <w:lang w:val="es-ES"/>
              </w:rPr>
              <w:t>48</w:t>
            </w:r>
            <w:r w:rsidRPr="00CA5968">
              <w:rPr>
                <w:lang w:val="es-ES"/>
              </w:rPr>
              <w:tab/>
              <w:t>5.4</w:t>
            </w:r>
            <w:r w:rsidRPr="00CA5968">
              <w:rPr>
                <w:lang w:val="es-ES"/>
              </w:rPr>
              <w:tab/>
              <w:t>Los Estados Miembros deben alentar a las empresas de explotación autorizadas a informar oportuna y gratuitamente a todos los usuarios, incluidos los usuarios itinerantes, del número de llamada a los servicios de emergencia.</w:t>
            </w:r>
          </w:p>
        </w:tc>
        <w:tc>
          <w:tcPr>
            <w:tcW w:w="3601" w:type="dxa"/>
            <w:tcBorders>
              <w:top w:val="single" w:sz="4" w:space="0" w:color="auto"/>
              <w:left w:val="single" w:sz="4" w:space="0" w:color="auto"/>
              <w:bottom w:val="single" w:sz="4" w:space="0" w:color="auto"/>
              <w:right w:val="single" w:sz="4" w:space="0" w:color="auto"/>
            </w:tcBorders>
          </w:tcPr>
          <w:p w14:paraId="1686B774" w14:textId="77777777" w:rsidR="00CA5968" w:rsidRPr="00CA5968" w:rsidRDefault="00CA5968" w:rsidP="00CA5968">
            <w:pPr>
              <w:tabs>
                <w:tab w:val="clear" w:pos="567"/>
                <w:tab w:val="left" w:pos="720"/>
              </w:tabs>
              <w:spacing w:before="0"/>
              <w:ind w:right="44"/>
              <w:jc w:val="both"/>
              <w:rPr>
                <w:rFonts w:asciiTheme="minorHAnsi" w:hAnsiTheme="minorHAnsi"/>
                <w:bCs/>
                <w:sz w:val="22"/>
                <w:lang w:val="es-ES"/>
              </w:rPr>
            </w:pPr>
          </w:p>
        </w:tc>
        <w:tc>
          <w:tcPr>
            <w:tcW w:w="2341" w:type="dxa"/>
            <w:tcBorders>
              <w:top w:val="single" w:sz="4" w:space="0" w:color="auto"/>
              <w:left w:val="single" w:sz="4" w:space="0" w:color="auto"/>
              <w:bottom w:val="single" w:sz="4" w:space="0" w:color="auto"/>
              <w:right w:val="single" w:sz="4" w:space="0" w:color="auto"/>
            </w:tcBorders>
          </w:tcPr>
          <w:p w14:paraId="49389842" w14:textId="1DB67E5D" w:rsidR="00CA5968" w:rsidRPr="00CA5968" w:rsidRDefault="00AA6BF7" w:rsidP="00CA5968">
            <w:pPr>
              <w:tabs>
                <w:tab w:val="clear" w:pos="567"/>
                <w:tab w:val="left" w:pos="720"/>
              </w:tabs>
              <w:spacing w:before="0"/>
              <w:rPr>
                <w:rFonts w:asciiTheme="minorHAnsi" w:hAnsiTheme="minorHAnsi"/>
                <w:bCs/>
                <w:sz w:val="22"/>
                <w:lang w:val="es-ES"/>
              </w:rPr>
            </w:pPr>
            <w:r>
              <w:rPr>
                <w:rFonts w:asciiTheme="minorHAnsi" w:hAnsiTheme="minorHAnsi" w:cstheme="minorHAnsi"/>
                <w:bCs/>
                <w:sz w:val="22"/>
                <w:lang w:val="es-ES"/>
              </w:rPr>
              <w:t>La disposición es aplicable para fomentar el suministro y el desarrollo de redes y servicios</w:t>
            </w:r>
            <w:r w:rsidR="00FF0DF6">
              <w:rPr>
                <w:rFonts w:asciiTheme="minorHAnsi" w:hAnsiTheme="minorHAnsi" w:cstheme="minorHAnsi"/>
                <w:bCs/>
                <w:sz w:val="22"/>
                <w:lang w:val="es-ES"/>
              </w:rPr>
              <w:t>.</w:t>
            </w:r>
          </w:p>
        </w:tc>
        <w:tc>
          <w:tcPr>
            <w:tcW w:w="1981" w:type="dxa"/>
            <w:tcBorders>
              <w:top w:val="single" w:sz="4" w:space="0" w:color="auto"/>
              <w:left w:val="single" w:sz="4" w:space="0" w:color="auto"/>
              <w:bottom w:val="single" w:sz="4" w:space="0" w:color="auto"/>
              <w:right w:val="single" w:sz="4" w:space="0" w:color="auto"/>
            </w:tcBorders>
          </w:tcPr>
          <w:p w14:paraId="1B3601E2" w14:textId="7D1A7E03" w:rsidR="00CA5968" w:rsidRPr="00CA5968" w:rsidRDefault="00AA6BF7" w:rsidP="00CA5968">
            <w:pPr>
              <w:tabs>
                <w:tab w:val="clear" w:pos="567"/>
                <w:tab w:val="left" w:pos="720"/>
              </w:tabs>
              <w:spacing w:before="0"/>
              <w:rPr>
                <w:rFonts w:asciiTheme="minorHAnsi" w:hAnsiTheme="minorHAnsi"/>
                <w:bCs/>
                <w:sz w:val="22"/>
                <w:lang w:val="es-ES"/>
              </w:rPr>
            </w:pPr>
            <w:r>
              <w:rPr>
                <w:rFonts w:asciiTheme="minorHAnsi" w:hAnsiTheme="minorHAnsi" w:cstheme="minorHAnsi"/>
                <w:bCs/>
                <w:sz w:val="22"/>
                <w:lang w:val="es-ES"/>
              </w:rPr>
              <w:t>Esta disposición garantiza la flexibilidad necesaria para dar cabida a nuevas tendencias y cuestiones emergentes</w:t>
            </w:r>
            <w:r w:rsidR="00FF0DF6">
              <w:rPr>
                <w:rFonts w:asciiTheme="minorHAnsi" w:hAnsiTheme="minorHAnsi" w:cstheme="minorHAnsi"/>
                <w:bCs/>
                <w:sz w:val="22"/>
                <w:lang w:val="es-ES"/>
              </w:rPr>
              <w:t>.</w:t>
            </w:r>
          </w:p>
        </w:tc>
        <w:tc>
          <w:tcPr>
            <w:tcW w:w="1860" w:type="dxa"/>
            <w:tcBorders>
              <w:top w:val="single" w:sz="4" w:space="0" w:color="auto"/>
              <w:left w:val="single" w:sz="4" w:space="0" w:color="auto"/>
              <w:bottom w:val="single" w:sz="4" w:space="0" w:color="auto"/>
              <w:right w:val="single" w:sz="4" w:space="0" w:color="auto"/>
            </w:tcBorders>
          </w:tcPr>
          <w:p w14:paraId="01F2EFC8" w14:textId="2A8D322D" w:rsidR="00CA5968" w:rsidRPr="00CA5968" w:rsidRDefault="00AA6BF7" w:rsidP="002A1B82">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lang w:val="es-ES"/>
              </w:rPr>
            </w:pPr>
            <w:r>
              <w:rPr>
                <w:rFonts w:asciiTheme="minorHAnsi" w:hAnsiTheme="minorHAnsi" w:cstheme="minorHAnsi"/>
                <w:bCs/>
                <w:sz w:val="22"/>
                <w:lang w:val="es-ES"/>
              </w:rPr>
              <w:t>La disposición no requiere modificación, ya que es aplicable y flexible</w:t>
            </w:r>
            <w:r w:rsidR="00CA5968" w:rsidRPr="00CA5968">
              <w:rPr>
                <w:rFonts w:asciiTheme="minorHAnsi" w:hAnsiTheme="minorHAnsi" w:cstheme="minorHAnsi"/>
                <w:bCs/>
                <w:sz w:val="22"/>
                <w:lang w:val="es-ES"/>
              </w:rPr>
              <w:t>.</w:t>
            </w:r>
          </w:p>
          <w:p w14:paraId="5FE5735E" w14:textId="78A82888" w:rsidR="00CA5968" w:rsidRPr="00CA5968" w:rsidRDefault="00356713" w:rsidP="002A1B82">
            <w:pPr>
              <w:tabs>
                <w:tab w:val="left" w:pos="284"/>
                <w:tab w:val="left" w:pos="851"/>
                <w:tab w:val="left" w:pos="1418"/>
                <w:tab w:val="left" w:pos="1985"/>
                <w:tab w:val="left" w:pos="2552"/>
                <w:tab w:val="left" w:pos="3119"/>
                <w:tab w:val="left" w:pos="3402"/>
                <w:tab w:val="left" w:pos="3686"/>
                <w:tab w:val="left" w:pos="3969"/>
              </w:tabs>
              <w:spacing w:before="0"/>
              <w:rPr>
                <w:rFonts w:asciiTheme="minorHAnsi" w:hAnsiTheme="minorHAnsi"/>
                <w:bCs/>
                <w:sz w:val="22"/>
                <w:lang w:val="es-ES"/>
              </w:rPr>
            </w:pPr>
            <w:r>
              <w:rPr>
                <w:rFonts w:asciiTheme="minorHAnsi" w:hAnsiTheme="minorHAnsi"/>
                <w:bCs/>
                <w:sz w:val="22"/>
                <w:lang w:val="es-ES"/>
              </w:rPr>
              <w:t>Esta disposición se debe a la aparición de nuevos tipos de servicios de telecomunicaciones internacionales</w:t>
            </w:r>
            <w:r w:rsidR="00CA5968" w:rsidRPr="00CA5968">
              <w:rPr>
                <w:rFonts w:asciiTheme="minorHAnsi" w:hAnsiTheme="minorHAnsi"/>
                <w:bCs/>
                <w:sz w:val="22"/>
                <w:lang w:val="es-ES"/>
              </w:rPr>
              <w:t>.</w:t>
            </w:r>
          </w:p>
        </w:tc>
      </w:tr>
    </w:tbl>
    <w:p w14:paraId="5A513D5E" w14:textId="77777777" w:rsidR="00884546" w:rsidRPr="00CA5968" w:rsidRDefault="00884546" w:rsidP="00457218">
      <w:pPr>
        <w:pStyle w:val="Reasons"/>
        <w:rPr>
          <w:lang w:val="es-ES"/>
        </w:rPr>
      </w:pPr>
    </w:p>
    <w:p w14:paraId="3F0F95AA" w14:textId="77777777" w:rsidR="00CA5968" w:rsidRDefault="00CA5968">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tbl>
      <w:tblPr>
        <w:tblStyle w:val="TableGrid"/>
        <w:tblW w:w="14460" w:type="dxa"/>
        <w:tblLayout w:type="fixed"/>
        <w:tblLook w:val="04A0" w:firstRow="1" w:lastRow="0" w:firstColumn="1" w:lastColumn="0" w:noHBand="0" w:noVBand="1"/>
      </w:tblPr>
      <w:tblGrid>
        <w:gridCol w:w="1130"/>
        <w:gridCol w:w="3547"/>
        <w:gridCol w:w="3601"/>
        <w:gridCol w:w="2341"/>
        <w:gridCol w:w="1981"/>
        <w:gridCol w:w="1860"/>
      </w:tblGrid>
      <w:tr w:rsidR="00CA5968" w:rsidRPr="00F261AC" w14:paraId="6034F121" w14:textId="77777777" w:rsidTr="00CA5968">
        <w:tc>
          <w:tcPr>
            <w:tcW w:w="1130" w:type="dxa"/>
            <w:tcBorders>
              <w:top w:val="single" w:sz="4" w:space="0" w:color="auto"/>
              <w:left w:val="single" w:sz="4" w:space="0" w:color="auto"/>
              <w:bottom w:val="single" w:sz="4" w:space="0" w:color="auto"/>
              <w:right w:val="single" w:sz="4" w:space="0" w:color="auto"/>
            </w:tcBorders>
            <w:vAlign w:val="center"/>
            <w:hideMark/>
          </w:tcPr>
          <w:p w14:paraId="40596452" w14:textId="32C2FDA6" w:rsidR="00CA5968" w:rsidRPr="00F261AC" w:rsidRDefault="00CA5968" w:rsidP="00CA5968">
            <w:pPr>
              <w:keepNext/>
              <w:keepLines/>
              <w:tabs>
                <w:tab w:val="clear" w:pos="567"/>
                <w:tab w:val="left" w:pos="720"/>
              </w:tabs>
              <w:spacing w:before="20" w:after="20" w:line="216" w:lineRule="auto"/>
              <w:jc w:val="center"/>
              <w:rPr>
                <w:rFonts w:asciiTheme="minorHAnsi" w:hAnsiTheme="minorHAnsi" w:cstheme="minorHAnsi"/>
                <w:b/>
                <w:sz w:val="22"/>
              </w:rPr>
            </w:pPr>
            <w:r w:rsidRPr="00CA5968">
              <w:rPr>
                <w:b/>
                <w:bCs/>
                <w:lang w:val="es-ES" w:eastAsia="zh-CN"/>
              </w:rPr>
              <w:lastRenderedPageBreak/>
              <w:t>Artículo de 2012</w:t>
            </w:r>
          </w:p>
        </w:tc>
        <w:tc>
          <w:tcPr>
            <w:tcW w:w="3547" w:type="dxa"/>
            <w:tcBorders>
              <w:top w:val="single" w:sz="4" w:space="0" w:color="auto"/>
              <w:left w:val="single" w:sz="4" w:space="0" w:color="auto"/>
              <w:bottom w:val="single" w:sz="4" w:space="0" w:color="auto"/>
              <w:right w:val="single" w:sz="4" w:space="0" w:color="auto"/>
            </w:tcBorders>
            <w:vAlign w:val="center"/>
            <w:hideMark/>
          </w:tcPr>
          <w:p w14:paraId="406A77A1" w14:textId="252D69A4" w:rsidR="00CA5968" w:rsidRPr="00F261AC" w:rsidRDefault="00CA5968" w:rsidP="00CA5968">
            <w:pPr>
              <w:keepNext/>
              <w:keepLines/>
              <w:tabs>
                <w:tab w:val="clear" w:pos="567"/>
                <w:tab w:val="left" w:pos="720"/>
              </w:tabs>
              <w:spacing w:before="0"/>
              <w:ind w:right="130"/>
              <w:jc w:val="center"/>
              <w:rPr>
                <w:rFonts w:asciiTheme="minorHAnsi" w:hAnsiTheme="minorHAnsi" w:cstheme="minorHAnsi"/>
                <w:b/>
                <w:sz w:val="22"/>
              </w:rPr>
            </w:pPr>
            <w:r w:rsidRPr="00CA5968">
              <w:rPr>
                <w:b/>
                <w:bCs/>
                <w:lang w:val="es-ES" w:eastAsia="zh-CN"/>
              </w:rPr>
              <w:t>Párrafo y disposición</w:t>
            </w:r>
          </w:p>
        </w:tc>
        <w:tc>
          <w:tcPr>
            <w:tcW w:w="3601" w:type="dxa"/>
            <w:tcBorders>
              <w:top w:val="single" w:sz="4" w:space="0" w:color="auto"/>
              <w:left w:val="single" w:sz="4" w:space="0" w:color="auto"/>
              <w:bottom w:val="single" w:sz="4" w:space="0" w:color="auto"/>
              <w:right w:val="single" w:sz="4" w:space="0" w:color="auto"/>
            </w:tcBorders>
            <w:vAlign w:val="center"/>
            <w:hideMark/>
          </w:tcPr>
          <w:p w14:paraId="4F7C2D29" w14:textId="0FF9939F" w:rsidR="00CA5968" w:rsidRPr="00F261AC" w:rsidRDefault="00CA5968" w:rsidP="00CA5968">
            <w:pPr>
              <w:keepNext/>
              <w:keepLines/>
              <w:tabs>
                <w:tab w:val="clear" w:pos="567"/>
                <w:tab w:val="left" w:pos="720"/>
              </w:tabs>
              <w:spacing w:before="20" w:after="20" w:line="216" w:lineRule="auto"/>
              <w:ind w:left="-57" w:right="44"/>
              <w:jc w:val="center"/>
              <w:rPr>
                <w:rFonts w:asciiTheme="minorHAnsi" w:hAnsiTheme="minorHAnsi" w:cstheme="minorHAnsi"/>
                <w:b/>
                <w:sz w:val="22"/>
              </w:rPr>
            </w:pPr>
            <w:r w:rsidRPr="00CA5968">
              <w:rPr>
                <w:b/>
                <w:bCs/>
                <w:lang w:val="es-ES" w:eastAsia="zh-CN"/>
              </w:rPr>
              <w:t xml:space="preserve">Párrafo y disposición </w:t>
            </w:r>
            <w:r w:rsidRPr="00CA5968">
              <w:rPr>
                <w:b/>
                <w:bCs/>
                <w:lang w:val="es-ES" w:eastAsia="zh-CN"/>
              </w:rPr>
              <w:br/>
              <w:t>conexos de 1988</w:t>
            </w:r>
          </w:p>
        </w:tc>
        <w:tc>
          <w:tcPr>
            <w:tcW w:w="2341" w:type="dxa"/>
            <w:tcBorders>
              <w:top w:val="single" w:sz="4" w:space="0" w:color="auto"/>
              <w:left w:val="single" w:sz="4" w:space="0" w:color="auto"/>
              <w:bottom w:val="single" w:sz="4" w:space="0" w:color="auto"/>
              <w:right w:val="single" w:sz="4" w:space="0" w:color="auto"/>
            </w:tcBorders>
            <w:vAlign w:val="center"/>
            <w:hideMark/>
          </w:tcPr>
          <w:p w14:paraId="69DD5748" w14:textId="5D64A5E2" w:rsidR="00CA5968" w:rsidRPr="00F261AC" w:rsidRDefault="00CA5968" w:rsidP="00CA5968">
            <w:pPr>
              <w:keepNext/>
              <w:keepLines/>
              <w:tabs>
                <w:tab w:val="clear" w:pos="567"/>
                <w:tab w:val="left" w:pos="720"/>
              </w:tabs>
              <w:spacing w:before="20" w:after="20" w:line="216" w:lineRule="auto"/>
              <w:jc w:val="center"/>
              <w:rPr>
                <w:rFonts w:asciiTheme="minorHAnsi" w:hAnsiTheme="minorHAnsi" w:cstheme="minorHAnsi"/>
                <w:b/>
                <w:sz w:val="22"/>
              </w:rPr>
            </w:pPr>
            <w:r w:rsidRPr="00CA5968">
              <w:rPr>
                <w:b/>
                <w:bCs/>
                <w:lang w:val="es-ES" w:eastAsia="zh-CN"/>
              </w:rPr>
              <w:t xml:space="preserve">Aplicabilidad </w:t>
            </w:r>
            <w:r w:rsidRPr="00CA5968">
              <w:rPr>
                <w:b/>
                <w:bCs/>
                <w:lang w:val="es-ES" w:eastAsia="zh-CN"/>
              </w:rPr>
              <w:br/>
              <w:t xml:space="preserve">para fomentar </w:t>
            </w:r>
            <w:r w:rsidRPr="00CA5968">
              <w:rPr>
                <w:b/>
                <w:bCs/>
                <w:lang w:val="es-ES" w:eastAsia="zh-CN"/>
              </w:rPr>
              <w:br/>
              <w:t xml:space="preserve">la prestación y el desarrollo de redes </w:t>
            </w:r>
            <w:r w:rsidRPr="00CA5968">
              <w:rPr>
                <w:b/>
                <w:bCs/>
                <w:lang w:val="es-ES" w:eastAsia="zh-CN"/>
              </w:rPr>
              <w:br/>
              <w:t>y servicios</w:t>
            </w:r>
          </w:p>
        </w:tc>
        <w:tc>
          <w:tcPr>
            <w:tcW w:w="1981" w:type="dxa"/>
            <w:tcBorders>
              <w:top w:val="single" w:sz="4" w:space="0" w:color="auto"/>
              <w:left w:val="single" w:sz="4" w:space="0" w:color="auto"/>
              <w:bottom w:val="single" w:sz="4" w:space="0" w:color="auto"/>
              <w:right w:val="single" w:sz="4" w:space="0" w:color="auto"/>
            </w:tcBorders>
            <w:vAlign w:val="center"/>
            <w:hideMark/>
          </w:tcPr>
          <w:p w14:paraId="6B6A59BE" w14:textId="276EF41F" w:rsidR="00CA5968" w:rsidRPr="00F261AC" w:rsidRDefault="00CA5968" w:rsidP="00CA5968">
            <w:pPr>
              <w:keepNext/>
              <w:keepLines/>
              <w:tabs>
                <w:tab w:val="clear" w:pos="567"/>
                <w:tab w:val="left" w:pos="720"/>
              </w:tabs>
              <w:spacing w:before="20" w:after="20" w:line="216" w:lineRule="auto"/>
              <w:jc w:val="center"/>
              <w:rPr>
                <w:rFonts w:asciiTheme="minorHAnsi" w:hAnsiTheme="minorHAnsi" w:cstheme="minorHAnsi"/>
                <w:b/>
                <w:sz w:val="22"/>
              </w:rPr>
            </w:pPr>
            <w:r w:rsidRPr="00CA5968">
              <w:rPr>
                <w:b/>
                <w:bCs/>
                <w:lang w:val="es-ES" w:eastAsia="zh-CN"/>
              </w:rPr>
              <w:t>Flexibilidad para adaptarse a las nuevas tendencias y a los problemas emergentes</w:t>
            </w:r>
          </w:p>
        </w:tc>
        <w:tc>
          <w:tcPr>
            <w:tcW w:w="1860" w:type="dxa"/>
            <w:tcBorders>
              <w:top w:val="single" w:sz="4" w:space="0" w:color="auto"/>
              <w:left w:val="single" w:sz="4" w:space="0" w:color="auto"/>
              <w:bottom w:val="single" w:sz="4" w:space="0" w:color="auto"/>
              <w:right w:val="single" w:sz="4" w:space="0" w:color="auto"/>
            </w:tcBorders>
            <w:vAlign w:val="center"/>
            <w:hideMark/>
          </w:tcPr>
          <w:p w14:paraId="6A01C023" w14:textId="722914EA" w:rsidR="00CA5968" w:rsidRPr="00F261AC" w:rsidRDefault="00CA5968" w:rsidP="00CA5968">
            <w:pPr>
              <w:keepNext/>
              <w:keepLines/>
              <w:tabs>
                <w:tab w:val="clear" w:pos="567"/>
                <w:tab w:val="clear" w:pos="1134"/>
                <w:tab w:val="clear" w:pos="1701"/>
                <w:tab w:val="clear" w:pos="2268"/>
                <w:tab w:val="clear" w:pos="2835"/>
                <w:tab w:val="left" w:pos="3119"/>
                <w:tab w:val="left" w:pos="3402"/>
                <w:tab w:val="left" w:pos="3686"/>
                <w:tab w:val="left" w:pos="3969"/>
              </w:tabs>
              <w:spacing w:before="20" w:after="20" w:line="216" w:lineRule="auto"/>
              <w:jc w:val="center"/>
              <w:rPr>
                <w:rFonts w:asciiTheme="minorHAnsi" w:hAnsiTheme="minorHAnsi" w:cstheme="minorHAnsi"/>
                <w:b/>
                <w:sz w:val="22"/>
              </w:rPr>
            </w:pPr>
            <w:r w:rsidRPr="00CA5968">
              <w:rPr>
                <w:b/>
                <w:bCs/>
                <w:lang w:val="es-ES" w:eastAsia="zh-CN"/>
              </w:rPr>
              <w:t>Resultado resumido</w:t>
            </w:r>
          </w:p>
        </w:tc>
      </w:tr>
      <w:tr w:rsidR="00CA5968" w:rsidRPr="00F261AC" w14:paraId="50B85DF2" w14:textId="77777777" w:rsidTr="00CA5968">
        <w:tblPrEx>
          <w:tblCellMar>
            <w:left w:w="14" w:type="dxa"/>
            <w:right w:w="14" w:type="dxa"/>
          </w:tblCellMar>
        </w:tblPrEx>
        <w:trPr>
          <w:cantSplit/>
          <w:trHeight w:val="1134"/>
        </w:trPr>
        <w:tc>
          <w:tcPr>
            <w:tcW w:w="1130" w:type="dxa"/>
            <w:tcBorders>
              <w:top w:val="single" w:sz="4" w:space="0" w:color="auto"/>
              <w:left w:val="single" w:sz="4" w:space="0" w:color="auto"/>
              <w:bottom w:val="single" w:sz="4" w:space="0" w:color="auto"/>
              <w:right w:val="single" w:sz="4" w:space="0" w:color="auto"/>
            </w:tcBorders>
            <w:textDirection w:val="btLr"/>
            <w:vAlign w:val="center"/>
          </w:tcPr>
          <w:p w14:paraId="6A1366D6" w14:textId="3521F473" w:rsidR="00CA5968" w:rsidRPr="00F261AC" w:rsidRDefault="00CB698C" w:rsidP="00CA5968">
            <w:pPr>
              <w:tabs>
                <w:tab w:val="clear" w:pos="567"/>
                <w:tab w:val="clear" w:pos="1134"/>
                <w:tab w:val="clear" w:pos="1701"/>
                <w:tab w:val="clear" w:pos="2268"/>
                <w:tab w:val="clear" w:pos="2835"/>
              </w:tabs>
              <w:overflowPunct/>
              <w:autoSpaceDE/>
              <w:autoSpaceDN/>
              <w:adjustRightInd/>
              <w:spacing w:before="0"/>
              <w:ind w:left="113" w:right="113"/>
              <w:jc w:val="center"/>
              <w:rPr>
                <w:rFonts w:asciiTheme="minorHAnsi" w:hAnsiTheme="minorHAnsi" w:cstheme="minorHAnsi"/>
                <w:b/>
                <w:sz w:val="22"/>
              </w:rPr>
            </w:pPr>
            <w:bookmarkStart w:id="9" w:name="_Toc351558970"/>
            <w:r>
              <w:t>ARTÍCULO</w:t>
            </w:r>
            <w:r w:rsidR="00CA5968" w:rsidRPr="00F261AC">
              <w:t xml:space="preserve"> </w:t>
            </w:r>
            <w:r w:rsidR="00CA5968" w:rsidRPr="00F261AC">
              <w:rPr>
                <w:rStyle w:val="href"/>
              </w:rPr>
              <w:t>6</w:t>
            </w:r>
            <w:bookmarkEnd w:id="9"/>
            <w:r w:rsidR="00CA5968" w:rsidRPr="00F261AC">
              <w:rPr>
                <w:rStyle w:val="href"/>
              </w:rPr>
              <w:br/>
            </w:r>
            <w:r w:rsidRPr="00CB698C">
              <w:rPr>
                <w:b/>
                <w:bCs/>
              </w:rPr>
              <w:t>Seguridad y robustez de las redes</w:t>
            </w:r>
          </w:p>
        </w:tc>
        <w:tc>
          <w:tcPr>
            <w:tcW w:w="3547" w:type="dxa"/>
            <w:tcBorders>
              <w:top w:val="single" w:sz="4" w:space="0" w:color="auto"/>
              <w:left w:val="single" w:sz="4" w:space="0" w:color="auto"/>
              <w:bottom w:val="single" w:sz="4" w:space="0" w:color="auto"/>
              <w:right w:val="single" w:sz="4" w:space="0" w:color="auto"/>
            </w:tcBorders>
          </w:tcPr>
          <w:p w14:paraId="055D1682" w14:textId="7AE21AC9" w:rsidR="00CA5968" w:rsidRPr="00F261AC" w:rsidRDefault="00CA5968" w:rsidP="00CA5968">
            <w:pPr>
              <w:tabs>
                <w:tab w:val="clear" w:pos="567"/>
                <w:tab w:val="left" w:pos="720"/>
              </w:tabs>
              <w:spacing w:before="0"/>
              <w:ind w:right="130"/>
              <w:rPr>
                <w:rStyle w:val="Artdef"/>
              </w:rPr>
            </w:pPr>
            <w:r w:rsidRPr="00F261AC">
              <w:rPr>
                <w:rStyle w:val="Artdef"/>
                <w:rFonts w:cs="Times New Roman"/>
                <w:bCs/>
              </w:rPr>
              <w:t>49</w:t>
            </w:r>
            <w:r w:rsidRPr="00F261AC">
              <w:tab/>
              <w:t>6.1</w:t>
            </w:r>
            <w:r w:rsidRPr="00F261AC">
              <w:tab/>
            </w:r>
            <w:r w:rsidR="00CB698C" w:rsidRPr="00CB698C">
              <w:t>Los Estados Miembros procurarán garantizar, individual y colectivamente, la seguridad y robustez de las redes de telecomunicación internacionales a fin de lograr su utilización eficaz y evitar perjuicios técnicos a las mismas, así como el desarrollo armonioso de los servicios internacionales de telecomunicación ofrecidos al público</w:t>
            </w:r>
            <w:r w:rsidRPr="00F261AC">
              <w:t>.</w:t>
            </w:r>
          </w:p>
        </w:tc>
        <w:tc>
          <w:tcPr>
            <w:tcW w:w="3601" w:type="dxa"/>
            <w:tcBorders>
              <w:top w:val="single" w:sz="4" w:space="0" w:color="auto"/>
              <w:left w:val="single" w:sz="4" w:space="0" w:color="auto"/>
              <w:bottom w:val="single" w:sz="4" w:space="0" w:color="auto"/>
              <w:right w:val="single" w:sz="4" w:space="0" w:color="auto"/>
            </w:tcBorders>
          </w:tcPr>
          <w:p w14:paraId="6CFFFED4" w14:textId="77777777" w:rsidR="00E61738" w:rsidRDefault="00E61738" w:rsidP="002A1B82">
            <w:pPr>
              <w:tabs>
                <w:tab w:val="clear" w:pos="567"/>
                <w:tab w:val="left" w:pos="720"/>
              </w:tabs>
              <w:spacing w:before="0"/>
              <w:ind w:right="44"/>
              <w:rPr>
                <w:rFonts w:asciiTheme="minorHAnsi" w:hAnsiTheme="minorHAnsi"/>
                <w:bCs/>
                <w:i/>
                <w:iCs/>
                <w:sz w:val="22"/>
              </w:rPr>
            </w:pPr>
            <w:r>
              <w:rPr>
                <w:rFonts w:asciiTheme="minorHAnsi" w:hAnsiTheme="minorHAnsi"/>
                <w:bCs/>
                <w:i/>
                <w:iCs/>
                <w:sz w:val="22"/>
              </w:rPr>
              <w:t xml:space="preserve">El RTI de 1988 no cuenta con una disposición semejante. </w:t>
            </w:r>
          </w:p>
          <w:p w14:paraId="5F3528E1" w14:textId="5DE0DABA" w:rsidR="00E61738" w:rsidRPr="00F261AC" w:rsidRDefault="00E61738" w:rsidP="002A1B82">
            <w:pPr>
              <w:tabs>
                <w:tab w:val="clear" w:pos="567"/>
                <w:tab w:val="left" w:pos="720"/>
              </w:tabs>
              <w:spacing w:before="0"/>
              <w:ind w:right="44"/>
              <w:rPr>
                <w:rFonts w:asciiTheme="minorHAnsi" w:hAnsiTheme="minorHAnsi"/>
                <w:bCs/>
                <w:sz w:val="22"/>
              </w:rPr>
            </w:pPr>
            <w:r>
              <w:rPr>
                <w:rFonts w:asciiTheme="minorHAnsi" w:hAnsiTheme="minorHAnsi"/>
                <w:bCs/>
                <w:i/>
                <w:iCs/>
                <w:sz w:val="22"/>
              </w:rPr>
              <w:t xml:space="preserve">La aparición de esta disposición en el RTI de 2012 se debe a la necesidad de velar por la seguridad y fortaleza de las redes de telecomunicaciones habida cuenta del importante crecimiento de los tipos de servicio y volúmenes de telecomunicaciones internacionales. </w:t>
            </w:r>
          </w:p>
          <w:p w14:paraId="156E2DA9" w14:textId="4E0EA751" w:rsidR="00CA5968" w:rsidRPr="00F261AC" w:rsidRDefault="00CA5968" w:rsidP="00CA5968">
            <w:pPr>
              <w:tabs>
                <w:tab w:val="clear" w:pos="567"/>
                <w:tab w:val="left" w:pos="720"/>
              </w:tabs>
              <w:spacing w:before="0"/>
              <w:ind w:right="44"/>
              <w:jc w:val="both"/>
              <w:rPr>
                <w:rFonts w:asciiTheme="minorHAnsi" w:hAnsiTheme="minorHAnsi"/>
                <w:bCs/>
                <w:sz w:val="22"/>
              </w:rPr>
            </w:pPr>
          </w:p>
        </w:tc>
        <w:tc>
          <w:tcPr>
            <w:tcW w:w="2341" w:type="dxa"/>
            <w:tcBorders>
              <w:top w:val="single" w:sz="4" w:space="0" w:color="auto"/>
              <w:left w:val="single" w:sz="4" w:space="0" w:color="auto"/>
              <w:bottom w:val="single" w:sz="4" w:space="0" w:color="auto"/>
              <w:right w:val="single" w:sz="4" w:space="0" w:color="auto"/>
            </w:tcBorders>
          </w:tcPr>
          <w:p w14:paraId="3EDA71C7" w14:textId="7C613D2F" w:rsidR="00CA5968" w:rsidRPr="00F261AC" w:rsidRDefault="00AA6BF7" w:rsidP="00CA5968">
            <w:pPr>
              <w:tabs>
                <w:tab w:val="clear" w:pos="567"/>
                <w:tab w:val="left" w:pos="720"/>
              </w:tabs>
              <w:spacing w:before="0"/>
              <w:rPr>
                <w:rFonts w:asciiTheme="minorHAnsi" w:hAnsiTheme="minorHAnsi"/>
                <w:bCs/>
                <w:sz w:val="22"/>
              </w:rPr>
            </w:pPr>
            <w:r>
              <w:rPr>
                <w:rFonts w:asciiTheme="minorHAnsi" w:hAnsiTheme="minorHAnsi" w:cstheme="minorHAnsi"/>
                <w:bCs/>
                <w:sz w:val="22"/>
              </w:rPr>
              <w:t>La disposición es aplicable para fomentar el suministro y el desarrollo de redes y servicios</w:t>
            </w:r>
            <w:r w:rsidR="00FF0DF6">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5D4BC0C6" w14:textId="39753D45" w:rsidR="00CA5968" w:rsidRPr="00F261AC" w:rsidRDefault="00AA6BF7" w:rsidP="00CA5968">
            <w:pPr>
              <w:tabs>
                <w:tab w:val="clear" w:pos="567"/>
                <w:tab w:val="left" w:pos="720"/>
              </w:tabs>
              <w:spacing w:before="0"/>
              <w:rPr>
                <w:rFonts w:asciiTheme="minorHAnsi" w:hAnsiTheme="minorHAnsi"/>
                <w:bCs/>
                <w:sz w:val="22"/>
              </w:rPr>
            </w:pPr>
            <w:r>
              <w:rPr>
                <w:rFonts w:asciiTheme="minorHAnsi" w:hAnsiTheme="minorHAnsi" w:cstheme="minorHAnsi"/>
                <w:bCs/>
                <w:sz w:val="22"/>
              </w:rPr>
              <w:t>Esta disposición garantiza la flexibilidad necesaria para dar cabida a nuevas tendencias y cuestiones emergentes</w:t>
            </w:r>
            <w:r w:rsidR="00FF0DF6">
              <w:rPr>
                <w:rFonts w:asciiTheme="minorHAnsi" w:hAnsiTheme="minorHAnsi" w:cstheme="minorHAnsi"/>
                <w:bCs/>
                <w:sz w:val="22"/>
              </w:rPr>
              <w:t>.</w:t>
            </w:r>
          </w:p>
        </w:tc>
        <w:tc>
          <w:tcPr>
            <w:tcW w:w="1860" w:type="dxa"/>
            <w:tcBorders>
              <w:top w:val="single" w:sz="4" w:space="0" w:color="auto"/>
              <w:left w:val="single" w:sz="4" w:space="0" w:color="auto"/>
              <w:bottom w:val="single" w:sz="4" w:space="0" w:color="auto"/>
              <w:right w:val="single" w:sz="4" w:space="0" w:color="auto"/>
            </w:tcBorders>
          </w:tcPr>
          <w:p w14:paraId="3E2F51D5" w14:textId="4B0D6533" w:rsidR="00CA5968" w:rsidRPr="00F261AC" w:rsidRDefault="00AA6BF7" w:rsidP="002A1B82">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3863336B" w14:textId="4212B3F3" w:rsidR="00CA5968" w:rsidRPr="00F261AC" w:rsidRDefault="00356713" w:rsidP="002A1B82">
            <w:pPr>
              <w:tabs>
                <w:tab w:val="left" w:pos="284"/>
                <w:tab w:val="left" w:pos="851"/>
                <w:tab w:val="left" w:pos="1418"/>
                <w:tab w:val="left" w:pos="1985"/>
                <w:tab w:val="left" w:pos="2552"/>
                <w:tab w:val="left" w:pos="3119"/>
                <w:tab w:val="left" w:pos="3402"/>
                <w:tab w:val="left" w:pos="3686"/>
                <w:tab w:val="left" w:pos="3969"/>
              </w:tabs>
              <w:spacing w:before="0"/>
              <w:rPr>
                <w:rFonts w:asciiTheme="minorHAnsi" w:hAnsiTheme="minorHAnsi"/>
                <w:bCs/>
                <w:sz w:val="22"/>
              </w:rPr>
            </w:pPr>
            <w:r w:rsidRPr="00356713">
              <w:rPr>
                <w:rFonts w:asciiTheme="minorHAnsi" w:hAnsiTheme="minorHAnsi"/>
                <w:bCs/>
                <w:sz w:val="22"/>
              </w:rPr>
              <w:t>Los requisitos de seguridad y solidez de las redes y la cooperación internacional en este sentido son cruciales para el éxito del desarrollo de las telecomunicaciones</w:t>
            </w:r>
          </w:p>
        </w:tc>
      </w:tr>
    </w:tbl>
    <w:p w14:paraId="7B6F6A52" w14:textId="77777777" w:rsidR="00CA5968" w:rsidRDefault="00CA5968">
      <w:pPr>
        <w:jc w:val="center"/>
        <w:rPr>
          <w:lang w:val="es-ES"/>
        </w:rPr>
      </w:pPr>
    </w:p>
    <w:p w14:paraId="7702D4DC" w14:textId="77777777" w:rsidR="00CA5968" w:rsidRDefault="00CA5968">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tbl>
      <w:tblPr>
        <w:tblStyle w:val="TableGrid"/>
        <w:tblW w:w="14460" w:type="dxa"/>
        <w:tblLayout w:type="fixed"/>
        <w:tblLook w:val="04A0" w:firstRow="1" w:lastRow="0" w:firstColumn="1" w:lastColumn="0" w:noHBand="0" w:noVBand="1"/>
      </w:tblPr>
      <w:tblGrid>
        <w:gridCol w:w="1130"/>
        <w:gridCol w:w="3547"/>
        <w:gridCol w:w="3601"/>
        <w:gridCol w:w="2341"/>
        <w:gridCol w:w="1981"/>
        <w:gridCol w:w="1860"/>
      </w:tblGrid>
      <w:tr w:rsidR="00CA5968" w:rsidRPr="00F261AC" w14:paraId="201F5708" w14:textId="77777777" w:rsidTr="00CA5968">
        <w:tc>
          <w:tcPr>
            <w:tcW w:w="1130" w:type="dxa"/>
            <w:tcBorders>
              <w:top w:val="single" w:sz="4" w:space="0" w:color="auto"/>
              <w:left w:val="single" w:sz="4" w:space="0" w:color="auto"/>
              <w:bottom w:val="single" w:sz="4" w:space="0" w:color="auto"/>
              <w:right w:val="single" w:sz="4" w:space="0" w:color="auto"/>
            </w:tcBorders>
            <w:vAlign w:val="center"/>
            <w:hideMark/>
          </w:tcPr>
          <w:p w14:paraId="4ED555F7" w14:textId="6ECF8E7B" w:rsidR="00CA5968" w:rsidRPr="00F261AC" w:rsidRDefault="00CA5968" w:rsidP="00CA5968">
            <w:pPr>
              <w:keepNext/>
              <w:tabs>
                <w:tab w:val="clear" w:pos="567"/>
                <w:tab w:val="left" w:pos="720"/>
              </w:tabs>
              <w:spacing w:before="20" w:after="20" w:line="216" w:lineRule="auto"/>
              <w:jc w:val="center"/>
              <w:rPr>
                <w:rFonts w:asciiTheme="minorHAnsi" w:hAnsiTheme="minorHAnsi" w:cstheme="minorHAnsi"/>
                <w:b/>
                <w:sz w:val="22"/>
              </w:rPr>
            </w:pPr>
            <w:r w:rsidRPr="00CA5968">
              <w:rPr>
                <w:b/>
                <w:bCs/>
                <w:lang w:val="es-ES" w:eastAsia="zh-CN"/>
              </w:rPr>
              <w:lastRenderedPageBreak/>
              <w:t>Artículo de 2012</w:t>
            </w:r>
          </w:p>
        </w:tc>
        <w:tc>
          <w:tcPr>
            <w:tcW w:w="3547" w:type="dxa"/>
            <w:tcBorders>
              <w:top w:val="single" w:sz="4" w:space="0" w:color="auto"/>
              <w:left w:val="single" w:sz="4" w:space="0" w:color="auto"/>
              <w:bottom w:val="single" w:sz="4" w:space="0" w:color="auto"/>
              <w:right w:val="single" w:sz="4" w:space="0" w:color="auto"/>
            </w:tcBorders>
            <w:vAlign w:val="center"/>
            <w:hideMark/>
          </w:tcPr>
          <w:p w14:paraId="694FC516" w14:textId="4B16F41D" w:rsidR="00CA5968" w:rsidRPr="00F261AC" w:rsidRDefault="00CA5968" w:rsidP="00CA5968">
            <w:pPr>
              <w:keepNext/>
              <w:tabs>
                <w:tab w:val="clear" w:pos="567"/>
                <w:tab w:val="left" w:pos="720"/>
              </w:tabs>
              <w:spacing w:before="0"/>
              <w:ind w:right="130"/>
              <w:jc w:val="center"/>
              <w:rPr>
                <w:rFonts w:asciiTheme="minorHAnsi" w:hAnsiTheme="minorHAnsi" w:cstheme="minorHAnsi"/>
                <w:b/>
                <w:sz w:val="22"/>
              </w:rPr>
            </w:pPr>
            <w:r w:rsidRPr="00CA5968">
              <w:rPr>
                <w:b/>
                <w:bCs/>
                <w:lang w:val="es-ES" w:eastAsia="zh-CN"/>
              </w:rPr>
              <w:t>Párrafo y disposición</w:t>
            </w:r>
          </w:p>
        </w:tc>
        <w:tc>
          <w:tcPr>
            <w:tcW w:w="3601" w:type="dxa"/>
            <w:tcBorders>
              <w:top w:val="single" w:sz="4" w:space="0" w:color="auto"/>
              <w:left w:val="single" w:sz="4" w:space="0" w:color="auto"/>
              <w:bottom w:val="single" w:sz="4" w:space="0" w:color="auto"/>
              <w:right w:val="single" w:sz="4" w:space="0" w:color="auto"/>
            </w:tcBorders>
            <w:vAlign w:val="center"/>
            <w:hideMark/>
          </w:tcPr>
          <w:p w14:paraId="3448CD76" w14:textId="70CA943A" w:rsidR="00CA5968" w:rsidRPr="00F261AC" w:rsidRDefault="00CA5968" w:rsidP="00CA5968">
            <w:pPr>
              <w:keepNext/>
              <w:tabs>
                <w:tab w:val="clear" w:pos="567"/>
                <w:tab w:val="left" w:pos="720"/>
              </w:tabs>
              <w:spacing w:before="20" w:after="20" w:line="216" w:lineRule="auto"/>
              <w:ind w:left="-57" w:right="44"/>
              <w:jc w:val="center"/>
              <w:rPr>
                <w:rFonts w:asciiTheme="minorHAnsi" w:hAnsiTheme="minorHAnsi" w:cstheme="minorHAnsi"/>
                <w:b/>
                <w:sz w:val="22"/>
              </w:rPr>
            </w:pPr>
            <w:r w:rsidRPr="00CA5968">
              <w:rPr>
                <w:b/>
                <w:bCs/>
                <w:lang w:val="es-ES" w:eastAsia="zh-CN"/>
              </w:rPr>
              <w:t xml:space="preserve">Párrafo y disposición </w:t>
            </w:r>
            <w:r w:rsidRPr="00CA5968">
              <w:rPr>
                <w:b/>
                <w:bCs/>
                <w:lang w:val="es-ES" w:eastAsia="zh-CN"/>
              </w:rPr>
              <w:br/>
              <w:t>conexos de 1988</w:t>
            </w:r>
          </w:p>
        </w:tc>
        <w:tc>
          <w:tcPr>
            <w:tcW w:w="2341" w:type="dxa"/>
            <w:tcBorders>
              <w:top w:val="single" w:sz="4" w:space="0" w:color="auto"/>
              <w:left w:val="single" w:sz="4" w:space="0" w:color="auto"/>
              <w:bottom w:val="single" w:sz="4" w:space="0" w:color="auto"/>
              <w:right w:val="single" w:sz="4" w:space="0" w:color="auto"/>
            </w:tcBorders>
            <w:vAlign w:val="center"/>
            <w:hideMark/>
          </w:tcPr>
          <w:p w14:paraId="67FEF3FE" w14:textId="310758D7" w:rsidR="00CA5968" w:rsidRPr="00F261AC" w:rsidRDefault="00CA5968" w:rsidP="00CA5968">
            <w:pPr>
              <w:keepNext/>
              <w:tabs>
                <w:tab w:val="clear" w:pos="567"/>
                <w:tab w:val="left" w:pos="720"/>
              </w:tabs>
              <w:spacing w:before="20" w:after="20" w:line="216" w:lineRule="auto"/>
              <w:jc w:val="center"/>
              <w:rPr>
                <w:rFonts w:asciiTheme="minorHAnsi" w:hAnsiTheme="minorHAnsi" w:cstheme="minorHAnsi"/>
                <w:b/>
                <w:sz w:val="22"/>
              </w:rPr>
            </w:pPr>
            <w:r w:rsidRPr="00CA5968">
              <w:rPr>
                <w:b/>
                <w:bCs/>
                <w:lang w:val="es-ES" w:eastAsia="zh-CN"/>
              </w:rPr>
              <w:t xml:space="preserve">Aplicabilidad </w:t>
            </w:r>
            <w:r w:rsidRPr="00CA5968">
              <w:rPr>
                <w:b/>
                <w:bCs/>
                <w:lang w:val="es-ES" w:eastAsia="zh-CN"/>
              </w:rPr>
              <w:br/>
              <w:t xml:space="preserve">para fomentar </w:t>
            </w:r>
            <w:r w:rsidRPr="00CA5968">
              <w:rPr>
                <w:b/>
                <w:bCs/>
                <w:lang w:val="es-ES" w:eastAsia="zh-CN"/>
              </w:rPr>
              <w:br/>
              <w:t xml:space="preserve">la prestación y el desarrollo de redes </w:t>
            </w:r>
            <w:r w:rsidRPr="00CA5968">
              <w:rPr>
                <w:b/>
                <w:bCs/>
                <w:lang w:val="es-ES" w:eastAsia="zh-CN"/>
              </w:rPr>
              <w:br/>
              <w:t>y servicios</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AE34618" w14:textId="3CD28619" w:rsidR="00CA5968" w:rsidRPr="00F261AC" w:rsidRDefault="00CA5968" w:rsidP="00CA5968">
            <w:pPr>
              <w:keepNext/>
              <w:tabs>
                <w:tab w:val="clear" w:pos="567"/>
                <w:tab w:val="left" w:pos="720"/>
              </w:tabs>
              <w:spacing w:before="20" w:after="20" w:line="216" w:lineRule="auto"/>
              <w:jc w:val="center"/>
              <w:rPr>
                <w:rFonts w:asciiTheme="minorHAnsi" w:hAnsiTheme="minorHAnsi" w:cstheme="minorHAnsi"/>
                <w:b/>
                <w:sz w:val="22"/>
              </w:rPr>
            </w:pPr>
            <w:r w:rsidRPr="00CA5968">
              <w:rPr>
                <w:b/>
                <w:bCs/>
                <w:lang w:val="es-ES" w:eastAsia="zh-CN"/>
              </w:rPr>
              <w:t>Flexibilidad para adaptarse a las nuevas tendencias y a los problemas emergentes</w:t>
            </w:r>
          </w:p>
        </w:tc>
        <w:tc>
          <w:tcPr>
            <w:tcW w:w="1860" w:type="dxa"/>
            <w:tcBorders>
              <w:top w:val="single" w:sz="4" w:space="0" w:color="auto"/>
              <w:left w:val="single" w:sz="4" w:space="0" w:color="auto"/>
              <w:bottom w:val="single" w:sz="4" w:space="0" w:color="auto"/>
              <w:right w:val="single" w:sz="4" w:space="0" w:color="auto"/>
            </w:tcBorders>
            <w:vAlign w:val="center"/>
            <w:hideMark/>
          </w:tcPr>
          <w:p w14:paraId="3C04D2FF" w14:textId="0C68B249" w:rsidR="00CA5968" w:rsidRPr="00F261AC" w:rsidRDefault="00CA5968" w:rsidP="00CA5968">
            <w:pPr>
              <w:keepNext/>
              <w:tabs>
                <w:tab w:val="clear" w:pos="567"/>
                <w:tab w:val="clear" w:pos="1134"/>
                <w:tab w:val="clear" w:pos="1701"/>
                <w:tab w:val="clear" w:pos="2268"/>
                <w:tab w:val="clear" w:pos="2835"/>
                <w:tab w:val="left" w:pos="3119"/>
                <w:tab w:val="left" w:pos="3402"/>
                <w:tab w:val="left" w:pos="3686"/>
                <w:tab w:val="left" w:pos="3969"/>
              </w:tabs>
              <w:spacing w:before="20" w:after="20" w:line="216" w:lineRule="auto"/>
              <w:jc w:val="center"/>
              <w:rPr>
                <w:rFonts w:asciiTheme="minorHAnsi" w:hAnsiTheme="minorHAnsi" w:cstheme="minorHAnsi"/>
                <w:b/>
                <w:sz w:val="22"/>
              </w:rPr>
            </w:pPr>
            <w:r w:rsidRPr="00CA5968">
              <w:rPr>
                <w:b/>
                <w:bCs/>
                <w:lang w:val="es-ES" w:eastAsia="zh-CN"/>
              </w:rPr>
              <w:t>Resultado resumido</w:t>
            </w:r>
          </w:p>
        </w:tc>
      </w:tr>
      <w:tr w:rsidR="00CA5968" w:rsidRPr="00F261AC" w14:paraId="34950DC8" w14:textId="77777777" w:rsidTr="00CA5968">
        <w:tblPrEx>
          <w:tblCellMar>
            <w:left w:w="14" w:type="dxa"/>
            <w:right w:w="14" w:type="dxa"/>
          </w:tblCellMar>
        </w:tblPrEx>
        <w:trPr>
          <w:trHeight w:val="2432"/>
        </w:trPr>
        <w:tc>
          <w:tcPr>
            <w:tcW w:w="1130" w:type="dxa"/>
            <w:vMerge w:val="restart"/>
            <w:tcBorders>
              <w:top w:val="single" w:sz="4" w:space="0" w:color="auto"/>
              <w:left w:val="single" w:sz="4" w:space="0" w:color="auto"/>
              <w:right w:val="single" w:sz="4" w:space="0" w:color="auto"/>
            </w:tcBorders>
            <w:textDirection w:val="btLr"/>
          </w:tcPr>
          <w:p w14:paraId="6D5A91F0" w14:textId="50CF3597" w:rsidR="00CA5968" w:rsidRPr="00F261AC" w:rsidRDefault="00CB698C" w:rsidP="00CA5968">
            <w:pPr>
              <w:keepNext/>
              <w:keepLines/>
              <w:tabs>
                <w:tab w:val="clear" w:pos="567"/>
                <w:tab w:val="left" w:pos="720"/>
              </w:tabs>
              <w:overflowPunct/>
              <w:autoSpaceDE/>
              <w:adjustRightInd/>
              <w:spacing w:before="0"/>
              <w:ind w:left="113" w:right="113"/>
              <w:jc w:val="center"/>
              <w:rPr>
                <w:rFonts w:asciiTheme="minorHAnsi" w:hAnsiTheme="minorHAnsi"/>
                <w:b/>
                <w:bCs/>
                <w:sz w:val="22"/>
              </w:rPr>
            </w:pPr>
            <w:bookmarkStart w:id="10" w:name="_Toc351558972"/>
            <w:r>
              <w:t>ARTÍCULO</w:t>
            </w:r>
            <w:r w:rsidR="00CA5968" w:rsidRPr="00F261AC">
              <w:t xml:space="preserve"> </w:t>
            </w:r>
            <w:r w:rsidR="00CA5968" w:rsidRPr="00F261AC">
              <w:rPr>
                <w:rStyle w:val="href"/>
              </w:rPr>
              <w:t>7</w:t>
            </w:r>
            <w:bookmarkEnd w:id="10"/>
          </w:p>
          <w:p w14:paraId="2850E6BB" w14:textId="4BDBA1E6" w:rsidR="00CA5968" w:rsidRPr="00F261AC" w:rsidRDefault="00CB698C" w:rsidP="00CA5968">
            <w:pPr>
              <w:tabs>
                <w:tab w:val="clear" w:pos="567"/>
                <w:tab w:val="left" w:pos="720"/>
              </w:tabs>
              <w:spacing w:before="0"/>
              <w:ind w:left="113" w:right="113"/>
              <w:jc w:val="both"/>
              <w:rPr>
                <w:rFonts w:asciiTheme="minorHAnsi" w:hAnsiTheme="minorHAnsi"/>
                <w:bCs/>
                <w:sz w:val="22"/>
              </w:rPr>
            </w:pPr>
            <w:r w:rsidRPr="00CB698C">
              <w:rPr>
                <w:b/>
                <w:bCs/>
              </w:rPr>
              <w:t>Comunicaciones electrónicas masivas no solicitadas</w:t>
            </w:r>
          </w:p>
        </w:tc>
        <w:tc>
          <w:tcPr>
            <w:tcW w:w="3547" w:type="dxa"/>
            <w:tcBorders>
              <w:top w:val="single" w:sz="4" w:space="0" w:color="auto"/>
              <w:left w:val="single" w:sz="4" w:space="0" w:color="auto"/>
              <w:bottom w:val="single" w:sz="4" w:space="0" w:color="auto"/>
              <w:right w:val="single" w:sz="4" w:space="0" w:color="auto"/>
            </w:tcBorders>
            <w:hideMark/>
          </w:tcPr>
          <w:p w14:paraId="42B06F32" w14:textId="2A328D9D" w:rsidR="00CA5968" w:rsidRPr="00F261AC" w:rsidRDefault="00CA5968" w:rsidP="00CA5968">
            <w:pPr>
              <w:tabs>
                <w:tab w:val="clear" w:pos="567"/>
                <w:tab w:val="left" w:pos="720"/>
              </w:tabs>
              <w:spacing w:before="0"/>
              <w:ind w:right="130"/>
              <w:rPr>
                <w:rFonts w:asciiTheme="minorHAnsi" w:eastAsia="SimSun" w:hAnsiTheme="minorHAnsi" w:cs="Times New Roman Bold"/>
                <w:b/>
                <w:bCs/>
                <w:iCs/>
                <w:color w:val="000000"/>
                <w:sz w:val="22"/>
              </w:rPr>
            </w:pPr>
            <w:r w:rsidRPr="00F261AC">
              <w:rPr>
                <w:rStyle w:val="Artdef"/>
                <w:rFonts w:cs="Times New Roman"/>
              </w:rPr>
              <w:t>50</w:t>
            </w:r>
            <w:r w:rsidRPr="00F261AC">
              <w:tab/>
              <w:t>7.1</w:t>
            </w:r>
            <w:r w:rsidRPr="00F261AC">
              <w:tab/>
            </w:r>
            <w:r w:rsidR="009B791B" w:rsidRPr="009B791B">
              <w:t>Los Estados Miembros deben procurar tomar las medidas necesarias para evitar la propagación de comunicaciones electrónicas masivas no solicitadas y minimizar sus efectos en los servicios internacionales de telecomunicación</w:t>
            </w:r>
            <w:r w:rsidRPr="00F261AC">
              <w:t>.</w:t>
            </w:r>
            <w:r w:rsidRPr="00F261AC">
              <w:rPr>
                <w:rFonts w:asciiTheme="minorHAnsi" w:eastAsia="SimSun" w:hAnsiTheme="minorHAnsi" w:cs="Times New Roman Bold"/>
                <w:b/>
                <w:bCs/>
                <w:iCs/>
                <w:color w:val="000000"/>
                <w:sz w:val="22"/>
              </w:rPr>
              <w:t xml:space="preserve"> </w:t>
            </w:r>
          </w:p>
          <w:p w14:paraId="05A6B426" w14:textId="77777777" w:rsidR="00CA5968" w:rsidRPr="00F261AC" w:rsidRDefault="00CA5968" w:rsidP="00CA5968">
            <w:pPr>
              <w:tabs>
                <w:tab w:val="clear" w:pos="567"/>
                <w:tab w:val="left" w:pos="720"/>
              </w:tabs>
              <w:spacing w:before="0"/>
              <w:ind w:right="130"/>
              <w:rPr>
                <w:rFonts w:asciiTheme="minorHAnsi" w:hAnsiTheme="minorHAnsi"/>
                <w:bCs/>
                <w:sz w:val="22"/>
              </w:rPr>
            </w:pPr>
          </w:p>
        </w:tc>
        <w:tc>
          <w:tcPr>
            <w:tcW w:w="3601" w:type="dxa"/>
            <w:vMerge w:val="restart"/>
            <w:tcBorders>
              <w:top w:val="single" w:sz="4" w:space="0" w:color="auto"/>
              <w:left w:val="single" w:sz="4" w:space="0" w:color="auto"/>
              <w:right w:val="single" w:sz="4" w:space="0" w:color="auto"/>
            </w:tcBorders>
          </w:tcPr>
          <w:p w14:paraId="0BA170CE" w14:textId="020A3E4D" w:rsidR="00E61738" w:rsidRPr="00E61738" w:rsidRDefault="00E61738" w:rsidP="00E61738">
            <w:pPr>
              <w:tabs>
                <w:tab w:val="clear" w:pos="567"/>
                <w:tab w:val="left" w:pos="720"/>
              </w:tabs>
              <w:spacing w:before="0"/>
              <w:ind w:right="44"/>
              <w:rPr>
                <w:rFonts w:asciiTheme="minorHAnsi" w:hAnsiTheme="minorHAnsi"/>
                <w:bCs/>
                <w:i/>
                <w:iCs/>
                <w:sz w:val="22"/>
              </w:rPr>
            </w:pPr>
            <w:r w:rsidRPr="00E61738">
              <w:rPr>
                <w:rFonts w:asciiTheme="minorHAnsi" w:hAnsiTheme="minorHAnsi"/>
                <w:bCs/>
                <w:i/>
                <w:iCs/>
                <w:sz w:val="22"/>
              </w:rPr>
              <w:t xml:space="preserve">El </w:t>
            </w:r>
            <w:r>
              <w:rPr>
                <w:rFonts w:asciiTheme="minorHAnsi" w:hAnsiTheme="minorHAnsi"/>
                <w:bCs/>
                <w:i/>
                <w:iCs/>
                <w:sz w:val="22"/>
              </w:rPr>
              <w:t>RTI</w:t>
            </w:r>
            <w:r w:rsidRPr="00E61738">
              <w:rPr>
                <w:rFonts w:asciiTheme="minorHAnsi" w:hAnsiTheme="minorHAnsi"/>
                <w:bCs/>
                <w:i/>
                <w:iCs/>
                <w:sz w:val="22"/>
              </w:rPr>
              <w:t xml:space="preserve"> de 1988 no contiene un artículo de este tipo, ya que la cuestión no </w:t>
            </w:r>
            <w:r>
              <w:rPr>
                <w:rFonts w:asciiTheme="minorHAnsi" w:hAnsiTheme="minorHAnsi"/>
                <w:bCs/>
                <w:i/>
                <w:iCs/>
                <w:sz w:val="22"/>
              </w:rPr>
              <w:t xml:space="preserve">se planteaba en </w:t>
            </w:r>
            <w:r w:rsidR="00FF0DF6">
              <w:rPr>
                <w:rFonts w:asciiTheme="minorHAnsi" w:hAnsiTheme="minorHAnsi"/>
                <w:bCs/>
                <w:i/>
                <w:iCs/>
                <w:sz w:val="22"/>
              </w:rPr>
              <w:t>aquel</w:t>
            </w:r>
            <w:r w:rsidRPr="00E61738">
              <w:rPr>
                <w:rFonts w:asciiTheme="minorHAnsi" w:hAnsiTheme="minorHAnsi"/>
                <w:bCs/>
                <w:i/>
                <w:iCs/>
                <w:sz w:val="22"/>
              </w:rPr>
              <w:t xml:space="preserve"> momento.</w:t>
            </w:r>
          </w:p>
          <w:p w14:paraId="4B714097" w14:textId="77777777" w:rsidR="00E61738" w:rsidRPr="00E61738" w:rsidRDefault="00E61738" w:rsidP="00E61738">
            <w:pPr>
              <w:tabs>
                <w:tab w:val="clear" w:pos="567"/>
                <w:tab w:val="left" w:pos="720"/>
              </w:tabs>
              <w:spacing w:before="0"/>
              <w:ind w:right="44"/>
              <w:rPr>
                <w:rFonts w:asciiTheme="minorHAnsi" w:hAnsiTheme="minorHAnsi"/>
                <w:bCs/>
                <w:i/>
                <w:iCs/>
                <w:sz w:val="22"/>
              </w:rPr>
            </w:pPr>
            <w:r w:rsidRPr="00E61738">
              <w:rPr>
                <w:rFonts w:asciiTheme="minorHAnsi" w:hAnsiTheme="minorHAnsi"/>
                <w:bCs/>
                <w:i/>
                <w:iCs/>
                <w:sz w:val="22"/>
              </w:rPr>
              <w:t>Las comunicaciones electrónicas masivas no solicitadas crean problemas considerables para los operadores de telecomunicaciones y los consumidores.</w:t>
            </w:r>
          </w:p>
          <w:p w14:paraId="3838935C" w14:textId="270A17A1" w:rsidR="00CA5968" w:rsidRPr="00333E47" w:rsidRDefault="00E61738" w:rsidP="00E61738">
            <w:pPr>
              <w:tabs>
                <w:tab w:val="clear" w:pos="567"/>
                <w:tab w:val="left" w:pos="720"/>
              </w:tabs>
              <w:spacing w:before="0"/>
              <w:ind w:right="44"/>
              <w:rPr>
                <w:rFonts w:asciiTheme="minorHAnsi" w:hAnsiTheme="minorHAnsi"/>
                <w:bCs/>
                <w:i/>
                <w:iCs/>
                <w:sz w:val="22"/>
              </w:rPr>
            </w:pPr>
            <w:r w:rsidRPr="00E61738">
              <w:rPr>
                <w:rFonts w:asciiTheme="minorHAnsi" w:hAnsiTheme="minorHAnsi"/>
                <w:bCs/>
                <w:i/>
                <w:iCs/>
                <w:sz w:val="22"/>
              </w:rPr>
              <w:t xml:space="preserve">La ausencia de obligaciones en virtud de este artículo puede utilizarse intencionalmente o no para afectar negativamente </w:t>
            </w:r>
            <w:r>
              <w:rPr>
                <w:rFonts w:asciiTheme="minorHAnsi" w:hAnsiTheme="minorHAnsi"/>
                <w:bCs/>
                <w:i/>
                <w:iCs/>
                <w:sz w:val="22"/>
              </w:rPr>
              <w:t>a la calidad de</w:t>
            </w:r>
            <w:r w:rsidRPr="00E61738">
              <w:rPr>
                <w:rFonts w:asciiTheme="minorHAnsi" w:hAnsiTheme="minorHAnsi"/>
                <w:bCs/>
                <w:i/>
                <w:iCs/>
                <w:sz w:val="22"/>
              </w:rPr>
              <w:t xml:space="preserve"> funcionamiento de las redes de telecomunicaciones y/o al nivel de los servicios de telecomunicaciones.</w:t>
            </w:r>
          </w:p>
        </w:tc>
        <w:tc>
          <w:tcPr>
            <w:tcW w:w="2341" w:type="dxa"/>
            <w:tcBorders>
              <w:top w:val="single" w:sz="4" w:space="0" w:color="auto"/>
              <w:left w:val="single" w:sz="4" w:space="0" w:color="auto"/>
              <w:right w:val="single" w:sz="4" w:space="0" w:color="auto"/>
            </w:tcBorders>
            <w:hideMark/>
          </w:tcPr>
          <w:p w14:paraId="6D79F4AE" w14:textId="61BC4A05" w:rsidR="00CA5968" w:rsidRPr="00F261AC" w:rsidRDefault="00AA6BF7" w:rsidP="00CA5968">
            <w:pPr>
              <w:tabs>
                <w:tab w:val="clear" w:pos="567"/>
                <w:tab w:val="left" w:pos="720"/>
              </w:tabs>
              <w:spacing w:before="0"/>
              <w:rPr>
                <w:rFonts w:asciiTheme="minorHAnsi" w:hAnsiTheme="minorHAnsi"/>
                <w:bCs/>
                <w:sz w:val="22"/>
              </w:rPr>
            </w:pPr>
            <w:r>
              <w:rPr>
                <w:rFonts w:asciiTheme="minorHAnsi" w:hAnsiTheme="minorHAnsi" w:cstheme="minorHAnsi"/>
                <w:bCs/>
                <w:sz w:val="22"/>
              </w:rPr>
              <w:t>La disposición es aplicable para fomentar el suministro y el desarrollo de redes y servicios</w:t>
            </w:r>
            <w:r w:rsidR="00FF0DF6">
              <w:rPr>
                <w:rFonts w:asciiTheme="minorHAnsi" w:hAnsiTheme="minorHAnsi" w:cstheme="minorHAnsi"/>
                <w:bCs/>
                <w:sz w:val="22"/>
              </w:rPr>
              <w:t>.</w:t>
            </w:r>
          </w:p>
        </w:tc>
        <w:tc>
          <w:tcPr>
            <w:tcW w:w="1981" w:type="dxa"/>
            <w:tcBorders>
              <w:top w:val="single" w:sz="4" w:space="0" w:color="auto"/>
              <w:left w:val="single" w:sz="4" w:space="0" w:color="auto"/>
              <w:right w:val="single" w:sz="4" w:space="0" w:color="auto"/>
            </w:tcBorders>
            <w:hideMark/>
          </w:tcPr>
          <w:p w14:paraId="7AACA341" w14:textId="6ADFBB35" w:rsidR="00CA5968" w:rsidRPr="00F261AC" w:rsidRDefault="00AA6BF7" w:rsidP="00CA5968">
            <w:pPr>
              <w:tabs>
                <w:tab w:val="clear" w:pos="567"/>
                <w:tab w:val="left" w:pos="720"/>
              </w:tabs>
              <w:spacing w:before="0"/>
              <w:rPr>
                <w:rFonts w:asciiTheme="minorHAnsi" w:hAnsiTheme="minorHAnsi"/>
                <w:bCs/>
                <w:sz w:val="22"/>
              </w:rPr>
            </w:pPr>
            <w:r>
              <w:rPr>
                <w:rFonts w:asciiTheme="minorHAnsi" w:hAnsiTheme="minorHAnsi" w:cstheme="minorHAnsi"/>
                <w:bCs/>
                <w:sz w:val="22"/>
              </w:rPr>
              <w:t>Esta disposición garantiza la flexibilidad necesaria para dar cabida a nuevas tendencias y cuestiones emergentes</w:t>
            </w:r>
            <w:r w:rsidR="00FF0DF6">
              <w:rPr>
                <w:rFonts w:asciiTheme="minorHAnsi" w:hAnsiTheme="minorHAnsi" w:cstheme="minorHAnsi"/>
                <w:bCs/>
                <w:sz w:val="22"/>
              </w:rPr>
              <w:t>.</w:t>
            </w:r>
          </w:p>
        </w:tc>
        <w:tc>
          <w:tcPr>
            <w:tcW w:w="1860" w:type="dxa"/>
            <w:tcBorders>
              <w:top w:val="single" w:sz="4" w:space="0" w:color="auto"/>
              <w:left w:val="single" w:sz="4" w:space="0" w:color="auto"/>
              <w:right w:val="single" w:sz="4" w:space="0" w:color="auto"/>
            </w:tcBorders>
            <w:hideMark/>
          </w:tcPr>
          <w:p w14:paraId="4BFFF21E" w14:textId="29FF67AF" w:rsidR="00CA5968" w:rsidRPr="00F261AC" w:rsidRDefault="00AA6BF7" w:rsidP="00135FA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34F84C54" w14:textId="59F805FF" w:rsidR="00CA5968" w:rsidRPr="00F261AC" w:rsidRDefault="00356713" w:rsidP="00135FA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bCs/>
                <w:sz w:val="22"/>
                <w:highlight w:val="cyan"/>
              </w:rPr>
            </w:pPr>
            <w:r w:rsidRPr="00356713">
              <w:rPr>
                <w:rFonts w:asciiTheme="minorHAnsi" w:hAnsiTheme="minorHAnsi"/>
                <w:bCs/>
                <w:sz w:val="22"/>
              </w:rPr>
              <w:t>Esos mensajes crean problemas considerables para los operadores de telecomunicaciones y los consumidores</w:t>
            </w:r>
            <w:r>
              <w:rPr>
                <w:rFonts w:asciiTheme="minorHAnsi" w:hAnsiTheme="minorHAnsi"/>
                <w:bCs/>
                <w:sz w:val="22"/>
              </w:rPr>
              <w:t>.</w:t>
            </w:r>
          </w:p>
        </w:tc>
      </w:tr>
      <w:tr w:rsidR="00CA5968" w:rsidRPr="00F261AC" w14:paraId="168BCAE6" w14:textId="77777777" w:rsidTr="00CA5968">
        <w:tblPrEx>
          <w:tblCellMar>
            <w:left w:w="14" w:type="dxa"/>
            <w:right w:w="14" w:type="dxa"/>
          </w:tblCellMar>
        </w:tblPrEx>
        <w:trPr>
          <w:trHeight w:val="2431"/>
        </w:trPr>
        <w:tc>
          <w:tcPr>
            <w:tcW w:w="1130" w:type="dxa"/>
            <w:vMerge/>
            <w:tcBorders>
              <w:left w:val="single" w:sz="4" w:space="0" w:color="auto"/>
              <w:right w:val="single" w:sz="4" w:space="0" w:color="auto"/>
            </w:tcBorders>
            <w:textDirection w:val="btLr"/>
          </w:tcPr>
          <w:p w14:paraId="553E6E46"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57194B3F" w14:textId="52946E6D" w:rsidR="00CA5968" w:rsidRPr="00F261AC" w:rsidRDefault="00CA5968" w:rsidP="00CA5968">
            <w:pPr>
              <w:tabs>
                <w:tab w:val="clear" w:pos="567"/>
                <w:tab w:val="left" w:pos="720"/>
              </w:tabs>
              <w:spacing w:before="0"/>
              <w:ind w:right="130"/>
              <w:rPr>
                <w:rStyle w:val="Artdef"/>
              </w:rPr>
            </w:pPr>
            <w:r w:rsidRPr="00F261AC">
              <w:rPr>
                <w:rStyle w:val="Artdef"/>
                <w:rFonts w:cs="Times New Roman"/>
                <w:bCs/>
              </w:rPr>
              <w:t>51</w:t>
            </w:r>
            <w:r w:rsidRPr="00F261AC">
              <w:tab/>
              <w:t>7.2</w:t>
            </w:r>
            <w:r w:rsidRPr="00F261AC">
              <w:tab/>
            </w:r>
            <w:r w:rsidR="009B791B" w:rsidRPr="009B791B">
              <w:t>Se alienta a los Estados Miembros a cooperar en ese sentido</w:t>
            </w:r>
            <w:r w:rsidRPr="00F261AC">
              <w:t>.</w:t>
            </w:r>
          </w:p>
        </w:tc>
        <w:tc>
          <w:tcPr>
            <w:tcW w:w="3601" w:type="dxa"/>
            <w:vMerge/>
            <w:tcBorders>
              <w:left w:val="single" w:sz="4" w:space="0" w:color="auto"/>
              <w:bottom w:val="single" w:sz="4" w:space="0" w:color="auto"/>
              <w:right w:val="single" w:sz="4" w:space="0" w:color="auto"/>
            </w:tcBorders>
          </w:tcPr>
          <w:p w14:paraId="0068853C" w14:textId="77777777" w:rsidR="00CA5968" w:rsidRPr="00F261AC" w:rsidRDefault="00CA5968" w:rsidP="00CA5968">
            <w:pPr>
              <w:tabs>
                <w:tab w:val="clear" w:pos="567"/>
                <w:tab w:val="left" w:pos="720"/>
              </w:tabs>
              <w:spacing w:before="0"/>
              <w:ind w:right="44"/>
              <w:rPr>
                <w:rFonts w:asciiTheme="minorHAnsi" w:eastAsia="SimSun" w:hAnsiTheme="minorHAnsi" w:cs="Times New Roman Bold"/>
                <w:iCs/>
                <w:color w:val="000000"/>
                <w:sz w:val="22"/>
              </w:rPr>
            </w:pPr>
          </w:p>
        </w:tc>
        <w:tc>
          <w:tcPr>
            <w:tcW w:w="2341" w:type="dxa"/>
            <w:tcBorders>
              <w:left w:val="single" w:sz="4" w:space="0" w:color="auto"/>
              <w:bottom w:val="single" w:sz="4" w:space="0" w:color="auto"/>
              <w:right w:val="single" w:sz="4" w:space="0" w:color="auto"/>
            </w:tcBorders>
          </w:tcPr>
          <w:p w14:paraId="44CBFE00" w14:textId="0F708660" w:rsidR="00CA5968" w:rsidRPr="00F261AC" w:rsidRDefault="00AA6BF7" w:rsidP="00CA5968">
            <w:pPr>
              <w:tabs>
                <w:tab w:val="clear" w:pos="567"/>
                <w:tab w:val="left" w:pos="720"/>
              </w:tabs>
              <w:spacing w:before="0"/>
              <w:rPr>
                <w:rFonts w:asciiTheme="minorHAnsi" w:hAnsiTheme="minorHAnsi"/>
                <w:bCs/>
                <w:sz w:val="22"/>
              </w:rPr>
            </w:pPr>
            <w:r>
              <w:rPr>
                <w:rFonts w:asciiTheme="minorHAnsi" w:hAnsiTheme="minorHAnsi" w:cstheme="minorHAnsi"/>
                <w:bCs/>
                <w:sz w:val="22"/>
              </w:rPr>
              <w:t>La disposición es aplicable para fomentar el suministro y el desarrollo de redes y servicios</w:t>
            </w:r>
            <w:r w:rsidR="00FF0DF6">
              <w:rPr>
                <w:rFonts w:asciiTheme="minorHAnsi" w:hAnsiTheme="minorHAnsi" w:cstheme="minorHAnsi"/>
                <w:bCs/>
                <w:sz w:val="22"/>
              </w:rPr>
              <w:t>.</w:t>
            </w:r>
          </w:p>
        </w:tc>
        <w:tc>
          <w:tcPr>
            <w:tcW w:w="1981" w:type="dxa"/>
            <w:tcBorders>
              <w:left w:val="single" w:sz="4" w:space="0" w:color="auto"/>
              <w:bottom w:val="single" w:sz="4" w:space="0" w:color="auto"/>
              <w:right w:val="single" w:sz="4" w:space="0" w:color="auto"/>
            </w:tcBorders>
          </w:tcPr>
          <w:p w14:paraId="60DC3079" w14:textId="241DD226" w:rsidR="00CA5968" w:rsidRPr="00F261AC" w:rsidRDefault="00AA6BF7" w:rsidP="00CA5968">
            <w:pPr>
              <w:tabs>
                <w:tab w:val="clear" w:pos="567"/>
                <w:tab w:val="left" w:pos="720"/>
              </w:tabs>
              <w:spacing w:before="0"/>
              <w:rPr>
                <w:rFonts w:asciiTheme="minorHAnsi" w:hAnsiTheme="minorHAnsi"/>
                <w:bCs/>
                <w:sz w:val="22"/>
              </w:rPr>
            </w:pPr>
            <w:r>
              <w:rPr>
                <w:rFonts w:asciiTheme="minorHAnsi" w:hAnsiTheme="minorHAnsi" w:cstheme="minorHAnsi"/>
                <w:bCs/>
                <w:sz w:val="22"/>
              </w:rPr>
              <w:t>Esta disposición garantiza la flexibilidad necesaria para dar cabida a nuevas tendencias y cuestiones emergentes</w:t>
            </w:r>
            <w:r w:rsidR="00FF0DF6">
              <w:rPr>
                <w:rFonts w:asciiTheme="minorHAnsi" w:hAnsiTheme="minorHAnsi" w:cstheme="minorHAnsi"/>
                <w:bCs/>
                <w:sz w:val="22"/>
              </w:rPr>
              <w:t>.</w:t>
            </w:r>
          </w:p>
        </w:tc>
        <w:tc>
          <w:tcPr>
            <w:tcW w:w="1860" w:type="dxa"/>
            <w:tcBorders>
              <w:left w:val="single" w:sz="4" w:space="0" w:color="auto"/>
              <w:bottom w:val="single" w:sz="4" w:space="0" w:color="auto"/>
              <w:right w:val="single" w:sz="4" w:space="0" w:color="auto"/>
            </w:tcBorders>
          </w:tcPr>
          <w:p w14:paraId="7A3C7E73" w14:textId="2177F673" w:rsidR="00CA5968" w:rsidRPr="00F261AC" w:rsidRDefault="00AA6BF7" w:rsidP="00135FA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7DCC0293" w14:textId="77777777" w:rsidR="00CA5968" w:rsidRPr="00F261AC" w:rsidRDefault="00CA5968" w:rsidP="00135FA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bCs/>
                <w:sz w:val="22"/>
              </w:rPr>
            </w:pPr>
          </w:p>
        </w:tc>
      </w:tr>
    </w:tbl>
    <w:p w14:paraId="6C2155ED" w14:textId="77777777" w:rsidR="00CA5968" w:rsidRDefault="00CA5968">
      <w:pPr>
        <w:jc w:val="center"/>
        <w:rPr>
          <w:lang w:val="es-ES"/>
        </w:rPr>
      </w:pPr>
    </w:p>
    <w:p w14:paraId="1A882061" w14:textId="77777777" w:rsidR="00CA5968" w:rsidRDefault="00CA5968">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tbl>
      <w:tblPr>
        <w:tblStyle w:val="TableGrid"/>
        <w:tblW w:w="14460" w:type="dxa"/>
        <w:tblLayout w:type="fixed"/>
        <w:tblLook w:val="04A0" w:firstRow="1" w:lastRow="0" w:firstColumn="1" w:lastColumn="0" w:noHBand="0" w:noVBand="1"/>
      </w:tblPr>
      <w:tblGrid>
        <w:gridCol w:w="1130"/>
        <w:gridCol w:w="3547"/>
        <w:gridCol w:w="3601"/>
        <w:gridCol w:w="2341"/>
        <w:gridCol w:w="1981"/>
        <w:gridCol w:w="1860"/>
      </w:tblGrid>
      <w:tr w:rsidR="00CA5968" w:rsidRPr="00F261AC" w14:paraId="03D82166" w14:textId="77777777" w:rsidTr="00103EBC">
        <w:trPr>
          <w:tblHeader/>
        </w:trPr>
        <w:tc>
          <w:tcPr>
            <w:tcW w:w="1130" w:type="dxa"/>
            <w:tcBorders>
              <w:top w:val="single" w:sz="4" w:space="0" w:color="auto"/>
              <w:left w:val="single" w:sz="4" w:space="0" w:color="auto"/>
              <w:bottom w:val="single" w:sz="4" w:space="0" w:color="auto"/>
              <w:right w:val="single" w:sz="4" w:space="0" w:color="auto"/>
            </w:tcBorders>
            <w:vAlign w:val="center"/>
            <w:hideMark/>
          </w:tcPr>
          <w:p w14:paraId="028014A5" w14:textId="5A7DBEC2" w:rsidR="00CA5968" w:rsidRPr="00F261AC" w:rsidRDefault="00CA5968" w:rsidP="00CA5968">
            <w:pPr>
              <w:keepNext/>
              <w:tabs>
                <w:tab w:val="clear" w:pos="567"/>
                <w:tab w:val="left" w:pos="720"/>
              </w:tabs>
              <w:spacing w:before="20" w:after="20" w:line="216" w:lineRule="auto"/>
              <w:jc w:val="center"/>
              <w:rPr>
                <w:rFonts w:asciiTheme="minorHAnsi" w:hAnsiTheme="minorHAnsi" w:cstheme="minorHAnsi"/>
                <w:b/>
                <w:sz w:val="22"/>
              </w:rPr>
            </w:pPr>
            <w:r w:rsidRPr="00CA5968">
              <w:rPr>
                <w:b/>
                <w:bCs/>
                <w:lang w:val="es-ES" w:eastAsia="zh-CN"/>
              </w:rPr>
              <w:lastRenderedPageBreak/>
              <w:t>Artículo de 2012</w:t>
            </w:r>
          </w:p>
        </w:tc>
        <w:tc>
          <w:tcPr>
            <w:tcW w:w="3547" w:type="dxa"/>
            <w:tcBorders>
              <w:top w:val="single" w:sz="4" w:space="0" w:color="auto"/>
              <w:left w:val="single" w:sz="4" w:space="0" w:color="auto"/>
              <w:bottom w:val="single" w:sz="4" w:space="0" w:color="auto"/>
              <w:right w:val="single" w:sz="4" w:space="0" w:color="auto"/>
            </w:tcBorders>
            <w:vAlign w:val="center"/>
            <w:hideMark/>
          </w:tcPr>
          <w:p w14:paraId="06A4C14E" w14:textId="58E581DE" w:rsidR="00CA5968" w:rsidRPr="00F261AC" w:rsidRDefault="00CA5968" w:rsidP="00CA5968">
            <w:pPr>
              <w:keepNext/>
              <w:tabs>
                <w:tab w:val="clear" w:pos="567"/>
                <w:tab w:val="left" w:pos="720"/>
              </w:tabs>
              <w:spacing w:before="0"/>
              <w:ind w:right="130"/>
              <w:jc w:val="center"/>
              <w:rPr>
                <w:rFonts w:asciiTheme="minorHAnsi" w:hAnsiTheme="minorHAnsi" w:cstheme="minorHAnsi"/>
                <w:b/>
                <w:sz w:val="22"/>
              </w:rPr>
            </w:pPr>
            <w:r w:rsidRPr="00CA5968">
              <w:rPr>
                <w:b/>
                <w:bCs/>
                <w:lang w:val="es-ES" w:eastAsia="zh-CN"/>
              </w:rPr>
              <w:t>Párrafo y disposición</w:t>
            </w:r>
          </w:p>
        </w:tc>
        <w:tc>
          <w:tcPr>
            <w:tcW w:w="3601" w:type="dxa"/>
            <w:tcBorders>
              <w:top w:val="single" w:sz="4" w:space="0" w:color="auto"/>
              <w:left w:val="single" w:sz="4" w:space="0" w:color="auto"/>
              <w:bottom w:val="single" w:sz="4" w:space="0" w:color="auto"/>
              <w:right w:val="single" w:sz="4" w:space="0" w:color="auto"/>
            </w:tcBorders>
            <w:vAlign w:val="center"/>
            <w:hideMark/>
          </w:tcPr>
          <w:p w14:paraId="79988C20" w14:textId="52DA0D02" w:rsidR="00CA5968" w:rsidRPr="00F261AC" w:rsidRDefault="00CA5968" w:rsidP="00CA5968">
            <w:pPr>
              <w:keepNext/>
              <w:tabs>
                <w:tab w:val="clear" w:pos="567"/>
                <w:tab w:val="left" w:pos="720"/>
              </w:tabs>
              <w:spacing w:before="20" w:after="20" w:line="216" w:lineRule="auto"/>
              <w:ind w:left="-57" w:right="44"/>
              <w:jc w:val="center"/>
              <w:rPr>
                <w:rFonts w:asciiTheme="minorHAnsi" w:hAnsiTheme="minorHAnsi" w:cstheme="minorHAnsi"/>
                <w:b/>
                <w:sz w:val="22"/>
              </w:rPr>
            </w:pPr>
            <w:r w:rsidRPr="00CA5968">
              <w:rPr>
                <w:b/>
                <w:bCs/>
                <w:lang w:val="es-ES" w:eastAsia="zh-CN"/>
              </w:rPr>
              <w:t xml:space="preserve">Párrafo y disposición </w:t>
            </w:r>
            <w:r w:rsidRPr="00CA5968">
              <w:rPr>
                <w:b/>
                <w:bCs/>
                <w:lang w:val="es-ES" w:eastAsia="zh-CN"/>
              </w:rPr>
              <w:br/>
              <w:t>conexos de 1988</w:t>
            </w:r>
          </w:p>
        </w:tc>
        <w:tc>
          <w:tcPr>
            <w:tcW w:w="2341" w:type="dxa"/>
            <w:tcBorders>
              <w:top w:val="single" w:sz="4" w:space="0" w:color="auto"/>
              <w:left w:val="single" w:sz="4" w:space="0" w:color="auto"/>
              <w:bottom w:val="single" w:sz="4" w:space="0" w:color="auto"/>
              <w:right w:val="single" w:sz="4" w:space="0" w:color="auto"/>
            </w:tcBorders>
            <w:vAlign w:val="center"/>
            <w:hideMark/>
          </w:tcPr>
          <w:p w14:paraId="6C44A0B3" w14:textId="1DB99698" w:rsidR="00CA5968" w:rsidRPr="00F261AC" w:rsidRDefault="00CA5968" w:rsidP="00CA5968">
            <w:pPr>
              <w:keepNext/>
              <w:tabs>
                <w:tab w:val="clear" w:pos="567"/>
                <w:tab w:val="left" w:pos="720"/>
              </w:tabs>
              <w:spacing w:before="20" w:after="20" w:line="216" w:lineRule="auto"/>
              <w:jc w:val="center"/>
              <w:rPr>
                <w:rFonts w:asciiTheme="minorHAnsi" w:hAnsiTheme="minorHAnsi" w:cstheme="minorHAnsi"/>
                <w:b/>
                <w:sz w:val="22"/>
              </w:rPr>
            </w:pPr>
            <w:r w:rsidRPr="00CA5968">
              <w:rPr>
                <w:b/>
                <w:bCs/>
                <w:lang w:val="es-ES" w:eastAsia="zh-CN"/>
              </w:rPr>
              <w:t xml:space="preserve">Aplicabilidad </w:t>
            </w:r>
            <w:r w:rsidRPr="00CA5968">
              <w:rPr>
                <w:b/>
                <w:bCs/>
                <w:lang w:val="es-ES" w:eastAsia="zh-CN"/>
              </w:rPr>
              <w:br/>
              <w:t xml:space="preserve">para fomentar </w:t>
            </w:r>
            <w:r w:rsidRPr="00CA5968">
              <w:rPr>
                <w:b/>
                <w:bCs/>
                <w:lang w:val="es-ES" w:eastAsia="zh-CN"/>
              </w:rPr>
              <w:br/>
              <w:t xml:space="preserve">la prestación y el desarrollo de redes </w:t>
            </w:r>
            <w:r w:rsidRPr="00CA5968">
              <w:rPr>
                <w:b/>
                <w:bCs/>
                <w:lang w:val="es-ES" w:eastAsia="zh-CN"/>
              </w:rPr>
              <w:br/>
              <w:t>y servicios</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FD5D21D" w14:textId="7FA15613" w:rsidR="00CA5968" w:rsidRPr="00F261AC" w:rsidRDefault="00CA5968" w:rsidP="00CA5968">
            <w:pPr>
              <w:keepNext/>
              <w:tabs>
                <w:tab w:val="clear" w:pos="567"/>
                <w:tab w:val="left" w:pos="720"/>
              </w:tabs>
              <w:spacing w:before="20" w:after="20" w:line="216" w:lineRule="auto"/>
              <w:jc w:val="center"/>
              <w:rPr>
                <w:rFonts w:asciiTheme="minorHAnsi" w:hAnsiTheme="minorHAnsi" w:cstheme="minorHAnsi"/>
                <w:b/>
                <w:sz w:val="22"/>
              </w:rPr>
            </w:pPr>
            <w:r w:rsidRPr="00CA5968">
              <w:rPr>
                <w:b/>
                <w:bCs/>
                <w:lang w:val="es-ES" w:eastAsia="zh-CN"/>
              </w:rPr>
              <w:t>Flexibilidad para adaptarse a las nuevas tendencias y a los problemas emergentes</w:t>
            </w:r>
          </w:p>
        </w:tc>
        <w:tc>
          <w:tcPr>
            <w:tcW w:w="1860" w:type="dxa"/>
            <w:tcBorders>
              <w:top w:val="single" w:sz="4" w:space="0" w:color="auto"/>
              <w:left w:val="single" w:sz="4" w:space="0" w:color="auto"/>
              <w:bottom w:val="single" w:sz="4" w:space="0" w:color="auto"/>
              <w:right w:val="single" w:sz="4" w:space="0" w:color="auto"/>
            </w:tcBorders>
            <w:vAlign w:val="center"/>
            <w:hideMark/>
          </w:tcPr>
          <w:p w14:paraId="68EA6957" w14:textId="44E5C78F" w:rsidR="00CA5968" w:rsidRPr="00F261AC" w:rsidRDefault="00CA5968" w:rsidP="00CA5968">
            <w:pPr>
              <w:keepNext/>
              <w:tabs>
                <w:tab w:val="clear" w:pos="567"/>
                <w:tab w:val="clear" w:pos="1134"/>
                <w:tab w:val="clear" w:pos="1701"/>
                <w:tab w:val="clear" w:pos="2268"/>
                <w:tab w:val="clear" w:pos="2835"/>
                <w:tab w:val="left" w:pos="3119"/>
                <w:tab w:val="left" w:pos="3402"/>
                <w:tab w:val="left" w:pos="3686"/>
                <w:tab w:val="left" w:pos="3969"/>
              </w:tabs>
              <w:spacing w:before="20" w:after="20" w:line="216" w:lineRule="auto"/>
              <w:jc w:val="center"/>
              <w:rPr>
                <w:rFonts w:asciiTheme="minorHAnsi" w:hAnsiTheme="minorHAnsi" w:cstheme="minorHAnsi"/>
                <w:b/>
                <w:sz w:val="22"/>
              </w:rPr>
            </w:pPr>
            <w:r w:rsidRPr="00CA5968">
              <w:rPr>
                <w:b/>
                <w:bCs/>
                <w:lang w:val="es-ES" w:eastAsia="zh-CN"/>
              </w:rPr>
              <w:t>Resultado resumido</w:t>
            </w:r>
          </w:p>
        </w:tc>
      </w:tr>
      <w:tr w:rsidR="00CA5968" w:rsidRPr="00F261AC" w14:paraId="73A7FC4C" w14:textId="77777777" w:rsidTr="00103EBC">
        <w:tblPrEx>
          <w:tblCellMar>
            <w:left w:w="14" w:type="dxa"/>
            <w:right w:w="14" w:type="dxa"/>
          </w:tblCellMar>
        </w:tblPrEx>
        <w:tc>
          <w:tcPr>
            <w:tcW w:w="1130" w:type="dxa"/>
            <w:vMerge w:val="restart"/>
            <w:tcBorders>
              <w:top w:val="single" w:sz="4" w:space="0" w:color="auto"/>
              <w:left w:val="single" w:sz="4" w:space="0" w:color="auto"/>
              <w:right w:val="single" w:sz="4" w:space="0" w:color="auto"/>
            </w:tcBorders>
            <w:textDirection w:val="btLr"/>
          </w:tcPr>
          <w:p w14:paraId="15860406" w14:textId="165E76E3" w:rsidR="00CA5968" w:rsidRPr="00F261AC" w:rsidRDefault="00CB698C" w:rsidP="00CA5968">
            <w:pPr>
              <w:keepNext/>
              <w:keepLines/>
              <w:tabs>
                <w:tab w:val="clear" w:pos="567"/>
                <w:tab w:val="left" w:pos="720"/>
              </w:tabs>
              <w:overflowPunct/>
              <w:autoSpaceDE/>
              <w:adjustRightInd/>
              <w:spacing w:before="0"/>
              <w:ind w:left="113" w:right="113"/>
              <w:jc w:val="center"/>
              <w:rPr>
                <w:rFonts w:asciiTheme="minorHAnsi" w:hAnsiTheme="minorHAnsi"/>
                <w:b/>
                <w:bCs/>
                <w:sz w:val="22"/>
              </w:rPr>
            </w:pPr>
            <w:bookmarkStart w:id="11" w:name="_Toc351558974"/>
            <w:r>
              <w:t>ARTÍCULO</w:t>
            </w:r>
            <w:r w:rsidR="00CA5968" w:rsidRPr="00F261AC">
              <w:t xml:space="preserve"> </w:t>
            </w:r>
            <w:r w:rsidR="00CA5968" w:rsidRPr="00F261AC">
              <w:rPr>
                <w:rStyle w:val="href"/>
              </w:rPr>
              <w:t>8</w:t>
            </w:r>
            <w:bookmarkEnd w:id="11"/>
            <w:r w:rsidR="00CA5968" w:rsidRPr="00F261AC">
              <w:rPr>
                <w:rStyle w:val="href"/>
              </w:rPr>
              <w:br/>
            </w:r>
            <w:r w:rsidRPr="00CB698C">
              <w:rPr>
                <w:b/>
                <w:bCs/>
              </w:rPr>
              <w:t>Tasación y contabilidad</w:t>
            </w:r>
          </w:p>
        </w:tc>
        <w:tc>
          <w:tcPr>
            <w:tcW w:w="3547" w:type="dxa"/>
            <w:tcBorders>
              <w:top w:val="single" w:sz="4" w:space="0" w:color="auto"/>
              <w:left w:val="single" w:sz="4" w:space="0" w:color="auto"/>
              <w:bottom w:val="single" w:sz="4" w:space="0" w:color="auto"/>
              <w:right w:val="single" w:sz="4" w:space="0" w:color="auto"/>
            </w:tcBorders>
          </w:tcPr>
          <w:p w14:paraId="515515F9" w14:textId="47B8661D" w:rsidR="00CA5968" w:rsidRPr="00F261AC" w:rsidRDefault="00CA5968" w:rsidP="00CA5968">
            <w:pPr>
              <w:tabs>
                <w:tab w:val="clear" w:pos="567"/>
                <w:tab w:val="left" w:pos="720"/>
              </w:tabs>
              <w:spacing w:before="0"/>
              <w:ind w:right="130"/>
              <w:rPr>
                <w:rFonts w:asciiTheme="minorHAnsi" w:eastAsia="SimSun" w:hAnsiTheme="minorHAnsi" w:cs="Times New Roman Bold"/>
                <w:bCs/>
                <w:iCs/>
                <w:color w:val="000000"/>
                <w:sz w:val="22"/>
              </w:rPr>
            </w:pPr>
            <w:r w:rsidRPr="00F261AC">
              <w:rPr>
                <w:rStyle w:val="Artdef"/>
                <w:rFonts w:cs="Times New Roman"/>
                <w:bCs/>
              </w:rPr>
              <w:t>52</w:t>
            </w:r>
            <w:r w:rsidRPr="00F261AC">
              <w:rPr>
                <w:bCs/>
              </w:rPr>
              <w:tab/>
            </w:r>
            <w:r w:rsidRPr="00F261AC">
              <w:rPr>
                <w:b/>
              </w:rPr>
              <w:t>8.1</w:t>
            </w:r>
            <w:r w:rsidRPr="00F261AC">
              <w:rPr>
                <w:b/>
              </w:rPr>
              <w:tab/>
            </w:r>
            <w:r w:rsidR="00CD07E5" w:rsidRPr="00CD07E5">
              <w:rPr>
                <w:b/>
              </w:rPr>
              <w:t>Acuerdos relativos a las telecomunicaciones internacionales</w:t>
            </w:r>
          </w:p>
        </w:tc>
        <w:tc>
          <w:tcPr>
            <w:tcW w:w="3601" w:type="dxa"/>
            <w:tcBorders>
              <w:top w:val="single" w:sz="4" w:space="0" w:color="auto"/>
              <w:left w:val="single" w:sz="4" w:space="0" w:color="auto"/>
              <w:bottom w:val="single" w:sz="4" w:space="0" w:color="auto"/>
              <w:right w:val="single" w:sz="4" w:space="0" w:color="auto"/>
            </w:tcBorders>
          </w:tcPr>
          <w:p w14:paraId="4838C959" w14:textId="45DA4CB4" w:rsidR="00CA5968" w:rsidRPr="00F261AC" w:rsidRDefault="00CA5968" w:rsidP="00CA5968">
            <w:pPr>
              <w:tabs>
                <w:tab w:val="clear" w:pos="567"/>
                <w:tab w:val="left" w:pos="720"/>
              </w:tabs>
              <w:spacing w:before="0"/>
              <w:ind w:right="44"/>
              <w:rPr>
                <w:rFonts w:asciiTheme="minorHAnsi" w:eastAsia="SimSun" w:hAnsiTheme="minorHAnsi" w:cs="Times New Roman Bold"/>
                <w:iCs/>
                <w:color w:val="000000"/>
                <w:sz w:val="22"/>
              </w:rPr>
            </w:pPr>
            <w:r w:rsidRPr="00F261AC">
              <w:rPr>
                <w:rStyle w:val="Artdef"/>
              </w:rPr>
              <w:t>42</w:t>
            </w:r>
            <w:r w:rsidRPr="00F261AC">
              <w:tab/>
            </w:r>
            <w:r w:rsidRPr="00F261AC">
              <w:rPr>
                <w:b/>
                <w:bCs/>
              </w:rPr>
              <w:t>6.1</w:t>
            </w:r>
            <w:r w:rsidRPr="00F261AC">
              <w:rPr>
                <w:b/>
                <w:bCs/>
              </w:rPr>
              <w:tab/>
            </w:r>
            <w:r w:rsidR="00E61738" w:rsidRPr="00E61738">
              <w:rPr>
                <w:b/>
                <w:bCs/>
              </w:rPr>
              <w:t>Tasas de percepción</w:t>
            </w:r>
          </w:p>
        </w:tc>
        <w:tc>
          <w:tcPr>
            <w:tcW w:w="2341" w:type="dxa"/>
            <w:tcBorders>
              <w:top w:val="single" w:sz="4" w:space="0" w:color="auto"/>
              <w:left w:val="single" w:sz="4" w:space="0" w:color="auto"/>
              <w:bottom w:val="single" w:sz="4" w:space="0" w:color="auto"/>
              <w:right w:val="single" w:sz="4" w:space="0" w:color="auto"/>
            </w:tcBorders>
          </w:tcPr>
          <w:p w14:paraId="459137A5" w14:textId="77777777" w:rsidR="00CA5968" w:rsidRPr="00F261AC" w:rsidRDefault="00CA5968" w:rsidP="00CA5968">
            <w:pPr>
              <w:tabs>
                <w:tab w:val="clear" w:pos="567"/>
                <w:tab w:val="left" w:pos="720"/>
              </w:tabs>
              <w:spacing w:before="40" w:after="40"/>
              <w:rPr>
                <w:rFonts w:asciiTheme="minorHAnsi" w:hAnsiTheme="minorHAnsi" w:cstheme="minorHAnsi"/>
                <w:bCs/>
                <w:sz w:val="22"/>
              </w:rPr>
            </w:pPr>
          </w:p>
        </w:tc>
        <w:tc>
          <w:tcPr>
            <w:tcW w:w="1981" w:type="dxa"/>
            <w:tcBorders>
              <w:top w:val="single" w:sz="4" w:space="0" w:color="auto"/>
              <w:left w:val="single" w:sz="4" w:space="0" w:color="auto"/>
              <w:bottom w:val="single" w:sz="4" w:space="0" w:color="auto"/>
              <w:right w:val="single" w:sz="4" w:space="0" w:color="auto"/>
            </w:tcBorders>
          </w:tcPr>
          <w:p w14:paraId="6F108663" w14:textId="77777777" w:rsidR="00CA5968" w:rsidRPr="00F261AC" w:rsidRDefault="00CA5968" w:rsidP="00CA5968">
            <w:pPr>
              <w:tabs>
                <w:tab w:val="clear" w:pos="567"/>
                <w:tab w:val="left" w:pos="720"/>
              </w:tabs>
              <w:spacing w:before="40" w:after="40"/>
              <w:rPr>
                <w:rFonts w:asciiTheme="minorHAnsi" w:hAnsiTheme="minorHAnsi" w:cstheme="minorHAnsi"/>
                <w:bCs/>
                <w:sz w:val="22"/>
              </w:rPr>
            </w:pPr>
          </w:p>
        </w:tc>
        <w:tc>
          <w:tcPr>
            <w:tcW w:w="1860" w:type="dxa"/>
            <w:tcBorders>
              <w:top w:val="single" w:sz="4" w:space="0" w:color="auto"/>
              <w:left w:val="single" w:sz="4" w:space="0" w:color="auto"/>
              <w:bottom w:val="single" w:sz="4" w:space="0" w:color="auto"/>
              <w:right w:val="single" w:sz="4" w:space="0" w:color="auto"/>
            </w:tcBorders>
          </w:tcPr>
          <w:p w14:paraId="68006ECF"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61220E3C" w14:textId="77777777" w:rsidTr="00103EBC">
        <w:tblPrEx>
          <w:tblCellMar>
            <w:left w:w="14" w:type="dxa"/>
            <w:right w:w="14" w:type="dxa"/>
          </w:tblCellMar>
        </w:tblPrEx>
        <w:tc>
          <w:tcPr>
            <w:tcW w:w="1130" w:type="dxa"/>
            <w:vMerge/>
            <w:tcBorders>
              <w:left w:val="single" w:sz="4" w:space="0" w:color="auto"/>
              <w:right w:val="single" w:sz="4" w:space="0" w:color="auto"/>
            </w:tcBorders>
            <w:textDirection w:val="btLr"/>
          </w:tcPr>
          <w:p w14:paraId="0E86EE8B"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6979F295" w14:textId="2507F205" w:rsidR="00CA5968" w:rsidRPr="00F261AC" w:rsidRDefault="00CA5968" w:rsidP="00CA5968">
            <w:pPr>
              <w:tabs>
                <w:tab w:val="clear" w:pos="567"/>
                <w:tab w:val="left" w:pos="720"/>
              </w:tabs>
              <w:spacing w:before="0"/>
              <w:ind w:right="130"/>
              <w:rPr>
                <w:rStyle w:val="Artdef"/>
                <w:bCs/>
              </w:rPr>
            </w:pPr>
            <w:r w:rsidRPr="00F261AC">
              <w:rPr>
                <w:rStyle w:val="Artdef"/>
                <w:rFonts w:cs="Times New Roman"/>
              </w:rPr>
              <w:t>53</w:t>
            </w:r>
            <w:r w:rsidRPr="00F261AC">
              <w:tab/>
              <w:t>8.1.1</w:t>
            </w:r>
            <w:r w:rsidRPr="00F261AC">
              <w:tab/>
            </w:r>
            <w:r w:rsidR="00E61738" w:rsidRPr="00E61738">
              <w:t>De acuerdo con la legislación nacional aplicable, los términos y condiciones de los acuerdos de prestación de servicios internacionales de telecomunicación podrán establecerse mediante acuerdos comerciales o en virtud de los principios relativos a las tasas de distribución establecidos de conformidad con la reglamentación nacional</w:t>
            </w:r>
            <w:r w:rsidRPr="00F261AC">
              <w:t>.</w:t>
            </w:r>
          </w:p>
        </w:tc>
        <w:tc>
          <w:tcPr>
            <w:tcW w:w="3601" w:type="dxa"/>
            <w:tcBorders>
              <w:top w:val="single" w:sz="4" w:space="0" w:color="auto"/>
              <w:left w:val="single" w:sz="4" w:space="0" w:color="auto"/>
              <w:bottom w:val="single" w:sz="4" w:space="0" w:color="auto"/>
              <w:right w:val="single" w:sz="4" w:space="0" w:color="auto"/>
            </w:tcBorders>
          </w:tcPr>
          <w:p w14:paraId="065C1ECA" w14:textId="477D0527"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43</w:t>
            </w:r>
            <w:r w:rsidRPr="00F261AC">
              <w:tab/>
              <w:t>6.1.1</w:t>
            </w:r>
            <w:r w:rsidRPr="00F261AC">
              <w:tab/>
            </w:r>
            <w:r w:rsidR="00075305" w:rsidRPr="00075305">
              <w:t>Cada administración establecerá, de conformidad con la legislación nacional aplicable, las tasas que ha de percibir de sus clientes. La fijación del nivel de estas tasas es un asunto de índole nacional; sin embargo, al establecerlas, las administraciones procurarán que no haya una disimetría demasiado grande entre las tasas de percepción aplicables en los dos sentidos de una misma relación</w:t>
            </w:r>
            <w:r w:rsidRPr="00F261AC">
              <w:t>.</w:t>
            </w:r>
          </w:p>
        </w:tc>
        <w:tc>
          <w:tcPr>
            <w:tcW w:w="2341" w:type="dxa"/>
            <w:tcBorders>
              <w:top w:val="single" w:sz="4" w:space="0" w:color="auto"/>
              <w:left w:val="single" w:sz="4" w:space="0" w:color="auto"/>
              <w:bottom w:val="single" w:sz="4" w:space="0" w:color="auto"/>
              <w:right w:val="single" w:sz="4" w:space="0" w:color="auto"/>
            </w:tcBorders>
          </w:tcPr>
          <w:p w14:paraId="1715EB00" w14:textId="2713B2E1"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La disposición es aplicable para fomentar el suministro y el desarrollo de redes y servicios</w:t>
            </w:r>
            <w:r w:rsidR="00FF0DF6">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3EE51AA5" w14:textId="39C2289F"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FF0DF6">
              <w:rPr>
                <w:rFonts w:asciiTheme="minorHAnsi" w:hAnsiTheme="minorHAnsi" w:cstheme="minorHAnsi"/>
                <w:bCs/>
                <w:sz w:val="22"/>
              </w:rPr>
              <w:t>.</w:t>
            </w:r>
          </w:p>
        </w:tc>
        <w:tc>
          <w:tcPr>
            <w:tcW w:w="1860" w:type="dxa"/>
            <w:tcBorders>
              <w:top w:val="single" w:sz="4" w:space="0" w:color="auto"/>
              <w:left w:val="single" w:sz="4" w:space="0" w:color="auto"/>
              <w:bottom w:val="single" w:sz="4" w:space="0" w:color="auto"/>
              <w:right w:val="single" w:sz="4" w:space="0" w:color="auto"/>
            </w:tcBorders>
          </w:tcPr>
          <w:p w14:paraId="763BF5E5" w14:textId="4883852E" w:rsidR="00CA5968" w:rsidRPr="00F261AC" w:rsidRDefault="00AA6BF7" w:rsidP="00FF0DF6">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755536BE" w14:textId="77777777" w:rsidR="00CA5968" w:rsidRPr="00F261AC" w:rsidRDefault="00CA5968" w:rsidP="00FF0DF6">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561FF253" w14:textId="77777777" w:rsidTr="00103EBC">
        <w:tblPrEx>
          <w:tblCellMar>
            <w:left w:w="14" w:type="dxa"/>
            <w:right w:w="14" w:type="dxa"/>
          </w:tblCellMar>
        </w:tblPrEx>
        <w:tc>
          <w:tcPr>
            <w:tcW w:w="1130" w:type="dxa"/>
            <w:vMerge/>
            <w:tcBorders>
              <w:left w:val="single" w:sz="4" w:space="0" w:color="auto"/>
              <w:right w:val="single" w:sz="4" w:space="0" w:color="auto"/>
            </w:tcBorders>
            <w:textDirection w:val="btLr"/>
          </w:tcPr>
          <w:p w14:paraId="7288ED55"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0A05D868" w14:textId="0DD2E0A2" w:rsidR="00CA5968" w:rsidRPr="00F261AC" w:rsidRDefault="00CA5968" w:rsidP="00CA5968">
            <w:pPr>
              <w:tabs>
                <w:tab w:val="clear" w:pos="567"/>
                <w:tab w:val="left" w:pos="720"/>
              </w:tabs>
              <w:spacing w:before="0"/>
              <w:ind w:right="130"/>
              <w:rPr>
                <w:rStyle w:val="Artdef"/>
              </w:rPr>
            </w:pPr>
            <w:r w:rsidRPr="00F261AC">
              <w:rPr>
                <w:rStyle w:val="Artdef"/>
                <w:rFonts w:cs="Times New Roman"/>
              </w:rPr>
              <w:t>54</w:t>
            </w:r>
            <w:r w:rsidRPr="00F261AC">
              <w:rPr>
                <w:bCs/>
              </w:rPr>
              <w:tab/>
              <w:t>8.1.2</w:t>
            </w:r>
            <w:r w:rsidRPr="00F261AC">
              <w:rPr>
                <w:bCs/>
              </w:rPr>
              <w:tab/>
            </w:r>
            <w:r w:rsidR="00E61738" w:rsidRPr="00E61738">
              <w:rPr>
                <w:bCs/>
              </w:rPr>
              <w:t>Los Estados Miembros procurarán alentar la inversión en redes de telecomunicaciones internacionales y promover precios al por mayor competitivos para el tráfico transportado sobre dichas redes de telecomunicación</w:t>
            </w:r>
            <w:r w:rsidRPr="00F261AC">
              <w:rPr>
                <w:bCs/>
              </w:rPr>
              <w:t>.</w:t>
            </w:r>
          </w:p>
        </w:tc>
        <w:tc>
          <w:tcPr>
            <w:tcW w:w="3601" w:type="dxa"/>
            <w:tcBorders>
              <w:top w:val="single" w:sz="4" w:space="0" w:color="auto"/>
              <w:left w:val="single" w:sz="4" w:space="0" w:color="auto"/>
              <w:bottom w:val="single" w:sz="4" w:space="0" w:color="auto"/>
              <w:right w:val="single" w:sz="4" w:space="0" w:color="auto"/>
            </w:tcBorders>
          </w:tcPr>
          <w:p w14:paraId="056D44D4" w14:textId="77777777" w:rsidR="00075305" w:rsidRPr="00075305" w:rsidRDefault="00075305" w:rsidP="00075305">
            <w:pPr>
              <w:tabs>
                <w:tab w:val="clear" w:pos="567"/>
                <w:tab w:val="left" w:pos="720"/>
              </w:tabs>
              <w:spacing w:before="0"/>
              <w:ind w:right="44"/>
              <w:rPr>
                <w:rFonts w:asciiTheme="minorHAnsi" w:hAnsiTheme="minorHAnsi"/>
                <w:bCs/>
                <w:i/>
                <w:iCs/>
                <w:sz w:val="22"/>
              </w:rPr>
            </w:pPr>
            <w:r w:rsidRPr="00075305">
              <w:rPr>
                <w:rFonts w:asciiTheme="minorHAnsi" w:hAnsiTheme="minorHAnsi"/>
                <w:bCs/>
                <w:i/>
                <w:iCs/>
                <w:sz w:val="22"/>
              </w:rPr>
              <w:t>El RTI de 1988 no contiene tal disposición.</w:t>
            </w:r>
          </w:p>
          <w:p w14:paraId="00AEB6B8" w14:textId="4E079116" w:rsidR="00CA5968" w:rsidRPr="00F261AC" w:rsidRDefault="00075305" w:rsidP="00075305">
            <w:pPr>
              <w:tabs>
                <w:tab w:val="clear" w:pos="567"/>
                <w:tab w:val="left" w:pos="720"/>
              </w:tabs>
              <w:spacing w:before="0"/>
              <w:ind w:right="44"/>
              <w:rPr>
                <w:rFonts w:asciiTheme="minorHAnsi" w:eastAsia="SimSun" w:hAnsiTheme="minorHAnsi" w:cs="Times New Roman Bold"/>
                <w:iCs/>
                <w:color w:val="000000"/>
                <w:sz w:val="22"/>
              </w:rPr>
            </w:pPr>
            <w:r w:rsidRPr="00075305">
              <w:rPr>
                <w:rFonts w:asciiTheme="minorHAnsi" w:hAnsiTheme="minorHAnsi"/>
                <w:bCs/>
                <w:i/>
                <w:iCs/>
                <w:sz w:val="22"/>
              </w:rPr>
              <w:t>La aparición de esta disposición en el RTI de 2012 se debe a</w:t>
            </w:r>
            <w:r>
              <w:rPr>
                <w:rFonts w:asciiTheme="minorHAnsi" w:hAnsiTheme="minorHAnsi"/>
                <w:bCs/>
                <w:i/>
                <w:iCs/>
                <w:sz w:val="22"/>
              </w:rPr>
              <w:t xml:space="preserve">l proceso de </w:t>
            </w:r>
            <w:r w:rsidRPr="00075305">
              <w:rPr>
                <w:rFonts w:asciiTheme="minorHAnsi" w:hAnsiTheme="minorHAnsi"/>
                <w:bCs/>
                <w:i/>
                <w:iCs/>
                <w:sz w:val="22"/>
              </w:rPr>
              <w:t>privatización y al desarrollo de las relaciones de</w:t>
            </w:r>
            <w:r>
              <w:rPr>
                <w:rFonts w:asciiTheme="minorHAnsi" w:hAnsiTheme="minorHAnsi"/>
                <w:bCs/>
                <w:i/>
                <w:iCs/>
                <w:sz w:val="22"/>
              </w:rPr>
              <w:t>l</w:t>
            </w:r>
            <w:r w:rsidRPr="00075305">
              <w:rPr>
                <w:rFonts w:asciiTheme="minorHAnsi" w:hAnsiTheme="minorHAnsi"/>
                <w:bCs/>
                <w:i/>
                <w:iCs/>
                <w:sz w:val="22"/>
              </w:rPr>
              <w:t xml:space="preserve"> mercado </w:t>
            </w:r>
            <w:r>
              <w:rPr>
                <w:rFonts w:asciiTheme="minorHAnsi" w:hAnsiTheme="minorHAnsi"/>
                <w:bCs/>
                <w:i/>
                <w:iCs/>
                <w:sz w:val="22"/>
              </w:rPr>
              <w:t>de</w:t>
            </w:r>
            <w:r w:rsidRPr="00075305">
              <w:rPr>
                <w:rFonts w:asciiTheme="minorHAnsi" w:hAnsiTheme="minorHAnsi"/>
                <w:bCs/>
                <w:i/>
                <w:iCs/>
                <w:sz w:val="22"/>
              </w:rPr>
              <w:t xml:space="preserve"> las telecomunicaciones.</w:t>
            </w:r>
          </w:p>
        </w:tc>
        <w:tc>
          <w:tcPr>
            <w:tcW w:w="2341" w:type="dxa"/>
            <w:tcBorders>
              <w:top w:val="single" w:sz="4" w:space="0" w:color="auto"/>
              <w:left w:val="single" w:sz="4" w:space="0" w:color="auto"/>
              <w:bottom w:val="single" w:sz="4" w:space="0" w:color="auto"/>
              <w:right w:val="single" w:sz="4" w:space="0" w:color="auto"/>
            </w:tcBorders>
          </w:tcPr>
          <w:p w14:paraId="49A45C14" w14:textId="689D2F28"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La disposición es aplicable para fomentar el suministro y el desarrollo de redes y servicios</w:t>
            </w:r>
            <w:r w:rsidR="00FF0DF6">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416D3DB0" w14:textId="7126F1BD"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FF0DF6">
              <w:rPr>
                <w:rFonts w:asciiTheme="minorHAnsi" w:hAnsiTheme="minorHAnsi" w:cstheme="minorHAnsi"/>
                <w:bCs/>
                <w:sz w:val="22"/>
              </w:rPr>
              <w:t>.</w:t>
            </w:r>
          </w:p>
        </w:tc>
        <w:tc>
          <w:tcPr>
            <w:tcW w:w="1860" w:type="dxa"/>
            <w:tcBorders>
              <w:top w:val="single" w:sz="4" w:space="0" w:color="auto"/>
              <w:left w:val="single" w:sz="4" w:space="0" w:color="auto"/>
              <w:bottom w:val="single" w:sz="4" w:space="0" w:color="auto"/>
              <w:right w:val="single" w:sz="4" w:space="0" w:color="auto"/>
            </w:tcBorders>
          </w:tcPr>
          <w:p w14:paraId="16E466C0" w14:textId="25520ABD" w:rsidR="00CA5968" w:rsidRPr="00F261AC" w:rsidRDefault="00AA6BF7" w:rsidP="00FF0DF6">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5346971C" w14:textId="77777777" w:rsidR="00CA5968" w:rsidRPr="00F261AC" w:rsidRDefault="00CA5968" w:rsidP="00FF0DF6">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7729C722" w14:textId="77777777" w:rsidTr="00103EBC">
        <w:tblPrEx>
          <w:tblCellMar>
            <w:left w:w="14" w:type="dxa"/>
            <w:right w:w="14" w:type="dxa"/>
          </w:tblCellMar>
        </w:tblPrEx>
        <w:tc>
          <w:tcPr>
            <w:tcW w:w="1130" w:type="dxa"/>
            <w:vMerge/>
            <w:tcBorders>
              <w:left w:val="single" w:sz="4" w:space="0" w:color="auto"/>
              <w:right w:val="single" w:sz="4" w:space="0" w:color="auto"/>
            </w:tcBorders>
            <w:textDirection w:val="btLr"/>
          </w:tcPr>
          <w:p w14:paraId="22A03C3C"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78339AB7" w14:textId="5EA193FB" w:rsidR="00CA5968" w:rsidRPr="00F261AC" w:rsidRDefault="00CA5968" w:rsidP="00CA5968">
            <w:pPr>
              <w:tabs>
                <w:tab w:val="clear" w:pos="567"/>
                <w:tab w:val="left" w:pos="720"/>
              </w:tabs>
              <w:spacing w:before="0"/>
              <w:ind w:right="130"/>
              <w:rPr>
                <w:rStyle w:val="Artdef"/>
              </w:rPr>
            </w:pPr>
            <w:r w:rsidRPr="00F261AC">
              <w:rPr>
                <w:rStyle w:val="Artdef"/>
                <w:rFonts w:cs="Times New Roman"/>
              </w:rPr>
              <w:t>55</w:t>
            </w:r>
            <w:r w:rsidRPr="00F261AC">
              <w:rPr>
                <w:b/>
                <w:bCs/>
              </w:rPr>
              <w:tab/>
              <w:t>8.2</w:t>
            </w:r>
            <w:r w:rsidRPr="00F261AC">
              <w:rPr>
                <w:b/>
                <w:bCs/>
              </w:rPr>
              <w:tab/>
            </w:r>
            <w:r w:rsidR="00E61738" w:rsidRPr="00E61738">
              <w:rPr>
                <w:b/>
                <w:bCs/>
              </w:rPr>
              <w:t>Principios relativos a las tasas de distribución</w:t>
            </w:r>
          </w:p>
        </w:tc>
        <w:tc>
          <w:tcPr>
            <w:tcW w:w="3601" w:type="dxa"/>
            <w:tcBorders>
              <w:top w:val="single" w:sz="4" w:space="0" w:color="auto"/>
              <w:left w:val="single" w:sz="4" w:space="0" w:color="auto"/>
              <w:bottom w:val="single" w:sz="4" w:space="0" w:color="auto"/>
              <w:right w:val="single" w:sz="4" w:space="0" w:color="auto"/>
            </w:tcBorders>
          </w:tcPr>
          <w:p w14:paraId="6EC36546" w14:textId="77777777"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p>
        </w:tc>
        <w:tc>
          <w:tcPr>
            <w:tcW w:w="2341" w:type="dxa"/>
            <w:tcBorders>
              <w:top w:val="single" w:sz="4" w:space="0" w:color="auto"/>
              <w:left w:val="single" w:sz="4" w:space="0" w:color="auto"/>
              <w:bottom w:val="single" w:sz="4" w:space="0" w:color="auto"/>
              <w:right w:val="single" w:sz="4" w:space="0" w:color="auto"/>
            </w:tcBorders>
          </w:tcPr>
          <w:p w14:paraId="591125F0" w14:textId="77777777" w:rsidR="00CA5968" w:rsidRPr="00F261AC" w:rsidRDefault="00CA5968" w:rsidP="00CA5968">
            <w:pPr>
              <w:tabs>
                <w:tab w:val="clear" w:pos="567"/>
                <w:tab w:val="left" w:pos="720"/>
              </w:tabs>
              <w:spacing w:before="40" w:after="40"/>
              <w:rPr>
                <w:rFonts w:asciiTheme="minorHAnsi" w:hAnsiTheme="minorHAnsi" w:cstheme="minorHAnsi"/>
                <w:bCs/>
                <w:sz w:val="22"/>
              </w:rPr>
            </w:pPr>
          </w:p>
        </w:tc>
        <w:tc>
          <w:tcPr>
            <w:tcW w:w="1981" w:type="dxa"/>
            <w:tcBorders>
              <w:top w:val="single" w:sz="4" w:space="0" w:color="auto"/>
              <w:left w:val="single" w:sz="4" w:space="0" w:color="auto"/>
              <w:bottom w:val="single" w:sz="4" w:space="0" w:color="auto"/>
              <w:right w:val="single" w:sz="4" w:space="0" w:color="auto"/>
            </w:tcBorders>
          </w:tcPr>
          <w:p w14:paraId="01E95D9B" w14:textId="77777777" w:rsidR="00CA5968" w:rsidRPr="00F261AC" w:rsidRDefault="00CA5968" w:rsidP="00CA5968">
            <w:pPr>
              <w:tabs>
                <w:tab w:val="clear" w:pos="567"/>
                <w:tab w:val="left" w:pos="720"/>
              </w:tabs>
              <w:spacing w:before="40" w:after="40"/>
              <w:rPr>
                <w:rFonts w:asciiTheme="minorHAnsi" w:hAnsiTheme="minorHAnsi" w:cstheme="minorHAnsi"/>
                <w:bCs/>
                <w:sz w:val="22"/>
              </w:rPr>
            </w:pPr>
          </w:p>
        </w:tc>
        <w:tc>
          <w:tcPr>
            <w:tcW w:w="1860" w:type="dxa"/>
            <w:tcBorders>
              <w:top w:val="single" w:sz="4" w:space="0" w:color="auto"/>
              <w:left w:val="single" w:sz="4" w:space="0" w:color="auto"/>
              <w:bottom w:val="single" w:sz="4" w:space="0" w:color="auto"/>
              <w:right w:val="single" w:sz="4" w:space="0" w:color="auto"/>
            </w:tcBorders>
          </w:tcPr>
          <w:p w14:paraId="70B8A89F"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29D2C674" w14:textId="77777777" w:rsidTr="00103EBC">
        <w:tblPrEx>
          <w:tblCellMar>
            <w:left w:w="14" w:type="dxa"/>
            <w:right w:w="14" w:type="dxa"/>
          </w:tblCellMar>
        </w:tblPrEx>
        <w:tc>
          <w:tcPr>
            <w:tcW w:w="1130" w:type="dxa"/>
            <w:vMerge/>
            <w:tcBorders>
              <w:left w:val="single" w:sz="4" w:space="0" w:color="auto"/>
              <w:bottom w:val="single" w:sz="4" w:space="0" w:color="auto"/>
              <w:right w:val="single" w:sz="4" w:space="0" w:color="auto"/>
            </w:tcBorders>
            <w:textDirection w:val="btLr"/>
          </w:tcPr>
          <w:p w14:paraId="18C95F5C"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005C1794" w14:textId="1CB2E740" w:rsidR="00CA5968" w:rsidRPr="00F261AC" w:rsidRDefault="00CA5968" w:rsidP="00CA5968">
            <w:pPr>
              <w:tabs>
                <w:tab w:val="clear" w:pos="567"/>
                <w:tab w:val="left" w:pos="720"/>
              </w:tabs>
              <w:spacing w:before="0"/>
              <w:ind w:right="130"/>
              <w:rPr>
                <w:rStyle w:val="Artdef"/>
              </w:rPr>
            </w:pPr>
            <w:r w:rsidRPr="00F261AC">
              <w:rPr>
                <w:rStyle w:val="Artdef"/>
                <w:rFonts w:cs="Times New Roman"/>
              </w:rPr>
              <w:t>56</w:t>
            </w:r>
            <w:r w:rsidRPr="00F261AC">
              <w:tab/>
            </w:r>
            <w:r w:rsidR="00E61738" w:rsidRPr="00E61738">
              <w:rPr>
                <w:b/>
                <w:bCs/>
                <w:i/>
                <w:iCs/>
              </w:rPr>
              <w:t>Términos y condiciones</w:t>
            </w:r>
          </w:p>
        </w:tc>
        <w:tc>
          <w:tcPr>
            <w:tcW w:w="3601" w:type="dxa"/>
            <w:tcBorders>
              <w:top w:val="single" w:sz="4" w:space="0" w:color="auto"/>
              <w:left w:val="single" w:sz="4" w:space="0" w:color="auto"/>
              <w:bottom w:val="single" w:sz="4" w:space="0" w:color="auto"/>
              <w:right w:val="single" w:sz="4" w:space="0" w:color="auto"/>
            </w:tcBorders>
          </w:tcPr>
          <w:p w14:paraId="6801435C" w14:textId="77777777"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p>
        </w:tc>
        <w:tc>
          <w:tcPr>
            <w:tcW w:w="2341" w:type="dxa"/>
            <w:tcBorders>
              <w:top w:val="single" w:sz="4" w:space="0" w:color="auto"/>
              <w:left w:val="single" w:sz="4" w:space="0" w:color="auto"/>
              <w:bottom w:val="single" w:sz="4" w:space="0" w:color="auto"/>
              <w:right w:val="single" w:sz="4" w:space="0" w:color="auto"/>
            </w:tcBorders>
          </w:tcPr>
          <w:p w14:paraId="1381FBEA" w14:textId="77777777" w:rsidR="00CA5968" w:rsidRPr="00F261AC" w:rsidRDefault="00CA5968" w:rsidP="00CA5968">
            <w:pPr>
              <w:tabs>
                <w:tab w:val="clear" w:pos="567"/>
                <w:tab w:val="left" w:pos="720"/>
              </w:tabs>
              <w:spacing w:before="40" w:after="40"/>
              <w:rPr>
                <w:rFonts w:asciiTheme="minorHAnsi" w:hAnsiTheme="minorHAnsi" w:cstheme="minorHAnsi"/>
                <w:bCs/>
                <w:sz w:val="22"/>
              </w:rPr>
            </w:pPr>
          </w:p>
        </w:tc>
        <w:tc>
          <w:tcPr>
            <w:tcW w:w="1981" w:type="dxa"/>
            <w:tcBorders>
              <w:top w:val="single" w:sz="4" w:space="0" w:color="auto"/>
              <w:left w:val="single" w:sz="4" w:space="0" w:color="auto"/>
              <w:bottom w:val="single" w:sz="4" w:space="0" w:color="auto"/>
              <w:right w:val="single" w:sz="4" w:space="0" w:color="auto"/>
            </w:tcBorders>
          </w:tcPr>
          <w:p w14:paraId="7CA9F98D" w14:textId="77777777" w:rsidR="00CA5968" w:rsidRPr="00F261AC" w:rsidRDefault="00CA5968" w:rsidP="00CA5968">
            <w:pPr>
              <w:tabs>
                <w:tab w:val="clear" w:pos="567"/>
                <w:tab w:val="left" w:pos="720"/>
              </w:tabs>
              <w:spacing w:before="40" w:after="40"/>
              <w:rPr>
                <w:rFonts w:asciiTheme="minorHAnsi" w:hAnsiTheme="minorHAnsi" w:cstheme="minorHAnsi"/>
                <w:bCs/>
                <w:sz w:val="22"/>
              </w:rPr>
            </w:pPr>
          </w:p>
        </w:tc>
        <w:tc>
          <w:tcPr>
            <w:tcW w:w="1860" w:type="dxa"/>
            <w:tcBorders>
              <w:top w:val="single" w:sz="4" w:space="0" w:color="auto"/>
              <w:left w:val="single" w:sz="4" w:space="0" w:color="auto"/>
              <w:bottom w:val="single" w:sz="4" w:space="0" w:color="auto"/>
              <w:right w:val="single" w:sz="4" w:space="0" w:color="auto"/>
            </w:tcBorders>
          </w:tcPr>
          <w:p w14:paraId="1FD7833F"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42B516D1" w14:textId="77777777" w:rsidTr="00103EBC">
        <w:tblPrEx>
          <w:tblCellMar>
            <w:left w:w="14" w:type="dxa"/>
            <w:right w:w="14" w:type="dxa"/>
          </w:tblCellMar>
        </w:tblPrEx>
        <w:tc>
          <w:tcPr>
            <w:tcW w:w="1130" w:type="dxa"/>
            <w:vMerge w:val="restart"/>
            <w:tcBorders>
              <w:top w:val="single" w:sz="4" w:space="0" w:color="auto"/>
              <w:left w:val="single" w:sz="4" w:space="0" w:color="auto"/>
              <w:right w:val="single" w:sz="4" w:space="0" w:color="auto"/>
            </w:tcBorders>
            <w:textDirection w:val="btLr"/>
          </w:tcPr>
          <w:p w14:paraId="16141D52"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1CB589B7" w14:textId="17DD9560" w:rsidR="00B07EBE" w:rsidRPr="00A8238F" w:rsidRDefault="00CA5968" w:rsidP="00A8238F">
            <w:pPr>
              <w:tabs>
                <w:tab w:val="clear" w:pos="567"/>
                <w:tab w:val="left" w:pos="720"/>
              </w:tabs>
              <w:spacing w:before="0"/>
              <w:ind w:right="130"/>
            </w:pPr>
            <w:r w:rsidRPr="00F261AC">
              <w:rPr>
                <w:rStyle w:val="Artdef"/>
                <w:rFonts w:cs="Times New Roman"/>
              </w:rPr>
              <w:t>57</w:t>
            </w:r>
            <w:r w:rsidRPr="00F261AC">
              <w:tab/>
              <w:t>8.2.1</w:t>
            </w:r>
            <w:r w:rsidRPr="00F261AC">
              <w:tab/>
            </w:r>
            <w:r w:rsidR="00E61738" w:rsidRPr="00E61738">
              <w:t>Las disposiciones siguientes podrán ser de aplicación cuando los términos y condiciones de los acuerdos relativos a los servicios internacionales de telecomunicación se establezcan en virtud de los principios de las tasas de distribución, de conformidad con la reglamentación nacional. Dichas disposiciones no son de aplicación a los acuerdos establecidos mediante acuerdos comerciales</w:t>
            </w:r>
            <w:r w:rsidRPr="00F261AC">
              <w:t>.</w:t>
            </w:r>
          </w:p>
        </w:tc>
        <w:tc>
          <w:tcPr>
            <w:tcW w:w="3601" w:type="dxa"/>
            <w:tcBorders>
              <w:top w:val="single" w:sz="4" w:space="0" w:color="auto"/>
              <w:left w:val="single" w:sz="4" w:space="0" w:color="auto"/>
              <w:bottom w:val="single" w:sz="4" w:space="0" w:color="auto"/>
              <w:right w:val="single" w:sz="4" w:space="0" w:color="auto"/>
            </w:tcBorders>
          </w:tcPr>
          <w:p w14:paraId="0017332F" w14:textId="77777777" w:rsidR="00075305" w:rsidRPr="00075305" w:rsidRDefault="00075305" w:rsidP="00075305">
            <w:pPr>
              <w:tabs>
                <w:tab w:val="clear" w:pos="567"/>
                <w:tab w:val="left" w:pos="720"/>
              </w:tabs>
              <w:spacing w:before="0"/>
              <w:ind w:right="44"/>
              <w:rPr>
                <w:rFonts w:asciiTheme="minorHAnsi" w:hAnsiTheme="minorHAnsi"/>
                <w:bCs/>
                <w:i/>
                <w:iCs/>
                <w:sz w:val="22"/>
              </w:rPr>
            </w:pPr>
            <w:r w:rsidRPr="00075305">
              <w:rPr>
                <w:rFonts w:asciiTheme="minorHAnsi" w:hAnsiTheme="minorHAnsi"/>
                <w:bCs/>
                <w:i/>
                <w:iCs/>
                <w:sz w:val="22"/>
              </w:rPr>
              <w:t>El RTI de 1988 no contiene tal disposición.</w:t>
            </w:r>
          </w:p>
          <w:p w14:paraId="35DE333C" w14:textId="15133DAF" w:rsidR="00CA5968" w:rsidRPr="00F261AC" w:rsidRDefault="00075305" w:rsidP="00075305">
            <w:pPr>
              <w:tabs>
                <w:tab w:val="clear" w:pos="567"/>
                <w:tab w:val="left" w:pos="720"/>
              </w:tabs>
              <w:spacing w:before="0"/>
              <w:ind w:right="44"/>
              <w:rPr>
                <w:rFonts w:asciiTheme="minorHAnsi" w:eastAsia="SimSun" w:hAnsiTheme="minorHAnsi" w:cs="Times New Roman Bold"/>
                <w:iCs/>
                <w:color w:val="000000"/>
                <w:sz w:val="22"/>
              </w:rPr>
            </w:pPr>
            <w:r w:rsidRPr="00075305">
              <w:rPr>
                <w:rFonts w:asciiTheme="minorHAnsi" w:hAnsiTheme="minorHAnsi"/>
                <w:bCs/>
                <w:i/>
                <w:iCs/>
                <w:sz w:val="22"/>
              </w:rPr>
              <w:t>La aparición de esta disposición en el RTI de 2012 se debe a</w:t>
            </w:r>
            <w:r>
              <w:rPr>
                <w:rFonts w:asciiTheme="minorHAnsi" w:hAnsiTheme="minorHAnsi"/>
                <w:bCs/>
                <w:i/>
                <w:iCs/>
                <w:sz w:val="22"/>
              </w:rPr>
              <w:t xml:space="preserve">l proceso de </w:t>
            </w:r>
            <w:r w:rsidRPr="00075305">
              <w:rPr>
                <w:rFonts w:asciiTheme="minorHAnsi" w:hAnsiTheme="minorHAnsi"/>
                <w:bCs/>
                <w:i/>
                <w:iCs/>
                <w:sz w:val="22"/>
              </w:rPr>
              <w:t>privatización y al desarrollo de las relaciones de</w:t>
            </w:r>
            <w:r>
              <w:rPr>
                <w:rFonts w:asciiTheme="minorHAnsi" w:hAnsiTheme="minorHAnsi"/>
                <w:bCs/>
                <w:i/>
                <w:iCs/>
                <w:sz w:val="22"/>
              </w:rPr>
              <w:t>l</w:t>
            </w:r>
            <w:r w:rsidRPr="00075305">
              <w:rPr>
                <w:rFonts w:asciiTheme="minorHAnsi" w:hAnsiTheme="minorHAnsi"/>
                <w:bCs/>
                <w:i/>
                <w:iCs/>
                <w:sz w:val="22"/>
              </w:rPr>
              <w:t xml:space="preserve"> mercado </w:t>
            </w:r>
            <w:r>
              <w:rPr>
                <w:rFonts w:asciiTheme="minorHAnsi" w:hAnsiTheme="minorHAnsi"/>
                <w:bCs/>
                <w:i/>
                <w:iCs/>
                <w:sz w:val="22"/>
              </w:rPr>
              <w:t>de</w:t>
            </w:r>
            <w:r w:rsidRPr="00075305">
              <w:rPr>
                <w:rFonts w:asciiTheme="minorHAnsi" w:hAnsiTheme="minorHAnsi"/>
                <w:bCs/>
                <w:i/>
                <w:iCs/>
                <w:sz w:val="22"/>
              </w:rPr>
              <w:t xml:space="preserve"> las telecomunicaciones.</w:t>
            </w:r>
          </w:p>
        </w:tc>
        <w:tc>
          <w:tcPr>
            <w:tcW w:w="2341" w:type="dxa"/>
            <w:tcBorders>
              <w:top w:val="single" w:sz="4" w:space="0" w:color="auto"/>
              <w:left w:val="single" w:sz="4" w:space="0" w:color="auto"/>
              <w:bottom w:val="single" w:sz="4" w:space="0" w:color="auto"/>
              <w:right w:val="single" w:sz="4" w:space="0" w:color="auto"/>
            </w:tcBorders>
          </w:tcPr>
          <w:p w14:paraId="28606455" w14:textId="7E14C230"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La disposición es aplicable para fomentar el suministro y el desarrollo de redes y servicios</w:t>
            </w:r>
            <w:r w:rsidR="00FF0DF6">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14F5DB10" w14:textId="7D6AA63E"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FF0DF6">
              <w:rPr>
                <w:rFonts w:asciiTheme="minorHAnsi" w:hAnsiTheme="minorHAnsi" w:cstheme="minorHAnsi"/>
                <w:bCs/>
                <w:sz w:val="22"/>
              </w:rPr>
              <w:t>.</w:t>
            </w:r>
          </w:p>
        </w:tc>
        <w:tc>
          <w:tcPr>
            <w:tcW w:w="1860" w:type="dxa"/>
            <w:tcBorders>
              <w:top w:val="single" w:sz="4" w:space="0" w:color="auto"/>
              <w:left w:val="single" w:sz="4" w:space="0" w:color="auto"/>
              <w:bottom w:val="single" w:sz="4" w:space="0" w:color="auto"/>
              <w:right w:val="single" w:sz="4" w:space="0" w:color="auto"/>
            </w:tcBorders>
          </w:tcPr>
          <w:p w14:paraId="36E1A18C" w14:textId="67217BEF" w:rsidR="00CA5968" w:rsidRPr="00F261AC" w:rsidRDefault="00AA6BF7" w:rsidP="00FF0DF6">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08FF3C33"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13C8EB2F" w14:textId="77777777" w:rsidTr="00103EBC">
        <w:tblPrEx>
          <w:tblCellMar>
            <w:left w:w="14" w:type="dxa"/>
            <w:right w:w="14" w:type="dxa"/>
          </w:tblCellMar>
        </w:tblPrEx>
        <w:tc>
          <w:tcPr>
            <w:tcW w:w="1130" w:type="dxa"/>
            <w:vMerge/>
            <w:tcBorders>
              <w:left w:val="single" w:sz="4" w:space="0" w:color="auto"/>
              <w:right w:val="single" w:sz="4" w:space="0" w:color="auto"/>
            </w:tcBorders>
            <w:textDirection w:val="btLr"/>
          </w:tcPr>
          <w:p w14:paraId="383922CC"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4CF8862A" w14:textId="77777777" w:rsidR="00CA5968" w:rsidRDefault="00CA5968" w:rsidP="00CA5968">
            <w:pPr>
              <w:tabs>
                <w:tab w:val="clear" w:pos="567"/>
                <w:tab w:val="left" w:pos="720"/>
              </w:tabs>
              <w:spacing w:before="0"/>
              <w:ind w:right="130"/>
            </w:pPr>
            <w:r w:rsidRPr="00F261AC">
              <w:rPr>
                <w:rStyle w:val="Artdef"/>
                <w:rFonts w:cs="Times New Roman"/>
              </w:rPr>
              <w:t>58</w:t>
            </w:r>
            <w:r w:rsidRPr="00F261AC">
              <w:tab/>
              <w:t>8.2.2</w:t>
            </w:r>
            <w:r w:rsidRPr="00F261AC">
              <w:tab/>
            </w:r>
            <w:r w:rsidR="00E61738" w:rsidRPr="00E61738">
              <w:t>Para cada servicio correspondiente en una relación dada, las empresas de explotación autorizadas establecerán y revisarán por acuerdo mutuo las tasas de distribución aplicables entre ellas de conformidad con las disposiciones del Apéndice 1, habida cuenta de las Recomendaciones UIT-T pertinentes</w:t>
            </w:r>
            <w:r w:rsidRPr="00F261AC">
              <w:t>.</w:t>
            </w:r>
          </w:p>
          <w:p w14:paraId="02F8C1E8" w14:textId="5FDA18DB" w:rsidR="00B07EBE" w:rsidRPr="00B07EBE" w:rsidRDefault="00B07EBE" w:rsidP="00B07EBE">
            <w:pPr>
              <w:rPr>
                <w:rFonts w:asciiTheme="minorHAnsi" w:hAnsiTheme="minorHAnsi" w:cs="Calibri"/>
              </w:rPr>
            </w:pPr>
          </w:p>
        </w:tc>
        <w:tc>
          <w:tcPr>
            <w:tcW w:w="3601" w:type="dxa"/>
            <w:tcBorders>
              <w:top w:val="single" w:sz="4" w:space="0" w:color="auto"/>
              <w:left w:val="single" w:sz="4" w:space="0" w:color="auto"/>
              <w:bottom w:val="single" w:sz="4" w:space="0" w:color="auto"/>
              <w:right w:val="single" w:sz="4" w:space="0" w:color="auto"/>
            </w:tcBorders>
          </w:tcPr>
          <w:p w14:paraId="1C3393EF" w14:textId="091C8166"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47</w:t>
            </w:r>
            <w:r w:rsidRPr="00F261AC">
              <w:tab/>
              <w:t>6.2.1</w:t>
            </w:r>
            <w:r w:rsidRPr="00F261AC">
              <w:tab/>
            </w:r>
            <w:r w:rsidR="00075305" w:rsidRPr="00075305">
              <w:t>Para cada servicio admitido en una relación dada, las administraciones establecerán y revisarán por acuerdo mutuo las tasas de distribución aplicables entre ellas de conformidad con las disposiciones del Apéndice 1, habida cuenta de las Recomendaciones pertinentes del CCITT y de la evolución de los costes correspondientes</w:t>
            </w:r>
            <w:r w:rsidRPr="00F261AC">
              <w:t>.</w:t>
            </w:r>
          </w:p>
        </w:tc>
        <w:tc>
          <w:tcPr>
            <w:tcW w:w="2341" w:type="dxa"/>
            <w:tcBorders>
              <w:top w:val="single" w:sz="4" w:space="0" w:color="auto"/>
              <w:left w:val="single" w:sz="4" w:space="0" w:color="auto"/>
              <w:bottom w:val="single" w:sz="4" w:space="0" w:color="auto"/>
              <w:right w:val="single" w:sz="4" w:space="0" w:color="auto"/>
            </w:tcBorders>
          </w:tcPr>
          <w:p w14:paraId="01BF0994" w14:textId="7F788DA2"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La disposición es aplicable para fomentar el suministro y el desarrollo de redes y servicios</w:t>
            </w:r>
            <w:r w:rsidR="00FF0DF6">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18DF1D67" w14:textId="4EDE7C75"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FF0DF6">
              <w:rPr>
                <w:rFonts w:asciiTheme="minorHAnsi" w:hAnsiTheme="minorHAnsi" w:cstheme="minorHAnsi"/>
                <w:bCs/>
                <w:sz w:val="22"/>
              </w:rPr>
              <w:t>.</w:t>
            </w:r>
          </w:p>
        </w:tc>
        <w:tc>
          <w:tcPr>
            <w:tcW w:w="1860" w:type="dxa"/>
            <w:tcBorders>
              <w:top w:val="single" w:sz="4" w:space="0" w:color="auto"/>
              <w:left w:val="single" w:sz="4" w:space="0" w:color="auto"/>
              <w:bottom w:val="single" w:sz="4" w:space="0" w:color="auto"/>
              <w:right w:val="single" w:sz="4" w:space="0" w:color="auto"/>
            </w:tcBorders>
          </w:tcPr>
          <w:p w14:paraId="4277B975" w14:textId="2D33C8E5" w:rsidR="00CA5968" w:rsidRPr="00F261AC" w:rsidRDefault="00AA6BF7" w:rsidP="00FF0DF6">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0612A176"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0744A4B2" w14:textId="77777777" w:rsidTr="00103EBC">
        <w:tblPrEx>
          <w:tblCellMar>
            <w:left w:w="14" w:type="dxa"/>
            <w:right w:w="14" w:type="dxa"/>
          </w:tblCellMar>
        </w:tblPrEx>
        <w:tc>
          <w:tcPr>
            <w:tcW w:w="1130" w:type="dxa"/>
            <w:vMerge/>
            <w:tcBorders>
              <w:left w:val="single" w:sz="4" w:space="0" w:color="auto"/>
              <w:bottom w:val="single" w:sz="4" w:space="0" w:color="auto"/>
              <w:right w:val="single" w:sz="4" w:space="0" w:color="auto"/>
            </w:tcBorders>
            <w:textDirection w:val="btLr"/>
          </w:tcPr>
          <w:p w14:paraId="1DF33036"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158D3BB2" w14:textId="77777777" w:rsidR="00CA5968" w:rsidRPr="00F261AC" w:rsidRDefault="00CA5968" w:rsidP="00CA5968">
            <w:pPr>
              <w:tabs>
                <w:tab w:val="clear" w:pos="567"/>
                <w:tab w:val="left" w:pos="720"/>
              </w:tabs>
              <w:spacing w:before="0"/>
              <w:ind w:right="130"/>
              <w:rPr>
                <w:rStyle w:val="Artdef"/>
              </w:rPr>
            </w:pPr>
          </w:p>
        </w:tc>
        <w:tc>
          <w:tcPr>
            <w:tcW w:w="3601" w:type="dxa"/>
            <w:tcBorders>
              <w:top w:val="single" w:sz="4" w:space="0" w:color="auto"/>
              <w:left w:val="single" w:sz="4" w:space="0" w:color="auto"/>
              <w:bottom w:val="single" w:sz="4" w:space="0" w:color="auto"/>
              <w:right w:val="single" w:sz="4" w:space="0" w:color="auto"/>
            </w:tcBorders>
          </w:tcPr>
          <w:p w14:paraId="6637D85B" w14:textId="2A239EF9"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44</w:t>
            </w:r>
            <w:r w:rsidRPr="00F261AC">
              <w:tab/>
              <w:t>6.1.2</w:t>
            </w:r>
            <w:r w:rsidRPr="00F261AC">
              <w:tab/>
            </w:r>
            <w:r w:rsidR="00075305" w:rsidRPr="00075305">
              <w:t>En principio, la tasa que una administración ha de percibir de los clientes por una misma prestación deberá ser idéntica en una relación determinada, cualquiera que sea la ruta elegida por esta administración</w:t>
            </w:r>
            <w:r w:rsidR="00FF0DF6">
              <w:t>*</w:t>
            </w:r>
            <w:r w:rsidRPr="00F261AC">
              <w:t>.</w:t>
            </w:r>
          </w:p>
        </w:tc>
        <w:tc>
          <w:tcPr>
            <w:tcW w:w="6182" w:type="dxa"/>
            <w:gridSpan w:val="3"/>
            <w:tcBorders>
              <w:top w:val="single" w:sz="4" w:space="0" w:color="auto"/>
              <w:left w:val="single" w:sz="4" w:space="0" w:color="auto"/>
              <w:bottom w:val="single" w:sz="4" w:space="0" w:color="auto"/>
              <w:right w:val="single" w:sz="4" w:space="0" w:color="auto"/>
            </w:tcBorders>
          </w:tcPr>
          <w:p w14:paraId="0773F9D9" w14:textId="678239D3" w:rsidR="00CA5968" w:rsidRPr="00D45464" w:rsidRDefault="00356713"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i/>
                <w:iCs/>
                <w:sz w:val="22"/>
              </w:rPr>
            </w:pPr>
            <w:bookmarkStart w:id="12" w:name="_Hlk50534461"/>
            <w:r>
              <w:rPr>
                <w:rFonts w:asciiTheme="minorHAnsi" w:hAnsiTheme="minorHAnsi" w:cstheme="minorHAnsi"/>
                <w:bCs/>
                <w:i/>
                <w:iCs/>
                <w:sz w:val="22"/>
              </w:rPr>
              <w:t>Esta disposición del RTI de 1988</w:t>
            </w:r>
            <w:r w:rsidR="0080318D">
              <w:rPr>
                <w:rFonts w:asciiTheme="minorHAnsi" w:hAnsiTheme="minorHAnsi" w:cstheme="minorHAnsi"/>
                <w:bCs/>
                <w:i/>
                <w:iCs/>
                <w:sz w:val="22"/>
              </w:rPr>
              <w:t xml:space="preserve"> no es necesaria</w:t>
            </w:r>
            <w:r>
              <w:rPr>
                <w:rFonts w:asciiTheme="minorHAnsi" w:hAnsiTheme="minorHAnsi" w:cstheme="minorHAnsi"/>
                <w:bCs/>
                <w:i/>
                <w:iCs/>
                <w:sz w:val="22"/>
              </w:rPr>
              <w:t xml:space="preserve">, ya que los principios reglamentarios requeridos están incluidos en el núm. </w:t>
            </w:r>
            <w:r w:rsidR="00CA5968">
              <w:rPr>
                <w:rFonts w:asciiTheme="minorHAnsi" w:hAnsiTheme="minorHAnsi" w:cstheme="minorHAnsi"/>
                <w:bCs/>
                <w:i/>
                <w:iCs/>
                <w:sz w:val="22"/>
              </w:rPr>
              <w:t xml:space="preserve">58 </w:t>
            </w:r>
            <w:r>
              <w:rPr>
                <w:rFonts w:asciiTheme="minorHAnsi" w:hAnsiTheme="minorHAnsi" w:cstheme="minorHAnsi"/>
                <w:bCs/>
                <w:i/>
                <w:iCs/>
                <w:sz w:val="22"/>
              </w:rPr>
              <w:t>del RTI de</w:t>
            </w:r>
            <w:r w:rsidR="00CA5968">
              <w:rPr>
                <w:rFonts w:asciiTheme="minorHAnsi" w:hAnsiTheme="minorHAnsi" w:cstheme="minorHAnsi"/>
                <w:bCs/>
                <w:i/>
                <w:iCs/>
                <w:sz w:val="22"/>
              </w:rPr>
              <w:t xml:space="preserve"> 2012.</w:t>
            </w:r>
            <w:bookmarkEnd w:id="12"/>
          </w:p>
        </w:tc>
      </w:tr>
      <w:tr w:rsidR="00CA5968" w:rsidRPr="00F261AC" w14:paraId="5145200F" w14:textId="77777777" w:rsidTr="00103EBC">
        <w:tblPrEx>
          <w:tblCellMar>
            <w:left w:w="14" w:type="dxa"/>
            <w:right w:w="14" w:type="dxa"/>
          </w:tblCellMar>
        </w:tblPrEx>
        <w:tc>
          <w:tcPr>
            <w:tcW w:w="1130" w:type="dxa"/>
            <w:vMerge w:val="restart"/>
            <w:tcBorders>
              <w:top w:val="single" w:sz="4" w:space="0" w:color="auto"/>
              <w:left w:val="single" w:sz="4" w:space="0" w:color="auto"/>
              <w:right w:val="single" w:sz="4" w:space="0" w:color="auto"/>
            </w:tcBorders>
            <w:textDirection w:val="btLr"/>
          </w:tcPr>
          <w:p w14:paraId="6F6EF03E"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0E03617A" w14:textId="6AAD7451" w:rsidR="00CA5968" w:rsidRPr="00F261AC" w:rsidRDefault="00CA5968" w:rsidP="00CA5968">
            <w:pPr>
              <w:tabs>
                <w:tab w:val="clear" w:pos="567"/>
                <w:tab w:val="left" w:pos="720"/>
              </w:tabs>
              <w:spacing w:before="0"/>
              <w:ind w:right="130"/>
              <w:rPr>
                <w:rStyle w:val="Artdef"/>
              </w:rPr>
            </w:pPr>
            <w:r w:rsidRPr="00F261AC">
              <w:rPr>
                <w:rStyle w:val="Artdef"/>
                <w:rFonts w:cs="Times New Roman"/>
              </w:rPr>
              <w:t>59</w:t>
            </w:r>
            <w:r w:rsidRPr="00F261AC">
              <w:tab/>
              <w:t>8.2.3</w:t>
            </w:r>
            <w:r w:rsidRPr="00F261AC">
              <w:tab/>
            </w:r>
            <w:r w:rsidR="00E61738" w:rsidRPr="00E61738">
              <w:t>A menos que se acuerde otra cosa, las partes que participen en la prestación de servicios internacionales de telecomunicación lo harán de conformidad con las disposiciones pertinentes según se establece en los Apéndices 1 y 2</w:t>
            </w:r>
            <w:r w:rsidRPr="00F261AC">
              <w:t>.</w:t>
            </w:r>
          </w:p>
        </w:tc>
        <w:tc>
          <w:tcPr>
            <w:tcW w:w="3601" w:type="dxa"/>
            <w:tcBorders>
              <w:top w:val="single" w:sz="4" w:space="0" w:color="auto"/>
              <w:left w:val="single" w:sz="4" w:space="0" w:color="auto"/>
              <w:bottom w:val="single" w:sz="4" w:space="0" w:color="auto"/>
              <w:right w:val="single" w:sz="4" w:space="0" w:color="auto"/>
            </w:tcBorders>
          </w:tcPr>
          <w:p w14:paraId="32BF4EFA" w14:textId="393533B6"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52</w:t>
            </w:r>
            <w:r w:rsidRPr="00F261AC">
              <w:tab/>
              <w:t>6.4.1</w:t>
            </w:r>
            <w:r w:rsidRPr="00F261AC">
              <w:tab/>
            </w:r>
            <w:r w:rsidR="00075305" w:rsidRPr="00075305">
              <w:t>A menos que se acuerde otra cosa, las administraciones</w:t>
            </w:r>
            <w:r w:rsidR="00FD1553">
              <w:t>*</w:t>
            </w:r>
            <w:r w:rsidR="00075305" w:rsidRPr="00075305">
              <w:t xml:space="preserve"> deberán aplicar las disposiciones pertinentes que figuran en los Apéndices 1 y 2.</w:t>
            </w:r>
          </w:p>
        </w:tc>
        <w:tc>
          <w:tcPr>
            <w:tcW w:w="2341" w:type="dxa"/>
            <w:tcBorders>
              <w:top w:val="single" w:sz="4" w:space="0" w:color="auto"/>
              <w:left w:val="single" w:sz="4" w:space="0" w:color="auto"/>
              <w:bottom w:val="single" w:sz="4" w:space="0" w:color="auto"/>
              <w:right w:val="single" w:sz="4" w:space="0" w:color="auto"/>
            </w:tcBorders>
          </w:tcPr>
          <w:p w14:paraId="70459580" w14:textId="4859710A"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La disposición es aplicable para fomentar el suministro y el desarrollo de redes y servicios</w:t>
            </w:r>
            <w:r w:rsidR="00FF0DF6">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388530AF" w14:textId="2A5272FD"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FF0DF6">
              <w:rPr>
                <w:rFonts w:asciiTheme="minorHAnsi" w:hAnsiTheme="minorHAnsi" w:cstheme="minorHAnsi"/>
                <w:bCs/>
                <w:sz w:val="22"/>
              </w:rPr>
              <w:t>.</w:t>
            </w:r>
          </w:p>
        </w:tc>
        <w:tc>
          <w:tcPr>
            <w:tcW w:w="1860" w:type="dxa"/>
            <w:tcBorders>
              <w:top w:val="single" w:sz="4" w:space="0" w:color="auto"/>
              <w:left w:val="single" w:sz="4" w:space="0" w:color="auto"/>
              <w:bottom w:val="single" w:sz="4" w:space="0" w:color="auto"/>
              <w:right w:val="single" w:sz="4" w:space="0" w:color="auto"/>
            </w:tcBorders>
          </w:tcPr>
          <w:p w14:paraId="68A973AD" w14:textId="68A6D0D2" w:rsidR="00CA5968" w:rsidRPr="00F261AC" w:rsidRDefault="00AA6BF7" w:rsidP="00135FAE">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47C7A657"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17A75D11" w14:textId="77777777" w:rsidTr="00103EBC">
        <w:tblPrEx>
          <w:tblCellMar>
            <w:left w:w="14" w:type="dxa"/>
            <w:right w:w="14" w:type="dxa"/>
          </w:tblCellMar>
        </w:tblPrEx>
        <w:tc>
          <w:tcPr>
            <w:tcW w:w="1130" w:type="dxa"/>
            <w:vMerge/>
            <w:tcBorders>
              <w:left w:val="single" w:sz="4" w:space="0" w:color="auto"/>
              <w:bottom w:val="single" w:sz="4" w:space="0" w:color="auto"/>
              <w:right w:val="single" w:sz="4" w:space="0" w:color="auto"/>
            </w:tcBorders>
            <w:textDirection w:val="btLr"/>
          </w:tcPr>
          <w:p w14:paraId="63EBD216"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68E792BF" w14:textId="56A91460" w:rsidR="00CA5968" w:rsidRPr="00F261AC" w:rsidRDefault="00CA5968" w:rsidP="00CA5968">
            <w:pPr>
              <w:tabs>
                <w:tab w:val="clear" w:pos="1134"/>
              </w:tabs>
              <w:rPr>
                <w:rFonts w:asciiTheme="minorHAnsi" w:hAnsiTheme="minorHAnsi"/>
              </w:rPr>
            </w:pPr>
            <w:r w:rsidRPr="00F261AC">
              <w:rPr>
                <w:rStyle w:val="Artdef"/>
                <w:rFonts w:cs="Times New Roman"/>
              </w:rPr>
              <w:t>60</w:t>
            </w:r>
            <w:r w:rsidRPr="00F261AC">
              <w:rPr>
                <w:b/>
                <w:bCs/>
              </w:rPr>
              <w:tab/>
            </w:r>
            <w:r w:rsidRPr="00F261AC">
              <w:t>8.2.4</w:t>
            </w:r>
            <w:r w:rsidRPr="00F261AC">
              <w:tab/>
            </w:r>
            <w:r w:rsidR="00E61738" w:rsidRPr="00E61738">
              <w:t>En defecto de acuerdos particulares entre empresas de explotación autorizadas, la unidad monetaria empleada para fijar las tasas de distribución aplicables a los servicios internacionales de telecomunicación y para el establecimiento de las cuentas internacionales será</w:t>
            </w:r>
            <w:r w:rsidRPr="00F261AC">
              <w:t>:</w:t>
            </w:r>
          </w:p>
          <w:p w14:paraId="16F593CA" w14:textId="2F463092" w:rsidR="00CA5968" w:rsidRPr="00F261AC" w:rsidRDefault="00CA5968" w:rsidP="00CA5968">
            <w:pPr>
              <w:pStyle w:val="enumlev1"/>
              <w:tabs>
                <w:tab w:val="clear" w:pos="1134"/>
                <w:tab w:val="clear" w:pos="1701"/>
                <w:tab w:val="clear" w:pos="2268"/>
                <w:tab w:val="clear" w:pos="2835"/>
                <w:tab w:val="left" w:pos="1114"/>
              </w:tabs>
              <w:spacing w:before="120"/>
            </w:pPr>
            <w:r w:rsidRPr="00F261AC">
              <w:t>–</w:t>
            </w:r>
            <w:r w:rsidRPr="00F261AC">
              <w:tab/>
            </w:r>
            <w:r w:rsidR="00E61738" w:rsidRPr="00E61738">
              <w:t>la unidad monetaria del Fondo Monetario Internacional (FMI), actualmente el Derecho Especial de Giro (DEG), definida por esta organización</w:t>
            </w:r>
            <w:r w:rsidRPr="00F261AC">
              <w:t>;</w:t>
            </w:r>
          </w:p>
          <w:p w14:paraId="66335D29" w14:textId="68762973" w:rsidR="00CA5968" w:rsidRPr="00F261AC" w:rsidRDefault="00CA5968" w:rsidP="00CA5968">
            <w:pPr>
              <w:pStyle w:val="enumlev1"/>
              <w:tabs>
                <w:tab w:val="clear" w:pos="1701"/>
                <w:tab w:val="clear" w:pos="2268"/>
                <w:tab w:val="clear" w:pos="2835"/>
              </w:tabs>
              <w:spacing w:before="120"/>
              <w:rPr>
                <w:rStyle w:val="Artdef"/>
              </w:rPr>
            </w:pPr>
            <w:r w:rsidRPr="00F261AC">
              <w:t>–</w:t>
            </w:r>
            <w:r w:rsidRPr="00F261AC">
              <w:tab/>
            </w:r>
            <w:r w:rsidR="00E61738" w:rsidRPr="00E61738">
              <w:t>o divisas libremente convertibles u otras unidades monetarias acordadas entre las empresas de explotación autorizadas</w:t>
            </w:r>
            <w:r w:rsidRPr="00F261AC">
              <w:t>.</w:t>
            </w:r>
          </w:p>
        </w:tc>
        <w:tc>
          <w:tcPr>
            <w:tcW w:w="3601" w:type="dxa"/>
            <w:tcBorders>
              <w:top w:val="single" w:sz="4" w:space="0" w:color="auto"/>
              <w:left w:val="single" w:sz="4" w:space="0" w:color="auto"/>
              <w:bottom w:val="single" w:sz="4" w:space="0" w:color="auto"/>
              <w:right w:val="single" w:sz="4" w:space="0" w:color="auto"/>
            </w:tcBorders>
          </w:tcPr>
          <w:p w14:paraId="5B89D140" w14:textId="490DAD06" w:rsidR="00CA5968" w:rsidRPr="00F261AC" w:rsidRDefault="00CA5968" w:rsidP="00CA5968">
            <w:r w:rsidRPr="00F261AC">
              <w:rPr>
                <w:rStyle w:val="Artdef"/>
              </w:rPr>
              <w:t>49</w:t>
            </w:r>
            <w:r w:rsidRPr="00F261AC">
              <w:tab/>
              <w:t>6.3.1</w:t>
            </w:r>
            <w:r w:rsidRPr="00F261AC">
              <w:tab/>
            </w:r>
            <w:r w:rsidR="00075305" w:rsidRPr="00075305">
              <w:t>En defecto de arreglos particulares entre las administraciones</w:t>
            </w:r>
            <w:r w:rsidR="00FD1553">
              <w:t>*</w:t>
            </w:r>
            <w:r w:rsidR="00075305" w:rsidRPr="00075305">
              <w:t>, la unidad monetaria empleada para fijar las tasas de distribución aplicables a los servicios internacionales de telecomunicación y para el establecimiento de las cuentas internacionales será</w:t>
            </w:r>
            <w:r w:rsidRPr="00F261AC">
              <w:t>:</w:t>
            </w:r>
          </w:p>
          <w:p w14:paraId="512D588B" w14:textId="29B7C1AA" w:rsidR="00CA5968" w:rsidRPr="00F261AC" w:rsidRDefault="00CA5968" w:rsidP="00CA5968">
            <w:pPr>
              <w:pStyle w:val="enumlev1"/>
            </w:pPr>
            <w:r w:rsidRPr="00F261AC">
              <w:t>–</w:t>
            </w:r>
            <w:r w:rsidRPr="00F261AC">
              <w:tab/>
            </w:r>
            <w:r w:rsidR="00075305" w:rsidRPr="00075305">
              <w:t>la unidad monetaria del Fondo Monetario Internacional (FMI), actualmente el Derecho Especial de Giro (DEG), definida por esta organización</w:t>
            </w:r>
            <w:r w:rsidRPr="00F261AC">
              <w:t>;</w:t>
            </w:r>
          </w:p>
          <w:p w14:paraId="53AAB399" w14:textId="566B8FBC" w:rsidR="00CA5968" w:rsidRPr="00F261AC" w:rsidRDefault="00CA5968" w:rsidP="00CA5968">
            <w:pPr>
              <w:pStyle w:val="enumlev1"/>
              <w:tabs>
                <w:tab w:val="clear" w:pos="1701"/>
                <w:tab w:val="clear" w:pos="2268"/>
                <w:tab w:val="clear" w:pos="2835"/>
              </w:tabs>
              <w:spacing w:before="120"/>
              <w:rPr>
                <w:rFonts w:asciiTheme="minorHAnsi" w:eastAsia="SimSun" w:hAnsiTheme="minorHAnsi" w:cs="Times New Roman Bold"/>
                <w:b/>
                <w:bCs/>
                <w:iCs/>
                <w:color w:val="000000"/>
                <w:sz w:val="22"/>
              </w:rPr>
            </w:pPr>
            <w:r w:rsidRPr="00F261AC">
              <w:t>–</w:t>
            </w:r>
            <w:r w:rsidRPr="00F261AC">
              <w:tab/>
            </w:r>
            <w:r w:rsidR="00075305" w:rsidRPr="00075305">
              <w:t>o el franco oro, que equivale a 1/3,061 DEG</w:t>
            </w:r>
            <w:r w:rsidRPr="00F261AC">
              <w:t>.</w:t>
            </w:r>
          </w:p>
        </w:tc>
        <w:tc>
          <w:tcPr>
            <w:tcW w:w="2341" w:type="dxa"/>
            <w:tcBorders>
              <w:top w:val="single" w:sz="4" w:space="0" w:color="auto"/>
              <w:left w:val="single" w:sz="4" w:space="0" w:color="auto"/>
              <w:bottom w:val="single" w:sz="4" w:space="0" w:color="auto"/>
              <w:right w:val="single" w:sz="4" w:space="0" w:color="auto"/>
            </w:tcBorders>
          </w:tcPr>
          <w:p w14:paraId="56B8CC06" w14:textId="38120C08"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La disposición es aplicable para fomentar el suministro y el desarrollo de redes y servicios</w:t>
            </w:r>
            <w:r w:rsidR="00FF0DF6">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0A77DB0C" w14:textId="27646A9F"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FF0DF6">
              <w:rPr>
                <w:rFonts w:asciiTheme="minorHAnsi" w:hAnsiTheme="minorHAnsi" w:cstheme="minorHAnsi"/>
                <w:bCs/>
                <w:sz w:val="22"/>
              </w:rPr>
              <w:t>.</w:t>
            </w:r>
          </w:p>
        </w:tc>
        <w:tc>
          <w:tcPr>
            <w:tcW w:w="1860" w:type="dxa"/>
            <w:tcBorders>
              <w:top w:val="single" w:sz="4" w:space="0" w:color="auto"/>
              <w:left w:val="single" w:sz="4" w:space="0" w:color="auto"/>
              <w:bottom w:val="single" w:sz="4" w:space="0" w:color="auto"/>
              <w:right w:val="single" w:sz="4" w:space="0" w:color="auto"/>
            </w:tcBorders>
          </w:tcPr>
          <w:p w14:paraId="331B1F2C" w14:textId="1633605D" w:rsidR="00CA5968" w:rsidRPr="00F261AC" w:rsidRDefault="00AA6BF7" w:rsidP="0080318D">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32879D39" w14:textId="73C5BC73" w:rsidR="00CA5968" w:rsidRPr="00F261AC" w:rsidRDefault="00356713"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r>
              <w:rPr>
                <w:rFonts w:asciiTheme="minorHAnsi" w:hAnsiTheme="minorHAnsi" w:cstheme="minorHAnsi"/>
                <w:bCs/>
                <w:sz w:val="22"/>
              </w:rPr>
              <w:t xml:space="preserve">El núm. </w:t>
            </w:r>
            <w:r w:rsidR="00CA5968">
              <w:rPr>
                <w:rFonts w:asciiTheme="minorHAnsi" w:hAnsiTheme="minorHAnsi" w:cstheme="minorHAnsi"/>
                <w:bCs/>
                <w:sz w:val="22"/>
              </w:rPr>
              <w:t xml:space="preserve">49 </w:t>
            </w:r>
            <w:r>
              <w:rPr>
                <w:rFonts w:asciiTheme="minorHAnsi" w:hAnsiTheme="minorHAnsi" w:cstheme="minorHAnsi"/>
                <w:bCs/>
                <w:sz w:val="22"/>
              </w:rPr>
              <w:t>del RTI de</w:t>
            </w:r>
            <w:r w:rsidR="00CA5968">
              <w:rPr>
                <w:rFonts w:asciiTheme="minorHAnsi" w:hAnsiTheme="minorHAnsi" w:cstheme="minorHAnsi"/>
                <w:bCs/>
                <w:sz w:val="22"/>
              </w:rPr>
              <w:t xml:space="preserve"> 1988, </w:t>
            </w:r>
            <w:r>
              <w:rPr>
                <w:rFonts w:asciiTheme="minorHAnsi" w:hAnsiTheme="minorHAnsi" w:cstheme="minorHAnsi"/>
                <w:bCs/>
                <w:sz w:val="22"/>
              </w:rPr>
              <w:t>en su referencia al franco oro, no refleja la situación actual.</w:t>
            </w:r>
          </w:p>
        </w:tc>
      </w:tr>
      <w:tr w:rsidR="00CA5968" w:rsidRPr="00F261AC" w14:paraId="0115B034" w14:textId="77777777" w:rsidTr="00103EBC">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textDirection w:val="btLr"/>
          </w:tcPr>
          <w:p w14:paraId="0AAA01FD"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371AEBDA" w14:textId="77777777" w:rsidR="00CA5968" w:rsidRPr="00F261AC" w:rsidRDefault="00CA5968" w:rsidP="00CA5968">
            <w:pPr>
              <w:tabs>
                <w:tab w:val="clear" w:pos="567"/>
                <w:tab w:val="left" w:pos="720"/>
              </w:tabs>
              <w:spacing w:before="0"/>
              <w:ind w:right="130"/>
              <w:rPr>
                <w:rStyle w:val="Artdef"/>
              </w:rPr>
            </w:pPr>
          </w:p>
        </w:tc>
        <w:tc>
          <w:tcPr>
            <w:tcW w:w="3601" w:type="dxa"/>
            <w:tcBorders>
              <w:top w:val="single" w:sz="4" w:space="0" w:color="auto"/>
              <w:left w:val="single" w:sz="4" w:space="0" w:color="auto"/>
              <w:bottom w:val="single" w:sz="4" w:space="0" w:color="auto"/>
              <w:right w:val="single" w:sz="4" w:space="0" w:color="auto"/>
            </w:tcBorders>
          </w:tcPr>
          <w:p w14:paraId="1ED6D2BA" w14:textId="0B8B2CBB"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50</w:t>
            </w:r>
            <w:r w:rsidRPr="00F261AC">
              <w:tab/>
              <w:t>6.3.2</w:t>
            </w:r>
            <w:r w:rsidRPr="00F261AC">
              <w:tab/>
            </w:r>
            <w:r w:rsidR="00075305" w:rsidRPr="00075305">
              <w:t>De conformidad con las disposiciones pertinentes del Convenio Internacional de Telecomunicaciones, esta disposición no obsta a la posibilidad de concertar arreglos bilaterales entre administraciones para la fijación de coeficientes mutualmente aceptables entre la unidad monetaria del FMI y el franco oro</w:t>
            </w:r>
            <w:r w:rsidRPr="00F261AC">
              <w:t>.</w:t>
            </w:r>
          </w:p>
        </w:tc>
        <w:tc>
          <w:tcPr>
            <w:tcW w:w="6182" w:type="dxa"/>
            <w:gridSpan w:val="3"/>
            <w:tcBorders>
              <w:top w:val="single" w:sz="4" w:space="0" w:color="auto"/>
              <w:left w:val="single" w:sz="4" w:space="0" w:color="auto"/>
              <w:bottom w:val="single" w:sz="4" w:space="0" w:color="auto"/>
              <w:right w:val="single" w:sz="4" w:space="0" w:color="auto"/>
            </w:tcBorders>
          </w:tcPr>
          <w:p w14:paraId="030F36ED" w14:textId="4E7840A5" w:rsidR="00356713" w:rsidRDefault="00356713"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i/>
                <w:iCs/>
                <w:sz w:val="22"/>
              </w:rPr>
            </w:pPr>
            <w:r w:rsidRPr="00356713">
              <w:rPr>
                <w:rFonts w:asciiTheme="minorHAnsi" w:hAnsiTheme="minorHAnsi" w:cstheme="minorHAnsi"/>
                <w:bCs/>
                <w:i/>
                <w:iCs/>
                <w:sz w:val="22"/>
              </w:rPr>
              <w:t xml:space="preserve">El franco oro ya no </w:t>
            </w:r>
            <w:r>
              <w:rPr>
                <w:rFonts w:asciiTheme="minorHAnsi" w:hAnsiTheme="minorHAnsi" w:cstheme="minorHAnsi"/>
                <w:bCs/>
                <w:i/>
                <w:iCs/>
                <w:sz w:val="22"/>
              </w:rPr>
              <w:t>está en uso</w:t>
            </w:r>
            <w:r w:rsidRPr="00356713">
              <w:rPr>
                <w:rFonts w:asciiTheme="minorHAnsi" w:hAnsiTheme="minorHAnsi" w:cstheme="minorHAnsi"/>
                <w:bCs/>
                <w:i/>
                <w:iCs/>
                <w:sz w:val="22"/>
              </w:rPr>
              <w:t xml:space="preserve">. Este párrafo del RTI de 1988 no está en consonancia con </w:t>
            </w:r>
            <w:r>
              <w:rPr>
                <w:rFonts w:asciiTheme="minorHAnsi" w:hAnsiTheme="minorHAnsi" w:cstheme="minorHAnsi"/>
                <w:bCs/>
                <w:i/>
                <w:iCs/>
                <w:sz w:val="22"/>
              </w:rPr>
              <w:t>el mandato</w:t>
            </w:r>
            <w:r w:rsidRPr="00356713">
              <w:rPr>
                <w:rFonts w:asciiTheme="minorHAnsi" w:hAnsiTheme="minorHAnsi" w:cstheme="minorHAnsi"/>
                <w:bCs/>
                <w:i/>
                <w:iCs/>
                <w:sz w:val="22"/>
              </w:rPr>
              <w:t xml:space="preserve"> o el Convenio de la UIT y no refleja la situación actual. En consecuencia, este párrafo del RTI de 1988 es redundante. El número 60 del RTI de 2012 refleja plenamente las cuestiones relativas a la reglamentación de las relaciones monetarias entre las organizaciones</w:t>
            </w:r>
            <w:r>
              <w:rPr>
                <w:rFonts w:asciiTheme="minorHAnsi" w:hAnsiTheme="minorHAnsi" w:cstheme="minorHAnsi"/>
                <w:bCs/>
                <w:i/>
                <w:iCs/>
                <w:sz w:val="22"/>
              </w:rPr>
              <w:t>.</w:t>
            </w:r>
          </w:p>
          <w:p w14:paraId="325EFCD1" w14:textId="4BD929AF" w:rsidR="00CA5968" w:rsidRPr="00AA17F4"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i/>
                <w:iCs/>
                <w:sz w:val="22"/>
              </w:rPr>
            </w:pPr>
          </w:p>
        </w:tc>
      </w:tr>
      <w:tr w:rsidR="00CA5968" w:rsidRPr="00F261AC" w14:paraId="435F3AB5" w14:textId="77777777" w:rsidTr="00103EBC">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textDirection w:val="btLr"/>
          </w:tcPr>
          <w:p w14:paraId="381558F0"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2601C2D0" w14:textId="77BE98BB" w:rsidR="00CA5968" w:rsidRPr="00F261AC" w:rsidRDefault="00CA5968" w:rsidP="00CA5968">
            <w:pPr>
              <w:tabs>
                <w:tab w:val="clear" w:pos="567"/>
                <w:tab w:val="left" w:pos="720"/>
              </w:tabs>
              <w:spacing w:before="0"/>
              <w:ind w:right="130"/>
              <w:rPr>
                <w:rStyle w:val="Artdef"/>
              </w:rPr>
            </w:pPr>
            <w:r w:rsidRPr="00F261AC">
              <w:rPr>
                <w:rStyle w:val="Artdef"/>
                <w:rFonts w:cs="Times New Roman"/>
              </w:rPr>
              <w:t>61</w:t>
            </w:r>
            <w:r w:rsidRPr="00F261AC">
              <w:tab/>
            </w:r>
            <w:r w:rsidR="00E61738" w:rsidRPr="00E61738">
              <w:rPr>
                <w:b/>
                <w:bCs/>
                <w:i/>
                <w:iCs/>
              </w:rPr>
              <w:t>Tasas de percepción</w:t>
            </w:r>
          </w:p>
        </w:tc>
        <w:tc>
          <w:tcPr>
            <w:tcW w:w="3601" w:type="dxa"/>
            <w:tcBorders>
              <w:top w:val="single" w:sz="4" w:space="0" w:color="auto"/>
              <w:left w:val="single" w:sz="4" w:space="0" w:color="auto"/>
              <w:bottom w:val="single" w:sz="4" w:space="0" w:color="auto"/>
              <w:right w:val="single" w:sz="4" w:space="0" w:color="auto"/>
            </w:tcBorders>
          </w:tcPr>
          <w:p w14:paraId="2C9B596A" w14:textId="58BCD753"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42</w:t>
            </w:r>
            <w:r w:rsidRPr="00F261AC">
              <w:tab/>
            </w:r>
            <w:r w:rsidRPr="00F261AC">
              <w:rPr>
                <w:b/>
                <w:bCs/>
              </w:rPr>
              <w:t>6.1</w:t>
            </w:r>
            <w:r w:rsidRPr="00F261AC">
              <w:rPr>
                <w:b/>
                <w:bCs/>
              </w:rPr>
              <w:tab/>
            </w:r>
            <w:r w:rsidR="00075305" w:rsidRPr="00075305">
              <w:rPr>
                <w:b/>
                <w:bCs/>
              </w:rPr>
              <w:t>Tasas de percepción</w:t>
            </w:r>
          </w:p>
        </w:tc>
        <w:tc>
          <w:tcPr>
            <w:tcW w:w="2341" w:type="dxa"/>
            <w:tcBorders>
              <w:top w:val="single" w:sz="4" w:space="0" w:color="auto"/>
              <w:left w:val="single" w:sz="4" w:space="0" w:color="auto"/>
              <w:bottom w:val="single" w:sz="4" w:space="0" w:color="auto"/>
              <w:right w:val="single" w:sz="4" w:space="0" w:color="auto"/>
            </w:tcBorders>
          </w:tcPr>
          <w:p w14:paraId="5EC205A8" w14:textId="77777777" w:rsidR="00CA5968" w:rsidRPr="00F261AC" w:rsidRDefault="00CA5968" w:rsidP="00CA5968">
            <w:pPr>
              <w:tabs>
                <w:tab w:val="clear" w:pos="567"/>
                <w:tab w:val="left" w:pos="720"/>
              </w:tabs>
              <w:spacing w:before="40" w:after="40"/>
              <w:rPr>
                <w:rFonts w:asciiTheme="minorHAnsi" w:hAnsiTheme="minorHAnsi" w:cstheme="minorHAnsi"/>
                <w:bCs/>
                <w:sz w:val="22"/>
              </w:rPr>
            </w:pPr>
          </w:p>
        </w:tc>
        <w:tc>
          <w:tcPr>
            <w:tcW w:w="1981" w:type="dxa"/>
            <w:tcBorders>
              <w:top w:val="single" w:sz="4" w:space="0" w:color="auto"/>
              <w:left w:val="single" w:sz="4" w:space="0" w:color="auto"/>
              <w:bottom w:val="single" w:sz="4" w:space="0" w:color="auto"/>
              <w:right w:val="single" w:sz="4" w:space="0" w:color="auto"/>
            </w:tcBorders>
          </w:tcPr>
          <w:p w14:paraId="545FE92E" w14:textId="77777777" w:rsidR="00CA5968" w:rsidRPr="00F261AC" w:rsidRDefault="00CA5968" w:rsidP="00CA5968">
            <w:pPr>
              <w:tabs>
                <w:tab w:val="clear" w:pos="567"/>
                <w:tab w:val="left" w:pos="720"/>
              </w:tabs>
              <w:spacing w:before="40" w:after="40"/>
              <w:rPr>
                <w:rFonts w:asciiTheme="minorHAnsi" w:hAnsiTheme="minorHAnsi" w:cstheme="minorHAnsi"/>
                <w:bCs/>
                <w:sz w:val="22"/>
              </w:rPr>
            </w:pPr>
          </w:p>
        </w:tc>
        <w:tc>
          <w:tcPr>
            <w:tcW w:w="1860" w:type="dxa"/>
            <w:tcBorders>
              <w:top w:val="single" w:sz="4" w:space="0" w:color="auto"/>
              <w:left w:val="single" w:sz="4" w:space="0" w:color="auto"/>
              <w:bottom w:val="single" w:sz="4" w:space="0" w:color="auto"/>
              <w:right w:val="single" w:sz="4" w:space="0" w:color="auto"/>
            </w:tcBorders>
          </w:tcPr>
          <w:p w14:paraId="7E8159CE"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6698D2B8" w14:textId="77777777" w:rsidTr="00103EBC">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textDirection w:val="btLr"/>
          </w:tcPr>
          <w:p w14:paraId="375C09CC"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60F09AFE" w14:textId="0451F8A1" w:rsidR="00CA5968" w:rsidRPr="00F261AC" w:rsidRDefault="00CA5968" w:rsidP="00CA5968">
            <w:pPr>
              <w:tabs>
                <w:tab w:val="clear" w:pos="567"/>
                <w:tab w:val="left" w:pos="720"/>
              </w:tabs>
              <w:spacing w:before="0"/>
              <w:ind w:right="130"/>
              <w:rPr>
                <w:rStyle w:val="Artdef"/>
              </w:rPr>
            </w:pPr>
            <w:r w:rsidRPr="00F261AC">
              <w:rPr>
                <w:rStyle w:val="Artdef"/>
                <w:rFonts w:cs="Times New Roman"/>
              </w:rPr>
              <w:t>62</w:t>
            </w:r>
            <w:r w:rsidRPr="00F261AC">
              <w:rPr>
                <w:b/>
                <w:bCs/>
              </w:rPr>
              <w:tab/>
            </w:r>
            <w:r w:rsidRPr="00F261AC">
              <w:t>8.2.5</w:t>
            </w:r>
            <w:r w:rsidRPr="00F261AC">
              <w:tab/>
            </w:r>
            <w:r w:rsidR="00E61738" w:rsidRPr="00E61738">
              <w:t>En principio, las tasas que se imponen a los clientes por una misma prestación deberán ser idénticas en una relación determinada, cualquiera que sea la ruta internacional utilizada para esa comunicación. Los Estados Miembros deben evitar que en el establecimiento de dichas tasas exista una asimetría entre las tasas aplicables en cada sentido de una misma relación</w:t>
            </w:r>
            <w:r w:rsidRPr="00F261AC">
              <w:t>.</w:t>
            </w:r>
          </w:p>
        </w:tc>
        <w:tc>
          <w:tcPr>
            <w:tcW w:w="3601" w:type="dxa"/>
            <w:tcBorders>
              <w:top w:val="single" w:sz="4" w:space="0" w:color="auto"/>
              <w:left w:val="single" w:sz="4" w:space="0" w:color="auto"/>
              <w:bottom w:val="single" w:sz="4" w:space="0" w:color="auto"/>
              <w:right w:val="single" w:sz="4" w:space="0" w:color="auto"/>
            </w:tcBorders>
          </w:tcPr>
          <w:p w14:paraId="0976F1D8" w14:textId="136F00CB"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43</w:t>
            </w:r>
            <w:r w:rsidRPr="00F261AC">
              <w:tab/>
              <w:t>6.1.1</w:t>
            </w:r>
            <w:r w:rsidRPr="00F261AC">
              <w:tab/>
            </w:r>
            <w:r w:rsidR="00075305" w:rsidRPr="00075305">
              <w:t>Cada administración establecerá, de conformidad con la legislación nacional aplicable, las tasas que ha de percibir de sus clientes. La fijación del nivel de estas tasas es un asunto de índole nacional; sin embargo, al establecerlas, las administraciones procurarán que no haya una disimetría demasiado grande entre las tasas de percepción aplicables en los dos sentidos de una misma relación</w:t>
            </w:r>
            <w:r w:rsidRPr="00F261AC">
              <w:t>.</w:t>
            </w:r>
          </w:p>
        </w:tc>
        <w:tc>
          <w:tcPr>
            <w:tcW w:w="2341" w:type="dxa"/>
            <w:tcBorders>
              <w:top w:val="single" w:sz="4" w:space="0" w:color="auto"/>
              <w:left w:val="single" w:sz="4" w:space="0" w:color="auto"/>
              <w:bottom w:val="single" w:sz="4" w:space="0" w:color="auto"/>
              <w:right w:val="single" w:sz="4" w:space="0" w:color="auto"/>
            </w:tcBorders>
          </w:tcPr>
          <w:p w14:paraId="3328B0B4" w14:textId="525B15D3"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La disposición es aplicable para fomentar el suministro y el desarrollo de redes y servicios</w:t>
            </w:r>
            <w:r w:rsidR="00FF0DF6">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3B0FBCF0" w14:textId="0B61251C"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FF0DF6">
              <w:rPr>
                <w:rFonts w:asciiTheme="minorHAnsi" w:hAnsiTheme="minorHAnsi" w:cstheme="minorHAnsi"/>
                <w:bCs/>
                <w:sz w:val="22"/>
              </w:rPr>
              <w:t>.</w:t>
            </w:r>
          </w:p>
        </w:tc>
        <w:tc>
          <w:tcPr>
            <w:tcW w:w="1860" w:type="dxa"/>
            <w:tcBorders>
              <w:top w:val="single" w:sz="4" w:space="0" w:color="auto"/>
              <w:left w:val="single" w:sz="4" w:space="0" w:color="auto"/>
              <w:bottom w:val="single" w:sz="4" w:space="0" w:color="auto"/>
              <w:right w:val="single" w:sz="4" w:space="0" w:color="auto"/>
            </w:tcBorders>
          </w:tcPr>
          <w:p w14:paraId="65D00AF8" w14:textId="6493EE5B" w:rsidR="00CA5968" w:rsidRPr="00F261AC" w:rsidRDefault="00AA6BF7" w:rsidP="0080318D">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7941A661"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479D0A64" w14:textId="77777777" w:rsidTr="00103EBC">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textDirection w:val="btLr"/>
          </w:tcPr>
          <w:p w14:paraId="0FD8C3E0"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09DF127D" w14:textId="7EC62DD7" w:rsidR="00CA5968" w:rsidRPr="00F261AC" w:rsidRDefault="00CA5968" w:rsidP="00CA5968">
            <w:pPr>
              <w:tabs>
                <w:tab w:val="clear" w:pos="567"/>
                <w:tab w:val="left" w:pos="720"/>
              </w:tabs>
              <w:spacing w:before="0"/>
              <w:ind w:right="130"/>
              <w:rPr>
                <w:rStyle w:val="Artdef"/>
              </w:rPr>
            </w:pPr>
            <w:r w:rsidRPr="00F261AC">
              <w:rPr>
                <w:rStyle w:val="Artdef"/>
                <w:rFonts w:cs="Times New Roman"/>
              </w:rPr>
              <w:t>63</w:t>
            </w:r>
            <w:r w:rsidRPr="00F261AC">
              <w:rPr>
                <w:b/>
                <w:bCs/>
              </w:rPr>
              <w:tab/>
              <w:t>8.3</w:t>
            </w:r>
            <w:r w:rsidRPr="00F261AC">
              <w:rPr>
                <w:b/>
                <w:bCs/>
              </w:rPr>
              <w:tab/>
            </w:r>
            <w:r w:rsidR="00E61738" w:rsidRPr="00E61738">
              <w:rPr>
                <w:b/>
                <w:bCs/>
              </w:rPr>
              <w:t>Fiscalidad</w:t>
            </w:r>
          </w:p>
        </w:tc>
        <w:tc>
          <w:tcPr>
            <w:tcW w:w="3601" w:type="dxa"/>
            <w:tcBorders>
              <w:top w:val="single" w:sz="4" w:space="0" w:color="auto"/>
              <w:left w:val="single" w:sz="4" w:space="0" w:color="auto"/>
              <w:bottom w:val="single" w:sz="4" w:space="0" w:color="auto"/>
              <w:right w:val="single" w:sz="4" w:space="0" w:color="auto"/>
            </w:tcBorders>
          </w:tcPr>
          <w:p w14:paraId="4DD4FC08" w14:textId="77777777"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p>
        </w:tc>
        <w:tc>
          <w:tcPr>
            <w:tcW w:w="2341" w:type="dxa"/>
            <w:tcBorders>
              <w:top w:val="single" w:sz="4" w:space="0" w:color="auto"/>
              <w:left w:val="single" w:sz="4" w:space="0" w:color="auto"/>
              <w:bottom w:val="single" w:sz="4" w:space="0" w:color="auto"/>
              <w:right w:val="single" w:sz="4" w:space="0" w:color="auto"/>
            </w:tcBorders>
          </w:tcPr>
          <w:p w14:paraId="7ED5A8B4" w14:textId="77777777" w:rsidR="00CA5968" w:rsidRPr="00F261AC" w:rsidRDefault="00CA5968" w:rsidP="00CA5968">
            <w:pPr>
              <w:tabs>
                <w:tab w:val="clear" w:pos="567"/>
                <w:tab w:val="left" w:pos="720"/>
              </w:tabs>
              <w:spacing w:before="40" w:after="40"/>
              <w:rPr>
                <w:rFonts w:asciiTheme="minorHAnsi" w:hAnsiTheme="minorHAnsi" w:cstheme="minorHAnsi"/>
                <w:bCs/>
                <w:sz w:val="22"/>
              </w:rPr>
            </w:pPr>
          </w:p>
        </w:tc>
        <w:tc>
          <w:tcPr>
            <w:tcW w:w="1981" w:type="dxa"/>
            <w:tcBorders>
              <w:top w:val="single" w:sz="4" w:space="0" w:color="auto"/>
              <w:left w:val="single" w:sz="4" w:space="0" w:color="auto"/>
              <w:bottom w:val="single" w:sz="4" w:space="0" w:color="auto"/>
              <w:right w:val="single" w:sz="4" w:space="0" w:color="auto"/>
            </w:tcBorders>
          </w:tcPr>
          <w:p w14:paraId="65B5ED83" w14:textId="77777777" w:rsidR="00CA5968" w:rsidRPr="00F261AC" w:rsidRDefault="00CA5968" w:rsidP="00CA5968">
            <w:pPr>
              <w:tabs>
                <w:tab w:val="clear" w:pos="567"/>
                <w:tab w:val="left" w:pos="720"/>
              </w:tabs>
              <w:spacing w:before="40" w:after="40"/>
              <w:rPr>
                <w:rFonts w:asciiTheme="minorHAnsi" w:hAnsiTheme="minorHAnsi" w:cstheme="minorHAnsi"/>
                <w:bCs/>
                <w:sz w:val="22"/>
              </w:rPr>
            </w:pPr>
          </w:p>
        </w:tc>
        <w:tc>
          <w:tcPr>
            <w:tcW w:w="1860" w:type="dxa"/>
            <w:tcBorders>
              <w:top w:val="single" w:sz="4" w:space="0" w:color="auto"/>
              <w:left w:val="single" w:sz="4" w:space="0" w:color="auto"/>
              <w:bottom w:val="single" w:sz="4" w:space="0" w:color="auto"/>
              <w:right w:val="single" w:sz="4" w:space="0" w:color="auto"/>
            </w:tcBorders>
          </w:tcPr>
          <w:p w14:paraId="0F6598A1"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0C27D903" w14:textId="77777777" w:rsidTr="00103EBC">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textDirection w:val="btLr"/>
          </w:tcPr>
          <w:p w14:paraId="6EA4771E"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367A9D1B" w14:textId="0D3D3814" w:rsidR="00CA5968" w:rsidRPr="00F261AC" w:rsidRDefault="00CA5968" w:rsidP="00CA5968">
            <w:pPr>
              <w:tabs>
                <w:tab w:val="clear" w:pos="567"/>
                <w:tab w:val="left" w:pos="720"/>
              </w:tabs>
              <w:spacing w:before="0"/>
              <w:ind w:right="130"/>
              <w:rPr>
                <w:rStyle w:val="Artdef"/>
              </w:rPr>
            </w:pPr>
            <w:r w:rsidRPr="00F261AC">
              <w:rPr>
                <w:rStyle w:val="Artdef"/>
                <w:rFonts w:cs="Times New Roman"/>
              </w:rPr>
              <w:t>64</w:t>
            </w:r>
            <w:r w:rsidRPr="00F261AC">
              <w:tab/>
              <w:t>8.3.1</w:t>
            </w:r>
            <w:r w:rsidRPr="00F261AC">
              <w:tab/>
            </w:r>
            <w:r w:rsidR="00E61738" w:rsidRPr="00E61738">
              <w:t>Cuando en la legislación nacional de un país se prevea la aplicación de un impuesto sobre la tasa de percepción por los servicios internacionales de telecomunicación, ese impuesto sólo se recaudará normalmente por los servicios internacionales de telecomunicación facturados a los clientes de ese país, a menos que se concierten otros acuerdos para hacer frente a circunstancias especiales</w:t>
            </w:r>
            <w:r w:rsidRPr="00F261AC">
              <w:t>.</w:t>
            </w:r>
          </w:p>
        </w:tc>
        <w:tc>
          <w:tcPr>
            <w:tcW w:w="3601" w:type="dxa"/>
            <w:tcBorders>
              <w:top w:val="single" w:sz="4" w:space="0" w:color="auto"/>
              <w:left w:val="single" w:sz="4" w:space="0" w:color="auto"/>
              <w:bottom w:val="single" w:sz="4" w:space="0" w:color="auto"/>
              <w:right w:val="single" w:sz="4" w:space="0" w:color="auto"/>
            </w:tcBorders>
          </w:tcPr>
          <w:p w14:paraId="18E9DB2B" w14:textId="5CAA8B22"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45</w:t>
            </w:r>
            <w:r w:rsidRPr="00F261AC">
              <w:tab/>
              <w:t>6.1.3</w:t>
            </w:r>
            <w:r w:rsidRPr="00F261AC">
              <w:tab/>
            </w:r>
            <w:r w:rsidR="00075305" w:rsidRPr="00075305">
              <w:t>Cuando en la legislación nacional de un país se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t>
            </w:r>
            <w:r w:rsidRPr="00F261AC">
              <w:t>.</w:t>
            </w:r>
          </w:p>
        </w:tc>
        <w:tc>
          <w:tcPr>
            <w:tcW w:w="2341" w:type="dxa"/>
            <w:tcBorders>
              <w:top w:val="single" w:sz="4" w:space="0" w:color="auto"/>
              <w:left w:val="single" w:sz="4" w:space="0" w:color="auto"/>
              <w:bottom w:val="single" w:sz="4" w:space="0" w:color="auto"/>
              <w:right w:val="single" w:sz="4" w:space="0" w:color="auto"/>
            </w:tcBorders>
          </w:tcPr>
          <w:p w14:paraId="5E89C99A" w14:textId="28D95467"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La disposición es aplicable para fomentar el suministro y el desarrollo de redes y servicios</w:t>
            </w:r>
            <w:r w:rsidR="00FF0DF6">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6707EFA3" w14:textId="3487B3DB"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FF0DF6">
              <w:rPr>
                <w:rFonts w:asciiTheme="minorHAnsi" w:hAnsiTheme="minorHAnsi" w:cstheme="minorHAnsi"/>
                <w:bCs/>
                <w:sz w:val="22"/>
              </w:rPr>
              <w:t>.</w:t>
            </w:r>
          </w:p>
        </w:tc>
        <w:tc>
          <w:tcPr>
            <w:tcW w:w="1860" w:type="dxa"/>
            <w:tcBorders>
              <w:top w:val="single" w:sz="4" w:space="0" w:color="auto"/>
              <w:left w:val="single" w:sz="4" w:space="0" w:color="auto"/>
              <w:bottom w:val="single" w:sz="4" w:space="0" w:color="auto"/>
              <w:right w:val="single" w:sz="4" w:space="0" w:color="auto"/>
            </w:tcBorders>
          </w:tcPr>
          <w:p w14:paraId="36812020" w14:textId="23C46B36" w:rsidR="00CA5968" w:rsidRPr="00F261AC" w:rsidRDefault="00AA6BF7" w:rsidP="0080318D">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12BA3249"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12461006" w14:textId="77777777" w:rsidTr="00103EBC">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textDirection w:val="btLr"/>
          </w:tcPr>
          <w:p w14:paraId="6FBD0E4C"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42DA5B04" w14:textId="15446C3E" w:rsidR="00CA5968" w:rsidRPr="00F261AC" w:rsidRDefault="00CA5968" w:rsidP="00CA5968">
            <w:pPr>
              <w:tabs>
                <w:tab w:val="clear" w:pos="567"/>
                <w:tab w:val="left" w:pos="720"/>
              </w:tabs>
              <w:spacing w:before="0"/>
              <w:ind w:right="130"/>
              <w:rPr>
                <w:rStyle w:val="Artdef"/>
              </w:rPr>
            </w:pPr>
            <w:r w:rsidRPr="00F261AC">
              <w:rPr>
                <w:rStyle w:val="Artdef"/>
                <w:rFonts w:cs="Times New Roman"/>
                <w:szCs w:val="24"/>
              </w:rPr>
              <w:t>65</w:t>
            </w:r>
            <w:r w:rsidRPr="00F261AC">
              <w:rPr>
                <w:rFonts w:asciiTheme="minorHAnsi" w:hAnsiTheme="minorHAnsi"/>
              </w:rPr>
              <w:tab/>
            </w:r>
            <w:r w:rsidRPr="00F261AC">
              <w:rPr>
                <w:rFonts w:asciiTheme="minorHAnsi" w:hAnsiTheme="minorHAnsi"/>
                <w:b/>
                <w:bCs/>
              </w:rPr>
              <w:t>8.4</w:t>
            </w:r>
            <w:r w:rsidRPr="00F261AC">
              <w:rPr>
                <w:rFonts w:asciiTheme="minorHAnsi" w:hAnsiTheme="minorHAnsi"/>
                <w:b/>
                <w:bCs/>
              </w:rPr>
              <w:tab/>
            </w:r>
            <w:r w:rsidR="00E61738" w:rsidRPr="00E61738">
              <w:rPr>
                <w:rFonts w:asciiTheme="minorHAnsi" w:hAnsiTheme="minorHAnsi"/>
                <w:b/>
                <w:bCs/>
              </w:rPr>
              <w:t>Telecomunicación de servicio</w:t>
            </w:r>
          </w:p>
        </w:tc>
        <w:tc>
          <w:tcPr>
            <w:tcW w:w="3601" w:type="dxa"/>
            <w:tcBorders>
              <w:top w:val="single" w:sz="4" w:space="0" w:color="auto"/>
              <w:left w:val="single" w:sz="4" w:space="0" w:color="auto"/>
              <w:bottom w:val="single" w:sz="4" w:space="0" w:color="auto"/>
              <w:right w:val="single" w:sz="4" w:space="0" w:color="auto"/>
            </w:tcBorders>
          </w:tcPr>
          <w:p w14:paraId="4DE28763" w14:textId="0C0C1FDF"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53</w:t>
            </w:r>
            <w:r w:rsidRPr="00F261AC">
              <w:tab/>
            </w:r>
            <w:r w:rsidRPr="00F261AC">
              <w:rPr>
                <w:b/>
                <w:bCs/>
              </w:rPr>
              <w:t>6.5</w:t>
            </w:r>
            <w:r w:rsidRPr="00F261AC">
              <w:rPr>
                <w:b/>
                <w:bCs/>
              </w:rPr>
              <w:tab/>
            </w:r>
            <w:r w:rsidR="00075305" w:rsidRPr="00075305">
              <w:rPr>
                <w:b/>
                <w:bCs/>
              </w:rPr>
              <w:t>Telecomunicaciones de servicio y telecomunicaciones privilegiadas</w:t>
            </w:r>
          </w:p>
        </w:tc>
        <w:tc>
          <w:tcPr>
            <w:tcW w:w="2341" w:type="dxa"/>
            <w:tcBorders>
              <w:top w:val="single" w:sz="4" w:space="0" w:color="auto"/>
              <w:left w:val="single" w:sz="4" w:space="0" w:color="auto"/>
              <w:bottom w:val="single" w:sz="4" w:space="0" w:color="auto"/>
              <w:right w:val="single" w:sz="4" w:space="0" w:color="auto"/>
            </w:tcBorders>
          </w:tcPr>
          <w:p w14:paraId="0670C021" w14:textId="77777777" w:rsidR="00CA5968" w:rsidRPr="00F261AC" w:rsidRDefault="00CA5968" w:rsidP="00CA5968">
            <w:pPr>
              <w:tabs>
                <w:tab w:val="clear" w:pos="567"/>
                <w:tab w:val="left" w:pos="720"/>
              </w:tabs>
              <w:spacing w:before="40" w:after="40"/>
              <w:rPr>
                <w:rFonts w:asciiTheme="minorHAnsi" w:hAnsiTheme="minorHAnsi" w:cstheme="minorHAnsi"/>
                <w:bCs/>
                <w:sz w:val="22"/>
              </w:rPr>
            </w:pPr>
          </w:p>
        </w:tc>
        <w:tc>
          <w:tcPr>
            <w:tcW w:w="1981" w:type="dxa"/>
            <w:tcBorders>
              <w:top w:val="single" w:sz="4" w:space="0" w:color="auto"/>
              <w:left w:val="single" w:sz="4" w:space="0" w:color="auto"/>
              <w:bottom w:val="single" w:sz="4" w:space="0" w:color="auto"/>
              <w:right w:val="single" w:sz="4" w:space="0" w:color="auto"/>
            </w:tcBorders>
          </w:tcPr>
          <w:p w14:paraId="2E875954" w14:textId="77777777" w:rsidR="00CA5968" w:rsidRPr="00F261AC" w:rsidRDefault="00CA5968" w:rsidP="00CA5968">
            <w:pPr>
              <w:tabs>
                <w:tab w:val="clear" w:pos="567"/>
                <w:tab w:val="left" w:pos="720"/>
              </w:tabs>
              <w:spacing w:before="40" w:after="40"/>
              <w:rPr>
                <w:rFonts w:asciiTheme="minorHAnsi" w:hAnsiTheme="minorHAnsi" w:cstheme="minorHAnsi"/>
                <w:bCs/>
                <w:sz w:val="22"/>
              </w:rPr>
            </w:pPr>
          </w:p>
        </w:tc>
        <w:tc>
          <w:tcPr>
            <w:tcW w:w="1860" w:type="dxa"/>
            <w:tcBorders>
              <w:top w:val="single" w:sz="4" w:space="0" w:color="auto"/>
              <w:left w:val="single" w:sz="4" w:space="0" w:color="auto"/>
              <w:bottom w:val="single" w:sz="4" w:space="0" w:color="auto"/>
              <w:right w:val="single" w:sz="4" w:space="0" w:color="auto"/>
            </w:tcBorders>
          </w:tcPr>
          <w:p w14:paraId="197AACDB"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78A58AA6" w14:textId="77777777" w:rsidTr="00103EBC">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textDirection w:val="btLr"/>
          </w:tcPr>
          <w:p w14:paraId="24E16E14"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7748BC12" w14:textId="5754F4DA" w:rsidR="00CA5968" w:rsidRPr="00F261AC" w:rsidRDefault="00CA5968" w:rsidP="00CA5968">
            <w:pPr>
              <w:tabs>
                <w:tab w:val="clear" w:pos="567"/>
                <w:tab w:val="left" w:pos="720"/>
              </w:tabs>
              <w:spacing w:before="0"/>
              <w:ind w:right="130"/>
              <w:rPr>
                <w:rStyle w:val="Artdef"/>
              </w:rPr>
            </w:pPr>
            <w:r w:rsidRPr="00F261AC">
              <w:rPr>
                <w:rStyle w:val="Artdef"/>
                <w:rFonts w:cs="Times New Roman"/>
                <w:szCs w:val="24"/>
              </w:rPr>
              <w:t>66</w:t>
            </w:r>
            <w:r w:rsidRPr="00F261AC">
              <w:rPr>
                <w:szCs w:val="24"/>
              </w:rPr>
              <w:tab/>
              <w:t>8.4.1</w:t>
            </w:r>
            <w:r w:rsidRPr="00F261AC">
              <w:rPr>
                <w:szCs w:val="24"/>
              </w:rPr>
              <w:tab/>
            </w:r>
            <w:r w:rsidR="00E61738" w:rsidRPr="00E61738">
              <w:rPr>
                <w:szCs w:val="24"/>
              </w:rPr>
              <w:t>Las empresas de explotación autorizadas podrán en principio renunciar a incluir las telecomunicaciones de servicio en la contabilidad internacional, de conformidad con las disposiciones pertinentes de la Constitución y el Convenio de la Unión Internacional de Telecomunicaciones y del presente Reglamento, y teniendo debidamente en cuenta la necesidad de establecer acuerdos recíprocos. Las empresas de explotación autorizadas pueden proporcionar dichos servicios de telecomunicación de forma gratuita</w:t>
            </w:r>
            <w:r w:rsidRPr="00F261AC">
              <w:rPr>
                <w:szCs w:val="24"/>
              </w:rPr>
              <w:t>.</w:t>
            </w:r>
          </w:p>
        </w:tc>
        <w:tc>
          <w:tcPr>
            <w:tcW w:w="3601" w:type="dxa"/>
            <w:tcBorders>
              <w:top w:val="single" w:sz="4" w:space="0" w:color="auto"/>
              <w:left w:val="single" w:sz="4" w:space="0" w:color="auto"/>
              <w:bottom w:val="single" w:sz="4" w:space="0" w:color="auto"/>
              <w:right w:val="single" w:sz="4" w:space="0" w:color="auto"/>
            </w:tcBorders>
          </w:tcPr>
          <w:p w14:paraId="3C63F154" w14:textId="5D800732"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54</w:t>
            </w:r>
            <w:r w:rsidRPr="00F261AC">
              <w:tab/>
              <w:t>6.5.1</w:t>
            </w:r>
            <w:r w:rsidRPr="00F261AC">
              <w:tab/>
            </w:r>
            <w:r w:rsidR="00075305" w:rsidRPr="00075305">
              <w:t>Las administraciones deberán aplicar las disposiciones pertinentes que figuran en el Apéndice 3</w:t>
            </w:r>
            <w:r w:rsidRPr="00F261AC">
              <w:t>.</w:t>
            </w:r>
          </w:p>
        </w:tc>
        <w:tc>
          <w:tcPr>
            <w:tcW w:w="2341" w:type="dxa"/>
            <w:tcBorders>
              <w:top w:val="single" w:sz="4" w:space="0" w:color="auto"/>
              <w:left w:val="single" w:sz="4" w:space="0" w:color="auto"/>
              <w:bottom w:val="single" w:sz="4" w:space="0" w:color="auto"/>
              <w:right w:val="single" w:sz="4" w:space="0" w:color="auto"/>
            </w:tcBorders>
          </w:tcPr>
          <w:p w14:paraId="612E07D8" w14:textId="550BBA7D"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La disposición es aplicable para fomentar el suministro y el desarrollo de redes y servicios</w:t>
            </w:r>
            <w:r w:rsidR="00FF0DF6">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3DEFCBA0" w14:textId="3DFE36C3"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FF0DF6">
              <w:rPr>
                <w:rFonts w:asciiTheme="minorHAnsi" w:hAnsiTheme="minorHAnsi" w:cstheme="minorHAnsi"/>
                <w:bCs/>
                <w:sz w:val="22"/>
              </w:rPr>
              <w:t>.</w:t>
            </w:r>
          </w:p>
        </w:tc>
        <w:tc>
          <w:tcPr>
            <w:tcW w:w="1860" w:type="dxa"/>
            <w:tcBorders>
              <w:top w:val="single" w:sz="4" w:space="0" w:color="auto"/>
              <w:left w:val="single" w:sz="4" w:space="0" w:color="auto"/>
              <w:bottom w:val="single" w:sz="4" w:space="0" w:color="auto"/>
              <w:right w:val="single" w:sz="4" w:space="0" w:color="auto"/>
            </w:tcBorders>
          </w:tcPr>
          <w:p w14:paraId="33639104" w14:textId="76DA16A9" w:rsidR="00CA5968" w:rsidRPr="00F261AC" w:rsidRDefault="00AA6BF7" w:rsidP="0080318D">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0DBF22C5" w14:textId="22FC27BE" w:rsidR="00CA5968" w:rsidRPr="00F261AC" w:rsidRDefault="00DD1935"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r>
              <w:rPr>
                <w:rFonts w:asciiTheme="minorHAnsi" w:hAnsiTheme="minorHAnsi" w:cstheme="minorHAnsi"/>
                <w:bCs/>
                <w:sz w:val="22"/>
              </w:rPr>
              <w:t xml:space="preserve">Las disposiciones recogidas en el Apéndice 3 del RTI de 1988 están incluidas en el texto del RTI de 2012. </w:t>
            </w:r>
          </w:p>
        </w:tc>
      </w:tr>
      <w:tr w:rsidR="00CA5968" w:rsidRPr="00F261AC" w14:paraId="73FD0CD4" w14:textId="77777777" w:rsidTr="00103EBC">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textDirection w:val="btLr"/>
          </w:tcPr>
          <w:p w14:paraId="01C4ED28" w14:textId="77777777" w:rsidR="00CA5968" w:rsidRPr="00F261AC" w:rsidRDefault="00CA5968" w:rsidP="00CA5968">
            <w:pPr>
              <w:keepNext/>
              <w:keepLines/>
              <w:tabs>
                <w:tab w:val="clear" w:pos="567"/>
                <w:tab w:val="left" w:pos="720"/>
              </w:tabs>
              <w:overflowPunct/>
              <w:autoSpaceDE/>
              <w:adjustRightInd/>
              <w:spacing w:before="0"/>
              <w:ind w:left="113" w:right="113"/>
              <w:jc w:val="center"/>
            </w:pPr>
          </w:p>
        </w:tc>
        <w:tc>
          <w:tcPr>
            <w:tcW w:w="3547" w:type="dxa"/>
            <w:tcBorders>
              <w:top w:val="single" w:sz="4" w:space="0" w:color="auto"/>
              <w:left w:val="single" w:sz="4" w:space="0" w:color="auto"/>
              <w:bottom w:val="single" w:sz="4" w:space="0" w:color="auto"/>
              <w:right w:val="single" w:sz="4" w:space="0" w:color="auto"/>
            </w:tcBorders>
          </w:tcPr>
          <w:p w14:paraId="7ACACBE7" w14:textId="75BD352F" w:rsidR="00CA5968" w:rsidRPr="00F261AC" w:rsidRDefault="00CA5968" w:rsidP="00CA5968">
            <w:pPr>
              <w:tabs>
                <w:tab w:val="clear" w:pos="567"/>
                <w:tab w:val="left" w:pos="720"/>
              </w:tabs>
              <w:spacing w:before="0"/>
              <w:ind w:right="130"/>
              <w:rPr>
                <w:rStyle w:val="Artdef"/>
              </w:rPr>
            </w:pPr>
            <w:r w:rsidRPr="00F261AC">
              <w:rPr>
                <w:rStyle w:val="Artdef"/>
                <w:rFonts w:cs="Times New Roman"/>
                <w:szCs w:val="24"/>
              </w:rPr>
              <w:t>67</w:t>
            </w:r>
            <w:r w:rsidRPr="00F261AC">
              <w:rPr>
                <w:szCs w:val="24"/>
              </w:rPr>
              <w:tab/>
              <w:t>8.4.2</w:t>
            </w:r>
            <w:r w:rsidRPr="00F261AC">
              <w:rPr>
                <w:szCs w:val="24"/>
              </w:rPr>
              <w:tab/>
            </w:r>
            <w:r w:rsidR="00E61738" w:rsidRPr="00E61738">
              <w:rPr>
                <w:szCs w:val="24"/>
              </w:rPr>
              <w:t>Los principios generales de explotación, tasación y contabilidad aplicables a las telecomunicaciones de servicio deberían tener en cuenta las Recomendaciones UIT T pertinentes</w:t>
            </w:r>
            <w:r w:rsidRPr="00F261AC">
              <w:rPr>
                <w:szCs w:val="24"/>
              </w:rPr>
              <w:t>.</w:t>
            </w:r>
          </w:p>
        </w:tc>
        <w:tc>
          <w:tcPr>
            <w:tcW w:w="3601" w:type="dxa"/>
            <w:tcBorders>
              <w:top w:val="single" w:sz="4" w:space="0" w:color="auto"/>
              <w:left w:val="single" w:sz="4" w:space="0" w:color="auto"/>
              <w:bottom w:val="single" w:sz="4" w:space="0" w:color="auto"/>
              <w:right w:val="single" w:sz="4" w:space="0" w:color="auto"/>
            </w:tcBorders>
          </w:tcPr>
          <w:p w14:paraId="41E2D9A5" w14:textId="77777777" w:rsidR="00075305" w:rsidRPr="00075305" w:rsidRDefault="00075305" w:rsidP="00075305">
            <w:pPr>
              <w:tabs>
                <w:tab w:val="clear" w:pos="567"/>
                <w:tab w:val="left" w:pos="720"/>
              </w:tabs>
              <w:spacing w:before="0"/>
              <w:ind w:right="44"/>
              <w:rPr>
                <w:rFonts w:asciiTheme="minorHAnsi" w:hAnsiTheme="minorHAnsi"/>
                <w:bCs/>
                <w:i/>
                <w:iCs/>
                <w:sz w:val="22"/>
              </w:rPr>
            </w:pPr>
            <w:r w:rsidRPr="00075305">
              <w:rPr>
                <w:rFonts w:asciiTheme="minorHAnsi" w:hAnsiTheme="minorHAnsi"/>
                <w:bCs/>
                <w:i/>
                <w:iCs/>
                <w:sz w:val="22"/>
              </w:rPr>
              <w:t>El RTI de 1988 no contiene tal disposición.</w:t>
            </w:r>
          </w:p>
          <w:p w14:paraId="22B97936" w14:textId="36C46FAD" w:rsidR="00CA5968" w:rsidRPr="00F261AC" w:rsidRDefault="00075305" w:rsidP="00075305">
            <w:pPr>
              <w:tabs>
                <w:tab w:val="clear" w:pos="567"/>
                <w:tab w:val="left" w:pos="720"/>
              </w:tabs>
              <w:spacing w:before="0"/>
              <w:ind w:right="44"/>
              <w:rPr>
                <w:rFonts w:asciiTheme="minorHAnsi" w:eastAsia="SimSun" w:hAnsiTheme="minorHAnsi" w:cs="Times New Roman Bold"/>
                <w:iCs/>
                <w:color w:val="000000"/>
                <w:sz w:val="22"/>
              </w:rPr>
            </w:pPr>
            <w:r w:rsidRPr="00075305">
              <w:rPr>
                <w:rFonts w:asciiTheme="minorHAnsi" w:hAnsiTheme="minorHAnsi"/>
                <w:bCs/>
                <w:i/>
                <w:iCs/>
                <w:sz w:val="22"/>
              </w:rPr>
              <w:t>La aparición de esta disposición en el RTI de 2012 se debe a</w:t>
            </w:r>
            <w:r>
              <w:rPr>
                <w:rFonts w:asciiTheme="minorHAnsi" w:hAnsiTheme="minorHAnsi"/>
                <w:bCs/>
                <w:i/>
                <w:iCs/>
                <w:sz w:val="22"/>
              </w:rPr>
              <w:t xml:space="preserve">l proceso de </w:t>
            </w:r>
            <w:r w:rsidRPr="00075305">
              <w:rPr>
                <w:rFonts w:asciiTheme="minorHAnsi" w:hAnsiTheme="minorHAnsi"/>
                <w:bCs/>
                <w:i/>
                <w:iCs/>
                <w:sz w:val="22"/>
              </w:rPr>
              <w:t>privatización y al desarrollo de las relaciones de</w:t>
            </w:r>
            <w:r>
              <w:rPr>
                <w:rFonts w:asciiTheme="minorHAnsi" w:hAnsiTheme="minorHAnsi"/>
                <w:bCs/>
                <w:i/>
                <w:iCs/>
                <w:sz w:val="22"/>
              </w:rPr>
              <w:t>l</w:t>
            </w:r>
            <w:r w:rsidRPr="00075305">
              <w:rPr>
                <w:rFonts w:asciiTheme="minorHAnsi" w:hAnsiTheme="minorHAnsi"/>
                <w:bCs/>
                <w:i/>
                <w:iCs/>
                <w:sz w:val="22"/>
              </w:rPr>
              <w:t xml:space="preserve"> mercado </w:t>
            </w:r>
            <w:r>
              <w:rPr>
                <w:rFonts w:asciiTheme="minorHAnsi" w:hAnsiTheme="minorHAnsi"/>
                <w:bCs/>
                <w:i/>
                <w:iCs/>
                <w:sz w:val="22"/>
              </w:rPr>
              <w:t>de</w:t>
            </w:r>
            <w:r w:rsidRPr="00075305">
              <w:rPr>
                <w:rFonts w:asciiTheme="minorHAnsi" w:hAnsiTheme="minorHAnsi"/>
                <w:bCs/>
                <w:i/>
                <w:iCs/>
                <w:sz w:val="22"/>
              </w:rPr>
              <w:t xml:space="preserve"> las telecomunicaciones.</w:t>
            </w:r>
          </w:p>
        </w:tc>
        <w:tc>
          <w:tcPr>
            <w:tcW w:w="2341" w:type="dxa"/>
            <w:tcBorders>
              <w:top w:val="single" w:sz="4" w:space="0" w:color="auto"/>
              <w:left w:val="single" w:sz="4" w:space="0" w:color="auto"/>
              <w:bottom w:val="single" w:sz="4" w:space="0" w:color="auto"/>
              <w:right w:val="single" w:sz="4" w:space="0" w:color="auto"/>
            </w:tcBorders>
          </w:tcPr>
          <w:p w14:paraId="406BDD3E" w14:textId="5C879926"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La disposición es aplicable para fomentar el suministro y el desarrollo de redes y servicios</w:t>
            </w:r>
            <w:r w:rsidR="00FF0DF6">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05135816" w14:textId="590B3D7D"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FF0DF6">
              <w:rPr>
                <w:rFonts w:asciiTheme="minorHAnsi" w:hAnsiTheme="minorHAnsi" w:cstheme="minorHAnsi"/>
                <w:bCs/>
                <w:sz w:val="22"/>
              </w:rPr>
              <w:t>.</w:t>
            </w:r>
          </w:p>
        </w:tc>
        <w:tc>
          <w:tcPr>
            <w:tcW w:w="1860" w:type="dxa"/>
            <w:tcBorders>
              <w:top w:val="single" w:sz="4" w:space="0" w:color="auto"/>
              <w:left w:val="single" w:sz="4" w:space="0" w:color="auto"/>
              <w:bottom w:val="single" w:sz="4" w:space="0" w:color="auto"/>
              <w:right w:val="single" w:sz="4" w:space="0" w:color="auto"/>
            </w:tcBorders>
          </w:tcPr>
          <w:p w14:paraId="5226FF2F" w14:textId="6584F035" w:rsidR="00CA5968" w:rsidRPr="00F261AC" w:rsidRDefault="00AA6BF7" w:rsidP="00FF0DF6">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3D189AF2"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bl>
    <w:p w14:paraId="14161CD4" w14:textId="77777777" w:rsidR="00CA5968" w:rsidRDefault="00CA5968">
      <w:pPr>
        <w:jc w:val="center"/>
        <w:rPr>
          <w:lang w:val="es-ES"/>
        </w:rPr>
      </w:pPr>
    </w:p>
    <w:tbl>
      <w:tblPr>
        <w:tblStyle w:val="TableGrid"/>
        <w:tblW w:w="14460" w:type="dxa"/>
        <w:tblLayout w:type="fixed"/>
        <w:tblCellMar>
          <w:left w:w="14" w:type="dxa"/>
          <w:right w:w="14" w:type="dxa"/>
        </w:tblCellMar>
        <w:tblLook w:val="04A0" w:firstRow="1" w:lastRow="0" w:firstColumn="1" w:lastColumn="0" w:noHBand="0" w:noVBand="1"/>
      </w:tblPr>
      <w:tblGrid>
        <w:gridCol w:w="1130"/>
        <w:gridCol w:w="3547"/>
        <w:gridCol w:w="3601"/>
        <w:gridCol w:w="2341"/>
        <w:gridCol w:w="1981"/>
        <w:gridCol w:w="1854"/>
        <w:gridCol w:w="6"/>
      </w:tblGrid>
      <w:tr w:rsidR="00CA5968" w:rsidRPr="00F261AC" w14:paraId="447DCF2B" w14:textId="77777777" w:rsidTr="00CA5968">
        <w:trPr>
          <w:trHeight w:val="355"/>
        </w:trPr>
        <w:tc>
          <w:tcPr>
            <w:tcW w:w="14460" w:type="dxa"/>
            <w:gridSpan w:val="7"/>
            <w:tcBorders>
              <w:top w:val="single" w:sz="4" w:space="0" w:color="auto"/>
              <w:left w:val="single" w:sz="4" w:space="0" w:color="auto"/>
              <w:bottom w:val="single" w:sz="4" w:space="0" w:color="auto"/>
              <w:right w:val="single" w:sz="4" w:space="0" w:color="auto"/>
            </w:tcBorders>
            <w:vAlign w:val="center"/>
          </w:tcPr>
          <w:p w14:paraId="499DC43A"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jc w:val="both"/>
              <w:rPr>
                <w:rFonts w:asciiTheme="minorHAnsi" w:hAnsiTheme="minorHAnsi" w:cstheme="minorHAnsi"/>
                <w:bCs/>
                <w:sz w:val="22"/>
              </w:rPr>
            </w:pPr>
          </w:p>
        </w:tc>
      </w:tr>
      <w:tr w:rsidR="00CA5968" w:rsidRPr="00F261AC" w14:paraId="71F2379B" w14:textId="77777777" w:rsidTr="00CA5968">
        <w:tc>
          <w:tcPr>
            <w:tcW w:w="113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9818641" w14:textId="0B0EDEA5" w:rsidR="00CA5968" w:rsidRPr="00F261AC" w:rsidRDefault="00CB698C" w:rsidP="00CA5968">
            <w:pPr>
              <w:keepNext/>
              <w:keepLines/>
              <w:tabs>
                <w:tab w:val="clear" w:pos="567"/>
                <w:tab w:val="left" w:pos="720"/>
              </w:tabs>
              <w:overflowPunct/>
              <w:autoSpaceDE/>
              <w:adjustRightInd/>
              <w:spacing w:before="0"/>
              <w:ind w:left="113" w:right="113"/>
              <w:jc w:val="center"/>
              <w:rPr>
                <w:rFonts w:asciiTheme="minorHAnsi" w:hAnsiTheme="minorHAnsi"/>
                <w:b/>
                <w:bCs/>
                <w:sz w:val="22"/>
              </w:rPr>
            </w:pPr>
            <w:bookmarkStart w:id="13" w:name="_Toc351558988"/>
            <w:r>
              <w:t>APÉNDICE</w:t>
            </w:r>
            <w:r w:rsidR="00CA5968" w:rsidRPr="00F261AC">
              <w:t xml:space="preserve"> </w:t>
            </w:r>
            <w:r w:rsidR="00CA5968" w:rsidRPr="00F261AC">
              <w:rPr>
                <w:rStyle w:val="href"/>
              </w:rPr>
              <w:t>1</w:t>
            </w:r>
            <w:bookmarkEnd w:id="13"/>
          </w:p>
          <w:p w14:paraId="7B82FA26" w14:textId="73F090D3" w:rsidR="00CA5968" w:rsidRPr="00F261AC" w:rsidRDefault="00CB698C" w:rsidP="00CB698C">
            <w:pPr>
              <w:tabs>
                <w:tab w:val="clear" w:pos="567"/>
                <w:tab w:val="left" w:pos="720"/>
              </w:tabs>
              <w:spacing w:before="40" w:after="40"/>
              <w:ind w:left="113" w:right="113"/>
              <w:jc w:val="center"/>
              <w:rPr>
                <w:rFonts w:asciiTheme="minorHAnsi" w:hAnsiTheme="minorHAnsi"/>
                <w:bCs/>
                <w:sz w:val="22"/>
              </w:rPr>
            </w:pPr>
            <w:r w:rsidRPr="00CB698C">
              <w:rPr>
                <w:b/>
                <w:bCs/>
              </w:rPr>
              <w:t>Disposiciones generales relativas a la contabilidad</w:t>
            </w:r>
          </w:p>
        </w:tc>
        <w:tc>
          <w:tcPr>
            <w:tcW w:w="3547" w:type="dxa"/>
            <w:tcBorders>
              <w:top w:val="single" w:sz="4" w:space="0" w:color="auto"/>
              <w:left w:val="single" w:sz="4" w:space="0" w:color="auto"/>
              <w:bottom w:val="single" w:sz="4" w:space="0" w:color="auto"/>
              <w:right w:val="single" w:sz="4" w:space="0" w:color="auto"/>
            </w:tcBorders>
          </w:tcPr>
          <w:p w14:paraId="6AC378FE" w14:textId="73EA837E" w:rsidR="00CA5968" w:rsidRPr="00F261AC" w:rsidRDefault="00CA5968" w:rsidP="00CA5968">
            <w:pPr>
              <w:tabs>
                <w:tab w:val="clear" w:pos="567"/>
                <w:tab w:val="left" w:pos="720"/>
              </w:tabs>
              <w:spacing w:before="0"/>
              <w:ind w:right="130"/>
              <w:rPr>
                <w:rFonts w:asciiTheme="minorHAnsi" w:hAnsiTheme="minorHAnsi" w:cstheme="minorHAnsi"/>
                <w:bCs/>
                <w:sz w:val="22"/>
              </w:rPr>
            </w:pPr>
            <w:r w:rsidRPr="00F261AC">
              <w:rPr>
                <w:rStyle w:val="Artdef"/>
                <w:rFonts w:cs="Times New Roman"/>
                <w:bCs/>
              </w:rPr>
              <w:t>1/1</w:t>
            </w:r>
            <w:r w:rsidRPr="00F261AC">
              <w:tab/>
            </w:r>
            <w:r w:rsidRPr="00F261AC">
              <w:rPr>
                <w:b/>
                <w:bCs/>
              </w:rPr>
              <w:t>1</w:t>
            </w:r>
            <w:r w:rsidRPr="00F261AC">
              <w:rPr>
                <w:b/>
                <w:bCs/>
              </w:rPr>
              <w:tab/>
            </w:r>
            <w:r w:rsidR="00CB698C" w:rsidRPr="00CB698C">
              <w:rPr>
                <w:b/>
                <w:bCs/>
              </w:rPr>
              <w:t>Tasas de distribución</w:t>
            </w:r>
          </w:p>
        </w:tc>
        <w:tc>
          <w:tcPr>
            <w:tcW w:w="3601" w:type="dxa"/>
            <w:tcBorders>
              <w:top w:val="single" w:sz="4" w:space="0" w:color="auto"/>
              <w:left w:val="single" w:sz="4" w:space="0" w:color="auto"/>
              <w:bottom w:val="single" w:sz="4" w:space="0" w:color="auto"/>
              <w:right w:val="single" w:sz="4" w:space="0" w:color="auto"/>
            </w:tcBorders>
          </w:tcPr>
          <w:p w14:paraId="68058568" w14:textId="479B47F5" w:rsidR="00CA5968" w:rsidRPr="00F261AC" w:rsidRDefault="00CA5968" w:rsidP="00CA5968">
            <w:pPr>
              <w:tabs>
                <w:tab w:val="clear" w:pos="567"/>
                <w:tab w:val="left" w:pos="720"/>
              </w:tabs>
              <w:spacing w:before="0"/>
              <w:ind w:right="44"/>
              <w:rPr>
                <w:rFonts w:asciiTheme="minorHAnsi" w:hAnsiTheme="minorHAnsi" w:cstheme="minorHAnsi"/>
                <w:bCs/>
                <w:sz w:val="22"/>
              </w:rPr>
            </w:pPr>
            <w:r w:rsidRPr="00F261AC">
              <w:rPr>
                <w:rStyle w:val="Artdef"/>
              </w:rPr>
              <w:t>1/1</w:t>
            </w:r>
            <w:r w:rsidRPr="00F261AC">
              <w:tab/>
            </w:r>
            <w:r w:rsidRPr="00F261AC">
              <w:rPr>
                <w:b/>
                <w:bCs/>
              </w:rPr>
              <w:t>1</w:t>
            </w:r>
            <w:r w:rsidRPr="00F261AC">
              <w:rPr>
                <w:b/>
                <w:bCs/>
              </w:rPr>
              <w:tab/>
            </w:r>
            <w:r w:rsidR="00075305" w:rsidRPr="00075305">
              <w:rPr>
                <w:b/>
                <w:bCs/>
              </w:rPr>
              <w:t>Tasas de distribución</w:t>
            </w:r>
          </w:p>
        </w:tc>
        <w:tc>
          <w:tcPr>
            <w:tcW w:w="2341" w:type="dxa"/>
            <w:tcBorders>
              <w:top w:val="single" w:sz="4" w:space="0" w:color="auto"/>
              <w:left w:val="single" w:sz="4" w:space="0" w:color="auto"/>
              <w:bottom w:val="single" w:sz="4" w:space="0" w:color="auto"/>
              <w:right w:val="single" w:sz="4" w:space="0" w:color="auto"/>
            </w:tcBorders>
          </w:tcPr>
          <w:p w14:paraId="36DBDE84" w14:textId="77777777" w:rsidR="00CA5968" w:rsidRPr="00F261AC" w:rsidRDefault="00CA5968" w:rsidP="00CA5968">
            <w:pPr>
              <w:tabs>
                <w:tab w:val="clear" w:pos="567"/>
                <w:tab w:val="left" w:pos="720"/>
              </w:tabs>
              <w:spacing w:before="40" w:after="40"/>
              <w:rPr>
                <w:rFonts w:asciiTheme="minorHAnsi" w:hAnsiTheme="minorHAnsi" w:cstheme="minorHAnsi"/>
                <w:bCs/>
                <w:sz w:val="22"/>
              </w:rPr>
            </w:pPr>
          </w:p>
        </w:tc>
        <w:tc>
          <w:tcPr>
            <w:tcW w:w="1981" w:type="dxa"/>
            <w:tcBorders>
              <w:top w:val="single" w:sz="4" w:space="0" w:color="auto"/>
              <w:left w:val="single" w:sz="4" w:space="0" w:color="auto"/>
              <w:bottom w:val="single" w:sz="4" w:space="0" w:color="auto"/>
              <w:right w:val="single" w:sz="4" w:space="0" w:color="auto"/>
            </w:tcBorders>
          </w:tcPr>
          <w:p w14:paraId="2BF451D6" w14:textId="77777777" w:rsidR="00CA5968" w:rsidRPr="00F261AC" w:rsidRDefault="00CA5968" w:rsidP="00CA5968">
            <w:pPr>
              <w:tabs>
                <w:tab w:val="clear" w:pos="567"/>
                <w:tab w:val="left" w:pos="720"/>
              </w:tabs>
              <w:spacing w:before="40" w:after="40"/>
              <w:rPr>
                <w:rFonts w:asciiTheme="minorHAnsi" w:hAnsiTheme="minorHAnsi" w:cstheme="minorHAnsi"/>
                <w:bCs/>
                <w:sz w:val="22"/>
              </w:rPr>
            </w:pPr>
          </w:p>
        </w:tc>
        <w:tc>
          <w:tcPr>
            <w:tcW w:w="1860" w:type="dxa"/>
            <w:gridSpan w:val="2"/>
            <w:tcBorders>
              <w:top w:val="single" w:sz="4" w:space="0" w:color="auto"/>
              <w:left w:val="single" w:sz="4" w:space="0" w:color="auto"/>
              <w:bottom w:val="single" w:sz="4" w:space="0" w:color="auto"/>
              <w:right w:val="single" w:sz="4" w:space="0" w:color="auto"/>
            </w:tcBorders>
          </w:tcPr>
          <w:p w14:paraId="56F43716"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44F2C823" w14:textId="77777777" w:rsidTr="00CA5968">
        <w:tc>
          <w:tcPr>
            <w:tcW w:w="1130" w:type="dxa"/>
            <w:vMerge/>
            <w:tcBorders>
              <w:top w:val="single" w:sz="4" w:space="0" w:color="auto"/>
              <w:left w:val="single" w:sz="4" w:space="0" w:color="auto"/>
              <w:bottom w:val="single" w:sz="4" w:space="0" w:color="auto"/>
              <w:right w:val="single" w:sz="4" w:space="0" w:color="auto"/>
            </w:tcBorders>
            <w:vAlign w:val="center"/>
            <w:hideMark/>
          </w:tcPr>
          <w:p w14:paraId="744C35BC"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2AB65406" w14:textId="13196845" w:rsidR="00CA5968" w:rsidRPr="00F261AC" w:rsidRDefault="00CA5968" w:rsidP="00CA5968">
            <w:pPr>
              <w:tabs>
                <w:tab w:val="clear" w:pos="567"/>
                <w:tab w:val="left" w:pos="720"/>
              </w:tabs>
              <w:spacing w:before="0"/>
              <w:ind w:right="130"/>
              <w:rPr>
                <w:rFonts w:asciiTheme="minorHAnsi" w:hAnsiTheme="minorHAnsi" w:cstheme="minorHAnsi"/>
                <w:bCs/>
                <w:sz w:val="22"/>
              </w:rPr>
            </w:pPr>
            <w:r w:rsidRPr="00F261AC">
              <w:rPr>
                <w:rStyle w:val="Artdef"/>
                <w:rFonts w:cs="Times New Roman"/>
              </w:rPr>
              <w:t>1/2</w:t>
            </w:r>
            <w:r w:rsidRPr="00F261AC">
              <w:tab/>
              <w:t>1.1</w:t>
            </w:r>
            <w:r w:rsidRPr="00F261AC">
              <w:tab/>
            </w:r>
            <w:r w:rsidR="00CB698C" w:rsidRPr="00CB698C">
              <w:t>Para cada servicio correspondiente en una relación dada, los Estados Miembros procurarán velar por que las empresas de explotación autorizadas establezcan y revisen por acuerdo mutuo las tasas de distribución aplicables entre ellas, teniendo en cuenta las Recomendaciones UIT-T y la evolución de los costos que ocasione la prestación de ese servicio de telecomunicación, y las distribuyan en partes alícuotas terminales pagaderas a las empresas de explotación autorizadas de los países terminales y, cuando proceda, en partes alícuotas de tránsito pagaderas a las empresas de explotación autorizadas de los países de tránsito</w:t>
            </w:r>
            <w:r w:rsidRPr="00F261AC">
              <w:t>.</w:t>
            </w:r>
          </w:p>
        </w:tc>
        <w:tc>
          <w:tcPr>
            <w:tcW w:w="3601" w:type="dxa"/>
            <w:tcBorders>
              <w:top w:val="single" w:sz="4" w:space="0" w:color="auto"/>
              <w:left w:val="single" w:sz="4" w:space="0" w:color="auto"/>
              <w:bottom w:val="single" w:sz="4" w:space="0" w:color="auto"/>
              <w:right w:val="single" w:sz="4" w:space="0" w:color="auto"/>
            </w:tcBorders>
          </w:tcPr>
          <w:p w14:paraId="2FC24538" w14:textId="5DED2E9E" w:rsidR="00CA5968" w:rsidRPr="00F261AC" w:rsidRDefault="00CA5968" w:rsidP="00CA5968">
            <w:pPr>
              <w:tabs>
                <w:tab w:val="clear" w:pos="567"/>
                <w:tab w:val="left" w:pos="720"/>
              </w:tabs>
              <w:spacing w:before="40" w:after="40"/>
              <w:ind w:right="44"/>
              <w:rPr>
                <w:rFonts w:asciiTheme="minorHAnsi" w:hAnsiTheme="minorHAnsi" w:cstheme="minorHAnsi"/>
                <w:bCs/>
                <w:sz w:val="22"/>
              </w:rPr>
            </w:pPr>
            <w:r w:rsidRPr="00F261AC">
              <w:rPr>
                <w:rStyle w:val="Artdef"/>
              </w:rPr>
              <w:t>1/2</w:t>
            </w:r>
            <w:r w:rsidRPr="00F261AC">
              <w:tab/>
              <w:t>1.1</w:t>
            </w:r>
            <w:r w:rsidRPr="00F261AC">
              <w:tab/>
            </w:r>
            <w:r w:rsidR="00075305" w:rsidRPr="00075305">
              <w:t>Para cada servicio admitido en una relación dada, las administraciones fijarán y revisarán por acuerdo mutuo las tasas de distribución aplicables entre ellas, de conformidad con las Recomendaciones del CCITT y en función de la evolución de los gastos que ocasione la prestación de ese servicio de telecomunicación, y las distribuirán en partes alícuotas terminales pagaderas a las administraciones de los países terminales y, cuando proceda, en partes alícuotas de tránsito pagaderas a las administraciones de los países de tránsito</w:t>
            </w:r>
            <w:r w:rsidRPr="00F261AC">
              <w:t>.</w:t>
            </w:r>
          </w:p>
        </w:tc>
        <w:tc>
          <w:tcPr>
            <w:tcW w:w="2341" w:type="dxa"/>
            <w:tcBorders>
              <w:top w:val="single" w:sz="4" w:space="0" w:color="auto"/>
              <w:left w:val="single" w:sz="4" w:space="0" w:color="auto"/>
              <w:bottom w:val="single" w:sz="4" w:space="0" w:color="auto"/>
              <w:right w:val="single" w:sz="4" w:space="0" w:color="auto"/>
            </w:tcBorders>
          </w:tcPr>
          <w:p w14:paraId="4AE6436B" w14:textId="078A287F"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La disposición es aplicable para fomentar el suministro y el desarrollo de redes y servicios</w:t>
            </w:r>
            <w:r w:rsidR="0080318D">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7EB5440C" w14:textId="5A404868"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80318D">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0B007AF2" w14:textId="74925F65" w:rsidR="00CA5968" w:rsidRPr="00F261AC" w:rsidRDefault="00AA6BF7" w:rsidP="0080318D">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2C794FAF"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2355A271" w14:textId="77777777" w:rsidTr="00CA5968">
        <w:trPr>
          <w:gridAfter w:val="1"/>
          <w:wAfter w:w="6" w:type="dxa"/>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30F4BF35"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38581B96" w14:textId="6909706E" w:rsidR="00CA5968" w:rsidRPr="00F261AC" w:rsidRDefault="00CA5968" w:rsidP="00CA5968">
            <w:pPr>
              <w:tabs>
                <w:tab w:val="clear" w:pos="567"/>
                <w:tab w:val="left" w:pos="720"/>
              </w:tabs>
              <w:spacing w:before="0"/>
              <w:ind w:right="130"/>
              <w:rPr>
                <w:rFonts w:asciiTheme="minorHAnsi" w:hAnsiTheme="minorHAnsi" w:cstheme="minorHAnsi"/>
                <w:bCs/>
                <w:sz w:val="22"/>
              </w:rPr>
            </w:pPr>
            <w:r w:rsidRPr="00F261AC">
              <w:rPr>
                <w:rStyle w:val="Artdef"/>
                <w:rFonts w:cs="Times New Roman"/>
              </w:rPr>
              <w:t>1/3</w:t>
            </w:r>
            <w:r w:rsidRPr="00F261AC">
              <w:tab/>
              <w:t>1.2</w:t>
            </w:r>
            <w:r w:rsidRPr="00F261AC">
              <w:tab/>
            </w:r>
            <w:r w:rsidR="00CB698C" w:rsidRPr="00CB698C">
              <w:t>En las relaciones de tráfico en las que sea posible tomar como base los estudios sobre costos efectuados por el UIT-T, la tasa de distribución se podrá también determinar con arreglo al siguiente método</w:t>
            </w:r>
            <w:r w:rsidRPr="00F261AC">
              <w:t>:</w:t>
            </w:r>
          </w:p>
        </w:tc>
        <w:tc>
          <w:tcPr>
            <w:tcW w:w="3601" w:type="dxa"/>
            <w:tcBorders>
              <w:top w:val="single" w:sz="4" w:space="0" w:color="auto"/>
              <w:left w:val="single" w:sz="4" w:space="0" w:color="auto"/>
              <w:bottom w:val="single" w:sz="4" w:space="0" w:color="auto"/>
              <w:right w:val="single" w:sz="4" w:space="0" w:color="auto"/>
            </w:tcBorders>
          </w:tcPr>
          <w:p w14:paraId="27272056" w14:textId="0C728249" w:rsidR="00CA5968" w:rsidRPr="00F261AC" w:rsidRDefault="00CA5968" w:rsidP="00CA5968">
            <w:pPr>
              <w:tabs>
                <w:tab w:val="clear" w:pos="567"/>
                <w:tab w:val="left" w:pos="720"/>
              </w:tabs>
              <w:spacing w:before="40" w:after="40"/>
              <w:ind w:right="44"/>
              <w:rPr>
                <w:rFonts w:asciiTheme="minorHAnsi" w:hAnsiTheme="minorHAnsi" w:cstheme="minorHAnsi"/>
                <w:bCs/>
                <w:sz w:val="22"/>
              </w:rPr>
            </w:pPr>
            <w:r w:rsidRPr="00F261AC">
              <w:rPr>
                <w:rStyle w:val="Artdef"/>
              </w:rPr>
              <w:t>1/3</w:t>
            </w:r>
            <w:r w:rsidRPr="00F261AC">
              <w:tab/>
              <w:t>1.2</w:t>
            </w:r>
            <w:r w:rsidRPr="00F261AC">
              <w:tab/>
            </w:r>
            <w:r w:rsidR="00075305" w:rsidRPr="00075305">
              <w:t>En las relaciones de tráfico en las que sea posible tomar como base los estudios sobre costes efectuados por el CCITT, la tasa de distribución se podrá también determinar con arreglo al siguiente método</w:t>
            </w:r>
            <w:r w:rsidRPr="00F261AC">
              <w:t>:</w:t>
            </w:r>
          </w:p>
        </w:tc>
        <w:tc>
          <w:tcPr>
            <w:tcW w:w="2341" w:type="dxa"/>
            <w:tcBorders>
              <w:top w:val="single" w:sz="4" w:space="0" w:color="auto"/>
              <w:left w:val="single" w:sz="4" w:space="0" w:color="auto"/>
              <w:bottom w:val="single" w:sz="4" w:space="0" w:color="auto"/>
              <w:right w:val="single" w:sz="4" w:space="0" w:color="auto"/>
            </w:tcBorders>
          </w:tcPr>
          <w:p w14:paraId="23104ABA" w14:textId="6F26A76D"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La disposición es aplicable para fomentar el suministro y el desarrollo de redes y servicios</w:t>
            </w:r>
            <w:r w:rsidR="0080318D">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430F7FFC" w14:textId="38F20526"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80318D">
              <w:rPr>
                <w:rFonts w:asciiTheme="minorHAnsi" w:hAnsiTheme="minorHAnsi" w:cstheme="minorHAnsi"/>
                <w:bCs/>
                <w:sz w:val="22"/>
              </w:rPr>
              <w:t>.</w:t>
            </w:r>
          </w:p>
        </w:tc>
        <w:tc>
          <w:tcPr>
            <w:tcW w:w="1854" w:type="dxa"/>
            <w:tcBorders>
              <w:top w:val="single" w:sz="4" w:space="0" w:color="auto"/>
              <w:left w:val="single" w:sz="4" w:space="0" w:color="auto"/>
              <w:bottom w:val="single" w:sz="4" w:space="0" w:color="auto"/>
              <w:right w:val="single" w:sz="4" w:space="0" w:color="auto"/>
            </w:tcBorders>
            <w:hideMark/>
          </w:tcPr>
          <w:p w14:paraId="44ADCC26" w14:textId="160ADBFA" w:rsidR="00CA5968" w:rsidRPr="00F261AC" w:rsidRDefault="00AA6BF7" w:rsidP="0080318D">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5A7DB355"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7FCAC267" w14:textId="77777777" w:rsidTr="00CA5968">
        <w:tc>
          <w:tcPr>
            <w:tcW w:w="1130" w:type="dxa"/>
            <w:vMerge/>
            <w:tcBorders>
              <w:top w:val="single" w:sz="4" w:space="0" w:color="auto"/>
              <w:left w:val="single" w:sz="4" w:space="0" w:color="auto"/>
              <w:bottom w:val="single" w:sz="4" w:space="0" w:color="auto"/>
              <w:right w:val="single" w:sz="4" w:space="0" w:color="auto"/>
            </w:tcBorders>
            <w:vAlign w:val="center"/>
            <w:hideMark/>
          </w:tcPr>
          <w:p w14:paraId="2745855F"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311A4975" w14:textId="2AB46D4B" w:rsidR="00CA5968" w:rsidRPr="00F261AC" w:rsidRDefault="00CA5968" w:rsidP="00CA5968">
            <w:pPr>
              <w:tabs>
                <w:tab w:val="clear" w:pos="567"/>
                <w:tab w:val="left" w:pos="720"/>
              </w:tabs>
              <w:spacing w:before="0"/>
              <w:ind w:right="130"/>
              <w:rPr>
                <w:rFonts w:asciiTheme="minorHAnsi" w:hAnsiTheme="minorHAnsi" w:cstheme="minorHAnsi"/>
                <w:bCs/>
                <w:sz w:val="22"/>
                <w:highlight w:val="yellow"/>
              </w:rPr>
            </w:pPr>
            <w:r w:rsidRPr="00F261AC">
              <w:rPr>
                <w:rStyle w:val="Artdef"/>
                <w:rFonts w:cs="Times New Roman"/>
              </w:rPr>
              <w:t>1/4</w:t>
            </w:r>
            <w:r w:rsidRPr="00F261AC">
              <w:rPr>
                <w:i/>
                <w:iCs/>
              </w:rPr>
              <w:tab/>
              <w:t>a)</w:t>
            </w:r>
            <w:r w:rsidRPr="00F261AC">
              <w:tab/>
            </w:r>
            <w:r w:rsidR="00CB698C" w:rsidRPr="00CB698C">
              <w:t>las empresas de explotación autorizadas establecerán y revisarán sus partes alícuotas terminales y de tránsito teniendo en cuenta las Recomendaciones UIT</w:t>
            </w:r>
            <w:r w:rsidR="00CB698C">
              <w:t>-</w:t>
            </w:r>
            <w:r w:rsidR="00CB698C" w:rsidRPr="00CB698C">
              <w:t>T</w:t>
            </w:r>
            <w:r w:rsidRPr="00F261AC">
              <w:t>;</w:t>
            </w:r>
          </w:p>
        </w:tc>
        <w:tc>
          <w:tcPr>
            <w:tcW w:w="3601" w:type="dxa"/>
            <w:tcBorders>
              <w:top w:val="single" w:sz="4" w:space="0" w:color="auto"/>
              <w:left w:val="single" w:sz="4" w:space="0" w:color="auto"/>
              <w:bottom w:val="single" w:sz="4" w:space="0" w:color="auto"/>
              <w:right w:val="single" w:sz="4" w:space="0" w:color="auto"/>
            </w:tcBorders>
          </w:tcPr>
          <w:p w14:paraId="5880CCF8" w14:textId="38168CAB" w:rsidR="00CA5968" w:rsidRPr="00F261AC" w:rsidRDefault="00CA5968" w:rsidP="00CA5968">
            <w:pPr>
              <w:tabs>
                <w:tab w:val="clear" w:pos="567"/>
                <w:tab w:val="left" w:pos="720"/>
              </w:tabs>
              <w:spacing w:before="0"/>
              <w:ind w:right="44"/>
              <w:rPr>
                <w:rFonts w:asciiTheme="minorHAnsi" w:hAnsiTheme="minorHAnsi" w:cstheme="minorHAnsi"/>
                <w:bCs/>
                <w:sz w:val="22"/>
              </w:rPr>
            </w:pPr>
            <w:r w:rsidRPr="00F261AC">
              <w:rPr>
                <w:rStyle w:val="Artdef"/>
              </w:rPr>
              <w:t>1/4</w:t>
            </w:r>
            <w:r w:rsidRPr="00F261AC">
              <w:rPr>
                <w:i/>
                <w:iCs/>
              </w:rPr>
              <w:tab/>
              <w:t>a)</w:t>
            </w:r>
            <w:r w:rsidRPr="00F261AC">
              <w:tab/>
            </w:r>
            <w:r w:rsidR="00075305" w:rsidRPr="00075305">
              <w:t>las administraciones establecerán y revisarán sus partes alícuotas terminales y de tránsito teniendo en cuenta las Recomendaciones del CCITT</w:t>
            </w:r>
            <w:r w:rsidR="0080318D">
              <w:t>.</w:t>
            </w:r>
          </w:p>
        </w:tc>
        <w:tc>
          <w:tcPr>
            <w:tcW w:w="2341" w:type="dxa"/>
            <w:tcBorders>
              <w:top w:val="single" w:sz="4" w:space="0" w:color="auto"/>
              <w:left w:val="single" w:sz="4" w:space="0" w:color="auto"/>
              <w:bottom w:val="single" w:sz="4" w:space="0" w:color="auto"/>
              <w:right w:val="single" w:sz="4" w:space="0" w:color="auto"/>
            </w:tcBorders>
          </w:tcPr>
          <w:p w14:paraId="60441A29" w14:textId="37BC42B8"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La disposición es aplicable para fomentar el suministro y el desarrollo de redes y servicios</w:t>
            </w:r>
            <w:r w:rsidR="0080318D">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2FAC8F75" w14:textId="4C58645C"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80318D">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0A0838F3" w14:textId="28E46633" w:rsidR="00CA5968" w:rsidRPr="00F261AC" w:rsidRDefault="00AA6BF7" w:rsidP="0080318D">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787D73A7" w14:textId="77777777" w:rsidR="00CA5968" w:rsidRPr="00F261AC" w:rsidRDefault="00CA5968" w:rsidP="0080318D">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0CC4B74A" w14:textId="77777777" w:rsidTr="00CA5968">
        <w:tc>
          <w:tcPr>
            <w:tcW w:w="1130" w:type="dxa"/>
            <w:vMerge/>
            <w:tcBorders>
              <w:top w:val="single" w:sz="4" w:space="0" w:color="auto"/>
              <w:left w:val="single" w:sz="4" w:space="0" w:color="auto"/>
              <w:bottom w:val="single" w:sz="4" w:space="0" w:color="auto"/>
              <w:right w:val="single" w:sz="4" w:space="0" w:color="auto"/>
            </w:tcBorders>
            <w:vAlign w:val="center"/>
            <w:hideMark/>
          </w:tcPr>
          <w:p w14:paraId="2090E99F"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hideMark/>
          </w:tcPr>
          <w:p w14:paraId="725F4A81" w14:textId="2B789C18" w:rsidR="00CA5968" w:rsidRPr="00F261AC" w:rsidRDefault="00CA5968" w:rsidP="00CA5968">
            <w:pPr>
              <w:rPr>
                <w:rFonts w:asciiTheme="minorHAnsi" w:hAnsiTheme="minorHAnsi" w:cstheme="minorHAnsi"/>
                <w:bCs/>
                <w:sz w:val="22"/>
              </w:rPr>
            </w:pPr>
            <w:r w:rsidRPr="00F261AC">
              <w:rPr>
                <w:rStyle w:val="Artdef"/>
                <w:rFonts w:cs="Times New Roman"/>
              </w:rPr>
              <w:t>1/5</w:t>
            </w:r>
            <w:r w:rsidRPr="00F261AC">
              <w:rPr>
                <w:i/>
                <w:iCs/>
              </w:rPr>
              <w:tab/>
              <w:t>b)</w:t>
            </w:r>
            <w:r w:rsidRPr="00F261AC">
              <w:tab/>
            </w:r>
            <w:r w:rsidR="00CB698C" w:rsidRPr="00CB698C">
              <w:t>la tasa de distribución será la suma de las partes alícuotas terminales y de las partes alícuotas de tránsito, si las hubiere</w:t>
            </w:r>
            <w:r w:rsidRPr="00F261AC">
              <w:t>.</w:t>
            </w:r>
          </w:p>
        </w:tc>
        <w:tc>
          <w:tcPr>
            <w:tcW w:w="3601" w:type="dxa"/>
            <w:tcBorders>
              <w:top w:val="single" w:sz="4" w:space="0" w:color="auto"/>
              <w:left w:val="single" w:sz="4" w:space="0" w:color="auto"/>
              <w:bottom w:val="single" w:sz="4" w:space="0" w:color="auto"/>
              <w:right w:val="single" w:sz="4" w:space="0" w:color="auto"/>
            </w:tcBorders>
            <w:hideMark/>
          </w:tcPr>
          <w:p w14:paraId="4CBA3D95" w14:textId="08892656" w:rsidR="00CA5968" w:rsidRPr="00F261AC" w:rsidRDefault="00CA5968" w:rsidP="00CA5968">
            <w:pPr>
              <w:rPr>
                <w:rFonts w:asciiTheme="minorHAnsi" w:hAnsiTheme="minorHAnsi" w:cstheme="minorHAnsi"/>
                <w:bCs/>
                <w:sz w:val="22"/>
              </w:rPr>
            </w:pPr>
            <w:r w:rsidRPr="00F261AC">
              <w:rPr>
                <w:rStyle w:val="Artdef"/>
              </w:rPr>
              <w:t>1/5</w:t>
            </w:r>
            <w:r w:rsidRPr="00F261AC">
              <w:rPr>
                <w:i/>
                <w:iCs/>
              </w:rPr>
              <w:tab/>
              <w:t>b)</w:t>
            </w:r>
            <w:r w:rsidRPr="00F261AC">
              <w:tab/>
            </w:r>
            <w:r w:rsidR="00AA6BF7" w:rsidRPr="00AA6BF7">
              <w:t>la tasa de distribución será la suma de las partes alícuotas terminales y de las partes alícuotas de tránsito, si las hubiere</w:t>
            </w:r>
            <w:r w:rsidRPr="00F261AC">
              <w:t>.</w:t>
            </w:r>
          </w:p>
        </w:tc>
        <w:tc>
          <w:tcPr>
            <w:tcW w:w="2341" w:type="dxa"/>
            <w:tcBorders>
              <w:top w:val="single" w:sz="4" w:space="0" w:color="auto"/>
              <w:left w:val="single" w:sz="4" w:space="0" w:color="auto"/>
              <w:bottom w:val="single" w:sz="4" w:space="0" w:color="auto"/>
              <w:right w:val="single" w:sz="4" w:space="0" w:color="auto"/>
            </w:tcBorders>
            <w:hideMark/>
          </w:tcPr>
          <w:p w14:paraId="1FD96DC0" w14:textId="541F3EE2"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80318D">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hideMark/>
          </w:tcPr>
          <w:p w14:paraId="73541273" w14:textId="4DBC37DF"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Esta disposición garantiza la flexibilidad necesaria para dar cabida a nuevas tendencias y cuestiones emergentes</w:t>
            </w:r>
            <w:r w:rsidR="0080318D">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7B54AC5A" w14:textId="50FCA2A8" w:rsidR="00CA5968" w:rsidRPr="00F261AC" w:rsidRDefault="00AA6BF7" w:rsidP="0080318D">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7A64EC28" w14:textId="77777777" w:rsidR="00CA5968" w:rsidRPr="00F261AC" w:rsidRDefault="00CA5968" w:rsidP="0080318D">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0D0D36E3" w14:textId="77777777" w:rsidTr="00CA5968">
        <w:tc>
          <w:tcPr>
            <w:tcW w:w="1130" w:type="dxa"/>
            <w:vMerge/>
            <w:tcBorders>
              <w:top w:val="single" w:sz="4" w:space="0" w:color="auto"/>
              <w:left w:val="single" w:sz="4" w:space="0" w:color="auto"/>
              <w:bottom w:val="single" w:sz="4" w:space="0" w:color="auto"/>
              <w:right w:val="single" w:sz="4" w:space="0" w:color="auto"/>
            </w:tcBorders>
            <w:vAlign w:val="center"/>
            <w:hideMark/>
          </w:tcPr>
          <w:p w14:paraId="71B855FD"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47C7CF62" w14:textId="276CF640" w:rsidR="00CA5968" w:rsidRPr="00F261AC" w:rsidRDefault="00CA5968" w:rsidP="00CA5968">
            <w:pPr>
              <w:tabs>
                <w:tab w:val="clear" w:pos="567"/>
                <w:tab w:val="left" w:pos="720"/>
              </w:tabs>
              <w:spacing w:before="0"/>
              <w:ind w:right="130"/>
              <w:rPr>
                <w:rFonts w:asciiTheme="minorHAnsi" w:hAnsiTheme="minorHAnsi" w:cstheme="minorHAnsi"/>
                <w:bCs/>
                <w:sz w:val="22"/>
              </w:rPr>
            </w:pPr>
            <w:r w:rsidRPr="00F261AC">
              <w:rPr>
                <w:rStyle w:val="Artdef"/>
                <w:rFonts w:cs="Times New Roman"/>
              </w:rPr>
              <w:t>1/6</w:t>
            </w:r>
            <w:r w:rsidRPr="00F261AC">
              <w:tab/>
              <w:t>1.3</w:t>
            </w:r>
            <w:r w:rsidRPr="00F261AC">
              <w:tab/>
            </w:r>
            <w:r w:rsidR="00CB698C" w:rsidRPr="00CB698C">
              <w:t xml:space="preserve">Cuando una o varias empresas de explotación autorizadas hayan adquirido, por remuneración a tanto alzado o por cualquier otro medio, el derecho a utilizar una parte de los circuitos y/o de las instalaciones de otra empresa de explotación autorizada, tendrán derecho a establecer, de conformidad con lo dispuesto en los </w:t>
            </w:r>
            <w:r w:rsidR="009B791B">
              <w:t>núms. 1/1 (</w:t>
            </w:r>
            <w:r w:rsidR="00CB698C" w:rsidRPr="00CB698C">
              <w:t>1.1</w:t>
            </w:r>
            <w:r w:rsidR="009B791B">
              <w:t>)</w:t>
            </w:r>
            <w:r w:rsidR="00CB698C" w:rsidRPr="00CB698C">
              <w:t xml:space="preserve"> y </w:t>
            </w:r>
            <w:r w:rsidR="009B791B">
              <w:t>1/2 (</w:t>
            </w:r>
            <w:r w:rsidR="00CB698C" w:rsidRPr="00CB698C">
              <w:t>1.2</w:t>
            </w:r>
            <w:r w:rsidR="009B791B">
              <w:t>)</w:t>
            </w:r>
            <w:r w:rsidR="00CB698C" w:rsidRPr="00CB698C">
              <w:t xml:space="preserve"> </w:t>
            </w:r>
            <w:r w:rsidR="00CB698C" w:rsidRPr="009B791B">
              <w:rPr>
                <w:i/>
                <w:iCs/>
              </w:rPr>
              <w:t>supra</w:t>
            </w:r>
            <w:r w:rsidR="00CB698C" w:rsidRPr="00CB698C">
              <w:t>, su parte alícuota por la utilización de esta parte del enlace</w:t>
            </w:r>
            <w:r w:rsidRPr="00F261AC">
              <w:t>.</w:t>
            </w:r>
          </w:p>
        </w:tc>
        <w:tc>
          <w:tcPr>
            <w:tcW w:w="3601" w:type="dxa"/>
            <w:tcBorders>
              <w:top w:val="single" w:sz="4" w:space="0" w:color="auto"/>
              <w:left w:val="single" w:sz="4" w:space="0" w:color="auto"/>
              <w:bottom w:val="single" w:sz="4" w:space="0" w:color="auto"/>
              <w:right w:val="single" w:sz="4" w:space="0" w:color="auto"/>
            </w:tcBorders>
          </w:tcPr>
          <w:p w14:paraId="576BC1D6" w14:textId="4A958389" w:rsidR="00CA5968" w:rsidRPr="00F261AC" w:rsidRDefault="00CA5968" w:rsidP="00CA5968">
            <w:pPr>
              <w:tabs>
                <w:tab w:val="clear" w:pos="567"/>
                <w:tab w:val="left" w:pos="720"/>
              </w:tabs>
              <w:spacing w:before="0"/>
              <w:ind w:right="130"/>
              <w:rPr>
                <w:sz w:val="22"/>
              </w:rPr>
            </w:pPr>
            <w:r w:rsidRPr="00F261AC">
              <w:rPr>
                <w:rStyle w:val="Artdef"/>
              </w:rPr>
              <w:t>1/6</w:t>
            </w:r>
            <w:r w:rsidRPr="00F261AC">
              <w:tab/>
              <w:t>1.3</w:t>
            </w:r>
            <w:r w:rsidRPr="00F261AC">
              <w:tab/>
            </w:r>
            <w:r w:rsidR="00AA6BF7" w:rsidRPr="00AA6BF7">
              <w:t>Cuando una o varias administraciones hayan adquirido, por remuneración a tanto alzado o por cualquier otro medio, el derecho a utilizar una parte de los circuitos o de las instalaciones de otra administración, tendrán derecho a establecer, de conformidad con lo dispuesto en los § 1.1 y 1.2 supra, su parte alícuota por la utilización de esta parte del enlace</w:t>
            </w:r>
            <w:r w:rsidRPr="00F261AC">
              <w:t>.</w:t>
            </w:r>
          </w:p>
        </w:tc>
        <w:tc>
          <w:tcPr>
            <w:tcW w:w="2341" w:type="dxa"/>
            <w:tcBorders>
              <w:top w:val="single" w:sz="4" w:space="0" w:color="auto"/>
              <w:left w:val="single" w:sz="4" w:space="0" w:color="auto"/>
              <w:bottom w:val="single" w:sz="4" w:space="0" w:color="auto"/>
              <w:right w:val="single" w:sz="4" w:space="0" w:color="auto"/>
            </w:tcBorders>
          </w:tcPr>
          <w:p w14:paraId="5BF80369" w14:textId="5FE39AF3" w:rsidR="00CA5968" w:rsidRPr="00F261AC" w:rsidRDefault="00AA6BF7" w:rsidP="00CA5968">
            <w:pPr>
              <w:tabs>
                <w:tab w:val="clear" w:pos="567"/>
                <w:tab w:val="left" w:pos="720"/>
              </w:tabs>
              <w:spacing w:before="0"/>
              <w:jc w:val="both"/>
              <w:rPr>
                <w:rFonts w:asciiTheme="minorHAnsi" w:hAnsiTheme="minorHAnsi" w:cstheme="minorHAnsi"/>
                <w:bCs/>
                <w:sz w:val="22"/>
              </w:rPr>
            </w:pPr>
            <w:r>
              <w:rPr>
                <w:rFonts w:asciiTheme="minorHAnsi" w:hAnsiTheme="minorHAnsi" w:cstheme="minorHAnsi"/>
                <w:bCs/>
                <w:sz w:val="22"/>
              </w:rPr>
              <w:t>La disposición es aplicable para fomentar el suministro y el desarrollo de redes y servicios</w:t>
            </w:r>
            <w:r w:rsidR="0080318D">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54A7B6B9" w14:textId="48B842B3" w:rsidR="00CA5968" w:rsidRPr="00F261AC" w:rsidRDefault="00AA6BF7" w:rsidP="00CA5968">
            <w:pPr>
              <w:tabs>
                <w:tab w:val="clear" w:pos="567"/>
                <w:tab w:val="left" w:pos="720"/>
              </w:tabs>
              <w:spacing w:before="0"/>
              <w:jc w:val="both"/>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80318D">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4119C068" w14:textId="14F73B44" w:rsidR="00CA5968" w:rsidRPr="00F261AC" w:rsidRDefault="00AA6BF7" w:rsidP="0080318D">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13F73086" w14:textId="77777777" w:rsidR="00CA5968" w:rsidRPr="00F261AC" w:rsidRDefault="00CA5968" w:rsidP="0080318D">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0DEC0B51" w14:textId="77777777" w:rsidTr="00CA5968">
        <w:tc>
          <w:tcPr>
            <w:tcW w:w="1130" w:type="dxa"/>
            <w:vMerge/>
            <w:tcBorders>
              <w:top w:val="single" w:sz="4" w:space="0" w:color="auto"/>
              <w:left w:val="single" w:sz="4" w:space="0" w:color="auto"/>
              <w:bottom w:val="single" w:sz="4" w:space="0" w:color="auto"/>
              <w:right w:val="single" w:sz="4" w:space="0" w:color="auto"/>
            </w:tcBorders>
            <w:vAlign w:val="center"/>
            <w:hideMark/>
          </w:tcPr>
          <w:p w14:paraId="4EFF4A67"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32D62424" w14:textId="0A5131F2" w:rsidR="00CA5968" w:rsidRPr="00F261AC" w:rsidRDefault="00CA5968" w:rsidP="00CA5968">
            <w:pPr>
              <w:tabs>
                <w:tab w:val="clear" w:pos="567"/>
                <w:tab w:val="left" w:pos="720"/>
              </w:tabs>
              <w:spacing w:before="0"/>
              <w:ind w:right="130"/>
              <w:jc w:val="both"/>
              <w:rPr>
                <w:rFonts w:asciiTheme="minorHAnsi" w:hAnsiTheme="minorHAnsi" w:cstheme="minorHAnsi"/>
                <w:bCs/>
                <w:sz w:val="22"/>
              </w:rPr>
            </w:pPr>
            <w:r w:rsidRPr="00F261AC">
              <w:rPr>
                <w:rStyle w:val="Artdef"/>
                <w:rFonts w:cs="Times New Roman"/>
              </w:rPr>
              <w:t>1/7</w:t>
            </w:r>
            <w:r w:rsidRPr="00F261AC">
              <w:tab/>
              <w:t>1.4</w:t>
            </w:r>
            <w:r w:rsidRPr="00F261AC">
              <w:tab/>
            </w:r>
            <w:r w:rsidR="00CB698C" w:rsidRPr="00CB698C">
              <w:t xml:space="preserve">En caso de que varias empresas de explotación autorizadas hayan acordado una o más rutas internacionales, si la empresa de explotación </w:t>
            </w:r>
            <w:r w:rsidR="00CB698C" w:rsidRPr="00CB698C">
              <w:lastRenderedPageBreak/>
              <w:t>autorizada de origen desvía unilateralmente el tráfico por una ruta internacional que no haya sido convenida con la empresa de explotación autorizada de destino, las partes alícuotas terminales pagaderas a la empresa de explotación autorizada de destino serán las que se adeudarían si el tráfico se hubiese encaminado por la ruta primaria acordada, corriendo por cuenta de la empresa de explotación autorizada de origen los gastos de tránsito, a menos que la empresa de explotación autorizada de destino esté dispuesta a aceptar una parte alícuota diferente</w:t>
            </w:r>
            <w:r w:rsidRPr="00F261AC">
              <w:t>.</w:t>
            </w:r>
          </w:p>
        </w:tc>
        <w:tc>
          <w:tcPr>
            <w:tcW w:w="3601" w:type="dxa"/>
            <w:tcBorders>
              <w:top w:val="single" w:sz="4" w:space="0" w:color="auto"/>
              <w:left w:val="single" w:sz="4" w:space="0" w:color="auto"/>
              <w:bottom w:val="single" w:sz="4" w:space="0" w:color="auto"/>
              <w:right w:val="single" w:sz="4" w:space="0" w:color="auto"/>
            </w:tcBorders>
          </w:tcPr>
          <w:p w14:paraId="5C3540EF" w14:textId="6F223AC3" w:rsidR="00CA5968" w:rsidRPr="00F261AC" w:rsidRDefault="00CA5968" w:rsidP="00CA5968">
            <w:pPr>
              <w:tabs>
                <w:tab w:val="clear" w:pos="567"/>
                <w:tab w:val="left" w:pos="720"/>
              </w:tabs>
              <w:spacing w:before="0"/>
              <w:ind w:right="44"/>
              <w:rPr>
                <w:rFonts w:asciiTheme="minorHAnsi" w:hAnsiTheme="minorHAnsi" w:cstheme="minorHAnsi"/>
                <w:bCs/>
                <w:sz w:val="22"/>
              </w:rPr>
            </w:pPr>
            <w:r w:rsidRPr="00F261AC">
              <w:rPr>
                <w:rStyle w:val="Artdef"/>
              </w:rPr>
              <w:lastRenderedPageBreak/>
              <w:t>1/7</w:t>
            </w:r>
            <w:r w:rsidRPr="00F261AC">
              <w:tab/>
              <w:t>1.4</w:t>
            </w:r>
            <w:r w:rsidRPr="00F261AC">
              <w:tab/>
            </w:r>
            <w:r w:rsidR="00AA6BF7" w:rsidRPr="00AA6BF7">
              <w:t xml:space="preserve">En caso de que varias administraciones hayan acordado una o más rutas, si la administración de origen desvía unilateralmente el tráfico por una </w:t>
            </w:r>
            <w:r w:rsidR="00AA6BF7" w:rsidRPr="00AA6BF7">
              <w:lastRenderedPageBreak/>
              <w:t>ruta que no haya sido convenida con la administración de destino, las partes alícuotas terminales pagaderas a la administración de destino serán las que se adeudarían si el tráfico se hubiese encaminado por la ruta primaria que ha sido objeto de un acuerdo, corriendo por cuenta de la administración de origen los gastos de tránsito, a menos que la administración de destino esté dispuesta a aceptar una parte alícuota diferente</w:t>
            </w:r>
            <w:r w:rsidRPr="00F261AC">
              <w:t>.</w:t>
            </w:r>
          </w:p>
        </w:tc>
        <w:tc>
          <w:tcPr>
            <w:tcW w:w="2341" w:type="dxa"/>
            <w:tcBorders>
              <w:top w:val="single" w:sz="4" w:space="0" w:color="auto"/>
              <w:left w:val="single" w:sz="4" w:space="0" w:color="auto"/>
              <w:bottom w:val="single" w:sz="4" w:space="0" w:color="auto"/>
              <w:right w:val="single" w:sz="4" w:space="0" w:color="auto"/>
            </w:tcBorders>
          </w:tcPr>
          <w:p w14:paraId="0208F216" w14:textId="2308EA68" w:rsidR="00CA5968" w:rsidRPr="00F261AC" w:rsidRDefault="00AA6BF7" w:rsidP="00CA5968">
            <w:pPr>
              <w:tabs>
                <w:tab w:val="clear" w:pos="567"/>
                <w:tab w:val="left" w:pos="720"/>
              </w:tabs>
              <w:spacing w:before="0"/>
              <w:jc w:val="both"/>
              <w:rPr>
                <w:rFonts w:asciiTheme="minorHAnsi" w:hAnsiTheme="minorHAnsi" w:cstheme="minorHAnsi"/>
                <w:bCs/>
                <w:sz w:val="22"/>
              </w:rPr>
            </w:pPr>
            <w:r>
              <w:rPr>
                <w:rFonts w:asciiTheme="minorHAnsi" w:hAnsiTheme="minorHAnsi" w:cstheme="minorHAnsi"/>
                <w:bCs/>
                <w:sz w:val="22"/>
              </w:rPr>
              <w:lastRenderedPageBreak/>
              <w:t>La disposición es aplicable para fomentar el suministro y el desarrollo de redes y servicios</w:t>
            </w:r>
            <w:r w:rsidR="00907E2C">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2C3BE0A1" w14:textId="28155B71" w:rsidR="00CA5968" w:rsidRPr="00F261AC" w:rsidRDefault="00AA6BF7" w:rsidP="00907E2C">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 xml:space="preserve">Esta disposición garantiza la flexibilidad necesaria para dar cabida a nuevas tendencias y </w:t>
            </w:r>
            <w:r>
              <w:rPr>
                <w:rFonts w:asciiTheme="minorHAnsi" w:hAnsiTheme="minorHAnsi" w:cstheme="minorHAnsi"/>
                <w:bCs/>
                <w:sz w:val="22"/>
              </w:rPr>
              <w:lastRenderedPageBreak/>
              <w:t>cuestiones emergentes</w:t>
            </w:r>
            <w:r w:rsidR="00907E2C">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10254188" w14:textId="58CC4A2F" w:rsidR="00CA5968" w:rsidRPr="00F261AC" w:rsidRDefault="00AA6BF7" w:rsidP="00907E2C">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lastRenderedPageBreak/>
              <w:t>La disposición no requiere modificación, ya que es aplicable y flexible</w:t>
            </w:r>
            <w:r w:rsidR="00CA5968">
              <w:rPr>
                <w:rFonts w:asciiTheme="minorHAnsi" w:hAnsiTheme="minorHAnsi" w:cstheme="minorHAnsi"/>
                <w:bCs/>
                <w:sz w:val="22"/>
              </w:rPr>
              <w:t>.</w:t>
            </w:r>
          </w:p>
          <w:p w14:paraId="004FBC00" w14:textId="77777777" w:rsidR="00CA5968" w:rsidRPr="00F261AC" w:rsidRDefault="00CA5968" w:rsidP="00907E2C">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72A9B28C" w14:textId="77777777" w:rsidTr="00CA5968">
        <w:tc>
          <w:tcPr>
            <w:tcW w:w="1130" w:type="dxa"/>
            <w:vMerge/>
            <w:tcBorders>
              <w:top w:val="single" w:sz="4" w:space="0" w:color="auto"/>
              <w:left w:val="single" w:sz="4" w:space="0" w:color="auto"/>
              <w:bottom w:val="single" w:sz="4" w:space="0" w:color="auto"/>
              <w:right w:val="single" w:sz="4" w:space="0" w:color="auto"/>
            </w:tcBorders>
            <w:vAlign w:val="center"/>
            <w:hideMark/>
          </w:tcPr>
          <w:p w14:paraId="337AE890"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0D389EC2" w14:textId="53A44C46" w:rsidR="00CA5968" w:rsidRPr="00F261AC" w:rsidRDefault="00CA5968" w:rsidP="00CA5968">
            <w:pPr>
              <w:tabs>
                <w:tab w:val="clear" w:pos="567"/>
                <w:tab w:val="left" w:pos="720"/>
              </w:tabs>
              <w:spacing w:before="0"/>
              <w:ind w:right="130"/>
              <w:rPr>
                <w:rFonts w:asciiTheme="minorHAnsi" w:hAnsiTheme="minorHAnsi" w:cstheme="minorHAnsi"/>
                <w:bCs/>
                <w:sz w:val="22"/>
              </w:rPr>
            </w:pPr>
            <w:r w:rsidRPr="00F261AC">
              <w:rPr>
                <w:rStyle w:val="Artdef"/>
                <w:rFonts w:cs="Times New Roman"/>
              </w:rPr>
              <w:t>1/8</w:t>
            </w:r>
            <w:r w:rsidRPr="00F261AC">
              <w:tab/>
              <w:t>1.5</w:t>
            </w:r>
            <w:r w:rsidRPr="00F261AC">
              <w:tab/>
            </w:r>
            <w:r w:rsidR="00CB698C" w:rsidRPr="00CB698C">
              <w:t>Cuando el tráfico sea encaminado por un punto de tránsito sin autorización o acuerdo sobre el importe de la parte alícuota de tránsito, la empresa de explotación autorizada de tránsito tendrá derecho a establecer el importe de la parte alícuota de tránsito que se ha de incluir en las cuentas internacionales</w:t>
            </w:r>
            <w:r w:rsidRPr="00F261AC">
              <w:t>.</w:t>
            </w:r>
          </w:p>
        </w:tc>
        <w:tc>
          <w:tcPr>
            <w:tcW w:w="3601" w:type="dxa"/>
            <w:tcBorders>
              <w:top w:val="single" w:sz="4" w:space="0" w:color="auto"/>
              <w:left w:val="single" w:sz="4" w:space="0" w:color="auto"/>
              <w:bottom w:val="single" w:sz="4" w:space="0" w:color="auto"/>
              <w:right w:val="single" w:sz="4" w:space="0" w:color="auto"/>
            </w:tcBorders>
          </w:tcPr>
          <w:p w14:paraId="502F383D" w14:textId="0F35431A"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1/8</w:t>
            </w:r>
            <w:r w:rsidRPr="00F261AC">
              <w:tab/>
              <w:t>1.5</w:t>
            </w:r>
            <w:r w:rsidRPr="00F261AC">
              <w:tab/>
            </w:r>
            <w:r w:rsidR="00AA6BF7" w:rsidRPr="00AA6BF7">
              <w:t>Cuando el tráfico sea encaminado por un centro de tránsito sin autorización o acuerdo sobre el importe de la parte alícuota de tránsito, la administración de tránsito tendrá derecho a establecer el importe de la parte alícuota de tránsito que se ha de incluir en las cuentas internacionales</w:t>
            </w:r>
            <w:r w:rsidRPr="00F261AC">
              <w:t>.</w:t>
            </w:r>
          </w:p>
        </w:tc>
        <w:tc>
          <w:tcPr>
            <w:tcW w:w="2341" w:type="dxa"/>
            <w:tcBorders>
              <w:top w:val="single" w:sz="4" w:space="0" w:color="auto"/>
              <w:left w:val="single" w:sz="4" w:space="0" w:color="auto"/>
              <w:bottom w:val="single" w:sz="4" w:space="0" w:color="auto"/>
              <w:right w:val="single" w:sz="4" w:space="0" w:color="auto"/>
            </w:tcBorders>
          </w:tcPr>
          <w:p w14:paraId="3E8D6C1A" w14:textId="5661D8B7"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907E2C">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hideMark/>
          </w:tcPr>
          <w:p w14:paraId="52790985" w14:textId="02C3B615"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Esta disposición garantiza la flexibilidad necesaria para dar cabida a nuevas tendencias y cuestiones emergentes</w:t>
            </w:r>
            <w:r w:rsidR="00907E2C">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086F18A0" w14:textId="29E1A74C" w:rsidR="00CA5968" w:rsidRPr="00F261AC" w:rsidRDefault="00AA6BF7" w:rsidP="00907E2C">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2910556B" w14:textId="77777777" w:rsidR="00CA5968" w:rsidRPr="00F261AC" w:rsidRDefault="00CA5968" w:rsidP="00907E2C">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42DE4749" w14:textId="77777777" w:rsidTr="00CA5968">
        <w:tc>
          <w:tcPr>
            <w:tcW w:w="1130" w:type="dxa"/>
            <w:vMerge/>
            <w:tcBorders>
              <w:top w:val="single" w:sz="4" w:space="0" w:color="auto"/>
              <w:left w:val="single" w:sz="4" w:space="0" w:color="auto"/>
              <w:bottom w:val="single" w:sz="4" w:space="0" w:color="auto"/>
              <w:right w:val="single" w:sz="4" w:space="0" w:color="auto"/>
            </w:tcBorders>
            <w:vAlign w:val="center"/>
            <w:hideMark/>
          </w:tcPr>
          <w:p w14:paraId="7333AC67"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2069DBE3" w14:textId="772C8BEA" w:rsidR="00CA5968" w:rsidRPr="00F261AC" w:rsidRDefault="00CA5968" w:rsidP="00CA5968">
            <w:pPr>
              <w:tabs>
                <w:tab w:val="clear" w:pos="567"/>
                <w:tab w:val="left" w:pos="720"/>
              </w:tabs>
              <w:spacing w:before="0"/>
              <w:ind w:right="130"/>
              <w:rPr>
                <w:rFonts w:asciiTheme="minorHAnsi" w:hAnsiTheme="minorHAnsi" w:cstheme="minorHAnsi"/>
                <w:bCs/>
                <w:sz w:val="22"/>
              </w:rPr>
            </w:pPr>
            <w:r w:rsidRPr="00F261AC">
              <w:rPr>
                <w:rStyle w:val="Artdef"/>
                <w:rFonts w:cs="Times New Roman"/>
              </w:rPr>
              <w:t>1/9</w:t>
            </w:r>
            <w:r w:rsidRPr="00F261AC">
              <w:tab/>
              <w:t>1.6</w:t>
            </w:r>
            <w:r w:rsidRPr="00F261AC">
              <w:tab/>
            </w:r>
            <w:r w:rsidR="00CB698C" w:rsidRPr="00CB698C">
              <w:t xml:space="preserve">Cuando una empresa de explotación autorizada esté sujeta a un impuesto o una tasa fiscal sobre las partes alícuotas de </w:t>
            </w:r>
            <w:r w:rsidR="00CB698C" w:rsidRPr="00CB698C">
              <w:lastRenderedPageBreak/>
              <w:t>distribución u otras remuneraciones que le correspondan, no deberá a su vez deducir tal impuesto o tasa fiscal de las otras empresas de explotación autorizadas</w:t>
            </w:r>
            <w:r w:rsidRPr="00F261AC">
              <w:t>.</w:t>
            </w:r>
          </w:p>
        </w:tc>
        <w:tc>
          <w:tcPr>
            <w:tcW w:w="3601" w:type="dxa"/>
            <w:tcBorders>
              <w:top w:val="single" w:sz="4" w:space="0" w:color="auto"/>
              <w:left w:val="single" w:sz="4" w:space="0" w:color="auto"/>
              <w:bottom w:val="single" w:sz="4" w:space="0" w:color="auto"/>
              <w:right w:val="single" w:sz="4" w:space="0" w:color="auto"/>
            </w:tcBorders>
          </w:tcPr>
          <w:p w14:paraId="18255FAB" w14:textId="52D9241F"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lastRenderedPageBreak/>
              <w:t>1/9</w:t>
            </w:r>
            <w:r w:rsidRPr="00F261AC">
              <w:tab/>
              <w:t>1.6</w:t>
            </w:r>
            <w:r w:rsidRPr="00F261AC">
              <w:tab/>
            </w:r>
            <w:r w:rsidR="00AA6BF7" w:rsidRPr="00AA6BF7">
              <w:t xml:space="preserve">Cuando una administración esté sujeta a un impuesto o una tasa fiscal sobre las partes alícuotas de distribución u </w:t>
            </w:r>
            <w:r w:rsidR="00AA6BF7" w:rsidRPr="00AA6BF7">
              <w:lastRenderedPageBreak/>
              <w:t>otras remuneraciones que le correspondan, no deberá a su vez deducir tal impuesto o tasa fiscal de las otras administraciones</w:t>
            </w:r>
            <w:r w:rsidRPr="00F261AC">
              <w:t>.</w:t>
            </w:r>
          </w:p>
        </w:tc>
        <w:tc>
          <w:tcPr>
            <w:tcW w:w="2341" w:type="dxa"/>
            <w:tcBorders>
              <w:top w:val="single" w:sz="4" w:space="0" w:color="auto"/>
              <w:left w:val="single" w:sz="4" w:space="0" w:color="auto"/>
              <w:bottom w:val="single" w:sz="4" w:space="0" w:color="auto"/>
              <w:right w:val="single" w:sz="4" w:space="0" w:color="auto"/>
            </w:tcBorders>
          </w:tcPr>
          <w:p w14:paraId="6CD3F28B" w14:textId="7C939BA4"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lastRenderedPageBreak/>
              <w:t xml:space="preserve">La disposición es aplicable para fomentar el suministro y el </w:t>
            </w:r>
            <w:r>
              <w:rPr>
                <w:rFonts w:asciiTheme="minorHAnsi" w:hAnsiTheme="minorHAnsi" w:cstheme="minorHAnsi"/>
                <w:bCs/>
                <w:sz w:val="22"/>
              </w:rPr>
              <w:lastRenderedPageBreak/>
              <w:t>desarrollo de redes y servicios</w:t>
            </w:r>
            <w:r w:rsidR="007B714A">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hideMark/>
          </w:tcPr>
          <w:p w14:paraId="1A0CAD05" w14:textId="45C6DB96"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lastRenderedPageBreak/>
              <w:t xml:space="preserve">Esta disposición garantiza la flexibilidad necesaria para dar cabida a </w:t>
            </w:r>
            <w:r>
              <w:rPr>
                <w:rFonts w:asciiTheme="minorHAnsi" w:hAnsiTheme="minorHAnsi" w:cstheme="minorHAnsi"/>
                <w:bCs/>
                <w:sz w:val="22"/>
              </w:rPr>
              <w:lastRenderedPageBreak/>
              <w:t>nuevas tendencias y cuestiones emergentes</w:t>
            </w:r>
            <w:r w:rsidR="007B714A">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7356494B" w14:textId="1D382F0F" w:rsidR="00CA5968" w:rsidRPr="00F261AC" w:rsidRDefault="00AA6BF7" w:rsidP="00907E2C">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lastRenderedPageBreak/>
              <w:t xml:space="preserve">La disposición no requiere modificación, ya </w:t>
            </w:r>
            <w:r>
              <w:rPr>
                <w:rFonts w:asciiTheme="minorHAnsi" w:hAnsiTheme="minorHAnsi" w:cstheme="minorHAnsi"/>
                <w:bCs/>
                <w:sz w:val="22"/>
              </w:rPr>
              <w:lastRenderedPageBreak/>
              <w:t>que es aplicable y flexible</w:t>
            </w:r>
            <w:r w:rsidR="00CA5968">
              <w:rPr>
                <w:rFonts w:asciiTheme="minorHAnsi" w:hAnsiTheme="minorHAnsi" w:cstheme="minorHAnsi"/>
                <w:bCs/>
                <w:sz w:val="22"/>
              </w:rPr>
              <w:t>.</w:t>
            </w:r>
          </w:p>
          <w:p w14:paraId="5046B017" w14:textId="77777777" w:rsidR="00CA5968" w:rsidRPr="00F261AC" w:rsidRDefault="00CA5968" w:rsidP="00907E2C">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6ACE8433" w14:textId="77777777" w:rsidTr="00CA5968">
        <w:tc>
          <w:tcPr>
            <w:tcW w:w="1130" w:type="dxa"/>
            <w:vMerge/>
            <w:tcBorders>
              <w:top w:val="single" w:sz="4" w:space="0" w:color="auto"/>
              <w:left w:val="single" w:sz="4" w:space="0" w:color="auto"/>
              <w:bottom w:val="single" w:sz="4" w:space="0" w:color="auto"/>
              <w:right w:val="single" w:sz="4" w:space="0" w:color="auto"/>
            </w:tcBorders>
            <w:vAlign w:val="center"/>
            <w:hideMark/>
          </w:tcPr>
          <w:p w14:paraId="646188B2"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0CC5F1F4" w14:textId="0A02BF51" w:rsidR="00CA5968" w:rsidRPr="00F261AC" w:rsidRDefault="00CA5968" w:rsidP="00CA5968">
            <w:pPr>
              <w:tabs>
                <w:tab w:val="clear" w:pos="567"/>
                <w:tab w:val="left" w:pos="720"/>
              </w:tabs>
              <w:spacing w:before="0"/>
              <w:ind w:right="130"/>
              <w:rPr>
                <w:rFonts w:asciiTheme="minorHAnsi" w:eastAsia="SimSun" w:hAnsiTheme="minorHAnsi" w:cs="Times New Roman Bold"/>
                <w:iCs/>
                <w:color w:val="000000"/>
                <w:sz w:val="22"/>
              </w:rPr>
            </w:pPr>
            <w:r w:rsidRPr="00F261AC">
              <w:rPr>
                <w:rStyle w:val="Artdef"/>
                <w:rFonts w:cs="Times New Roman"/>
                <w:bCs/>
              </w:rPr>
              <w:t>1/10</w:t>
            </w:r>
            <w:r w:rsidRPr="00F261AC">
              <w:tab/>
            </w:r>
            <w:r w:rsidRPr="00F261AC">
              <w:rPr>
                <w:b/>
                <w:bCs/>
              </w:rPr>
              <w:t>2</w:t>
            </w:r>
            <w:r w:rsidRPr="00F261AC">
              <w:rPr>
                <w:b/>
                <w:bCs/>
              </w:rPr>
              <w:tab/>
            </w:r>
            <w:r w:rsidR="00CB698C" w:rsidRPr="00CB698C">
              <w:rPr>
                <w:b/>
                <w:bCs/>
              </w:rPr>
              <w:t>Establecimiento de las cuentas</w:t>
            </w:r>
          </w:p>
        </w:tc>
        <w:tc>
          <w:tcPr>
            <w:tcW w:w="3601" w:type="dxa"/>
            <w:tcBorders>
              <w:top w:val="single" w:sz="4" w:space="0" w:color="auto"/>
              <w:left w:val="single" w:sz="4" w:space="0" w:color="auto"/>
              <w:bottom w:val="single" w:sz="4" w:space="0" w:color="auto"/>
              <w:right w:val="single" w:sz="4" w:space="0" w:color="auto"/>
            </w:tcBorders>
          </w:tcPr>
          <w:p w14:paraId="20DFD697" w14:textId="1FEBE179" w:rsidR="00CA5968" w:rsidRPr="00F261AC" w:rsidRDefault="00CA5968" w:rsidP="00CA5968">
            <w:pPr>
              <w:tabs>
                <w:tab w:val="clear" w:pos="567"/>
                <w:tab w:val="left" w:pos="720"/>
              </w:tabs>
              <w:spacing w:before="0"/>
              <w:ind w:right="130"/>
              <w:rPr>
                <w:rFonts w:asciiTheme="minorHAnsi" w:eastAsia="SimSun" w:hAnsiTheme="minorHAnsi" w:cs="Times New Roman Bold"/>
                <w:iCs/>
                <w:color w:val="000000"/>
                <w:sz w:val="22"/>
              </w:rPr>
            </w:pPr>
            <w:r w:rsidRPr="00F261AC">
              <w:rPr>
                <w:rStyle w:val="Artdef"/>
              </w:rPr>
              <w:t>1/10</w:t>
            </w:r>
            <w:r w:rsidRPr="00F261AC">
              <w:tab/>
            </w:r>
            <w:r w:rsidRPr="00F261AC">
              <w:rPr>
                <w:b/>
                <w:bCs/>
              </w:rPr>
              <w:t>2</w:t>
            </w:r>
            <w:r w:rsidRPr="00F261AC">
              <w:rPr>
                <w:b/>
                <w:bCs/>
              </w:rPr>
              <w:tab/>
            </w:r>
            <w:r w:rsidR="00AA6BF7" w:rsidRPr="00AA6BF7">
              <w:rPr>
                <w:b/>
                <w:bCs/>
              </w:rPr>
              <w:t>Establecimiento de las cuentas</w:t>
            </w:r>
          </w:p>
        </w:tc>
        <w:tc>
          <w:tcPr>
            <w:tcW w:w="2341" w:type="dxa"/>
            <w:tcBorders>
              <w:top w:val="single" w:sz="4" w:space="0" w:color="auto"/>
              <w:left w:val="single" w:sz="4" w:space="0" w:color="auto"/>
              <w:bottom w:val="single" w:sz="4" w:space="0" w:color="auto"/>
              <w:right w:val="single" w:sz="4" w:space="0" w:color="auto"/>
            </w:tcBorders>
          </w:tcPr>
          <w:p w14:paraId="46381421" w14:textId="77777777" w:rsidR="00CA5968" w:rsidRPr="00F261AC" w:rsidRDefault="00CA5968" w:rsidP="00CA5968">
            <w:pPr>
              <w:tabs>
                <w:tab w:val="clear" w:pos="567"/>
                <w:tab w:val="left" w:pos="720"/>
              </w:tabs>
              <w:spacing w:before="40" w:after="40"/>
              <w:rPr>
                <w:rFonts w:asciiTheme="minorHAnsi" w:hAnsiTheme="minorHAnsi" w:cstheme="minorHAnsi"/>
                <w:bCs/>
                <w:sz w:val="22"/>
                <w:highlight w:val="lightGray"/>
              </w:rPr>
            </w:pPr>
          </w:p>
        </w:tc>
        <w:tc>
          <w:tcPr>
            <w:tcW w:w="1981" w:type="dxa"/>
            <w:tcBorders>
              <w:top w:val="single" w:sz="4" w:space="0" w:color="auto"/>
              <w:left w:val="single" w:sz="4" w:space="0" w:color="auto"/>
              <w:bottom w:val="single" w:sz="4" w:space="0" w:color="auto"/>
              <w:right w:val="single" w:sz="4" w:space="0" w:color="auto"/>
            </w:tcBorders>
            <w:hideMark/>
          </w:tcPr>
          <w:p w14:paraId="70691572" w14:textId="77777777" w:rsidR="00CA5968" w:rsidRPr="00F261AC" w:rsidRDefault="00CA5968" w:rsidP="00CA5968">
            <w:pPr>
              <w:tabs>
                <w:tab w:val="clear" w:pos="567"/>
                <w:tab w:val="left" w:pos="720"/>
              </w:tabs>
              <w:spacing w:before="40" w:after="40"/>
              <w:rPr>
                <w:rFonts w:asciiTheme="minorHAnsi" w:hAnsiTheme="minorHAnsi" w:cstheme="minorHAnsi"/>
                <w:bCs/>
                <w:sz w:val="22"/>
                <w:highlight w:val="lightGray"/>
              </w:rPr>
            </w:pPr>
          </w:p>
        </w:tc>
        <w:tc>
          <w:tcPr>
            <w:tcW w:w="1860" w:type="dxa"/>
            <w:gridSpan w:val="2"/>
            <w:tcBorders>
              <w:top w:val="single" w:sz="4" w:space="0" w:color="auto"/>
              <w:left w:val="single" w:sz="4" w:space="0" w:color="auto"/>
              <w:bottom w:val="single" w:sz="4" w:space="0" w:color="auto"/>
              <w:right w:val="single" w:sz="4" w:space="0" w:color="auto"/>
            </w:tcBorders>
            <w:hideMark/>
          </w:tcPr>
          <w:p w14:paraId="0A689FFE"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3808FE0D" w14:textId="77777777" w:rsidTr="00CA5968">
        <w:tc>
          <w:tcPr>
            <w:tcW w:w="1130" w:type="dxa"/>
            <w:vMerge/>
            <w:tcBorders>
              <w:top w:val="single" w:sz="4" w:space="0" w:color="auto"/>
              <w:left w:val="single" w:sz="4" w:space="0" w:color="auto"/>
              <w:bottom w:val="single" w:sz="4" w:space="0" w:color="auto"/>
              <w:right w:val="single" w:sz="4" w:space="0" w:color="auto"/>
            </w:tcBorders>
            <w:vAlign w:val="center"/>
            <w:hideMark/>
          </w:tcPr>
          <w:p w14:paraId="0FB289D2"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4F5E0957" w14:textId="2C34985F" w:rsidR="00CA5968" w:rsidRPr="00F261AC" w:rsidRDefault="00CA5968" w:rsidP="00CA5968">
            <w:pPr>
              <w:tabs>
                <w:tab w:val="clear" w:pos="567"/>
                <w:tab w:val="left" w:pos="720"/>
              </w:tabs>
              <w:spacing w:before="0"/>
              <w:ind w:right="130"/>
              <w:rPr>
                <w:rFonts w:asciiTheme="minorHAnsi" w:hAnsiTheme="minorHAnsi" w:cstheme="minorHAnsi"/>
                <w:bCs/>
                <w:sz w:val="22"/>
              </w:rPr>
            </w:pPr>
            <w:r w:rsidRPr="00F261AC">
              <w:rPr>
                <w:rStyle w:val="Artdef"/>
                <w:rFonts w:cs="Times New Roman"/>
              </w:rPr>
              <w:t>1/11</w:t>
            </w:r>
            <w:r w:rsidRPr="00F261AC">
              <w:tab/>
              <w:t>2.1</w:t>
            </w:r>
            <w:r w:rsidRPr="00F261AC">
              <w:tab/>
            </w:r>
            <w:r w:rsidR="0016469F" w:rsidRPr="0016469F">
              <w:t>A menos que se acuerde otra cosa, las empresas de explotación autorizadas encargadas de la percepción de las tasas establecerán y transmitirán a las empresas de explotación autorizadas interesadas una cuenta mensual con todas las sumas adeudadas</w:t>
            </w:r>
            <w:r w:rsidRPr="00F261AC">
              <w:t>.</w:t>
            </w:r>
          </w:p>
        </w:tc>
        <w:tc>
          <w:tcPr>
            <w:tcW w:w="3601" w:type="dxa"/>
            <w:tcBorders>
              <w:top w:val="single" w:sz="4" w:space="0" w:color="auto"/>
              <w:left w:val="single" w:sz="4" w:space="0" w:color="auto"/>
              <w:bottom w:val="single" w:sz="4" w:space="0" w:color="auto"/>
              <w:right w:val="single" w:sz="4" w:space="0" w:color="auto"/>
            </w:tcBorders>
          </w:tcPr>
          <w:p w14:paraId="65993674" w14:textId="1ADF7F82" w:rsidR="00CA5968" w:rsidRPr="00F261AC" w:rsidRDefault="00CA5968" w:rsidP="00CA5968">
            <w:pPr>
              <w:tabs>
                <w:tab w:val="clear" w:pos="567"/>
                <w:tab w:val="left" w:pos="720"/>
              </w:tabs>
              <w:spacing w:before="40" w:after="40"/>
              <w:ind w:right="44"/>
              <w:rPr>
                <w:rFonts w:asciiTheme="minorHAnsi" w:eastAsia="SimSun" w:hAnsiTheme="minorHAnsi" w:cs="Times New Roman Bold"/>
                <w:b/>
                <w:bCs/>
                <w:iCs/>
                <w:color w:val="000000"/>
                <w:sz w:val="22"/>
              </w:rPr>
            </w:pPr>
            <w:r w:rsidRPr="00F261AC">
              <w:rPr>
                <w:rStyle w:val="Artdef"/>
              </w:rPr>
              <w:t>1/11</w:t>
            </w:r>
            <w:r w:rsidRPr="00F261AC">
              <w:tab/>
              <w:t>2.1</w:t>
            </w:r>
            <w:r w:rsidRPr="00F261AC">
              <w:tab/>
            </w:r>
            <w:r w:rsidR="00AA6BF7" w:rsidRPr="00AA6BF7">
              <w:t>En defecto de acuerdo especial, la administración encargada de la percepción de las tasas establecerá y transmitirá a las administraciones interesadas una cuenta mensual con todas las sumas adeudadas</w:t>
            </w:r>
            <w:r w:rsidRPr="00F261AC">
              <w:t>.</w:t>
            </w:r>
          </w:p>
        </w:tc>
        <w:tc>
          <w:tcPr>
            <w:tcW w:w="2341" w:type="dxa"/>
            <w:tcBorders>
              <w:top w:val="single" w:sz="4" w:space="0" w:color="auto"/>
              <w:left w:val="single" w:sz="4" w:space="0" w:color="auto"/>
              <w:bottom w:val="single" w:sz="4" w:space="0" w:color="auto"/>
              <w:right w:val="single" w:sz="4" w:space="0" w:color="auto"/>
            </w:tcBorders>
          </w:tcPr>
          <w:p w14:paraId="41CAF6E7" w14:textId="78E2F0D1" w:rsidR="00CA5968" w:rsidRPr="00F261AC" w:rsidRDefault="00AA6BF7" w:rsidP="00CA5968">
            <w:pPr>
              <w:tabs>
                <w:tab w:val="clear" w:pos="567"/>
                <w:tab w:val="left" w:pos="720"/>
              </w:tabs>
              <w:spacing w:before="40" w:after="4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7B714A">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hideMark/>
          </w:tcPr>
          <w:p w14:paraId="226ED1F0" w14:textId="353D6E46" w:rsidR="00CA5968" w:rsidRPr="00F261AC" w:rsidRDefault="00AA6BF7" w:rsidP="00CA5968">
            <w:pPr>
              <w:tabs>
                <w:tab w:val="clear" w:pos="567"/>
                <w:tab w:val="left" w:pos="720"/>
              </w:tabs>
              <w:spacing w:before="40" w:after="40"/>
              <w:rPr>
                <w:rFonts w:asciiTheme="minorHAnsi" w:hAnsiTheme="minorHAnsi" w:cstheme="minorHAnsi"/>
                <w:bCs/>
                <w:sz w:val="22"/>
                <w:highlight w:val="lightGray"/>
              </w:rPr>
            </w:pPr>
            <w:r>
              <w:rPr>
                <w:rFonts w:asciiTheme="minorHAnsi" w:hAnsiTheme="minorHAnsi" w:cstheme="minorHAnsi"/>
                <w:bCs/>
                <w:sz w:val="22"/>
              </w:rPr>
              <w:t>Esta disposición garantiza la flexibilidad necesaria para dar cabida a nuevas tendencias y cuestiones emergentes</w:t>
            </w:r>
            <w:r w:rsidR="007B714A">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1078ABBF" w14:textId="25D595B3" w:rsidR="00CA5968" w:rsidRPr="00F261AC" w:rsidRDefault="00AA6BF7" w:rsidP="007B714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006183C6"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025128DE" w14:textId="77777777" w:rsidTr="00CA5968">
        <w:tc>
          <w:tcPr>
            <w:tcW w:w="1130" w:type="dxa"/>
            <w:vMerge/>
            <w:tcBorders>
              <w:top w:val="single" w:sz="4" w:space="0" w:color="auto"/>
              <w:left w:val="single" w:sz="4" w:space="0" w:color="auto"/>
              <w:bottom w:val="single" w:sz="4" w:space="0" w:color="auto"/>
              <w:right w:val="single" w:sz="4" w:space="0" w:color="auto"/>
            </w:tcBorders>
            <w:vAlign w:val="center"/>
            <w:hideMark/>
          </w:tcPr>
          <w:p w14:paraId="4C06F843"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426F0BC4" w14:textId="7C321A5F" w:rsidR="00CA5968" w:rsidRPr="00F261AC" w:rsidRDefault="00CA5968" w:rsidP="00CA5968">
            <w:pPr>
              <w:tabs>
                <w:tab w:val="clear" w:pos="567"/>
                <w:tab w:val="left" w:pos="720"/>
              </w:tabs>
              <w:spacing w:before="0"/>
              <w:ind w:right="130"/>
              <w:rPr>
                <w:rFonts w:asciiTheme="minorHAnsi" w:hAnsiTheme="minorHAnsi" w:cstheme="minorHAnsi"/>
                <w:bCs/>
                <w:sz w:val="22"/>
              </w:rPr>
            </w:pPr>
            <w:r w:rsidRPr="00F261AC">
              <w:rPr>
                <w:rStyle w:val="Artdef"/>
                <w:rFonts w:cs="Times New Roman"/>
              </w:rPr>
              <w:t>1/12</w:t>
            </w:r>
            <w:r w:rsidRPr="00F261AC">
              <w:tab/>
              <w:t>2.2</w:t>
            </w:r>
            <w:r w:rsidRPr="00F261AC">
              <w:tab/>
            </w:r>
            <w:r w:rsidR="0016469F" w:rsidRPr="0016469F">
              <w:t>Las cuentas deben enviarse en el plazo más breve posible, teniendo en cuenta las Recomendaciones UIT-T pertinentes, y, salvo en caso de fuerza mayor, antes de la expiración de un periodo de 50 días después del mes al que la cuenta se refiera, a menos que se haya acordado otra cosa</w:t>
            </w:r>
            <w:r w:rsidRPr="00F261AC">
              <w:t>.</w:t>
            </w:r>
          </w:p>
        </w:tc>
        <w:tc>
          <w:tcPr>
            <w:tcW w:w="3601" w:type="dxa"/>
            <w:tcBorders>
              <w:top w:val="single" w:sz="4" w:space="0" w:color="auto"/>
              <w:left w:val="single" w:sz="4" w:space="0" w:color="auto"/>
              <w:bottom w:val="single" w:sz="4" w:space="0" w:color="auto"/>
              <w:right w:val="single" w:sz="4" w:space="0" w:color="auto"/>
            </w:tcBorders>
          </w:tcPr>
          <w:p w14:paraId="3923277C" w14:textId="5307C295" w:rsidR="00CA5968" w:rsidRPr="00F261AC" w:rsidRDefault="00CA5968" w:rsidP="00CA5968">
            <w:pPr>
              <w:tabs>
                <w:tab w:val="clear" w:pos="567"/>
                <w:tab w:val="left" w:pos="720"/>
              </w:tabs>
              <w:spacing w:before="40" w:after="40"/>
              <w:ind w:right="44"/>
              <w:rPr>
                <w:rFonts w:asciiTheme="minorHAnsi" w:eastAsia="SimSun" w:hAnsiTheme="minorHAnsi" w:cs="Times New Roman Bold"/>
                <w:b/>
                <w:bCs/>
                <w:iCs/>
                <w:color w:val="000000"/>
                <w:sz w:val="22"/>
              </w:rPr>
            </w:pPr>
            <w:r w:rsidRPr="00F261AC">
              <w:rPr>
                <w:rStyle w:val="Artdef"/>
              </w:rPr>
              <w:t>1/12</w:t>
            </w:r>
            <w:r w:rsidRPr="00F261AC">
              <w:tab/>
              <w:t>2.2</w:t>
            </w:r>
            <w:r w:rsidRPr="00F261AC">
              <w:tab/>
            </w:r>
            <w:r w:rsidR="00AA6BF7" w:rsidRPr="00AA6BF7">
              <w:t xml:space="preserve">Las cuentas se enviarán en el plazo más breve posible y, salvo en caso de </w:t>
            </w:r>
            <w:r w:rsidR="00AA6BF7" w:rsidRPr="00AA6BF7">
              <w:rPr>
                <w:i/>
                <w:iCs/>
              </w:rPr>
              <w:t>fuerza mayor</w:t>
            </w:r>
            <w:r w:rsidR="00AA6BF7" w:rsidRPr="00AA6BF7">
              <w:t>, antes de la expiración del tercer mes siguiente a aquél al que la cuenta se refiera</w:t>
            </w:r>
            <w:r w:rsidRPr="00F261AC">
              <w:t>.</w:t>
            </w:r>
          </w:p>
        </w:tc>
        <w:tc>
          <w:tcPr>
            <w:tcW w:w="2341" w:type="dxa"/>
            <w:tcBorders>
              <w:top w:val="single" w:sz="4" w:space="0" w:color="auto"/>
              <w:left w:val="single" w:sz="4" w:space="0" w:color="auto"/>
              <w:bottom w:val="single" w:sz="4" w:space="0" w:color="auto"/>
              <w:right w:val="single" w:sz="4" w:space="0" w:color="auto"/>
            </w:tcBorders>
          </w:tcPr>
          <w:p w14:paraId="14AE8C40" w14:textId="10BC4016"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La disposición es aplicable para fomentar el suministro y el desarrollo de redes y servicios</w:t>
            </w:r>
            <w:r w:rsidR="007B714A">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hideMark/>
          </w:tcPr>
          <w:p w14:paraId="074742AE" w14:textId="2DCB5C4B" w:rsidR="00CA5968" w:rsidRPr="00F261AC" w:rsidRDefault="00AA6BF7" w:rsidP="00CA5968">
            <w:pPr>
              <w:tabs>
                <w:tab w:val="clear" w:pos="567"/>
                <w:tab w:val="left" w:pos="720"/>
              </w:tabs>
              <w:spacing w:before="40" w:after="4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7B714A">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hideMark/>
          </w:tcPr>
          <w:p w14:paraId="53D5AF01" w14:textId="69B8DBFE" w:rsidR="00CA5968" w:rsidRPr="00F261AC" w:rsidRDefault="00AA6BF7" w:rsidP="007B714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47A79021" w14:textId="77777777" w:rsidR="00CA5968" w:rsidRPr="00F261AC" w:rsidRDefault="00CA5968" w:rsidP="007B714A">
            <w:pPr>
              <w:tabs>
                <w:tab w:val="clear" w:pos="567"/>
                <w:tab w:val="clear" w:pos="1134"/>
                <w:tab w:val="clear" w:pos="1701"/>
                <w:tab w:val="clear" w:pos="2268"/>
                <w:tab w:val="clear" w:pos="2835"/>
                <w:tab w:val="left" w:pos="3119"/>
                <w:tab w:val="left" w:pos="3402"/>
                <w:tab w:val="left" w:pos="3686"/>
                <w:tab w:val="left" w:pos="3969"/>
              </w:tabs>
              <w:spacing w:before="40" w:after="40"/>
              <w:rPr>
                <w:rFonts w:asciiTheme="minorHAnsi" w:hAnsiTheme="minorHAnsi" w:cstheme="minorHAnsi"/>
                <w:bCs/>
                <w:sz w:val="22"/>
              </w:rPr>
            </w:pPr>
          </w:p>
        </w:tc>
      </w:tr>
      <w:tr w:rsidR="00CA5968" w:rsidRPr="00F261AC" w14:paraId="7B48FBBD" w14:textId="77777777" w:rsidTr="00CA5968">
        <w:tc>
          <w:tcPr>
            <w:tcW w:w="1130" w:type="dxa"/>
            <w:vMerge/>
            <w:tcBorders>
              <w:top w:val="single" w:sz="4" w:space="0" w:color="auto"/>
              <w:left w:val="single" w:sz="4" w:space="0" w:color="auto"/>
              <w:bottom w:val="single" w:sz="4" w:space="0" w:color="auto"/>
              <w:right w:val="single" w:sz="4" w:space="0" w:color="auto"/>
            </w:tcBorders>
            <w:vAlign w:val="center"/>
            <w:hideMark/>
          </w:tcPr>
          <w:p w14:paraId="7E998F2E"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6416E34E" w14:textId="4B6572DA" w:rsidR="00CA5968" w:rsidRPr="00F261AC" w:rsidRDefault="00CA5968" w:rsidP="00CA5968">
            <w:pPr>
              <w:tabs>
                <w:tab w:val="clear" w:pos="567"/>
                <w:tab w:val="left" w:pos="720"/>
              </w:tabs>
              <w:spacing w:before="0"/>
              <w:ind w:right="130"/>
              <w:rPr>
                <w:rFonts w:asciiTheme="minorHAnsi" w:hAnsiTheme="minorHAnsi" w:cstheme="minorHAnsi"/>
                <w:bCs/>
                <w:sz w:val="22"/>
              </w:rPr>
            </w:pPr>
            <w:r w:rsidRPr="00F261AC">
              <w:rPr>
                <w:rStyle w:val="Artdef"/>
                <w:rFonts w:cs="Times New Roman"/>
              </w:rPr>
              <w:t>1/13</w:t>
            </w:r>
            <w:r w:rsidRPr="00F261AC">
              <w:tab/>
              <w:t>2.3</w:t>
            </w:r>
            <w:r w:rsidRPr="00F261AC">
              <w:tab/>
            </w:r>
            <w:r w:rsidR="0016469F" w:rsidRPr="0016469F">
              <w:t xml:space="preserve">En principio, una cuenta se considerará aceptada sin que sea necesario notificar expresamente la aceptación a la empresa de explotación </w:t>
            </w:r>
            <w:r w:rsidR="0016469F" w:rsidRPr="0016469F">
              <w:lastRenderedPageBreak/>
              <w:t>autorizada que la haya presentado</w:t>
            </w:r>
            <w:r w:rsidRPr="00F261AC">
              <w:t>.</w:t>
            </w:r>
          </w:p>
        </w:tc>
        <w:tc>
          <w:tcPr>
            <w:tcW w:w="3601" w:type="dxa"/>
            <w:tcBorders>
              <w:top w:val="single" w:sz="4" w:space="0" w:color="auto"/>
              <w:left w:val="single" w:sz="4" w:space="0" w:color="auto"/>
              <w:bottom w:val="single" w:sz="4" w:space="0" w:color="auto"/>
              <w:right w:val="single" w:sz="4" w:space="0" w:color="auto"/>
            </w:tcBorders>
          </w:tcPr>
          <w:p w14:paraId="5D1B0106" w14:textId="10C0E06A"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lastRenderedPageBreak/>
              <w:t>1/13</w:t>
            </w:r>
            <w:r w:rsidRPr="00F261AC">
              <w:tab/>
              <w:t>2.3</w:t>
            </w:r>
            <w:r w:rsidRPr="00F261AC">
              <w:tab/>
            </w:r>
            <w:r w:rsidR="00AA6BF7" w:rsidRPr="00AA6BF7">
              <w:t>En principio, una cuenta se considerará aceptada sin que sea necesario notificar expresamente la aceptación a la administración que la haya presentado</w:t>
            </w:r>
            <w:r w:rsidRPr="00F261AC">
              <w:t>.</w:t>
            </w:r>
          </w:p>
        </w:tc>
        <w:tc>
          <w:tcPr>
            <w:tcW w:w="2341" w:type="dxa"/>
            <w:tcBorders>
              <w:top w:val="single" w:sz="4" w:space="0" w:color="auto"/>
              <w:left w:val="single" w:sz="4" w:space="0" w:color="auto"/>
              <w:bottom w:val="single" w:sz="4" w:space="0" w:color="auto"/>
              <w:right w:val="single" w:sz="4" w:space="0" w:color="auto"/>
            </w:tcBorders>
          </w:tcPr>
          <w:p w14:paraId="70032D47" w14:textId="20F33880"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7B714A">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hideMark/>
          </w:tcPr>
          <w:p w14:paraId="44ECDE6D" w14:textId="7F727DFB"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 xml:space="preserve">Esta disposición garantiza la flexibilidad necesaria para dar cabida a nuevas tendencias y </w:t>
            </w:r>
            <w:r>
              <w:rPr>
                <w:rFonts w:asciiTheme="minorHAnsi" w:hAnsiTheme="minorHAnsi" w:cstheme="minorHAnsi"/>
                <w:bCs/>
                <w:sz w:val="22"/>
              </w:rPr>
              <w:lastRenderedPageBreak/>
              <w:t>cuestiones emergentes</w:t>
            </w:r>
          </w:p>
        </w:tc>
        <w:tc>
          <w:tcPr>
            <w:tcW w:w="1860" w:type="dxa"/>
            <w:gridSpan w:val="2"/>
            <w:tcBorders>
              <w:top w:val="single" w:sz="4" w:space="0" w:color="auto"/>
              <w:left w:val="single" w:sz="4" w:space="0" w:color="auto"/>
              <w:bottom w:val="single" w:sz="4" w:space="0" w:color="auto"/>
              <w:right w:val="single" w:sz="4" w:space="0" w:color="auto"/>
            </w:tcBorders>
            <w:hideMark/>
          </w:tcPr>
          <w:p w14:paraId="4E1DC926" w14:textId="6F15FD10" w:rsidR="00CA5968" w:rsidRPr="00F261AC" w:rsidRDefault="00AA6BF7" w:rsidP="007B714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lastRenderedPageBreak/>
              <w:t>La disposición no requiere modificación, ya que es aplicable y flexible</w:t>
            </w:r>
            <w:r w:rsidR="00CA5968">
              <w:rPr>
                <w:rFonts w:asciiTheme="minorHAnsi" w:hAnsiTheme="minorHAnsi" w:cstheme="minorHAnsi"/>
                <w:bCs/>
                <w:sz w:val="22"/>
              </w:rPr>
              <w:t>.</w:t>
            </w:r>
          </w:p>
          <w:p w14:paraId="67BA9091" w14:textId="77777777" w:rsidR="00CA5968" w:rsidRPr="00F261AC" w:rsidRDefault="00CA5968" w:rsidP="007B714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661420C4"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39EE8589"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0E85A6A0" w14:textId="2D8338AC" w:rsidR="00CA5968" w:rsidRPr="00F261AC" w:rsidRDefault="00CA5968" w:rsidP="00CA5968">
            <w:pPr>
              <w:tabs>
                <w:tab w:val="clear" w:pos="567"/>
                <w:tab w:val="left" w:pos="720"/>
              </w:tabs>
              <w:spacing w:before="0"/>
              <w:ind w:right="130"/>
              <w:rPr>
                <w:rStyle w:val="Artdef"/>
              </w:rPr>
            </w:pPr>
            <w:r w:rsidRPr="00F261AC">
              <w:rPr>
                <w:rStyle w:val="Artdef"/>
                <w:rFonts w:cs="Times New Roman"/>
              </w:rPr>
              <w:t>1/14</w:t>
            </w:r>
            <w:r w:rsidRPr="00F261AC">
              <w:tab/>
              <w:t>2.4</w:t>
            </w:r>
            <w:r w:rsidRPr="00F261AC">
              <w:tab/>
            </w:r>
            <w:r w:rsidR="0016469F" w:rsidRPr="0016469F">
              <w:t>Sin embargo, toda empresa de explotación autorizada tendrá derecho a impugnar los elementos de una cuenta durante un periodo de dos meses naturales contados a partir de la fecha de su recepción, pero sólo en la medida necesaria para reducir las diferencias hasta límites mutuamente convenidos.</w:t>
            </w:r>
          </w:p>
        </w:tc>
        <w:tc>
          <w:tcPr>
            <w:tcW w:w="3601" w:type="dxa"/>
            <w:tcBorders>
              <w:top w:val="single" w:sz="4" w:space="0" w:color="auto"/>
              <w:left w:val="single" w:sz="4" w:space="0" w:color="auto"/>
              <w:bottom w:val="single" w:sz="4" w:space="0" w:color="auto"/>
              <w:right w:val="single" w:sz="4" w:space="0" w:color="auto"/>
            </w:tcBorders>
          </w:tcPr>
          <w:p w14:paraId="3855F109" w14:textId="0C3419A1"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1/14</w:t>
            </w:r>
            <w:r w:rsidRPr="00F261AC">
              <w:tab/>
              <w:t>2.4</w:t>
            </w:r>
            <w:r w:rsidRPr="00F261AC">
              <w:tab/>
            </w:r>
            <w:r w:rsidR="00AA6BF7" w:rsidRPr="00AA6BF7">
              <w:t>Sin embargo, toda administración tendrá derecho a impugnar los elementos de una cuenta durante un periodo de dos meses contados a partir de la fecha de su recepción, pero sólo en la medida necesaria para reducir las diferencias hasta límites mutuamente</w:t>
            </w:r>
            <w:r w:rsidR="007B714A">
              <w:t xml:space="preserve"> acordados</w:t>
            </w:r>
            <w:r w:rsidRPr="00F261AC">
              <w:t>.</w:t>
            </w:r>
          </w:p>
        </w:tc>
        <w:tc>
          <w:tcPr>
            <w:tcW w:w="2341" w:type="dxa"/>
            <w:tcBorders>
              <w:top w:val="single" w:sz="4" w:space="0" w:color="auto"/>
              <w:left w:val="single" w:sz="4" w:space="0" w:color="auto"/>
              <w:bottom w:val="single" w:sz="4" w:space="0" w:color="auto"/>
              <w:right w:val="single" w:sz="4" w:space="0" w:color="auto"/>
            </w:tcBorders>
          </w:tcPr>
          <w:p w14:paraId="540CC6DA" w14:textId="6DA08242"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7B714A">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09357835" w14:textId="779446E8"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FF0DF6">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63514904" w14:textId="6DB9B683" w:rsidR="00CA5968" w:rsidRPr="00F261AC" w:rsidRDefault="00AA6BF7" w:rsidP="007B714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406B0E65"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0E8A996B"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2D39E482"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210018E2" w14:textId="1D2E6072" w:rsidR="00CA5968" w:rsidRPr="00F261AC" w:rsidRDefault="00CA5968" w:rsidP="00CA5968">
            <w:pPr>
              <w:tabs>
                <w:tab w:val="clear" w:pos="567"/>
                <w:tab w:val="left" w:pos="720"/>
              </w:tabs>
              <w:spacing w:before="0"/>
              <w:ind w:right="130"/>
              <w:rPr>
                <w:rStyle w:val="Artdef"/>
              </w:rPr>
            </w:pPr>
            <w:r w:rsidRPr="00F261AC">
              <w:rPr>
                <w:rStyle w:val="Artdef"/>
                <w:rFonts w:cs="Times New Roman"/>
              </w:rPr>
              <w:t>1/15</w:t>
            </w:r>
            <w:r w:rsidRPr="00F261AC">
              <w:tab/>
              <w:t>2.5</w:t>
            </w:r>
            <w:r w:rsidRPr="00F261AC">
              <w:tab/>
            </w:r>
            <w:r w:rsidR="0016469F" w:rsidRPr="0016469F">
              <w:t>En las relaciones para las que no exista acuerdo especial, la empresa de explotación autorizada acreedora establecerá y expedirá en el plazo más breve posible una cuenta trimestral con los saldos de las cuentas mensuales del periodo a que dicha cuenta se refiera y la transmitirá a la empresa de explotación autorizada deudora, la cual, después de su verificación, devolverá una copia en la que habrá hecho constar su aceptación</w:t>
            </w:r>
            <w:r w:rsidR="0016469F">
              <w:t>.</w:t>
            </w:r>
          </w:p>
        </w:tc>
        <w:tc>
          <w:tcPr>
            <w:tcW w:w="3601" w:type="dxa"/>
            <w:tcBorders>
              <w:top w:val="single" w:sz="4" w:space="0" w:color="auto"/>
              <w:left w:val="single" w:sz="4" w:space="0" w:color="auto"/>
              <w:bottom w:val="single" w:sz="4" w:space="0" w:color="auto"/>
              <w:right w:val="single" w:sz="4" w:space="0" w:color="auto"/>
            </w:tcBorders>
          </w:tcPr>
          <w:p w14:paraId="1BC75EC9" w14:textId="0CCD317F"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1/15</w:t>
            </w:r>
            <w:r w:rsidRPr="00F261AC">
              <w:tab/>
              <w:t>2.5</w:t>
            </w:r>
            <w:r w:rsidRPr="00F261AC">
              <w:tab/>
            </w:r>
            <w:r w:rsidR="00AA6BF7" w:rsidRPr="00AA6BF7">
              <w:t>En las relaciones para las que no exista acuerdo especial, la administración acreedora establecerá en el plazo más breve posible una cuenta trimestral con los saldos de las cuentas mensuales del periodo a que dicha cuenta se refiera y la transmitirá por duplicado a la administración deudora, la cual, después de su verificación, devolverá uno de los ejemplares en el que habrá hecho constar su aceptación</w:t>
            </w:r>
            <w:r w:rsidRPr="00F261AC">
              <w:t>.</w:t>
            </w:r>
          </w:p>
        </w:tc>
        <w:tc>
          <w:tcPr>
            <w:tcW w:w="2341" w:type="dxa"/>
            <w:tcBorders>
              <w:top w:val="single" w:sz="4" w:space="0" w:color="auto"/>
              <w:left w:val="single" w:sz="4" w:space="0" w:color="auto"/>
              <w:bottom w:val="single" w:sz="4" w:space="0" w:color="auto"/>
              <w:right w:val="single" w:sz="4" w:space="0" w:color="auto"/>
            </w:tcBorders>
          </w:tcPr>
          <w:p w14:paraId="4A8BFFD7" w14:textId="4F9668AB"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7B714A">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77E2A522" w14:textId="68062A6C"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7B714A">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4CE5F4E0" w14:textId="56736A99" w:rsidR="00CA5968" w:rsidRPr="00F261AC" w:rsidRDefault="00AA6BF7" w:rsidP="007B714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2CF00207" w14:textId="77777777" w:rsidR="00CA5968" w:rsidRPr="00F261AC" w:rsidRDefault="00CA5968" w:rsidP="007B714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0F4FD372"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762C4D4C"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1C9E5BFD" w14:textId="7E65FDA3" w:rsidR="00CA5968" w:rsidRPr="00F261AC" w:rsidRDefault="00CA5968" w:rsidP="00CA5968">
            <w:pPr>
              <w:tabs>
                <w:tab w:val="clear" w:pos="567"/>
                <w:tab w:val="left" w:pos="720"/>
              </w:tabs>
              <w:spacing w:before="0"/>
              <w:ind w:right="130"/>
              <w:rPr>
                <w:rStyle w:val="Artdef"/>
              </w:rPr>
            </w:pPr>
            <w:r w:rsidRPr="00F261AC">
              <w:rPr>
                <w:rStyle w:val="Artdef"/>
                <w:rFonts w:cs="Times New Roman"/>
              </w:rPr>
              <w:t>1/16</w:t>
            </w:r>
            <w:r w:rsidRPr="00F261AC">
              <w:tab/>
              <w:t>2.6</w:t>
            </w:r>
            <w:r w:rsidRPr="00F261AC">
              <w:tab/>
            </w:r>
            <w:r w:rsidR="0016469F" w:rsidRPr="0016469F">
              <w:t xml:space="preserve">En las relaciones indirectas en las que una empresa de explotación autorizada de tránsito sirva de intermediario de contabilidad entre dos puntos </w:t>
            </w:r>
            <w:r w:rsidR="0016469F" w:rsidRPr="0016469F">
              <w:lastRenderedPageBreak/>
              <w:t>terminales, los Estados Miembros procurarán garantizar que las empresas de explotación autorizadas incluyan los datos de contabilidad relativos al tráfico de tránsito en la correspondiente cuenta del tráfico saliente, destinada a las empresas de explotación autorizadas que la siguen en la secuencia de encaminamiento lo antes posible, una vez recibidos esos datos de la empresa de explotación autorizada de origen, de conformidad con las Recomendaciones UIT T pertinentes</w:t>
            </w:r>
            <w:r w:rsidRPr="00F261AC">
              <w:t>.</w:t>
            </w:r>
          </w:p>
        </w:tc>
        <w:tc>
          <w:tcPr>
            <w:tcW w:w="3601" w:type="dxa"/>
            <w:tcBorders>
              <w:top w:val="single" w:sz="4" w:space="0" w:color="auto"/>
              <w:left w:val="single" w:sz="4" w:space="0" w:color="auto"/>
              <w:bottom w:val="single" w:sz="4" w:space="0" w:color="auto"/>
              <w:right w:val="single" w:sz="4" w:space="0" w:color="auto"/>
            </w:tcBorders>
          </w:tcPr>
          <w:p w14:paraId="023BCAA9" w14:textId="233E7D34"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lastRenderedPageBreak/>
              <w:t>1/16</w:t>
            </w:r>
            <w:r w:rsidRPr="00F261AC">
              <w:tab/>
              <w:t>2.6</w:t>
            </w:r>
            <w:r w:rsidRPr="00F261AC">
              <w:tab/>
            </w:r>
            <w:r w:rsidR="00AA6BF7" w:rsidRPr="00AA6BF7">
              <w:t xml:space="preserve">En las relaciones indirectas en las que una administración de tránsito sirva de intermediario de contabilidad entre dos puntos terminales, ésta debe </w:t>
            </w:r>
            <w:r w:rsidR="00AA6BF7" w:rsidRPr="00AA6BF7">
              <w:lastRenderedPageBreak/>
              <w:t>incluir los datos de contabilidad relativos al tránsito en la correspondiente cuenta del tráfico saliente, destinada a las administraciones que la siguen en la secuencia de encaminamiento, en el plazo más breve posible después de recibidos esos datos de la administración de origen</w:t>
            </w:r>
            <w:r w:rsidRPr="00F261AC">
              <w:t>.</w:t>
            </w:r>
          </w:p>
        </w:tc>
        <w:tc>
          <w:tcPr>
            <w:tcW w:w="2341" w:type="dxa"/>
            <w:tcBorders>
              <w:top w:val="single" w:sz="4" w:space="0" w:color="auto"/>
              <w:left w:val="single" w:sz="4" w:space="0" w:color="auto"/>
              <w:bottom w:val="single" w:sz="4" w:space="0" w:color="auto"/>
              <w:right w:val="single" w:sz="4" w:space="0" w:color="auto"/>
            </w:tcBorders>
          </w:tcPr>
          <w:p w14:paraId="4ADA6F64" w14:textId="583A567D"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lastRenderedPageBreak/>
              <w:t>La disposición es aplicable para fomentar el suministro y el desarrollo de redes y servicios</w:t>
            </w:r>
            <w:r w:rsidR="007B714A">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38F0196F" w14:textId="2588695E"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 xml:space="preserve">Esta disposición garantiza la flexibilidad necesaria para dar cabida a nuevas tendencias y </w:t>
            </w:r>
            <w:r>
              <w:rPr>
                <w:rFonts w:asciiTheme="minorHAnsi" w:hAnsiTheme="minorHAnsi" w:cstheme="minorHAnsi"/>
                <w:bCs/>
                <w:sz w:val="22"/>
              </w:rPr>
              <w:lastRenderedPageBreak/>
              <w:t>cuestiones emergentes</w:t>
            </w:r>
            <w:r w:rsidR="00FF0DF6">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6E0C9A74" w14:textId="740A9472" w:rsidR="00CA5968" w:rsidRPr="00F261AC" w:rsidRDefault="00AA6BF7" w:rsidP="007B714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lastRenderedPageBreak/>
              <w:t>La disposición no requiere modificación, ya que es aplicable y flexible</w:t>
            </w:r>
            <w:r w:rsidR="00CA5968">
              <w:rPr>
                <w:rFonts w:asciiTheme="minorHAnsi" w:hAnsiTheme="minorHAnsi" w:cstheme="minorHAnsi"/>
                <w:bCs/>
                <w:sz w:val="22"/>
              </w:rPr>
              <w:t>.</w:t>
            </w:r>
          </w:p>
          <w:p w14:paraId="748E39E4" w14:textId="77777777" w:rsidR="00CA5968" w:rsidRPr="00F261AC" w:rsidRDefault="00CA5968" w:rsidP="007B714A">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466B4B23"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046F7A62"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43B6BD65" w14:textId="7CF4A026" w:rsidR="00CA5968" w:rsidRPr="00F261AC" w:rsidRDefault="00CA5968" w:rsidP="00CA5968">
            <w:pPr>
              <w:tabs>
                <w:tab w:val="clear" w:pos="567"/>
                <w:tab w:val="left" w:pos="720"/>
              </w:tabs>
              <w:spacing w:before="0"/>
              <w:ind w:right="130"/>
              <w:rPr>
                <w:rStyle w:val="Artdef"/>
                <w:bCs/>
              </w:rPr>
            </w:pPr>
            <w:r w:rsidRPr="00F261AC">
              <w:rPr>
                <w:rStyle w:val="Artdef"/>
                <w:rFonts w:cs="Times New Roman"/>
                <w:bCs/>
              </w:rPr>
              <w:t>1/17</w:t>
            </w:r>
            <w:r w:rsidRPr="00F261AC">
              <w:rPr>
                <w:bCs/>
              </w:rPr>
              <w:tab/>
            </w:r>
            <w:r w:rsidRPr="00F261AC">
              <w:rPr>
                <w:b/>
              </w:rPr>
              <w:t>3</w:t>
            </w:r>
            <w:r w:rsidRPr="00F261AC">
              <w:rPr>
                <w:b/>
              </w:rPr>
              <w:tab/>
            </w:r>
            <w:r w:rsidR="0016469F" w:rsidRPr="0016469F">
              <w:rPr>
                <w:b/>
              </w:rPr>
              <w:t>Liquidación de los saldos de las cuentas</w:t>
            </w:r>
          </w:p>
        </w:tc>
        <w:tc>
          <w:tcPr>
            <w:tcW w:w="3601" w:type="dxa"/>
            <w:tcBorders>
              <w:top w:val="single" w:sz="4" w:space="0" w:color="auto"/>
              <w:left w:val="single" w:sz="4" w:space="0" w:color="auto"/>
              <w:bottom w:val="single" w:sz="4" w:space="0" w:color="auto"/>
              <w:right w:val="single" w:sz="4" w:space="0" w:color="auto"/>
            </w:tcBorders>
          </w:tcPr>
          <w:p w14:paraId="548CA395" w14:textId="4B98FD49"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1/17</w:t>
            </w:r>
            <w:r w:rsidRPr="00F261AC">
              <w:tab/>
            </w:r>
            <w:r w:rsidRPr="00F261AC">
              <w:rPr>
                <w:b/>
                <w:bCs/>
              </w:rPr>
              <w:t>3</w:t>
            </w:r>
            <w:r w:rsidRPr="00F261AC">
              <w:rPr>
                <w:b/>
                <w:bCs/>
              </w:rPr>
              <w:tab/>
            </w:r>
            <w:r w:rsidR="00AA6BF7" w:rsidRPr="00AA6BF7">
              <w:rPr>
                <w:b/>
                <w:bCs/>
              </w:rPr>
              <w:t>Liquidación de los saldos de las cuentas</w:t>
            </w:r>
          </w:p>
        </w:tc>
        <w:tc>
          <w:tcPr>
            <w:tcW w:w="2341" w:type="dxa"/>
            <w:tcBorders>
              <w:top w:val="single" w:sz="4" w:space="0" w:color="auto"/>
              <w:left w:val="single" w:sz="4" w:space="0" w:color="auto"/>
              <w:bottom w:val="single" w:sz="4" w:space="0" w:color="auto"/>
              <w:right w:val="single" w:sz="4" w:space="0" w:color="auto"/>
            </w:tcBorders>
          </w:tcPr>
          <w:p w14:paraId="326C6771" w14:textId="77777777" w:rsidR="00CA5968" w:rsidRPr="00F261AC" w:rsidRDefault="00CA5968" w:rsidP="00CA5968">
            <w:pPr>
              <w:tabs>
                <w:tab w:val="clear" w:pos="567"/>
                <w:tab w:val="left" w:pos="720"/>
              </w:tabs>
              <w:spacing w:before="0"/>
              <w:rPr>
                <w:rFonts w:asciiTheme="minorHAnsi" w:hAnsiTheme="minorHAnsi" w:cstheme="minorHAnsi"/>
                <w:bCs/>
                <w:sz w:val="22"/>
                <w:highlight w:val="lightGray"/>
              </w:rPr>
            </w:pPr>
          </w:p>
        </w:tc>
        <w:tc>
          <w:tcPr>
            <w:tcW w:w="1981" w:type="dxa"/>
            <w:tcBorders>
              <w:top w:val="single" w:sz="4" w:space="0" w:color="auto"/>
              <w:left w:val="single" w:sz="4" w:space="0" w:color="auto"/>
              <w:bottom w:val="single" w:sz="4" w:space="0" w:color="auto"/>
              <w:right w:val="single" w:sz="4" w:space="0" w:color="auto"/>
            </w:tcBorders>
          </w:tcPr>
          <w:p w14:paraId="03C92B80" w14:textId="77777777" w:rsidR="00CA5968" w:rsidRPr="00F261AC" w:rsidRDefault="00CA5968" w:rsidP="00CA5968">
            <w:pPr>
              <w:tabs>
                <w:tab w:val="clear" w:pos="567"/>
                <w:tab w:val="left" w:pos="720"/>
              </w:tabs>
              <w:spacing w:before="0"/>
              <w:rPr>
                <w:rFonts w:asciiTheme="minorHAnsi" w:hAnsiTheme="minorHAnsi" w:cstheme="minorHAnsi"/>
                <w:bCs/>
                <w:sz w:val="22"/>
              </w:rPr>
            </w:pPr>
          </w:p>
        </w:tc>
        <w:tc>
          <w:tcPr>
            <w:tcW w:w="1860" w:type="dxa"/>
            <w:gridSpan w:val="2"/>
            <w:tcBorders>
              <w:top w:val="single" w:sz="4" w:space="0" w:color="auto"/>
              <w:left w:val="single" w:sz="4" w:space="0" w:color="auto"/>
              <w:bottom w:val="single" w:sz="4" w:space="0" w:color="auto"/>
              <w:right w:val="single" w:sz="4" w:space="0" w:color="auto"/>
            </w:tcBorders>
          </w:tcPr>
          <w:p w14:paraId="579691FC"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37CE95C2"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1D2E4859"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139A2E84" w14:textId="3B1FB74D" w:rsidR="00CA5968" w:rsidRPr="00F261AC" w:rsidRDefault="00CA5968" w:rsidP="00CA5968">
            <w:pPr>
              <w:tabs>
                <w:tab w:val="clear" w:pos="567"/>
                <w:tab w:val="left" w:pos="720"/>
              </w:tabs>
              <w:spacing w:before="0"/>
              <w:ind w:right="130"/>
              <w:rPr>
                <w:rStyle w:val="Artdef"/>
              </w:rPr>
            </w:pPr>
            <w:r w:rsidRPr="00F261AC">
              <w:rPr>
                <w:rStyle w:val="Artdef"/>
                <w:rFonts w:cs="Times New Roman"/>
                <w:bCs/>
              </w:rPr>
              <w:t>1/18</w:t>
            </w:r>
            <w:r w:rsidRPr="00F261AC">
              <w:tab/>
            </w:r>
            <w:r w:rsidRPr="00F261AC">
              <w:rPr>
                <w:b/>
                <w:bCs/>
              </w:rPr>
              <w:t>3.1</w:t>
            </w:r>
            <w:r w:rsidRPr="00F261AC">
              <w:rPr>
                <w:b/>
                <w:bCs/>
              </w:rPr>
              <w:tab/>
            </w:r>
            <w:r w:rsidR="0016469F" w:rsidRPr="0016469F">
              <w:rPr>
                <w:b/>
                <w:bCs/>
              </w:rPr>
              <w:t>Elección de la moneda de pago</w:t>
            </w:r>
          </w:p>
        </w:tc>
        <w:tc>
          <w:tcPr>
            <w:tcW w:w="3601" w:type="dxa"/>
            <w:tcBorders>
              <w:top w:val="single" w:sz="4" w:space="0" w:color="auto"/>
              <w:left w:val="single" w:sz="4" w:space="0" w:color="auto"/>
              <w:bottom w:val="single" w:sz="4" w:space="0" w:color="auto"/>
              <w:right w:val="single" w:sz="4" w:space="0" w:color="auto"/>
            </w:tcBorders>
          </w:tcPr>
          <w:p w14:paraId="1CF72990" w14:textId="463D21F7"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1/18</w:t>
            </w:r>
            <w:r w:rsidRPr="00F261AC">
              <w:tab/>
            </w:r>
            <w:r w:rsidRPr="00F261AC">
              <w:rPr>
                <w:b/>
                <w:bCs/>
              </w:rPr>
              <w:t>3.1</w:t>
            </w:r>
            <w:r w:rsidRPr="00F261AC">
              <w:rPr>
                <w:b/>
                <w:bCs/>
              </w:rPr>
              <w:tab/>
            </w:r>
            <w:r w:rsidR="00AA6BF7" w:rsidRPr="00AA6BF7">
              <w:rPr>
                <w:b/>
                <w:bCs/>
              </w:rPr>
              <w:t>Elección de la moneda de pago</w:t>
            </w:r>
          </w:p>
        </w:tc>
        <w:tc>
          <w:tcPr>
            <w:tcW w:w="2341" w:type="dxa"/>
            <w:tcBorders>
              <w:top w:val="single" w:sz="4" w:space="0" w:color="auto"/>
              <w:left w:val="single" w:sz="4" w:space="0" w:color="auto"/>
              <w:bottom w:val="single" w:sz="4" w:space="0" w:color="auto"/>
              <w:right w:val="single" w:sz="4" w:space="0" w:color="auto"/>
            </w:tcBorders>
          </w:tcPr>
          <w:p w14:paraId="51024836" w14:textId="77777777" w:rsidR="00CA5968" w:rsidRPr="00F261AC" w:rsidRDefault="00CA5968" w:rsidP="00CA5968">
            <w:pPr>
              <w:tabs>
                <w:tab w:val="clear" w:pos="567"/>
                <w:tab w:val="left" w:pos="720"/>
              </w:tabs>
              <w:spacing w:before="0"/>
              <w:rPr>
                <w:rFonts w:asciiTheme="minorHAnsi" w:hAnsiTheme="minorHAnsi" w:cstheme="minorHAnsi"/>
                <w:bCs/>
                <w:sz w:val="22"/>
                <w:highlight w:val="lightGray"/>
              </w:rPr>
            </w:pPr>
          </w:p>
        </w:tc>
        <w:tc>
          <w:tcPr>
            <w:tcW w:w="1981" w:type="dxa"/>
            <w:tcBorders>
              <w:top w:val="single" w:sz="4" w:space="0" w:color="auto"/>
              <w:left w:val="single" w:sz="4" w:space="0" w:color="auto"/>
              <w:bottom w:val="single" w:sz="4" w:space="0" w:color="auto"/>
              <w:right w:val="single" w:sz="4" w:space="0" w:color="auto"/>
            </w:tcBorders>
          </w:tcPr>
          <w:p w14:paraId="5F9923B8" w14:textId="77777777" w:rsidR="00CA5968" w:rsidRPr="00F261AC" w:rsidRDefault="00CA5968" w:rsidP="00CA5968">
            <w:pPr>
              <w:tabs>
                <w:tab w:val="clear" w:pos="567"/>
                <w:tab w:val="left" w:pos="720"/>
              </w:tabs>
              <w:spacing w:before="0"/>
              <w:rPr>
                <w:rFonts w:asciiTheme="minorHAnsi" w:hAnsiTheme="minorHAnsi" w:cstheme="minorHAnsi"/>
                <w:bCs/>
                <w:sz w:val="22"/>
              </w:rPr>
            </w:pPr>
          </w:p>
        </w:tc>
        <w:tc>
          <w:tcPr>
            <w:tcW w:w="1860" w:type="dxa"/>
            <w:gridSpan w:val="2"/>
            <w:tcBorders>
              <w:top w:val="single" w:sz="4" w:space="0" w:color="auto"/>
              <w:left w:val="single" w:sz="4" w:space="0" w:color="auto"/>
              <w:bottom w:val="single" w:sz="4" w:space="0" w:color="auto"/>
              <w:right w:val="single" w:sz="4" w:space="0" w:color="auto"/>
            </w:tcBorders>
          </w:tcPr>
          <w:p w14:paraId="10FC3D76"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208B6CAB"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0B540EAB"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32C36BC5" w14:textId="2E0DA150" w:rsidR="00CA5968" w:rsidRPr="00F261AC" w:rsidRDefault="00CA5968" w:rsidP="00CA5968">
            <w:pPr>
              <w:tabs>
                <w:tab w:val="clear" w:pos="567"/>
                <w:tab w:val="left" w:pos="720"/>
              </w:tabs>
              <w:spacing w:before="0"/>
              <w:ind w:right="130"/>
              <w:rPr>
                <w:rStyle w:val="Artdef"/>
              </w:rPr>
            </w:pPr>
            <w:r w:rsidRPr="00F261AC">
              <w:rPr>
                <w:rStyle w:val="Artdef"/>
                <w:rFonts w:cs="Times New Roman"/>
              </w:rPr>
              <w:t>1/19</w:t>
            </w:r>
            <w:r w:rsidRPr="00F261AC">
              <w:tab/>
              <w:t>3.1.1</w:t>
            </w:r>
            <w:r w:rsidRPr="00F261AC">
              <w:tab/>
            </w:r>
            <w:r w:rsidR="0016469F" w:rsidRPr="0016469F">
              <w:t xml:space="preserve">El pago de los saldos de las cuentas internacionales de telecomunicación se efectuará en la moneda elegida por el acreedor, previa consulta con el deudor. En caso de desacuerdo, la elección del acreedor prevalecerá siempre sin perjuicio de lo dispuesto en el </w:t>
            </w:r>
            <w:r w:rsidR="009B791B">
              <w:t>núm. 1/20 (</w:t>
            </w:r>
            <w:r w:rsidR="0016469F" w:rsidRPr="0016469F">
              <w:t>3.1.2</w:t>
            </w:r>
            <w:r w:rsidR="009B791B">
              <w:t>)</w:t>
            </w:r>
            <w:r w:rsidR="0016469F" w:rsidRPr="0016469F">
              <w:t xml:space="preserve">. Si el acreedor no especifica </w:t>
            </w:r>
            <w:r w:rsidR="0016469F" w:rsidRPr="0016469F">
              <w:lastRenderedPageBreak/>
              <w:t>moneda, la elección corresponderá al deudor</w:t>
            </w:r>
            <w:r w:rsidRPr="00F261AC">
              <w:t>.</w:t>
            </w:r>
          </w:p>
        </w:tc>
        <w:tc>
          <w:tcPr>
            <w:tcW w:w="3601" w:type="dxa"/>
            <w:tcBorders>
              <w:top w:val="single" w:sz="4" w:space="0" w:color="auto"/>
              <w:left w:val="single" w:sz="4" w:space="0" w:color="auto"/>
              <w:bottom w:val="single" w:sz="4" w:space="0" w:color="auto"/>
              <w:right w:val="single" w:sz="4" w:space="0" w:color="auto"/>
            </w:tcBorders>
          </w:tcPr>
          <w:p w14:paraId="0E0A4082" w14:textId="65E5ED5D"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lastRenderedPageBreak/>
              <w:t>1/19</w:t>
            </w:r>
            <w:r w:rsidRPr="00F261AC">
              <w:tab/>
              <w:t>3.1.1</w:t>
            </w:r>
            <w:r w:rsidRPr="00F261AC">
              <w:tab/>
            </w:r>
            <w:r w:rsidR="00AA6BF7" w:rsidRPr="00AA6BF7">
              <w:t xml:space="preserve">El pago de los saldos de las cuentas internacionales de telecomunicación se efectuará en la moneda elegida por el acreedor, previa consulta con el deudor. En caso de desacuerdo, la elección del acreedor prevalecerá siempre sin perjuicio de lo dispuesto en el § 3.1.2. Si el acreedor no especifica </w:t>
            </w:r>
            <w:r w:rsidR="00AA6BF7" w:rsidRPr="00AA6BF7">
              <w:lastRenderedPageBreak/>
              <w:t>moneda, la elección corresponderá al deudor</w:t>
            </w:r>
            <w:r w:rsidRPr="00F261AC">
              <w:t>.</w:t>
            </w:r>
          </w:p>
        </w:tc>
        <w:tc>
          <w:tcPr>
            <w:tcW w:w="2341" w:type="dxa"/>
            <w:tcBorders>
              <w:top w:val="single" w:sz="4" w:space="0" w:color="auto"/>
              <w:left w:val="single" w:sz="4" w:space="0" w:color="auto"/>
              <w:bottom w:val="single" w:sz="4" w:space="0" w:color="auto"/>
              <w:right w:val="single" w:sz="4" w:space="0" w:color="auto"/>
            </w:tcBorders>
          </w:tcPr>
          <w:p w14:paraId="3A5969D5" w14:textId="1E4068D8"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lastRenderedPageBreak/>
              <w:t>La disposición es aplicable para fomentar el suministro y el desarrollo de redes y servicios</w:t>
            </w:r>
            <w:r w:rsidR="001D3573">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133DE979" w14:textId="2802E93B"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1D3573">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4932794F" w14:textId="40CE5615" w:rsidR="00CA5968" w:rsidRPr="00F261AC" w:rsidRDefault="00AA6BF7"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3064A7F0"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179A09BF"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1FD4A4BB"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3BC04DC9" w14:textId="79341EA2" w:rsidR="00CA5968" w:rsidRPr="00F261AC" w:rsidRDefault="00CA5968" w:rsidP="00CA5968">
            <w:pPr>
              <w:tabs>
                <w:tab w:val="clear" w:pos="567"/>
                <w:tab w:val="left" w:pos="720"/>
              </w:tabs>
              <w:spacing w:before="0"/>
              <w:ind w:right="130"/>
              <w:rPr>
                <w:rStyle w:val="Artdef"/>
              </w:rPr>
            </w:pPr>
            <w:r w:rsidRPr="00F261AC">
              <w:rPr>
                <w:rStyle w:val="Artdef"/>
                <w:rFonts w:cs="Times New Roman"/>
              </w:rPr>
              <w:t>1/20</w:t>
            </w:r>
            <w:r w:rsidRPr="00F261AC">
              <w:tab/>
              <w:t>3.1.2</w:t>
            </w:r>
            <w:r w:rsidRPr="00F261AC">
              <w:tab/>
            </w:r>
            <w:r w:rsidR="0016469F" w:rsidRPr="0016469F">
              <w:t>Cuando el acreedor elija una moneda cuyo valor se establezca unilateralmente o cuyo valor equivalente deba determinarse tomando como base una moneda de valor también unilateralmente establecido, el empleo de la moneda elegida deberá ser aceptable para el deudor</w:t>
            </w:r>
            <w:r w:rsidRPr="00F261AC">
              <w:t>.</w:t>
            </w:r>
          </w:p>
        </w:tc>
        <w:tc>
          <w:tcPr>
            <w:tcW w:w="3601" w:type="dxa"/>
            <w:tcBorders>
              <w:top w:val="single" w:sz="4" w:space="0" w:color="auto"/>
              <w:left w:val="single" w:sz="4" w:space="0" w:color="auto"/>
              <w:bottom w:val="single" w:sz="4" w:space="0" w:color="auto"/>
              <w:right w:val="single" w:sz="4" w:space="0" w:color="auto"/>
            </w:tcBorders>
          </w:tcPr>
          <w:p w14:paraId="5B74E62B" w14:textId="53CD4960" w:rsidR="00CA5968" w:rsidRPr="00F261AC" w:rsidRDefault="00CA5968" w:rsidP="00CA5968">
            <w:pPr>
              <w:tabs>
                <w:tab w:val="clear" w:pos="567"/>
                <w:tab w:val="left" w:pos="720"/>
              </w:tabs>
              <w:spacing w:before="0"/>
              <w:ind w:right="44"/>
            </w:pPr>
            <w:r w:rsidRPr="00F261AC">
              <w:rPr>
                <w:rStyle w:val="Artdef"/>
              </w:rPr>
              <w:t>1/20</w:t>
            </w:r>
            <w:r w:rsidRPr="00F261AC">
              <w:tab/>
              <w:t>3.1.2</w:t>
            </w:r>
            <w:r w:rsidRPr="00F261AC">
              <w:tab/>
            </w:r>
            <w:r w:rsidR="00AA6BF7" w:rsidRPr="00AA6BF7">
              <w:t>Cuando el acreedor elija una moneda cuyo valor se establezca unilateralmente o cuyo valor equivalente deba determinarse tomando como base una moneda de valor también unilateralmente establecido, el empleo de la moneda elegida deberá ser aceptable para el deudor</w:t>
            </w:r>
            <w:r w:rsidRPr="00F261AC">
              <w:t>.</w:t>
            </w:r>
          </w:p>
        </w:tc>
        <w:tc>
          <w:tcPr>
            <w:tcW w:w="2341" w:type="dxa"/>
            <w:tcBorders>
              <w:top w:val="single" w:sz="4" w:space="0" w:color="auto"/>
              <w:left w:val="single" w:sz="4" w:space="0" w:color="auto"/>
              <w:bottom w:val="single" w:sz="4" w:space="0" w:color="auto"/>
              <w:right w:val="single" w:sz="4" w:space="0" w:color="auto"/>
            </w:tcBorders>
          </w:tcPr>
          <w:p w14:paraId="2EAEEAC5" w14:textId="77777777" w:rsidR="00CA5968" w:rsidRPr="00F261AC" w:rsidRDefault="00CA5968" w:rsidP="00CA5968">
            <w:pPr>
              <w:tabs>
                <w:tab w:val="clear" w:pos="567"/>
                <w:tab w:val="left" w:pos="720"/>
              </w:tabs>
              <w:spacing w:before="0"/>
              <w:rPr>
                <w:rFonts w:asciiTheme="minorHAnsi" w:hAnsiTheme="minorHAnsi" w:cstheme="minorHAnsi"/>
                <w:bCs/>
                <w:sz w:val="22"/>
                <w:highlight w:val="lightGray"/>
              </w:rPr>
            </w:pPr>
          </w:p>
        </w:tc>
        <w:tc>
          <w:tcPr>
            <w:tcW w:w="1981" w:type="dxa"/>
            <w:tcBorders>
              <w:top w:val="single" w:sz="4" w:space="0" w:color="auto"/>
              <w:left w:val="single" w:sz="4" w:space="0" w:color="auto"/>
              <w:bottom w:val="single" w:sz="4" w:space="0" w:color="auto"/>
              <w:right w:val="single" w:sz="4" w:space="0" w:color="auto"/>
            </w:tcBorders>
          </w:tcPr>
          <w:p w14:paraId="077157AB" w14:textId="77777777" w:rsidR="00CA5968" w:rsidRPr="00F261AC" w:rsidRDefault="00CA5968" w:rsidP="00CA5968">
            <w:pPr>
              <w:tabs>
                <w:tab w:val="clear" w:pos="567"/>
                <w:tab w:val="left" w:pos="720"/>
              </w:tabs>
              <w:spacing w:before="0"/>
              <w:rPr>
                <w:rFonts w:asciiTheme="minorHAnsi" w:hAnsiTheme="minorHAnsi" w:cstheme="minorHAnsi"/>
                <w:bCs/>
                <w:sz w:val="22"/>
              </w:rPr>
            </w:pPr>
          </w:p>
        </w:tc>
        <w:tc>
          <w:tcPr>
            <w:tcW w:w="1860" w:type="dxa"/>
            <w:gridSpan w:val="2"/>
            <w:tcBorders>
              <w:top w:val="single" w:sz="4" w:space="0" w:color="auto"/>
              <w:left w:val="single" w:sz="4" w:space="0" w:color="auto"/>
              <w:bottom w:val="single" w:sz="4" w:space="0" w:color="auto"/>
              <w:right w:val="single" w:sz="4" w:space="0" w:color="auto"/>
            </w:tcBorders>
          </w:tcPr>
          <w:p w14:paraId="223CF545"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5BC04E70"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0B74A846"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15684EA3" w14:textId="6A34FD1E" w:rsidR="00CA5968" w:rsidRPr="00F261AC" w:rsidRDefault="00CA5968" w:rsidP="00CA5968">
            <w:pPr>
              <w:tabs>
                <w:tab w:val="clear" w:pos="567"/>
                <w:tab w:val="left" w:pos="720"/>
              </w:tabs>
              <w:spacing w:before="0"/>
              <w:ind w:right="130"/>
              <w:rPr>
                <w:rStyle w:val="Artdef"/>
              </w:rPr>
            </w:pPr>
            <w:r w:rsidRPr="00F261AC">
              <w:rPr>
                <w:rStyle w:val="Artdef"/>
                <w:rFonts w:cs="Times New Roman"/>
              </w:rPr>
              <w:t>1/21</w:t>
            </w:r>
            <w:r w:rsidRPr="00F261AC">
              <w:tab/>
              <w:t>3.1.3</w:t>
            </w:r>
            <w:r w:rsidRPr="00F261AC">
              <w:tab/>
            </w:r>
            <w:r w:rsidR="0016469F" w:rsidRPr="0016469F">
              <w:t>Las empresas de explotación autorizadas tendrán derecho, por acuerdo mutuo y siempre que se cumplan los plazos de pago, a liquidar sus saldos de todo tipo por compensación</w:t>
            </w:r>
            <w:r w:rsidRPr="00F261AC">
              <w:t>:</w:t>
            </w:r>
          </w:p>
        </w:tc>
        <w:tc>
          <w:tcPr>
            <w:tcW w:w="3601" w:type="dxa"/>
            <w:vMerge w:val="restart"/>
            <w:tcBorders>
              <w:top w:val="single" w:sz="4" w:space="0" w:color="auto"/>
              <w:left w:val="single" w:sz="4" w:space="0" w:color="auto"/>
              <w:right w:val="single" w:sz="4" w:space="0" w:color="auto"/>
            </w:tcBorders>
          </w:tcPr>
          <w:p w14:paraId="5D9D8872" w14:textId="06911C1E" w:rsidR="00CA5968" w:rsidRPr="00F261AC" w:rsidRDefault="00CA5968" w:rsidP="00CA5968">
            <w:pPr>
              <w:tabs>
                <w:tab w:val="clear" w:pos="567"/>
                <w:tab w:val="left" w:pos="720"/>
              </w:tabs>
              <w:spacing w:before="0"/>
              <w:ind w:right="130"/>
            </w:pPr>
            <w:r w:rsidRPr="00F261AC">
              <w:rPr>
                <w:rStyle w:val="Artdef"/>
              </w:rPr>
              <w:t>1/35</w:t>
            </w:r>
            <w:r w:rsidRPr="00F261AC">
              <w:tab/>
              <w:t>3.4.1</w:t>
            </w:r>
            <w:r w:rsidRPr="00F261AC">
              <w:tab/>
            </w:r>
            <w:r w:rsidR="00AA6BF7" w:rsidRPr="00AA6BF7">
              <w:t>Las administraciones podrán, por acuerdo mutuo y siempre que se cumplan los plazos de pago, liquidar sus saldos de todo tipo por compensación</w:t>
            </w:r>
            <w:r w:rsidRPr="00F261AC">
              <w:t>:</w:t>
            </w:r>
          </w:p>
          <w:p w14:paraId="7F887752" w14:textId="3731405C" w:rsidR="00CA5968" w:rsidRPr="00F261AC" w:rsidRDefault="00CA5968" w:rsidP="00CA5968">
            <w:pPr>
              <w:pStyle w:val="enumlev1"/>
            </w:pPr>
            <w:r w:rsidRPr="00F261AC">
              <w:t>–</w:t>
            </w:r>
            <w:r w:rsidRPr="00F261AC">
              <w:tab/>
            </w:r>
            <w:r w:rsidR="00AA6BF7" w:rsidRPr="00AA6BF7">
              <w:t>de sus créditos y deudas en sus relaciones con otras administraciones</w:t>
            </w:r>
            <w:r w:rsidRPr="00F261AC">
              <w:t xml:space="preserve">; </w:t>
            </w:r>
            <w:r w:rsidR="00AA6BF7">
              <w:t>y</w:t>
            </w:r>
          </w:p>
          <w:p w14:paraId="315672EF" w14:textId="057F846B" w:rsidR="00CA5968" w:rsidRPr="00F261AC" w:rsidRDefault="00CA5968" w:rsidP="00CA5968">
            <w:pPr>
              <w:pStyle w:val="enumlev1"/>
              <w:rPr>
                <w:rFonts w:asciiTheme="minorHAnsi" w:eastAsia="SimSun" w:hAnsiTheme="minorHAnsi" w:cs="Times New Roman Bold"/>
                <w:b/>
                <w:bCs/>
                <w:iCs/>
                <w:color w:val="000000"/>
                <w:sz w:val="22"/>
              </w:rPr>
            </w:pPr>
            <w:r w:rsidRPr="00F261AC">
              <w:t>–</w:t>
            </w:r>
            <w:r w:rsidRPr="00F261AC">
              <w:tab/>
            </w:r>
            <w:r w:rsidR="00AA6BF7" w:rsidRPr="00AA6BF7">
              <w:t>de los créditos de los servicios postales, en su caso</w:t>
            </w:r>
            <w:r w:rsidRPr="00F261AC">
              <w:t>.</w:t>
            </w:r>
          </w:p>
        </w:tc>
        <w:tc>
          <w:tcPr>
            <w:tcW w:w="2341" w:type="dxa"/>
            <w:tcBorders>
              <w:top w:val="single" w:sz="4" w:space="0" w:color="auto"/>
              <w:left w:val="single" w:sz="4" w:space="0" w:color="auto"/>
              <w:bottom w:val="single" w:sz="4" w:space="0" w:color="auto"/>
              <w:right w:val="single" w:sz="4" w:space="0" w:color="auto"/>
            </w:tcBorders>
          </w:tcPr>
          <w:p w14:paraId="5C841543" w14:textId="12BA5035"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1D3573">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52308E65" w14:textId="1FC43A8C"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1D3573">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2BD3977A" w14:textId="32A9865C" w:rsidR="00CA5968" w:rsidRPr="00F261AC" w:rsidRDefault="00AA6BF7"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6F66F48A" w14:textId="77777777" w:rsidR="00CA5968" w:rsidRPr="00F261AC" w:rsidRDefault="00CA5968"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5A5AA1C3"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7B8E05B6"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127E0DF5" w14:textId="2AF9FF24" w:rsidR="00CA5968" w:rsidRPr="00F261AC" w:rsidRDefault="00CA5968" w:rsidP="00CA5968">
            <w:pPr>
              <w:tabs>
                <w:tab w:val="clear" w:pos="567"/>
                <w:tab w:val="left" w:pos="720"/>
              </w:tabs>
              <w:spacing w:before="0"/>
              <w:ind w:right="130"/>
              <w:rPr>
                <w:rStyle w:val="Artdef"/>
              </w:rPr>
            </w:pPr>
            <w:r w:rsidRPr="00F261AC">
              <w:rPr>
                <w:rStyle w:val="Artdef"/>
                <w:rFonts w:cs="Times New Roman"/>
                <w:bCs/>
              </w:rPr>
              <w:t>1/22</w:t>
            </w:r>
            <w:r w:rsidRPr="00F261AC">
              <w:tab/>
            </w:r>
            <w:r w:rsidRPr="00F261AC">
              <w:rPr>
                <w:i/>
                <w:iCs/>
              </w:rPr>
              <w:t>a)</w:t>
            </w:r>
            <w:r w:rsidRPr="00F261AC">
              <w:tab/>
            </w:r>
            <w:r w:rsidR="0016469F" w:rsidRPr="0016469F">
              <w:t>de sus créditos y deudas en sus relaciones con otras empresas de explotación autorizadas</w:t>
            </w:r>
            <w:r w:rsidRPr="00F261AC">
              <w:t>;</w:t>
            </w:r>
          </w:p>
        </w:tc>
        <w:tc>
          <w:tcPr>
            <w:tcW w:w="3601" w:type="dxa"/>
            <w:vMerge/>
            <w:tcBorders>
              <w:left w:val="single" w:sz="4" w:space="0" w:color="auto"/>
              <w:right w:val="single" w:sz="4" w:space="0" w:color="auto"/>
            </w:tcBorders>
          </w:tcPr>
          <w:p w14:paraId="08EA26C8" w14:textId="77777777"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p>
        </w:tc>
        <w:tc>
          <w:tcPr>
            <w:tcW w:w="2341" w:type="dxa"/>
            <w:tcBorders>
              <w:top w:val="single" w:sz="4" w:space="0" w:color="auto"/>
              <w:left w:val="single" w:sz="4" w:space="0" w:color="auto"/>
              <w:bottom w:val="single" w:sz="4" w:space="0" w:color="auto"/>
              <w:right w:val="single" w:sz="4" w:space="0" w:color="auto"/>
            </w:tcBorders>
          </w:tcPr>
          <w:p w14:paraId="19DE71AB" w14:textId="10A3B795"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1D3573">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05BB6AA4" w14:textId="4606C308"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1D3573">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01F6CDEE" w14:textId="4FB3B7E2" w:rsidR="00CA5968" w:rsidRPr="00F261AC" w:rsidRDefault="00AA6BF7"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7446C759" w14:textId="77777777" w:rsidR="00CA5968" w:rsidRPr="00F261AC" w:rsidRDefault="00CA5968"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10E9B14C"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61FC8D21"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30BF1C48" w14:textId="5070E717" w:rsidR="00CA5968" w:rsidRPr="00F261AC" w:rsidRDefault="00CA5968" w:rsidP="00CA5968">
            <w:pPr>
              <w:tabs>
                <w:tab w:val="clear" w:pos="567"/>
                <w:tab w:val="left" w:pos="720"/>
              </w:tabs>
              <w:spacing w:before="0"/>
              <w:ind w:right="130"/>
              <w:rPr>
                <w:rStyle w:val="Artdef"/>
              </w:rPr>
            </w:pPr>
            <w:r w:rsidRPr="00F261AC">
              <w:rPr>
                <w:rStyle w:val="Artdef"/>
                <w:rFonts w:cs="Times New Roman"/>
                <w:bCs/>
              </w:rPr>
              <w:t>1/23</w:t>
            </w:r>
            <w:r w:rsidRPr="00F261AC">
              <w:rPr>
                <w:b/>
                <w:bCs/>
              </w:rPr>
              <w:tab/>
            </w:r>
            <w:r w:rsidRPr="00F261AC">
              <w:rPr>
                <w:i/>
                <w:iCs/>
              </w:rPr>
              <w:t>b)</w:t>
            </w:r>
            <w:r w:rsidRPr="00F261AC">
              <w:tab/>
            </w:r>
            <w:r w:rsidR="0016469F" w:rsidRPr="0016469F">
              <w:t>de cualquier otra liquidación mutuamente acordada, según proceda</w:t>
            </w:r>
            <w:r w:rsidRPr="00F261AC">
              <w:t>.</w:t>
            </w:r>
          </w:p>
        </w:tc>
        <w:tc>
          <w:tcPr>
            <w:tcW w:w="3601" w:type="dxa"/>
            <w:vMerge/>
            <w:tcBorders>
              <w:left w:val="single" w:sz="4" w:space="0" w:color="auto"/>
              <w:right w:val="single" w:sz="4" w:space="0" w:color="auto"/>
            </w:tcBorders>
          </w:tcPr>
          <w:p w14:paraId="2EACC236" w14:textId="77777777"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p>
        </w:tc>
        <w:tc>
          <w:tcPr>
            <w:tcW w:w="2341" w:type="dxa"/>
            <w:tcBorders>
              <w:top w:val="single" w:sz="4" w:space="0" w:color="auto"/>
              <w:left w:val="single" w:sz="4" w:space="0" w:color="auto"/>
              <w:bottom w:val="single" w:sz="4" w:space="0" w:color="auto"/>
              <w:right w:val="single" w:sz="4" w:space="0" w:color="auto"/>
            </w:tcBorders>
          </w:tcPr>
          <w:p w14:paraId="34A3531B" w14:textId="73C676B0"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1D3573">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78B80334" w14:textId="0C74F043"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1D3573">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465FDE46" w14:textId="37802297" w:rsidR="00CA5968" w:rsidRPr="00F261AC" w:rsidRDefault="00AA6BF7"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66DEEAFC" w14:textId="77777777" w:rsidR="00CA5968" w:rsidRPr="00F261AC" w:rsidRDefault="00CA5968"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5499135E"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70436BBA"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6588A479" w14:textId="222852C1" w:rsidR="00CA5968" w:rsidRPr="00F261AC" w:rsidRDefault="00CA5968" w:rsidP="00CA5968">
            <w:pPr>
              <w:tabs>
                <w:tab w:val="clear" w:pos="567"/>
                <w:tab w:val="left" w:pos="720"/>
              </w:tabs>
              <w:spacing w:before="0"/>
              <w:ind w:right="130"/>
              <w:rPr>
                <w:rStyle w:val="Artdef"/>
              </w:rPr>
            </w:pPr>
            <w:r w:rsidRPr="00F261AC">
              <w:rPr>
                <w:rStyle w:val="Artdef"/>
                <w:rFonts w:cs="Times New Roman"/>
                <w:bCs/>
              </w:rPr>
              <w:t>1/24</w:t>
            </w:r>
            <w:r w:rsidRPr="00F261AC">
              <w:rPr>
                <w:rFonts w:cstheme="majorBidi"/>
                <w:b/>
                <w:bCs/>
                <w:szCs w:val="24"/>
              </w:rPr>
              <w:tab/>
            </w:r>
            <w:r w:rsidR="009B791B" w:rsidRPr="009B791B">
              <w:rPr>
                <w:rFonts w:cstheme="majorBidi"/>
                <w:szCs w:val="24"/>
              </w:rPr>
              <w:t>Esta norma también se aplica en el caso de los pagos que se efectúan por conducto de organismos de pago especializados, de conformidad con los acuerdos concluidos con las empresas de explotación autorizadas</w:t>
            </w:r>
            <w:r w:rsidRPr="00F261AC">
              <w:rPr>
                <w:rFonts w:cstheme="majorBidi"/>
                <w:szCs w:val="24"/>
              </w:rPr>
              <w:t>.</w:t>
            </w:r>
          </w:p>
        </w:tc>
        <w:tc>
          <w:tcPr>
            <w:tcW w:w="3601" w:type="dxa"/>
            <w:vMerge/>
            <w:tcBorders>
              <w:left w:val="single" w:sz="4" w:space="0" w:color="auto"/>
              <w:bottom w:val="single" w:sz="4" w:space="0" w:color="auto"/>
              <w:right w:val="single" w:sz="4" w:space="0" w:color="auto"/>
            </w:tcBorders>
          </w:tcPr>
          <w:p w14:paraId="461A90FF" w14:textId="77777777"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p>
        </w:tc>
        <w:tc>
          <w:tcPr>
            <w:tcW w:w="2341" w:type="dxa"/>
            <w:tcBorders>
              <w:top w:val="single" w:sz="4" w:space="0" w:color="auto"/>
              <w:left w:val="single" w:sz="4" w:space="0" w:color="auto"/>
              <w:bottom w:val="single" w:sz="4" w:space="0" w:color="auto"/>
              <w:right w:val="single" w:sz="4" w:space="0" w:color="auto"/>
            </w:tcBorders>
          </w:tcPr>
          <w:p w14:paraId="043954B7" w14:textId="7D31F275"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1D3573">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2673AE4C" w14:textId="7440D0E4"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w:t>
            </w:r>
            <w:r w:rsidR="00FF0DF6">
              <w:rPr>
                <w:rFonts w:asciiTheme="minorHAnsi" w:hAnsiTheme="minorHAnsi" w:cstheme="minorHAnsi"/>
                <w:bCs/>
                <w:sz w:val="22"/>
              </w:rPr>
              <w:t>s.</w:t>
            </w:r>
          </w:p>
        </w:tc>
        <w:tc>
          <w:tcPr>
            <w:tcW w:w="1860" w:type="dxa"/>
            <w:gridSpan w:val="2"/>
            <w:tcBorders>
              <w:top w:val="single" w:sz="4" w:space="0" w:color="auto"/>
              <w:left w:val="single" w:sz="4" w:space="0" w:color="auto"/>
              <w:bottom w:val="single" w:sz="4" w:space="0" w:color="auto"/>
              <w:right w:val="single" w:sz="4" w:space="0" w:color="auto"/>
            </w:tcBorders>
          </w:tcPr>
          <w:p w14:paraId="3EF26DD4" w14:textId="46F255CB" w:rsidR="00CA5968" w:rsidRPr="00F261AC" w:rsidRDefault="00AA6BF7"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756C3E25" w14:textId="77777777" w:rsidR="00CA5968" w:rsidRPr="00F261AC" w:rsidRDefault="00CA5968"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7E750CC6"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0F88D5CB"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0F7E7BA8" w14:textId="2CB64CD4" w:rsidR="00CA5968" w:rsidRPr="00F261AC" w:rsidRDefault="00CA5968" w:rsidP="00CA5968">
            <w:pPr>
              <w:tabs>
                <w:tab w:val="clear" w:pos="567"/>
                <w:tab w:val="left" w:pos="720"/>
              </w:tabs>
              <w:spacing w:before="0"/>
              <w:ind w:right="130"/>
              <w:rPr>
                <w:rStyle w:val="Artdef"/>
              </w:rPr>
            </w:pPr>
            <w:r w:rsidRPr="00F261AC">
              <w:rPr>
                <w:rStyle w:val="Artdef"/>
                <w:rFonts w:cs="Times New Roman"/>
              </w:rPr>
              <w:t>1/25</w:t>
            </w:r>
            <w:r w:rsidRPr="00F261AC">
              <w:tab/>
            </w:r>
            <w:r w:rsidRPr="00F261AC">
              <w:rPr>
                <w:b/>
                <w:bCs/>
              </w:rPr>
              <w:t>3.2</w:t>
            </w:r>
            <w:r w:rsidRPr="00F261AC">
              <w:rPr>
                <w:b/>
                <w:bCs/>
              </w:rPr>
              <w:tab/>
            </w:r>
            <w:r w:rsidR="009B791B" w:rsidRPr="009B791B">
              <w:rPr>
                <w:b/>
                <w:bCs/>
              </w:rPr>
              <w:t>Determinación del importe del pago</w:t>
            </w:r>
          </w:p>
        </w:tc>
        <w:tc>
          <w:tcPr>
            <w:tcW w:w="3601" w:type="dxa"/>
            <w:tcBorders>
              <w:top w:val="single" w:sz="4" w:space="0" w:color="auto"/>
              <w:left w:val="single" w:sz="4" w:space="0" w:color="auto"/>
              <w:bottom w:val="single" w:sz="4" w:space="0" w:color="auto"/>
              <w:right w:val="single" w:sz="4" w:space="0" w:color="auto"/>
            </w:tcBorders>
          </w:tcPr>
          <w:p w14:paraId="025A8446" w14:textId="56C6C530"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1/21</w:t>
            </w:r>
            <w:r w:rsidRPr="00F261AC">
              <w:tab/>
            </w:r>
            <w:r w:rsidRPr="00F261AC">
              <w:rPr>
                <w:b/>
                <w:bCs/>
              </w:rPr>
              <w:t>3.2</w:t>
            </w:r>
            <w:r w:rsidRPr="00F261AC">
              <w:rPr>
                <w:b/>
                <w:bCs/>
              </w:rPr>
              <w:tab/>
            </w:r>
            <w:r w:rsidR="00AA6BF7" w:rsidRPr="00AA6BF7">
              <w:rPr>
                <w:b/>
                <w:bCs/>
              </w:rPr>
              <w:t>Determinación del importe del pago</w:t>
            </w:r>
          </w:p>
        </w:tc>
        <w:tc>
          <w:tcPr>
            <w:tcW w:w="2341" w:type="dxa"/>
            <w:tcBorders>
              <w:top w:val="single" w:sz="4" w:space="0" w:color="auto"/>
              <w:left w:val="single" w:sz="4" w:space="0" w:color="auto"/>
              <w:bottom w:val="single" w:sz="4" w:space="0" w:color="auto"/>
              <w:right w:val="single" w:sz="4" w:space="0" w:color="auto"/>
            </w:tcBorders>
          </w:tcPr>
          <w:p w14:paraId="6591134C" w14:textId="77777777" w:rsidR="00CA5968" w:rsidRPr="00F261AC" w:rsidRDefault="00CA5968" w:rsidP="00CA5968">
            <w:pPr>
              <w:tabs>
                <w:tab w:val="clear" w:pos="567"/>
                <w:tab w:val="left" w:pos="720"/>
              </w:tabs>
              <w:spacing w:before="0"/>
              <w:rPr>
                <w:rFonts w:asciiTheme="minorHAnsi" w:hAnsiTheme="minorHAnsi" w:cstheme="minorHAnsi"/>
                <w:bCs/>
                <w:sz w:val="22"/>
                <w:highlight w:val="lightGray"/>
              </w:rPr>
            </w:pPr>
          </w:p>
        </w:tc>
        <w:tc>
          <w:tcPr>
            <w:tcW w:w="1981" w:type="dxa"/>
            <w:tcBorders>
              <w:top w:val="single" w:sz="4" w:space="0" w:color="auto"/>
              <w:left w:val="single" w:sz="4" w:space="0" w:color="auto"/>
              <w:bottom w:val="single" w:sz="4" w:space="0" w:color="auto"/>
              <w:right w:val="single" w:sz="4" w:space="0" w:color="auto"/>
            </w:tcBorders>
          </w:tcPr>
          <w:p w14:paraId="099E285A" w14:textId="77777777" w:rsidR="00CA5968" w:rsidRPr="00F261AC" w:rsidRDefault="00CA5968" w:rsidP="00CA5968">
            <w:pPr>
              <w:tabs>
                <w:tab w:val="clear" w:pos="567"/>
                <w:tab w:val="left" w:pos="720"/>
              </w:tabs>
              <w:spacing w:before="0"/>
              <w:rPr>
                <w:rFonts w:asciiTheme="minorHAnsi" w:hAnsiTheme="minorHAnsi" w:cstheme="minorHAnsi"/>
                <w:bCs/>
                <w:sz w:val="22"/>
              </w:rPr>
            </w:pPr>
          </w:p>
        </w:tc>
        <w:tc>
          <w:tcPr>
            <w:tcW w:w="1860" w:type="dxa"/>
            <w:gridSpan w:val="2"/>
            <w:tcBorders>
              <w:top w:val="single" w:sz="4" w:space="0" w:color="auto"/>
              <w:left w:val="single" w:sz="4" w:space="0" w:color="auto"/>
              <w:bottom w:val="single" w:sz="4" w:space="0" w:color="auto"/>
              <w:right w:val="single" w:sz="4" w:space="0" w:color="auto"/>
            </w:tcBorders>
          </w:tcPr>
          <w:p w14:paraId="137EB1BB" w14:textId="77777777" w:rsidR="00CA5968" w:rsidRPr="00F261AC" w:rsidRDefault="00CA5968"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620E5FA2"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6B7810D2"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782A4318" w14:textId="5C2E2EAE" w:rsidR="00CA5968" w:rsidRPr="00F261AC" w:rsidRDefault="00CA5968" w:rsidP="00CA5968">
            <w:pPr>
              <w:tabs>
                <w:tab w:val="clear" w:pos="567"/>
                <w:tab w:val="left" w:pos="720"/>
              </w:tabs>
              <w:spacing w:before="0"/>
              <w:ind w:right="130"/>
              <w:rPr>
                <w:rStyle w:val="Artdef"/>
                <w:b w:val="0"/>
                <w:bCs/>
              </w:rPr>
            </w:pPr>
            <w:r w:rsidRPr="00F261AC">
              <w:rPr>
                <w:rStyle w:val="Artdef"/>
                <w:rFonts w:cs="Times New Roman"/>
              </w:rPr>
              <w:t>1/26</w:t>
            </w:r>
            <w:r w:rsidRPr="00F261AC">
              <w:tab/>
              <w:t>3.2.1</w:t>
            </w:r>
            <w:r w:rsidRPr="00F261AC">
              <w:tab/>
            </w:r>
            <w:r w:rsidR="009B791B" w:rsidRPr="009B791B">
              <w:t>El importe del pago en la moneda elegida, según se determina a continuación, deberá tener un valor equivalente al saldo de la cuenta</w:t>
            </w:r>
            <w:r w:rsidRPr="00F261AC">
              <w:t>.</w:t>
            </w:r>
          </w:p>
        </w:tc>
        <w:tc>
          <w:tcPr>
            <w:tcW w:w="3601" w:type="dxa"/>
            <w:tcBorders>
              <w:top w:val="single" w:sz="4" w:space="0" w:color="auto"/>
              <w:left w:val="single" w:sz="4" w:space="0" w:color="auto"/>
              <w:bottom w:val="single" w:sz="4" w:space="0" w:color="auto"/>
              <w:right w:val="single" w:sz="4" w:space="0" w:color="auto"/>
            </w:tcBorders>
          </w:tcPr>
          <w:p w14:paraId="085CE4D6" w14:textId="3F0CB0AF"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1/22</w:t>
            </w:r>
            <w:r w:rsidRPr="00F261AC">
              <w:tab/>
              <w:t>3.2.1</w:t>
            </w:r>
            <w:r w:rsidRPr="00F261AC">
              <w:tab/>
            </w:r>
            <w:r w:rsidR="00AA6BF7" w:rsidRPr="00AA6BF7">
              <w:t>El importe del pago en la moneda elegida, según se determina a continuación, deberá tener un valor equivalente al saldo de la cuenta</w:t>
            </w:r>
            <w:r w:rsidRPr="00F261AC">
              <w:t>.</w:t>
            </w:r>
          </w:p>
        </w:tc>
        <w:tc>
          <w:tcPr>
            <w:tcW w:w="2341" w:type="dxa"/>
            <w:tcBorders>
              <w:top w:val="single" w:sz="4" w:space="0" w:color="auto"/>
              <w:left w:val="single" w:sz="4" w:space="0" w:color="auto"/>
              <w:bottom w:val="single" w:sz="4" w:space="0" w:color="auto"/>
              <w:right w:val="single" w:sz="4" w:space="0" w:color="auto"/>
            </w:tcBorders>
          </w:tcPr>
          <w:p w14:paraId="6EC3959E" w14:textId="425AC497"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1D3573">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604FD139" w14:textId="0FF436B8"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1D3573">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711A573D" w14:textId="6BA3D6BE" w:rsidR="00CA5968" w:rsidRPr="00F261AC" w:rsidRDefault="00AA6BF7"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1A91AFB4" w14:textId="77777777" w:rsidR="00CA5968" w:rsidRPr="00F261AC" w:rsidRDefault="00CA5968"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0EEED953"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5C77C27C"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796CF9D1" w14:textId="7A6A764F" w:rsidR="00CA5968" w:rsidRPr="00F261AC" w:rsidRDefault="00CA5968" w:rsidP="00CA5968">
            <w:pPr>
              <w:tabs>
                <w:tab w:val="clear" w:pos="567"/>
                <w:tab w:val="left" w:pos="720"/>
              </w:tabs>
              <w:spacing w:before="0"/>
              <w:ind w:right="130"/>
              <w:rPr>
                <w:rStyle w:val="Artdef"/>
                <w:b w:val="0"/>
                <w:bCs/>
              </w:rPr>
            </w:pPr>
            <w:r w:rsidRPr="00F261AC">
              <w:rPr>
                <w:rStyle w:val="Artdef"/>
                <w:rFonts w:cs="Times New Roman"/>
              </w:rPr>
              <w:t>1/27</w:t>
            </w:r>
            <w:r w:rsidRPr="00F261AC">
              <w:tab/>
              <w:t>3.2.2</w:t>
            </w:r>
            <w:r w:rsidRPr="00F261AC">
              <w:tab/>
            </w:r>
            <w:r w:rsidR="009B791B" w:rsidRPr="009B791B">
              <w:t>Si el saldo de la cuenta está expresado en la unidad monetaria del FMI, el importe en la moneda elegida vendrá determinado por el tipo de cambio vigente la víspera del pago o por el último tipo de cambio publicado por el FMI entre la unidad monetaria del FMI y la moneda elegida</w:t>
            </w:r>
            <w:r w:rsidRPr="00F261AC">
              <w:t>.</w:t>
            </w:r>
          </w:p>
        </w:tc>
        <w:tc>
          <w:tcPr>
            <w:tcW w:w="3601" w:type="dxa"/>
            <w:tcBorders>
              <w:top w:val="single" w:sz="4" w:space="0" w:color="auto"/>
              <w:left w:val="single" w:sz="4" w:space="0" w:color="auto"/>
              <w:bottom w:val="single" w:sz="4" w:space="0" w:color="auto"/>
              <w:right w:val="single" w:sz="4" w:space="0" w:color="auto"/>
            </w:tcBorders>
          </w:tcPr>
          <w:p w14:paraId="64B8C0E8" w14:textId="45BD2E7C"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1/23</w:t>
            </w:r>
            <w:r w:rsidRPr="00F261AC">
              <w:tab/>
              <w:t>3.2.2</w:t>
            </w:r>
            <w:r w:rsidRPr="00F261AC">
              <w:tab/>
            </w:r>
            <w:r w:rsidR="00AA6BF7" w:rsidRPr="00AA6BF7">
              <w:t>Si el saldo de la cuenta está expresado en la unidad monetaria del FMI, el importe en la moneda elegida vendrá determinado por el tipo de cambio vigente la víspera del pago o por el último tipo de cambio publicado por el FMI entre la unidad monetaria del FMI y la moneda elegida</w:t>
            </w:r>
            <w:r w:rsidRPr="00F261AC">
              <w:t>.</w:t>
            </w:r>
          </w:p>
        </w:tc>
        <w:tc>
          <w:tcPr>
            <w:tcW w:w="2341" w:type="dxa"/>
            <w:tcBorders>
              <w:top w:val="single" w:sz="4" w:space="0" w:color="auto"/>
              <w:left w:val="single" w:sz="4" w:space="0" w:color="auto"/>
              <w:bottom w:val="single" w:sz="4" w:space="0" w:color="auto"/>
              <w:right w:val="single" w:sz="4" w:space="0" w:color="auto"/>
            </w:tcBorders>
          </w:tcPr>
          <w:p w14:paraId="1ECD7966" w14:textId="26E3DB2E"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1D3573">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4BB6EDDC" w14:textId="0E5C3F3E"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1D3573">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43CFE66A" w14:textId="422DEFB8" w:rsidR="00CA5968" w:rsidRPr="00F261AC" w:rsidRDefault="00AA6BF7"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19C75404" w14:textId="77777777" w:rsidR="00CA5968" w:rsidRPr="00F261AC" w:rsidRDefault="00CA5968"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5786449F"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7C13FDA5"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25F6A17F" w14:textId="77319C71" w:rsidR="00CA5968" w:rsidRPr="00F261AC" w:rsidRDefault="00CA5968" w:rsidP="00CA5968">
            <w:pPr>
              <w:tabs>
                <w:tab w:val="clear" w:pos="567"/>
                <w:tab w:val="left" w:pos="720"/>
              </w:tabs>
              <w:spacing w:before="0"/>
              <w:ind w:right="130"/>
              <w:rPr>
                <w:rStyle w:val="Artdef"/>
                <w:b w:val="0"/>
                <w:bCs/>
              </w:rPr>
            </w:pPr>
            <w:r w:rsidRPr="00F261AC">
              <w:rPr>
                <w:rStyle w:val="Artdef"/>
                <w:rFonts w:cs="Times New Roman"/>
              </w:rPr>
              <w:t>1/28</w:t>
            </w:r>
            <w:r w:rsidRPr="00F261AC">
              <w:tab/>
              <w:t>3.2.3</w:t>
            </w:r>
            <w:r w:rsidRPr="00F261AC">
              <w:tab/>
            </w:r>
            <w:r w:rsidR="009B791B" w:rsidRPr="009B791B">
              <w:t xml:space="preserve">Sin embargo, si no se ha publicado el tipo de cambio entre la unidad monetaria del FMI y la moneda elegida, el importe del saldo de la cuenta se </w:t>
            </w:r>
            <w:r w:rsidR="009B791B" w:rsidRPr="009B791B">
              <w:lastRenderedPageBreak/>
              <w:t>convertirá, en primer lugar, a una moneda cuyo tipo de cambio haya publicado el FMI; a tal efecto, se aplicará el tipo de cambio vigente la víspera del pago o el último tipo de cambio publicado. El importe así obtenido se convertirá, en segundo lugar, al valor equivalente de la moneda elegida; a tal efecto, se aplicará el tipo de cambio vigente al cierre de la víspera del pago o la cotización más reciente del mercado de divisas oficial o normalmente admitido en la principal plaza financiera del país deudor</w:t>
            </w:r>
            <w:r w:rsidRPr="00F261AC">
              <w:t>.</w:t>
            </w:r>
          </w:p>
        </w:tc>
        <w:tc>
          <w:tcPr>
            <w:tcW w:w="3601" w:type="dxa"/>
            <w:tcBorders>
              <w:top w:val="single" w:sz="4" w:space="0" w:color="auto"/>
              <w:left w:val="single" w:sz="4" w:space="0" w:color="auto"/>
              <w:bottom w:val="single" w:sz="4" w:space="0" w:color="auto"/>
              <w:right w:val="single" w:sz="4" w:space="0" w:color="auto"/>
            </w:tcBorders>
          </w:tcPr>
          <w:p w14:paraId="019E570A" w14:textId="3AD655C1"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lastRenderedPageBreak/>
              <w:t>1/24</w:t>
            </w:r>
            <w:r w:rsidRPr="00F261AC">
              <w:tab/>
              <w:t>3.2.3</w:t>
            </w:r>
            <w:r w:rsidRPr="00F261AC">
              <w:tab/>
            </w:r>
            <w:r w:rsidR="00AA6BF7" w:rsidRPr="00AA6BF7">
              <w:t xml:space="preserve">Sin embargo, si no se ha publicado el tipo de cambio entre la unidad monetaria del FMI y la moneda elegida, el importe del saldo de la cuenta se convertirá, en </w:t>
            </w:r>
            <w:r w:rsidR="00AA6BF7" w:rsidRPr="00AA6BF7">
              <w:lastRenderedPageBreak/>
              <w:t>primer lugar, a una moneda cuyo tipo de cambio haya publicado el FMI; a tal efecto, se aplicará el tipo de cambio vigente la víspera del pago o el último tipo de cambio publicado. El importe así obtenido se convertirá, en segundo lugar, al valor equivalente de la moneda elegida; a tal efecto, se aplicará el tipo de cambio vigente al cierre de la víspera del pago o la cotización más reciente del mercado oficial de divisas o del mercado normalmente admitido en la principal plaza financiera del país deudo</w:t>
            </w:r>
            <w:r w:rsidRPr="00F261AC">
              <w:t>.</w:t>
            </w:r>
          </w:p>
        </w:tc>
        <w:tc>
          <w:tcPr>
            <w:tcW w:w="2341" w:type="dxa"/>
            <w:tcBorders>
              <w:top w:val="single" w:sz="4" w:space="0" w:color="auto"/>
              <w:left w:val="single" w:sz="4" w:space="0" w:color="auto"/>
              <w:bottom w:val="single" w:sz="4" w:space="0" w:color="auto"/>
              <w:right w:val="single" w:sz="4" w:space="0" w:color="auto"/>
            </w:tcBorders>
          </w:tcPr>
          <w:p w14:paraId="327DBC34" w14:textId="03F2E49A"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lastRenderedPageBreak/>
              <w:t>La disposición es aplicable para fomentar el suministro y el desarrollo de redes y servicios</w:t>
            </w:r>
            <w:r w:rsidR="001D3573">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1CA9D8C2" w14:textId="18388878"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 xml:space="preserve">Esta disposición garantiza la flexibilidad necesaria para dar cabida a nuevas tendencias y </w:t>
            </w:r>
            <w:r>
              <w:rPr>
                <w:rFonts w:asciiTheme="minorHAnsi" w:hAnsiTheme="minorHAnsi" w:cstheme="minorHAnsi"/>
                <w:bCs/>
                <w:sz w:val="22"/>
              </w:rPr>
              <w:lastRenderedPageBreak/>
              <w:t>cuestiones emergentes</w:t>
            </w:r>
            <w:r w:rsidR="001D3573">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3AED3C7E" w14:textId="28EC138D" w:rsidR="00CA5968" w:rsidRPr="00F261AC" w:rsidRDefault="00AA6BF7"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lastRenderedPageBreak/>
              <w:t>La disposición no requiere modificación, ya que es aplicable y flexible</w:t>
            </w:r>
            <w:r w:rsidR="00CA5968">
              <w:rPr>
                <w:rFonts w:asciiTheme="minorHAnsi" w:hAnsiTheme="minorHAnsi" w:cstheme="minorHAnsi"/>
                <w:bCs/>
                <w:sz w:val="22"/>
              </w:rPr>
              <w:t>.</w:t>
            </w:r>
          </w:p>
          <w:p w14:paraId="3A367DD6"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2008E3D2"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55036559"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7E53DC26" w14:textId="77777777" w:rsidR="00CA5968" w:rsidRPr="00F261AC" w:rsidRDefault="00CA5968" w:rsidP="00CA5968">
            <w:pPr>
              <w:tabs>
                <w:tab w:val="clear" w:pos="567"/>
                <w:tab w:val="left" w:pos="720"/>
              </w:tabs>
              <w:spacing w:before="0"/>
              <w:ind w:right="130"/>
              <w:rPr>
                <w:rStyle w:val="Artdef"/>
                <w:b w:val="0"/>
                <w:bCs/>
              </w:rPr>
            </w:pPr>
          </w:p>
        </w:tc>
        <w:tc>
          <w:tcPr>
            <w:tcW w:w="3601" w:type="dxa"/>
            <w:tcBorders>
              <w:top w:val="single" w:sz="4" w:space="0" w:color="auto"/>
              <w:left w:val="single" w:sz="4" w:space="0" w:color="auto"/>
              <w:bottom w:val="single" w:sz="4" w:space="0" w:color="auto"/>
              <w:right w:val="single" w:sz="4" w:space="0" w:color="auto"/>
            </w:tcBorders>
          </w:tcPr>
          <w:p w14:paraId="72318F51" w14:textId="4C30B44C"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1/25</w:t>
            </w:r>
            <w:r w:rsidRPr="00F261AC">
              <w:tab/>
              <w:t>3.2.4</w:t>
            </w:r>
            <w:r w:rsidRPr="00F261AC">
              <w:tab/>
            </w:r>
            <w:r w:rsidR="00AA6BF7" w:rsidRPr="00AA6BF7">
              <w:t>Si el saldo de la cuenta está expresado en francos oro, su importe se convertirá, a falta de arreglos particulares, a la unidad monetaria del FMI conforme a lo dispuesto en el § 6.3 del Reglamento. El importe del pago se determinará seguidamente con arreglo a las disposiciones del § 3.2.2</w:t>
            </w:r>
            <w:r w:rsidRPr="00F261AC">
              <w:t>.</w:t>
            </w:r>
          </w:p>
        </w:tc>
        <w:tc>
          <w:tcPr>
            <w:tcW w:w="6182" w:type="dxa"/>
            <w:gridSpan w:val="4"/>
            <w:tcBorders>
              <w:top w:val="single" w:sz="4" w:space="0" w:color="auto"/>
              <w:left w:val="single" w:sz="4" w:space="0" w:color="auto"/>
              <w:bottom w:val="single" w:sz="4" w:space="0" w:color="auto"/>
              <w:right w:val="single" w:sz="4" w:space="0" w:color="auto"/>
            </w:tcBorders>
          </w:tcPr>
          <w:p w14:paraId="09E68831" w14:textId="0A2753C0" w:rsidR="00DD1935" w:rsidRDefault="00DD1935" w:rsidP="00CA5968">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i/>
                <w:iCs/>
                <w:sz w:val="22"/>
              </w:rPr>
            </w:pPr>
            <w:r w:rsidRPr="00DD1935">
              <w:rPr>
                <w:rFonts w:asciiTheme="minorHAnsi" w:hAnsiTheme="minorHAnsi" w:cstheme="minorHAnsi"/>
                <w:bCs/>
                <w:i/>
                <w:iCs/>
                <w:sz w:val="22"/>
              </w:rPr>
              <w:t xml:space="preserve">El franco oro ya no </w:t>
            </w:r>
            <w:r>
              <w:rPr>
                <w:rFonts w:asciiTheme="minorHAnsi" w:hAnsiTheme="minorHAnsi" w:cstheme="minorHAnsi"/>
                <w:bCs/>
                <w:i/>
                <w:iCs/>
                <w:sz w:val="22"/>
              </w:rPr>
              <w:t>está en uso</w:t>
            </w:r>
            <w:r w:rsidRPr="00DD1935">
              <w:rPr>
                <w:rFonts w:asciiTheme="minorHAnsi" w:hAnsiTheme="minorHAnsi" w:cstheme="minorHAnsi"/>
                <w:bCs/>
                <w:i/>
                <w:iCs/>
                <w:sz w:val="22"/>
              </w:rPr>
              <w:t xml:space="preserve">. Este párrafo del Apéndice 1 del RTI de 1988 no está en consonancia con </w:t>
            </w:r>
            <w:r>
              <w:rPr>
                <w:rFonts w:asciiTheme="minorHAnsi" w:hAnsiTheme="minorHAnsi" w:cstheme="minorHAnsi"/>
                <w:bCs/>
                <w:i/>
                <w:iCs/>
                <w:sz w:val="22"/>
              </w:rPr>
              <w:t>el mandato</w:t>
            </w:r>
            <w:r w:rsidRPr="00DD1935">
              <w:rPr>
                <w:rFonts w:asciiTheme="minorHAnsi" w:hAnsiTheme="minorHAnsi" w:cstheme="minorHAnsi"/>
                <w:bCs/>
                <w:i/>
                <w:iCs/>
                <w:sz w:val="22"/>
              </w:rPr>
              <w:t xml:space="preserve"> o el Convenio de la UIT y no refleja la situación actual. En consecuencia, este párrafo del Apéndice 1 del RTI de 1988 es redundante. </w:t>
            </w:r>
            <w:r>
              <w:rPr>
                <w:rFonts w:asciiTheme="minorHAnsi" w:hAnsiTheme="minorHAnsi" w:cstheme="minorHAnsi"/>
                <w:bCs/>
                <w:i/>
                <w:iCs/>
                <w:sz w:val="22"/>
              </w:rPr>
              <w:t>En los núms.</w:t>
            </w:r>
            <w:r w:rsidRPr="00DD1935">
              <w:rPr>
                <w:rFonts w:asciiTheme="minorHAnsi" w:hAnsiTheme="minorHAnsi" w:cstheme="minorHAnsi"/>
                <w:bCs/>
                <w:i/>
                <w:iCs/>
                <w:sz w:val="22"/>
              </w:rPr>
              <w:t xml:space="preserve"> 1/29-</w:t>
            </w:r>
            <w:r>
              <w:rPr>
                <w:rFonts w:asciiTheme="minorHAnsi" w:hAnsiTheme="minorHAnsi" w:cstheme="minorHAnsi"/>
                <w:bCs/>
                <w:i/>
                <w:iCs/>
                <w:sz w:val="22"/>
              </w:rPr>
              <w:t xml:space="preserve"> a 1</w:t>
            </w:r>
            <w:r w:rsidRPr="00DD1935">
              <w:rPr>
                <w:rFonts w:asciiTheme="minorHAnsi" w:hAnsiTheme="minorHAnsi" w:cstheme="minorHAnsi"/>
                <w:bCs/>
                <w:i/>
                <w:iCs/>
                <w:sz w:val="22"/>
              </w:rPr>
              <w:t xml:space="preserve">/31 del Apéndice 1 del RTI de 2012 </w:t>
            </w:r>
            <w:r>
              <w:rPr>
                <w:rFonts w:asciiTheme="minorHAnsi" w:hAnsiTheme="minorHAnsi" w:cstheme="minorHAnsi"/>
                <w:bCs/>
                <w:i/>
                <w:iCs/>
                <w:sz w:val="22"/>
              </w:rPr>
              <w:t xml:space="preserve">se </w:t>
            </w:r>
            <w:r w:rsidRPr="00DD1935">
              <w:rPr>
                <w:rFonts w:asciiTheme="minorHAnsi" w:hAnsiTheme="minorHAnsi" w:cstheme="minorHAnsi"/>
                <w:bCs/>
                <w:i/>
                <w:iCs/>
                <w:sz w:val="22"/>
              </w:rPr>
              <w:t>refleja</w:t>
            </w:r>
            <w:r>
              <w:rPr>
                <w:rFonts w:asciiTheme="minorHAnsi" w:hAnsiTheme="minorHAnsi" w:cstheme="minorHAnsi"/>
                <w:bCs/>
                <w:i/>
                <w:iCs/>
                <w:sz w:val="22"/>
              </w:rPr>
              <w:t>n</w:t>
            </w:r>
            <w:r w:rsidRPr="00DD1935">
              <w:rPr>
                <w:rFonts w:asciiTheme="minorHAnsi" w:hAnsiTheme="minorHAnsi" w:cstheme="minorHAnsi"/>
                <w:bCs/>
                <w:i/>
                <w:iCs/>
                <w:sz w:val="22"/>
              </w:rPr>
              <w:t xml:space="preserve"> plenamente las cuestiones relativas a la utilización de diferentes unidades monetarias.</w:t>
            </w:r>
          </w:p>
          <w:p w14:paraId="72541DD2" w14:textId="7B8ADD65"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0F2139A7"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1018C3BD"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2119D1F9" w14:textId="2312A2CC" w:rsidR="00CA5968" w:rsidRPr="00F261AC" w:rsidRDefault="00CA5968" w:rsidP="00CA5968">
            <w:pPr>
              <w:tabs>
                <w:tab w:val="clear" w:pos="567"/>
                <w:tab w:val="left" w:pos="720"/>
              </w:tabs>
              <w:spacing w:before="0"/>
              <w:ind w:right="130"/>
              <w:rPr>
                <w:rStyle w:val="Artdef"/>
                <w:b w:val="0"/>
                <w:bCs/>
              </w:rPr>
            </w:pPr>
            <w:r w:rsidRPr="00F261AC">
              <w:rPr>
                <w:rStyle w:val="Artdef"/>
                <w:rFonts w:cs="Times New Roman"/>
              </w:rPr>
              <w:t>1/29</w:t>
            </w:r>
            <w:r w:rsidRPr="00F261AC">
              <w:tab/>
              <w:t>3.2.4</w:t>
            </w:r>
            <w:r w:rsidRPr="00F261AC">
              <w:tab/>
            </w:r>
            <w:r w:rsidR="009B791B" w:rsidRPr="009B791B">
              <w:t xml:space="preserve">Si, en virtud de un acuerdo particular, el saldo de la cuenta no está expresado en la unidad monetaria del FMI, las disposiciones relativas al pago </w:t>
            </w:r>
            <w:r w:rsidR="009B791B" w:rsidRPr="009B791B">
              <w:lastRenderedPageBreak/>
              <w:t>deberán formar también parte de ese acuerdo particular y</w:t>
            </w:r>
            <w:r w:rsidRPr="00F261AC">
              <w:t>:</w:t>
            </w:r>
          </w:p>
        </w:tc>
        <w:tc>
          <w:tcPr>
            <w:tcW w:w="3601" w:type="dxa"/>
            <w:tcBorders>
              <w:top w:val="single" w:sz="4" w:space="0" w:color="auto"/>
              <w:left w:val="single" w:sz="4" w:space="0" w:color="auto"/>
              <w:bottom w:val="single" w:sz="4" w:space="0" w:color="auto"/>
              <w:right w:val="single" w:sz="4" w:space="0" w:color="auto"/>
            </w:tcBorders>
          </w:tcPr>
          <w:p w14:paraId="76990CA7" w14:textId="085ECEDC"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lastRenderedPageBreak/>
              <w:t>1/26</w:t>
            </w:r>
            <w:r w:rsidRPr="00F261AC">
              <w:tab/>
              <w:t>3.2.5</w:t>
            </w:r>
            <w:r w:rsidRPr="00F261AC">
              <w:tab/>
            </w:r>
            <w:r w:rsidR="00AA6BF7" w:rsidRPr="00AA6BF7">
              <w:t xml:space="preserve">Si, en virtud de un arreglo particular, el saldo de la cuenta no está expresado en la unidad monetaria del FMI ni en francos oro, las disposiciones relativas al pago deberán formar </w:t>
            </w:r>
            <w:r w:rsidR="00AA6BF7" w:rsidRPr="00AA6BF7">
              <w:lastRenderedPageBreak/>
              <w:t>también parte de ese arreglo particular y</w:t>
            </w:r>
            <w:r w:rsidRPr="00F261AC">
              <w:t>:</w:t>
            </w:r>
          </w:p>
        </w:tc>
        <w:tc>
          <w:tcPr>
            <w:tcW w:w="2341" w:type="dxa"/>
            <w:tcBorders>
              <w:top w:val="single" w:sz="4" w:space="0" w:color="auto"/>
              <w:left w:val="single" w:sz="4" w:space="0" w:color="auto"/>
              <w:bottom w:val="single" w:sz="4" w:space="0" w:color="auto"/>
              <w:right w:val="single" w:sz="4" w:space="0" w:color="auto"/>
            </w:tcBorders>
          </w:tcPr>
          <w:p w14:paraId="688762A5" w14:textId="4BD810A0"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lastRenderedPageBreak/>
              <w:t>La disposición es aplicable para fomentar el suministro y el desarrollo de redes y servicios</w:t>
            </w:r>
            <w:r w:rsidR="001D3573">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2CE03713" w14:textId="3B02AA55"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 xml:space="preserve">Esta disposición garantiza la flexibilidad necesaria para dar cabida a nuevas tendencias y </w:t>
            </w:r>
            <w:r>
              <w:rPr>
                <w:rFonts w:asciiTheme="minorHAnsi" w:hAnsiTheme="minorHAnsi" w:cstheme="minorHAnsi"/>
                <w:bCs/>
                <w:sz w:val="22"/>
              </w:rPr>
              <w:lastRenderedPageBreak/>
              <w:t>cuestiones emergentes</w:t>
            </w:r>
            <w:r w:rsidR="001D3573">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30AD934B" w14:textId="16903994" w:rsidR="00CA5968" w:rsidRPr="00F261AC" w:rsidRDefault="00AA6BF7"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lastRenderedPageBreak/>
              <w:t>La disposición no requiere modificación, ya que es aplicable y flexible</w:t>
            </w:r>
            <w:r w:rsidR="00CA5968">
              <w:rPr>
                <w:rFonts w:asciiTheme="minorHAnsi" w:hAnsiTheme="minorHAnsi" w:cstheme="minorHAnsi"/>
                <w:bCs/>
                <w:sz w:val="22"/>
              </w:rPr>
              <w:t>.</w:t>
            </w:r>
          </w:p>
          <w:p w14:paraId="0DF8715A"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02E414F2"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08AD78BD"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01FD9F90" w14:textId="20553255" w:rsidR="00CA5968" w:rsidRPr="00F261AC" w:rsidRDefault="00CA5968" w:rsidP="00CA5968">
            <w:pPr>
              <w:tabs>
                <w:tab w:val="clear" w:pos="567"/>
                <w:tab w:val="left" w:pos="720"/>
              </w:tabs>
              <w:spacing w:before="0"/>
              <w:ind w:right="130"/>
              <w:rPr>
                <w:rStyle w:val="Artdef"/>
                <w:b w:val="0"/>
                <w:bCs/>
              </w:rPr>
            </w:pPr>
            <w:r w:rsidRPr="00F261AC">
              <w:rPr>
                <w:rStyle w:val="Artdef"/>
                <w:rFonts w:cs="Times New Roman"/>
              </w:rPr>
              <w:t>1/30</w:t>
            </w:r>
            <w:r w:rsidRPr="00F261AC">
              <w:rPr>
                <w:i/>
                <w:iCs/>
              </w:rPr>
              <w:tab/>
              <w:t>a)</w:t>
            </w:r>
            <w:r w:rsidRPr="00F261AC">
              <w:tab/>
            </w:r>
            <w:r w:rsidR="009B791B" w:rsidRPr="009B791B">
              <w:t>si la moneda elegida es aquélla en que está expresado el saldo de la cuenta, el importe del pago en la moneda elegida será el importe del saldo de la cuenta</w:t>
            </w:r>
            <w:r w:rsidRPr="00F261AC">
              <w:t>;</w:t>
            </w:r>
          </w:p>
        </w:tc>
        <w:tc>
          <w:tcPr>
            <w:tcW w:w="3601" w:type="dxa"/>
            <w:tcBorders>
              <w:top w:val="single" w:sz="4" w:space="0" w:color="auto"/>
              <w:left w:val="single" w:sz="4" w:space="0" w:color="auto"/>
              <w:bottom w:val="single" w:sz="4" w:space="0" w:color="auto"/>
              <w:right w:val="single" w:sz="4" w:space="0" w:color="auto"/>
            </w:tcBorders>
          </w:tcPr>
          <w:p w14:paraId="79DF13ED" w14:textId="654FF835"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1/27</w:t>
            </w:r>
            <w:r w:rsidRPr="00F261AC">
              <w:rPr>
                <w:i/>
                <w:iCs/>
              </w:rPr>
              <w:tab/>
              <w:t>a)</w:t>
            </w:r>
            <w:r w:rsidRPr="00F261AC">
              <w:tab/>
            </w:r>
            <w:r w:rsidR="00AA6BF7" w:rsidRPr="00AA6BF7">
              <w:t>si la moneda elegida es aquélla en que está expresado el saldo de la cuenta, el importe del pago en la moneda elegida será el importe del saldo de la cuenta</w:t>
            </w:r>
            <w:r w:rsidRPr="00F261AC">
              <w:t>;</w:t>
            </w:r>
          </w:p>
        </w:tc>
        <w:tc>
          <w:tcPr>
            <w:tcW w:w="2341" w:type="dxa"/>
            <w:tcBorders>
              <w:top w:val="single" w:sz="4" w:space="0" w:color="auto"/>
              <w:left w:val="single" w:sz="4" w:space="0" w:color="auto"/>
              <w:bottom w:val="single" w:sz="4" w:space="0" w:color="auto"/>
              <w:right w:val="single" w:sz="4" w:space="0" w:color="auto"/>
            </w:tcBorders>
          </w:tcPr>
          <w:p w14:paraId="7E0C6947" w14:textId="704D6168"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1D3573">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3D2FB537" w14:textId="5E3F08CF"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1D3573">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6A47D286" w14:textId="5E23070E" w:rsidR="00CA5968" w:rsidRPr="00F261AC" w:rsidRDefault="00AA6BF7"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60644CD3" w14:textId="77777777" w:rsidR="00CA5968" w:rsidRPr="00F261AC" w:rsidRDefault="00CA5968"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1837AA93"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030436AC"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53B22526" w14:textId="10B1BF95" w:rsidR="00CA5968" w:rsidRPr="00F261AC" w:rsidRDefault="00CA5968" w:rsidP="00CA5968">
            <w:pPr>
              <w:tabs>
                <w:tab w:val="clear" w:pos="567"/>
                <w:tab w:val="left" w:pos="720"/>
              </w:tabs>
              <w:spacing w:before="0"/>
              <w:ind w:right="130"/>
              <w:rPr>
                <w:rStyle w:val="Artdef"/>
                <w:b w:val="0"/>
                <w:bCs/>
              </w:rPr>
            </w:pPr>
            <w:r w:rsidRPr="00F261AC">
              <w:rPr>
                <w:rStyle w:val="Artdef"/>
                <w:rFonts w:cs="Times New Roman"/>
              </w:rPr>
              <w:t>1/31</w:t>
            </w:r>
            <w:r w:rsidRPr="00F261AC">
              <w:rPr>
                <w:i/>
                <w:iCs/>
              </w:rPr>
              <w:tab/>
              <w:t>b)</w:t>
            </w:r>
            <w:r w:rsidRPr="00F261AC">
              <w:tab/>
            </w:r>
            <w:r w:rsidR="009B791B" w:rsidRPr="009B791B">
              <w:rPr>
                <w:rFonts w:eastAsia="Times New Roman" w:cs="Times New Roman"/>
                <w:szCs w:val="20"/>
              </w:rPr>
              <w:t xml:space="preserve">si la moneda elegida para el pago no es aquélla en que está expresado el saldo, el </w:t>
            </w:r>
            <w:r w:rsidR="009B791B" w:rsidRPr="009B791B">
              <w:rPr>
                <w:rFonts w:eastAsia="Batang" w:cs="Times New Roman"/>
                <w:szCs w:val="20"/>
              </w:rPr>
              <w:t>importe</w:t>
            </w:r>
            <w:r w:rsidR="009B791B" w:rsidRPr="009B791B">
              <w:rPr>
                <w:rFonts w:eastAsia="Times New Roman" w:cs="Times New Roman"/>
                <w:szCs w:val="20"/>
              </w:rPr>
              <w:t xml:space="preserve"> se determinará convirtiendo el saldo de la cuenta en su valor equivalente en la moneda elegida, por el procedimiento descrito en el </w:t>
            </w:r>
            <w:r w:rsidR="009B791B">
              <w:rPr>
                <w:rFonts w:eastAsia="Times New Roman" w:cs="Times New Roman"/>
                <w:szCs w:val="20"/>
              </w:rPr>
              <w:t>núm. 1/28</w:t>
            </w:r>
            <w:r w:rsidR="009B791B" w:rsidRPr="009B791B">
              <w:rPr>
                <w:rFonts w:eastAsia="Times New Roman" w:cs="Times New Roman"/>
                <w:szCs w:val="20"/>
              </w:rPr>
              <w:t xml:space="preserve"> </w:t>
            </w:r>
            <w:r w:rsidR="009B791B">
              <w:rPr>
                <w:rFonts w:eastAsia="Times New Roman" w:cs="Times New Roman"/>
                <w:szCs w:val="20"/>
              </w:rPr>
              <w:t>(</w:t>
            </w:r>
            <w:r w:rsidR="009B791B" w:rsidRPr="009B791B">
              <w:rPr>
                <w:rFonts w:eastAsia="Times New Roman" w:cs="Times New Roman"/>
                <w:szCs w:val="20"/>
              </w:rPr>
              <w:t>3.2.3</w:t>
            </w:r>
            <w:r w:rsidR="009B791B">
              <w:rPr>
                <w:rFonts w:eastAsia="Times New Roman" w:cs="Times New Roman"/>
                <w:szCs w:val="20"/>
              </w:rPr>
              <w:t>)</w:t>
            </w:r>
            <w:r w:rsidR="009B791B" w:rsidRPr="009B791B">
              <w:rPr>
                <w:rFonts w:eastAsia="Times New Roman" w:cs="Times New Roman"/>
                <w:szCs w:val="20"/>
              </w:rPr>
              <w:t xml:space="preserve"> </w:t>
            </w:r>
            <w:r w:rsidR="009B791B" w:rsidRPr="009B791B">
              <w:rPr>
                <w:rFonts w:eastAsia="Times New Roman" w:cs="Times New Roman"/>
                <w:i/>
                <w:iCs/>
                <w:szCs w:val="20"/>
              </w:rPr>
              <w:t>supra</w:t>
            </w:r>
            <w:r w:rsidRPr="00F261AC">
              <w:t>.</w:t>
            </w:r>
          </w:p>
        </w:tc>
        <w:tc>
          <w:tcPr>
            <w:tcW w:w="3601" w:type="dxa"/>
            <w:tcBorders>
              <w:top w:val="single" w:sz="4" w:space="0" w:color="auto"/>
              <w:left w:val="single" w:sz="4" w:space="0" w:color="auto"/>
              <w:bottom w:val="single" w:sz="4" w:space="0" w:color="auto"/>
              <w:right w:val="single" w:sz="4" w:space="0" w:color="auto"/>
            </w:tcBorders>
          </w:tcPr>
          <w:p w14:paraId="74480A46" w14:textId="3482D6B4"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1/28</w:t>
            </w:r>
            <w:r w:rsidRPr="00F261AC">
              <w:rPr>
                <w:i/>
                <w:iCs/>
              </w:rPr>
              <w:tab/>
              <w:t>b)</w:t>
            </w:r>
            <w:r w:rsidRPr="00F261AC">
              <w:tab/>
            </w:r>
            <w:r w:rsidR="00AA6BF7" w:rsidRPr="00AA6BF7">
              <w:t>si la moneda elegida para el pago no es aquélla en que está expresado el saldo, el importe se determinará convirtiendo el saldo de la cuenta en su valor equivalente en la moneda elegida, por el procedimiento descrito en el § 3.2.3</w:t>
            </w:r>
            <w:r w:rsidRPr="00F261AC">
              <w:t>.</w:t>
            </w:r>
          </w:p>
        </w:tc>
        <w:tc>
          <w:tcPr>
            <w:tcW w:w="2341" w:type="dxa"/>
            <w:tcBorders>
              <w:top w:val="single" w:sz="4" w:space="0" w:color="auto"/>
              <w:left w:val="single" w:sz="4" w:space="0" w:color="auto"/>
              <w:bottom w:val="single" w:sz="4" w:space="0" w:color="auto"/>
              <w:right w:val="single" w:sz="4" w:space="0" w:color="auto"/>
            </w:tcBorders>
          </w:tcPr>
          <w:p w14:paraId="0ABF1213" w14:textId="639ECD83"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1D3573">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5F251314" w14:textId="3341CE75"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1D3573">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2C59DE9A" w14:textId="26B9F8D3" w:rsidR="00CA5968" w:rsidRPr="00F261AC" w:rsidRDefault="00AA6BF7"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0EBD88D9" w14:textId="77777777" w:rsidR="00CA5968" w:rsidRPr="00F261AC" w:rsidRDefault="00CA5968"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7ADF1F38"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2A9796A8"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147B68ED" w14:textId="73602EEA" w:rsidR="00CA5968" w:rsidRPr="00F261AC" w:rsidRDefault="00CA5968" w:rsidP="00CA5968">
            <w:pPr>
              <w:tabs>
                <w:tab w:val="clear" w:pos="567"/>
                <w:tab w:val="left" w:pos="720"/>
              </w:tabs>
              <w:spacing w:before="0"/>
              <w:ind w:right="130"/>
              <w:rPr>
                <w:rStyle w:val="Artdef"/>
                <w:b w:val="0"/>
                <w:bCs/>
              </w:rPr>
            </w:pPr>
            <w:r w:rsidRPr="00F261AC">
              <w:rPr>
                <w:rStyle w:val="Artdef"/>
                <w:rFonts w:cs="Times New Roman"/>
                <w:bCs/>
              </w:rPr>
              <w:t>1/32</w:t>
            </w:r>
            <w:r w:rsidRPr="00F261AC">
              <w:tab/>
            </w:r>
            <w:r w:rsidRPr="00F261AC">
              <w:rPr>
                <w:b/>
                <w:bCs/>
              </w:rPr>
              <w:t>3.3</w:t>
            </w:r>
            <w:r w:rsidRPr="00F261AC">
              <w:rPr>
                <w:b/>
                <w:bCs/>
              </w:rPr>
              <w:tab/>
            </w:r>
            <w:r w:rsidR="009B791B" w:rsidRPr="009B791B">
              <w:rPr>
                <w:b/>
                <w:bCs/>
              </w:rPr>
              <w:t>Pago de los saldos</w:t>
            </w:r>
          </w:p>
        </w:tc>
        <w:tc>
          <w:tcPr>
            <w:tcW w:w="3601" w:type="dxa"/>
            <w:tcBorders>
              <w:top w:val="single" w:sz="4" w:space="0" w:color="auto"/>
              <w:left w:val="single" w:sz="4" w:space="0" w:color="auto"/>
              <w:bottom w:val="single" w:sz="4" w:space="0" w:color="auto"/>
              <w:right w:val="single" w:sz="4" w:space="0" w:color="auto"/>
            </w:tcBorders>
          </w:tcPr>
          <w:p w14:paraId="5D7500EC" w14:textId="3AEF780C"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1/29</w:t>
            </w:r>
            <w:r w:rsidRPr="00F261AC">
              <w:tab/>
            </w:r>
            <w:r w:rsidRPr="00F261AC">
              <w:rPr>
                <w:b/>
                <w:bCs/>
              </w:rPr>
              <w:t>3.3</w:t>
            </w:r>
            <w:r w:rsidRPr="00F261AC">
              <w:rPr>
                <w:b/>
                <w:bCs/>
              </w:rPr>
              <w:tab/>
            </w:r>
            <w:r w:rsidR="00AA6BF7" w:rsidRPr="00AA6BF7">
              <w:rPr>
                <w:b/>
                <w:bCs/>
              </w:rPr>
              <w:t>Pago de los saldos</w:t>
            </w:r>
          </w:p>
        </w:tc>
        <w:tc>
          <w:tcPr>
            <w:tcW w:w="2341" w:type="dxa"/>
            <w:tcBorders>
              <w:top w:val="single" w:sz="4" w:space="0" w:color="auto"/>
              <w:left w:val="single" w:sz="4" w:space="0" w:color="auto"/>
              <w:bottom w:val="single" w:sz="4" w:space="0" w:color="auto"/>
              <w:right w:val="single" w:sz="4" w:space="0" w:color="auto"/>
            </w:tcBorders>
          </w:tcPr>
          <w:p w14:paraId="6CB139BE" w14:textId="77777777" w:rsidR="00CA5968" w:rsidRPr="00F261AC" w:rsidRDefault="00CA5968" w:rsidP="00CA5968">
            <w:pPr>
              <w:tabs>
                <w:tab w:val="clear" w:pos="567"/>
                <w:tab w:val="left" w:pos="720"/>
              </w:tabs>
              <w:spacing w:before="0"/>
              <w:rPr>
                <w:rFonts w:asciiTheme="minorHAnsi" w:hAnsiTheme="minorHAnsi" w:cstheme="minorHAnsi"/>
                <w:bCs/>
                <w:sz w:val="22"/>
                <w:highlight w:val="lightGray"/>
              </w:rPr>
            </w:pPr>
          </w:p>
        </w:tc>
        <w:tc>
          <w:tcPr>
            <w:tcW w:w="1981" w:type="dxa"/>
            <w:tcBorders>
              <w:top w:val="single" w:sz="4" w:space="0" w:color="auto"/>
              <w:left w:val="single" w:sz="4" w:space="0" w:color="auto"/>
              <w:bottom w:val="single" w:sz="4" w:space="0" w:color="auto"/>
              <w:right w:val="single" w:sz="4" w:space="0" w:color="auto"/>
            </w:tcBorders>
          </w:tcPr>
          <w:p w14:paraId="66013052" w14:textId="77777777" w:rsidR="00CA5968" w:rsidRPr="00F261AC" w:rsidRDefault="00CA5968" w:rsidP="00CA5968">
            <w:pPr>
              <w:tabs>
                <w:tab w:val="clear" w:pos="567"/>
                <w:tab w:val="left" w:pos="720"/>
              </w:tabs>
              <w:spacing w:before="0"/>
              <w:rPr>
                <w:rFonts w:asciiTheme="minorHAnsi" w:hAnsiTheme="minorHAnsi" w:cstheme="minorHAnsi"/>
                <w:bCs/>
                <w:sz w:val="22"/>
              </w:rPr>
            </w:pPr>
          </w:p>
        </w:tc>
        <w:tc>
          <w:tcPr>
            <w:tcW w:w="1860" w:type="dxa"/>
            <w:gridSpan w:val="2"/>
            <w:tcBorders>
              <w:top w:val="single" w:sz="4" w:space="0" w:color="auto"/>
              <w:left w:val="single" w:sz="4" w:space="0" w:color="auto"/>
              <w:bottom w:val="single" w:sz="4" w:space="0" w:color="auto"/>
              <w:right w:val="single" w:sz="4" w:space="0" w:color="auto"/>
            </w:tcBorders>
          </w:tcPr>
          <w:p w14:paraId="56A7B532" w14:textId="77777777" w:rsidR="00CA5968" w:rsidRPr="00F261AC" w:rsidRDefault="00CA5968"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24B7D394"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5CBDA24D"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720840A8" w14:textId="2F33A0BC" w:rsidR="00CA5968" w:rsidRPr="00F261AC" w:rsidRDefault="00CA5968" w:rsidP="00CA5968">
            <w:pPr>
              <w:tabs>
                <w:tab w:val="clear" w:pos="567"/>
                <w:tab w:val="left" w:pos="720"/>
              </w:tabs>
              <w:spacing w:before="0"/>
              <w:ind w:right="130"/>
              <w:rPr>
                <w:rStyle w:val="Artdef"/>
                <w:b w:val="0"/>
                <w:bCs/>
              </w:rPr>
            </w:pPr>
            <w:r w:rsidRPr="00F261AC">
              <w:rPr>
                <w:rStyle w:val="Artdef"/>
                <w:rFonts w:cs="Times New Roman"/>
              </w:rPr>
              <w:t>1/33</w:t>
            </w:r>
            <w:r w:rsidRPr="00F261AC">
              <w:tab/>
              <w:t>3.3.1</w:t>
            </w:r>
            <w:r w:rsidRPr="00F261AC">
              <w:tab/>
            </w:r>
            <w:r w:rsidR="009B791B" w:rsidRPr="009B791B">
              <w:t xml:space="preserve">El pago de los saldos de las cuentas se efectuará lo antes posible y en todo caso en un plazo máximo de dos meses naturales contados a partir de la fecha de expedición de la cuenta por la empresa de explotación autorizada acreedora. Transcurrido este plazo, la empresa de explotación autorizada acreedora podrá exigir intereses que, en ausencia de acuerdo mutuo, podrán ascender </w:t>
            </w:r>
            <w:r w:rsidR="009B791B" w:rsidRPr="009B791B">
              <w:lastRenderedPageBreak/>
              <w:t>hasta el 6% anual a contar desde el día siguiente al de la expiración de dicho plazo, a reserva de notificación previa en forma de una reclamación definitiva del pago</w:t>
            </w:r>
            <w:r w:rsidRPr="00F261AC">
              <w:t>.</w:t>
            </w:r>
          </w:p>
        </w:tc>
        <w:tc>
          <w:tcPr>
            <w:tcW w:w="3601" w:type="dxa"/>
            <w:tcBorders>
              <w:top w:val="single" w:sz="4" w:space="0" w:color="auto"/>
              <w:left w:val="single" w:sz="4" w:space="0" w:color="auto"/>
              <w:bottom w:val="single" w:sz="4" w:space="0" w:color="auto"/>
              <w:right w:val="single" w:sz="4" w:space="0" w:color="auto"/>
            </w:tcBorders>
          </w:tcPr>
          <w:p w14:paraId="41A56152" w14:textId="2CB3AC34"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lastRenderedPageBreak/>
              <w:t>1/30</w:t>
            </w:r>
            <w:r w:rsidRPr="00F261AC">
              <w:tab/>
              <w:t>3.3.1</w:t>
            </w:r>
            <w:r w:rsidRPr="00F261AC">
              <w:tab/>
            </w:r>
            <w:r w:rsidR="00AA6BF7" w:rsidRPr="00AA6BF7">
              <w:t>El pago de los saldos de las cuentas se efectuará lo antes posible y en todo caso en un plazo máximo de dos meses contados a partir de la fecha de expedición de la cuenta por la administración acreedora. Transcurrido este plazo, la administración</w:t>
            </w:r>
            <w:r w:rsidR="00FD1553">
              <w:t>*</w:t>
            </w:r>
            <w:r w:rsidR="00AA6BF7" w:rsidRPr="00AA6BF7">
              <w:t xml:space="preserve"> acreedora podrá exigir intereses que, en ausencia de acuerdo mutuo, podrán ascender hasta el 6% anual a contar desde el día siguiente al de la expiración de </w:t>
            </w:r>
            <w:r w:rsidR="00AA6BF7" w:rsidRPr="00AA6BF7">
              <w:lastRenderedPageBreak/>
              <w:t>dicho plazo, a reserva de notificación previa en forma de una reclamación definitiva del pago</w:t>
            </w:r>
            <w:r w:rsidRPr="00F261AC">
              <w:t>.</w:t>
            </w:r>
          </w:p>
        </w:tc>
        <w:tc>
          <w:tcPr>
            <w:tcW w:w="2341" w:type="dxa"/>
            <w:tcBorders>
              <w:top w:val="single" w:sz="4" w:space="0" w:color="auto"/>
              <w:left w:val="single" w:sz="4" w:space="0" w:color="auto"/>
              <w:bottom w:val="single" w:sz="4" w:space="0" w:color="auto"/>
              <w:right w:val="single" w:sz="4" w:space="0" w:color="auto"/>
            </w:tcBorders>
          </w:tcPr>
          <w:p w14:paraId="00935D09" w14:textId="7E9A2F7F"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lastRenderedPageBreak/>
              <w:t>La disposición es aplicable para fomentar el suministro y el desarrollo de redes y servicios</w:t>
            </w:r>
            <w:r w:rsidR="001D3573">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3064D85E" w14:textId="7C1D28E6"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1D3573">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27CD6D89" w14:textId="600398E7" w:rsidR="00CA5968" w:rsidRPr="00F261AC" w:rsidRDefault="00AA6BF7"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0EEFE884" w14:textId="77777777" w:rsidR="00CA5968" w:rsidRPr="00F261AC" w:rsidRDefault="00CA5968" w:rsidP="001D3573">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7C260F7C"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3B3C98C3"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1EBD57AE" w14:textId="64FAC1BB" w:rsidR="00CA5968" w:rsidRPr="00F261AC" w:rsidRDefault="00CA5968" w:rsidP="00CA5968">
            <w:pPr>
              <w:tabs>
                <w:tab w:val="clear" w:pos="567"/>
                <w:tab w:val="left" w:pos="720"/>
              </w:tabs>
              <w:spacing w:before="0"/>
              <w:ind w:right="130"/>
              <w:rPr>
                <w:rStyle w:val="Artdef"/>
              </w:rPr>
            </w:pPr>
            <w:r w:rsidRPr="00F261AC">
              <w:rPr>
                <w:rStyle w:val="Artdef"/>
                <w:rFonts w:cs="Times New Roman"/>
              </w:rPr>
              <w:t>1/34</w:t>
            </w:r>
            <w:r w:rsidRPr="00F261AC">
              <w:tab/>
              <w:t>3.3.2</w:t>
            </w:r>
            <w:r w:rsidRPr="00F261AC">
              <w:tab/>
            </w:r>
            <w:r w:rsidR="009B791B" w:rsidRPr="009B791B">
              <w:t>El pago del saldo de la cuenta no se demorará en espera del acuerdo sobre una reclamación relativa a dicha cuenta. Los reajustes que eventualmente se convengan se incluirán en una cuenta posterior</w:t>
            </w:r>
            <w:r w:rsidRPr="00F261AC">
              <w:t>.</w:t>
            </w:r>
          </w:p>
        </w:tc>
        <w:tc>
          <w:tcPr>
            <w:tcW w:w="3601" w:type="dxa"/>
            <w:tcBorders>
              <w:top w:val="single" w:sz="4" w:space="0" w:color="auto"/>
              <w:left w:val="single" w:sz="4" w:space="0" w:color="auto"/>
              <w:bottom w:val="single" w:sz="4" w:space="0" w:color="auto"/>
              <w:right w:val="single" w:sz="4" w:space="0" w:color="auto"/>
            </w:tcBorders>
          </w:tcPr>
          <w:p w14:paraId="60D9807B" w14:textId="08F7C41B"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1/31</w:t>
            </w:r>
            <w:r w:rsidRPr="00F261AC">
              <w:tab/>
              <w:t>3.3.2</w:t>
            </w:r>
            <w:r w:rsidRPr="00F261AC">
              <w:tab/>
            </w:r>
            <w:r w:rsidR="00AA6BF7" w:rsidRPr="00AA6BF7">
              <w:t>El pago del saldo de la cuenta no se demorará en espera del acuerdo sobre una reclamación relativa a dicha cuenta. Los reajustes que eventualmente se convengan se incluirán en una cuenta posterior</w:t>
            </w:r>
            <w:r w:rsidRPr="00F261AC">
              <w:t>.</w:t>
            </w:r>
          </w:p>
        </w:tc>
        <w:tc>
          <w:tcPr>
            <w:tcW w:w="2341" w:type="dxa"/>
            <w:tcBorders>
              <w:top w:val="single" w:sz="4" w:space="0" w:color="auto"/>
              <w:left w:val="single" w:sz="4" w:space="0" w:color="auto"/>
              <w:bottom w:val="single" w:sz="4" w:space="0" w:color="auto"/>
              <w:right w:val="single" w:sz="4" w:space="0" w:color="auto"/>
            </w:tcBorders>
          </w:tcPr>
          <w:p w14:paraId="1322D976" w14:textId="041DC6E5"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C60676">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3AFD3120" w14:textId="0563F6F1"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C60676">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1E526761" w14:textId="7B52BDAB" w:rsidR="00CA5968" w:rsidRPr="00F261AC" w:rsidRDefault="00AA6BF7" w:rsidP="00C60676">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5A54A40B" w14:textId="77777777" w:rsidR="00CA5968" w:rsidRPr="00F261AC" w:rsidRDefault="00CA5968" w:rsidP="00C60676">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7A556C79"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5B2D11EA"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6B15203D" w14:textId="76715E0A" w:rsidR="00CA5968" w:rsidRPr="00F261AC" w:rsidRDefault="00CA5968" w:rsidP="00CA5968">
            <w:pPr>
              <w:tabs>
                <w:tab w:val="clear" w:pos="567"/>
                <w:tab w:val="left" w:pos="720"/>
              </w:tabs>
              <w:spacing w:before="0"/>
              <w:ind w:right="130"/>
              <w:rPr>
                <w:rStyle w:val="Artdef"/>
              </w:rPr>
            </w:pPr>
            <w:r w:rsidRPr="00F261AC">
              <w:rPr>
                <w:rStyle w:val="Artdef"/>
                <w:rFonts w:cs="Times New Roman"/>
              </w:rPr>
              <w:t>1/35</w:t>
            </w:r>
            <w:r w:rsidRPr="00F261AC">
              <w:tab/>
              <w:t>3.3.3</w:t>
            </w:r>
            <w:r w:rsidRPr="00F261AC">
              <w:tab/>
            </w:r>
            <w:r w:rsidR="009B791B" w:rsidRPr="009B791B">
              <w:t>El día del pago, el deudor transmitirá el importe expresado en la moneda elegida y calculado según se indica en los párrafos anteriores, por cheque bancario, transferencia o cualquier otro medio aceptable para el deudor y el acreedor. Si el acreedor no expresa preferencia, la elección corresponderá al deudor</w:t>
            </w:r>
            <w:r w:rsidRPr="00F261AC">
              <w:t>.</w:t>
            </w:r>
          </w:p>
        </w:tc>
        <w:tc>
          <w:tcPr>
            <w:tcW w:w="3601" w:type="dxa"/>
            <w:tcBorders>
              <w:top w:val="single" w:sz="4" w:space="0" w:color="auto"/>
              <w:left w:val="single" w:sz="4" w:space="0" w:color="auto"/>
              <w:bottom w:val="single" w:sz="4" w:space="0" w:color="auto"/>
              <w:right w:val="single" w:sz="4" w:space="0" w:color="auto"/>
            </w:tcBorders>
          </w:tcPr>
          <w:p w14:paraId="2482A305" w14:textId="2441A8C7"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1/32</w:t>
            </w:r>
            <w:r w:rsidRPr="00F261AC">
              <w:tab/>
              <w:t>3.3.3</w:t>
            </w:r>
            <w:r w:rsidRPr="00F261AC">
              <w:tab/>
            </w:r>
            <w:r w:rsidR="00AA6BF7" w:rsidRPr="00AA6BF7">
              <w:t>El día del pago, el deudor transmitirá el importe expresado en la moneda elegida y calculado según se indica en los párrafos anteriores, por cheque bancario, giro o cualquier otro medio aceptable para el deudor y el acreedor. Si el acreedor no expresa preferencia, la elección corresponderá al deudor</w:t>
            </w:r>
            <w:r w:rsidRPr="00F261AC">
              <w:t>.</w:t>
            </w:r>
          </w:p>
        </w:tc>
        <w:tc>
          <w:tcPr>
            <w:tcW w:w="2341" w:type="dxa"/>
            <w:tcBorders>
              <w:top w:val="single" w:sz="4" w:space="0" w:color="auto"/>
              <w:left w:val="single" w:sz="4" w:space="0" w:color="auto"/>
              <w:bottom w:val="single" w:sz="4" w:space="0" w:color="auto"/>
              <w:right w:val="single" w:sz="4" w:space="0" w:color="auto"/>
            </w:tcBorders>
          </w:tcPr>
          <w:p w14:paraId="42B4CF28" w14:textId="4DB8E7E7"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C60676">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2D7C114B" w14:textId="6705346B"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C60676">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0BB022F8" w14:textId="1F60F27D" w:rsidR="00CA5968" w:rsidRPr="00F261AC" w:rsidRDefault="00AA6BF7" w:rsidP="00C60676">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7F3A4AD3" w14:textId="77777777" w:rsidR="00CA5968" w:rsidRPr="00F261AC" w:rsidRDefault="00CA5968" w:rsidP="00C60676">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3A692A6D"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3A2F467C"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42AFC582" w14:textId="43B4F1C2" w:rsidR="00CA5968" w:rsidRPr="00F261AC" w:rsidRDefault="00CA5968" w:rsidP="00CA5968">
            <w:pPr>
              <w:tabs>
                <w:tab w:val="clear" w:pos="567"/>
                <w:tab w:val="left" w:pos="720"/>
              </w:tabs>
              <w:spacing w:before="0"/>
              <w:ind w:right="130"/>
              <w:rPr>
                <w:rStyle w:val="Artdef"/>
              </w:rPr>
            </w:pPr>
            <w:r w:rsidRPr="00F261AC">
              <w:rPr>
                <w:rStyle w:val="Artdef"/>
                <w:rFonts w:cs="Times New Roman"/>
              </w:rPr>
              <w:t>1/36</w:t>
            </w:r>
            <w:r w:rsidRPr="00F261AC">
              <w:tab/>
              <w:t>3.3.4</w:t>
            </w:r>
            <w:r w:rsidRPr="00F261AC">
              <w:tab/>
            </w:r>
            <w:r w:rsidR="009B791B" w:rsidRPr="009B791B">
              <w:t xml:space="preserve">Los gastos de pago (tributos, gastos de compensación, comisiones, etc.) satisfechos en el país deudor correrán por cuenta del deudor. Tales gastos satisfechos en el país acreedor, comprendidos los gastos de pago cobrados por los </w:t>
            </w:r>
            <w:r w:rsidR="009B791B" w:rsidRPr="009B791B">
              <w:lastRenderedPageBreak/>
              <w:t>bancos intermediarios en terceros países, correrán por cuenta del acreedor</w:t>
            </w:r>
            <w:r w:rsidRPr="00F261AC">
              <w:t>.</w:t>
            </w:r>
          </w:p>
        </w:tc>
        <w:tc>
          <w:tcPr>
            <w:tcW w:w="3601" w:type="dxa"/>
            <w:tcBorders>
              <w:top w:val="single" w:sz="4" w:space="0" w:color="auto"/>
              <w:left w:val="single" w:sz="4" w:space="0" w:color="auto"/>
              <w:bottom w:val="single" w:sz="4" w:space="0" w:color="auto"/>
              <w:right w:val="single" w:sz="4" w:space="0" w:color="auto"/>
            </w:tcBorders>
          </w:tcPr>
          <w:p w14:paraId="6C38EA7C" w14:textId="16F96AEC"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lastRenderedPageBreak/>
              <w:t>1/33</w:t>
            </w:r>
            <w:r w:rsidRPr="00F261AC">
              <w:tab/>
              <w:t>3.3.4</w:t>
            </w:r>
            <w:r w:rsidRPr="00F261AC">
              <w:tab/>
            </w:r>
            <w:r w:rsidR="00AA6BF7" w:rsidRPr="00AA6BF7">
              <w:t xml:space="preserve">Los gastos de pago (tributos, gastos de compensación, comisiones, etc.) satisfechos en el país deudor correrán por cuenta del deudor. Tales gastos satisfechos en el país acreedor, comprendidos los gastos de pago cobrados por los bancos </w:t>
            </w:r>
            <w:r w:rsidR="00AA6BF7" w:rsidRPr="00AA6BF7">
              <w:lastRenderedPageBreak/>
              <w:t>intermediarios en terceros países, correrán por cuenta del acreedor</w:t>
            </w:r>
            <w:r w:rsidRPr="00F261AC">
              <w:t>.</w:t>
            </w:r>
          </w:p>
        </w:tc>
        <w:tc>
          <w:tcPr>
            <w:tcW w:w="2341" w:type="dxa"/>
            <w:tcBorders>
              <w:top w:val="single" w:sz="4" w:space="0" w:color="auto"/>
              <w:left w:val="single" w:sz="4" w:space="0" w:color="auto"/>
              <w:bottom w:val="single" w:sz="4" w:space="0" w:color="auto"/>
              <w:right w:val="single" w:sz="4" w:space="0" w:color="auto"/>
            </w:tcBorders>
          </w:tcPr>
          <w:p w14:paraId="5E888437" w14:textId="49A56C7F"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lastRenderedPageBreak/>
              <w:t>La disposición es aplicable para fomentar el suministro y el desarrollo de redes y servicios</w:t>
            </w:r>
            <w:r w:rsidR="00C60676">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364524D9" w14:textId="6A402D55"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C60676">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15A35DC5" w14:textId="633473F4" w:rsidR="00CA5968" w:rsidRPr="00F261AC" w:rsidRDefault="00AA6BF7" w:rsidP="00C60676">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3751063D" w14:textId="77777777" w:rsidR="00CA5968" w:rsidRPr="00F261AC" w:rsidRDefault="00CA5968" w:rsidP="00C60676">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70DB9A05"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6F8D7063"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201D692C" w14:textId="394E415C" w:rsidR="00CA5968" w:rsidRPr="00F261AC" w:rsidRDefault="00CA5968" w:rsidP="00CA5968">
            <w:pPr>
              <w:tabs>
                <w:tab w:val="clear" w:pos="567"/>
                <w:tab w:val="left" w:pos="720"/>
              </w:tabs>
              <w:spacing w:before="0"/>
              <w:ind w:right="130"/>
              <w:rPr>
                <w:rStyle w:val="Artdef"/>
              </w:rPr>
            </w:pPr>
            <w:r w:rsidRPr="00F261AC">
              <w:rPr>
                <w:rStyle w:val="Artdef"/>
                <w:rFonts w:cs="Times New Roman"/>
                <w:bCs/>
              </w:rPr>
              <w:t>1/37</w:t>
            </w:r>
            <w:r w:rsidRPr="00F261AC">
              <w:tab/>
            </w:r>
            <w:r w:rsidRPr="00F261AC">
              <w:rPr>
                <w:b/>
                <w:bCs/>
              </w:rPr>
              <w:t>3.4</w:t>
            </w:r>
            <w:r w:rsidRPr="00F261AC">
              <w:rPr>
                <w:b/>
                <w:bCs/>
              </w:rPr>
              <w:tab/>
            </w:r>
            <w:r w:rsidR="009B791B" w:rsidRPr="009B791B">
              <w:rPr>
                <w:b/>
                <w:bCs/>
              </w:rPr>
              <w:t>Disposiciones adicionales</w:t>
            </w:r>
          </w:p>
        </w:tc>
        <w:tc>
          <w:tcPr>
            <w:tcW w:w="3601" w:type="dxa"/>
            <w:tcBorders>
              <w:top w:val="single" w:sz="4" w:space="0" w:color="auto"/>
              <w:left w:val="single" w:sz="4" w:space="0" w:color="auto"/>
              <w:bottom w:val="single" w:sz="4" w:space="0" w:color="auto"/>
              <w:right w:val="single" w:sz="4" w:space="0" w:color="auto"/>
            </w:tcBorders>
          </w:tcPr>
          <w:p w14:paraId="23588358" w14:textId="1A97855E"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1/34</w:t>
            </w:r>
            <w:r w:rsidRPr="00F261AC">
              <w:tab/>
            </w:r>
            <w:r w:rsidRPr="00F261AC">
              <w:rPr>
                <w:b/>
                <w:bCs/>
              </w:rPr>
              <w:t>3.4</w:t>
            </w:r>
            <w:r w:rsidRPr="00F261AC">
              <w:rPr>
                <w:b/>
                <w:bCs/>
              </w:rPr>
              <w:tab/>
            </w:r>
            <w:r w:rsidR="00AA6BF7" w:rsidRPr="00AA6BF7">
              <w:rPr>
                <w:b/>
                <w:bCs/>
              </w:rPr>
              <w:t>Disposiciones adicionales</w:t>
            </w:r>
          </w:p>
        </w:tc>
        <w:tc>
          <w:tcPr>
            <w:tcW w:w="2341" w:type="dxa"/>
            <w:tcBorders>
              <w:top w:val="single" w:sz="4" w:space="0" w:color="auto"/>
              <w:left w:val="single" w:sz="4" w:space="0" w:color="auto"/>
              <w:bottom w:val="single" w:sz="4" w:space="0" w:color="auto"/>
              <w:right w:val="single" w:sz="4" w:space="0" w:color="auto"/>
            </w:tcBorders>
          </w:tcPr>
          <w:p w14:paraId="15B38FF4" w14:textId="77777777" w:rsidR="00CA5968" w:rsidRPr="00F261AC" w:rsidRDefault="00CA5968" w:rsidP="00CA5968">
            <w:pPr>
              <w:tabs>
                <w:tab w:val="clear" w:pos="567"/>
                <w:tab w:val="left" w:pos="720"/>
              </w:tabs>
              <w:spacing w:before="0"/>
              <w:rPr>
                <w:rFonts w:asciiTheme="minorHAnsi" w:hAnsiTheme="minorHAnsi" w:cstheme="minorHAnsi"/>
                <w:bCs/>
                <w:sz w:val="22"/>
                <w:highlight w:val="lightGray"/>
              </w:rPr>
            </w:pPr>
          </w:p>
        </w:tc>
        <w:tc>
          <w:tcPr>
            <w:tcW w:w="1981" w:type="dxa"/>
            <w:tcBorders>
              <w:top w:val="single" w:sz="4" w:space="0" w:color="auto"/>
              <w:left w:val="single" w:sz="4" w:space="0" w:color="auto"/>
              <w:bottom w:val="single" w:sz="4" w:space="0" w:color="auto"/>
              <w:right w:val="single" w:sz="4" w:space="0" w:color="auto"/>
            </w:tcBorders>
          </w:tcPr>
          <w:p w14:paraId="24A633F9" w14:textId="77777777" w:rsidR="00CA5968" w:rsidRPr="00F261AC" w:rsidRDefault="00CA5968" w:rsidP="00CA5968">
            <w:pPr>
              <w:tabs>
                <w:tab w:val="clear" w:pos="567"/>
                <w:tab w:val="left" w:pos="720"/>
              </w:tabs>
              <w:spacing w:before="0"/>
              <w:rPr>
                <w:rFonts w:asciiTheme="minorHAnsi" w:hAnsiTheme="minorHAnsi" w:cstheme="minorHAnsi"/>
                <w:bCs/>
                <w:sz w:val="22"/>
              </w:rPr>
            </w:pPr>
          </w:p>
        </w:tc>
        <w:tc>
          <w:tcPr>
            <w:tcW w:w="1860" w:type="dxa"/>
            <w:gridSpan w:val="2"/>
            <w:tcBorders>
              <w:top w:val="single" w:sz="4" w:space="0" w:color="auto"/>
              <w:left w:val="single" w:sz="4" w:space="0" w:color="auto"/>
              <w:bottom w:val="single" w:sz="4" w:space="0" w:color="auto"/>
              <w:right w:val="single" w:sz="4" w:space="0" w:color="auto"/>
            </w:tcBorders>
          </w:tcPr>
          <w:p w14:paraId="17249101"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55881F2C"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33B096AC"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18910AD8" w14:textId="77777777" w:rsidR="00CA5968" w:rsidRPr="00F261AC" w:rsidRDefault="00CA5968" w:rsidP="00CA5968">
            <w:pPr>
              <w:tabs>
                <w:tab w:val="clear" w:pos="567"/>
                <w:tab w:val="left" w:pos="720"/>
              </w:tabs>
              <w:spacing w:before="0"/>
              <w:ind w:right="130"/>
              <w:rPr>
                <w:rStyle w:val="Artdef"/>
              </w:rPr>
            </w:pPr>
          </w:p>
        </w:tc>
        <w:tc>
          <w:tcPr>
            <w:tcW w:w="3601" w:type="dxa"/>
            <w:tcBorders>
              <w:top w:val="single" w:sz="4" w:space="0" w:color="auto"/>
              <w:left w:val="single" w:sz="4" w:space="0" w:color="auto"/>
              <w:bottom w:val="single" w:sz="4" w:space="0" w:color="auto"/>
              <w:right w:val="single" w:sz="4" w:space="0" w:color="auto"/>
            </w:tcBorders>
          </w:tcPr>
          <w:p w14:paraId="0F59C974" w14:textId="095C0474" w:rsidR="00CA5968" w:rsidRPr="00F261AC" w:rsidRDefault="00CA5968" w:rsidP="00CA5968">
            <w:r w:rsidRPr="00F261AC">
              <w:rPr>
                <w:rStyle w:val="Artdef"/>
              </w:rPr>
              <w:t>1/35</w:t>
            </w:r>
            <w:r w:rsidRPr="00F261AC">
              <w:tab/>
              <w:t>3.4.1</w:t>
            </w:r>
            <w:r w:rsidRPr="00F261AC">
              <w:tab/>
            </w:r>
            <w:r w:rsidR="00AA6BF7" w:rsidRPr="00AA6BF7">
              <w:t>Las administraciones podrán, por acuerdo mutuo y siempre que se cumplan los plazos de pago, liquidar sus saldos de todo tipo por compensación</w:t>
            </w:r>
            <w:r w:rsidRPr="00F261AC">
              <w:t>:</w:t>
            </w:r>
          </w:p>
          <w:p w14:paraId="02921779" w14:textId="3C793A9E" w:rsidR="00CA5968" w:rsidRPr="00F261AC" w:rsidRDefault="00CA5968" w:rsidP="00CA5968">
            <w:pPr>
              <w:pStyle w:val="enumlev1"/>
            </w:pPr>
            <w:r w:rsidRPr="00F261AC">
              <w:t>–</w:t>
            </w:r>
            <w:r w:rsidRPr="00F261AC">
              <w:tab/>
            </w:r>
            <w:r w:rsidR="00AA6BF7" w:rsidRPr="00AA6BF7">
              <w:t>de sus créditos y deudas en sus relaciones con otras administraciones, y</w:t>
            </w:r>
          </w:p>
          <w:p w14:paraId="399B3681" w14:textId="53079CBB" w:rsidR="00CA5968" w:rsidRPr="00F261AC" w:rsidRDefault="00CA5968" w:rsidP="00CA5968">
            <w:pPr>
              <w:pStyle w:val="enumlev1"/>
              <w:rPr>
                <w:rFonts w:asciiTheme="minorHAnsi" w:eastAsia="SimSun" w:hAnsiTheme="minorHAnsi" w:cs="Times New Roman Bold"/>
                <w:b/>
                <w:bCs/>
                <w:iCs/>
                <w:color w:val="000000"/>
                <w:sz w:val="22"/>
              </w:rPr>
            </w:pPr>
            <w:r w:rsidRPr="00F261AC">
              <w:t>–</w:t>
            </w:r>
            <w:r w:rsidRPr="00F261AC">
              <w:tab/>
            </w:r>
            <w:r w:rsidR="00AA6BF7" w:rsidRPr="00AA6BF7">
              <w:t>de los créditos de los servicios postales, en su caso</w:t>
            </w:r>
            <w:r w:rsidRPr="00F261AC">
              <w:t>.</w:t>
            </w:r>
          </w:p>
        </w:tc>
        <w:tc>
          <w:tcPr>
            <w:tcW w:w="6182" w:type="dxa"/>
            <w:gridSpan w:val="4"/>
            <w:tcBorders>
              <w:top w:val="single" w:sz="4" w:space="0" w:color="auto"/>
              <w:left w:val="single" w:sz="4" w:space="0" w:color="auto"/>
              <w:bottom w:val="single" w:sz="4" w:space="0" w:color="auto"/>
              <w:right w:val="single" w:sz="4" w:space="0" w:color="auto"/>
            </w:tcBorders>
          </w:tcPr>
          <w:p w14:paraId="1286B987" w14:textId="280588B6" w:rsidR="00CA5968" w:rsidRPr="00EC47B7" w:rsidRDefault="00DD1935" w:rsidP="00CA5968">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i/>
                <w:iCs/>
                <w:sz w:val="22"/>
              </w:rPr>
            </w:pPr>
            <w:r>
              <w:rPr>
                <w:rFonts w:asciiTheme="minorHAnsi" w:hAnsiTheme="minorHAnsi" w:cstheme="minorHAnsi"/>
                <w:bCs/>
                <w:i/>
                <w:iCs/>
                <w:sz w:val="22"/>
              </w:rPr>
              <w:t>Véanse más arriba los núms.</w:t>
            </w:r>
            <w:r w:rsidR="00CA5968" w:rsidRPr="00EC47B7">
              <w:rPr>
                <w:rFonts w:asciiTheme="minorHAnsi" w:hAnsiTheme="minorHAnsi" w:cstheme="minorHAnsi"/>
                <w:bCs/>
                <w:i/>
                <w:iCs/>
                <w:sz w:val="22"/>
              </w:rPr>
              <w:t xml:space="preserve"> 1/21</w:t>
            </w:r>
            <w:r>
              <w:rPr>
                <w:rFonts w:asciiTheme="minorHAnsi" w:hAnsiTheme="minorHAnsi" w:cstheme="minorHAnsi"/>
                <w:bCs/>
                <w:i/>
                <w:iCs/>
                <w:sz w:val="22"/>
              </w:rPr>
              <w:t xml:space="preserve"> a </w:t>
            </w:r>
            <w:r w:rsidR="00CA5968" w:rsidRPr="00EC47B7">
              <w:rPr>
                <w:rFonts w:asciiTheme="minorHAnsi" w:hAnsiTheme="minorHAnsi" w:cstheme="minorHAnsi"/>
                <w:bCs/>
                <w:i/>
                <w:iCs/>
                <w:sz w:val="22"/>
              </w:rPr>
              <w:t xml:space="preserve">1/24 </w:t>
            </w:r>
            <w:r>
              <w:rPr>
                <w:rFonts w:asciiTheme="minorHAnsi" w:hAnsiTheme="minorHAnsi" w:cstheme="minorHAnsi"/>
                <w:bCs/>
                <w:i/>
                <w:iCs/>
                <w:sz w:val="22"/>
              </w:rPr>
              <w:t>del Apéndice</w:t>
            </w:r>
            <w:r w:rsidR="00CA5968" w:rsidRPr="00EC47B7">
              <w:rPr>
                <w:rFonts w:asciiTheme="minorHAnsi" w:hAnsiTheme="minorHAnsi" w:cstheme="minorHAnsi"/>
                <w:bCs/>
                <w:i/>
                <w:iCs/>
                <w:sz w:val="22"/>
              </w:rPr>
              <w:t xml:space="preserve"> 1 </w:t>
            </w:r>
            <w:r>
              <w:rPr>
                <w:rFonts w:asciiTheme="minorHAnsi" w:hAnsiTheme="minorHAnsi" w:cstheme="minorHAnsi"/>
                <w:bCs/>
                <w:i/>
                <w:iCs/>
                <w:sz w:val="22"/>
              </w:rPr>
              <w:t>del RTI de</w:t>
            </w:r>
            <w:r w:rsidR="00CA5968" w:rsidRPr="00EC47B7">
              <w:rPr>
                <w:rFonts w:asciiTheme="minorHAnsi" w:hAnsiTheme="minorHAnsi" w:cstheme="minorHAnsi"/>
                <w:bCs/>
                <w:i/>
                <w:iCs/>
                <w:sz w:val="22"/>
              </w:rPr>
              <w:t xml:space="preserve"> 2012.</w:t>
            </w:r>
          </w:p>
        </w:tc>
      </w:tr>
      <w:tr w:rsidR="00CA5968" w:rsidRPr="00F261AC" w14:paraId="05D242CC"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6220BE7D"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1D38A3A5" w14:textId="44B91F70" w:rsidR="00CA5968" w:rsidRPr="00F261AC" w:rsidRDefault="00CA5968" w:rsidP="00CA5968">
            <w:pPr>
              <w:tabs>
                <w:tab w:val="clear" w:pos="567"/>
                <w:tab w:val="left" w:pos="720"/>
              </w:tabs>
              <w:spacing w:before="0"/>
              <w:ind w:right="130"/>
              <w:rPr>
                <w:rStyle w:val="Artdef"/>
              </w:rPr>
            </w:pPr>
            <w:r w:rsidRPr="00F261AC">
              <w:rPr>
                <w:rStyle w:val="Artdef"/>
                <w:rFonts w:cs="Times New Roman"/>
              </w:rPr>
              <w:t>1/38</w:t>
            </w:r>
            <w:r w:rsidRPr="00F261AC">
              <w:rPr>
                <w:rStyle w:val="Artdef"/>
                <w:rFonts w:cs="Times New Roman"/>
                <w:bCs/>
              </w:rPr>
              <w:tab/>
            </w:r>
            <w:r w:rsidRPr="00F261AC">
              <w:t>3.4.1</w:t>
            </w:r>
            <w:r w:rsidRPr="00F261AC">
              <w:tab/>
            </w:r>
            <w:r w:rsidR="009B791B" w:rsidRPr="009B791B">
              <w:t xml:space="preserve">Si, durante el periodo comprendido entre el envío del pago (transferencia bancaria, cheque, etc.) y su recepción (acreditación en cuenta, cobro del cheque, etc.) por el acreedor, se produce una variación del valor equivalente de la moneda elegida, calculado como se indica en las disposiciones del § 3.2 supra, y si la diferencia resultante de esta variación excede del 5% del valor de la suma adeudada, calculado a raíz de dicha variación, el deudor y </w:t>
            </w:r>
            <w:r w:rsidR="009B791B" w:rsidRPr="009B791B">
              <w:lastRenderedPageBreak/>
              <w:t>el acreedor se repartirán la diferencia total a partes iguales</w:t>
            </w:r>
            <w:r w:rsidRPr="00F261AC">
              <w:t>.</w:t>
            </w:r>
          </w:p>
        </w:tc>
        <w:tc>
          <w:tcPr>
            <w:tcW w:w="3601" w:type="dxa"/>
            <w:tcBorders>
              <w:top w:val="single" w:sz="4" w:space="0" w:color="auto"/>
              <w:left w:val="single" w:sz="4" w:space="0" w:color="auto"/>
              <w:bottom w:val="single" w:sz="4" w:space="0" w:color="auto"/>
              <w:right w:val="single" w:sz="4" w:space="0" w:color="auto"/>
            </w:tcBorders>
          </w:tcPr>
          <w:p w14:paraId="20EAA971" w14:textId="339BCF7B"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lastRenderedPageBreak/>
              <w:t>1/36</w:t>
            </w:r>
            <w:r w:rsidRPr="00F261AC">
              <w:rPr>
                <w:rStyle w:val="Artdef"/>
                <w:bCs/>
              </w:rPr>
              <w:tab/>
            </w:r>
            <w:r w:rsidRPr="00F261AC">
              <w:t>3.4.2</w:t>
            </w:r>
            <w:r w:rsidRPr="00F261AC">
              <w:tab/>
            </w:r>
            <w:r w:rsidR="00AA6BF7" w:rsidRPr="00AA6BF7">
              <w:t>Si, durante el periodo comprendido entre el envío del medio de pago (giro bancario, cheque, etc.) y su recepción (acreditación en cuenta, cobro del cheque, etc.) por el acreedor, se produce una variación del valor equivalente de la moneda elegida, calculado como se indica en las disposiciones del § 3.2, y si la diferencia resultante de esta variación excede del 5% del valor de la suma adeudada, calculado a raíz de dicha variación, el deudor y el acreedor se repartirán la diferencia total por partes iguales</w:t>
            </w:r>
            <w:r w:rsidRPr="00F261AC">
              <w:t>.</w:t>
            </w:r>
          </w:p>
        </w:tc>
        <w:tc>
          <w:tcPr>
            <w:tcW w:w="2341" w:type="dxa"/>
            <w:tcBorders>
              <w:top w:val="single" w:sz="4" w:space="0" w:color="auto"/>
              <w:left w:val="single" w:sz="4" w:space="0" w:color="auto"/>
              <w:bottom w:val="single" w:sz="4" w:space="0" w:color="auto"/>
              <w:right w:val="single" w:sz="4" w:space="0" w:color="auto"/>
            </w:tcBorders>
          </w:tcPr>
          <w:p w14:paraId="657305E0" w14:textId="3B1816FB"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C60676">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08B55A90" w14:textId="263673C0"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C60676">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30600747" w14:textId="409E36E9" w:rsidR="00CA5968" w:rsidRPr="00F261AC" w:rsidRDefault="00AA6BF7" w:rsidP="00C60676">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6F03F4C6"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r w:rsidR="00CA5968" w:rsidRPr="00F261AC" w14:paraId="65D97608" w14:textId="77777777" w:rsidTr="00CA5968">
        <w:tc>
          <w:tcPr>
            <w:tcW w:w="1130" w:type="dxa"/>
            <w:tcBorders>
              <w:top w:val="single" w:sz="4" w:space="0" w:color="auto"/>
              <w:left w:val="single" w:sz="4" w:space="0" w:color="auto"/>
              <w:bottom w:val="single" w:sz="4" w:space="0" w:color="auto"/>
              <w:right w:val="single" w:sz="4" w:space="0" w:color="auto"/>
            </w:tcBorders>
            <w:vAlign w:val="center"/>
          </w:tcPr>
          <w:p w14:paraId="6E59511E" w14:textId="77777777" w:rsidR="00CA5968" w:rsidRPr="00F261AC" w:rsidRDefault="00CA5968" w:rsidP="00CA5968">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2"/>
              </w:rPr>
            </w:pPr>
          </w:p>
        </w:tc>
        <w:tc>
          <w:tcPr>
            <w:tcW w:w="3547" w:type="dxa"/>
            <w:tcBorders>
              <w:top w:val="single" w:sz="4" w:space="0" w:color="auto"/>
              <w:left w:val="single" w:sz="4" w:space="0" w:color="auto"/>
              <w:bottom w:val="single" w:sz="4" w:space="0" w:color="auto"/>
              <w:right w:val="single" w:sz="4" w:space="0" w:color="auto"/>
            </w:tcBorders>
          </w:tcPr>
          <w:p w14:paraId="7389D0E6" w14:textId="5B6303F7" w:rsidR="00CA5968" w:rsidRPr="00F261AC" w:rsidRDefault="00CA5968" w:rsidP="00CA5968">
            <w:pPr>
              <w:tabs>
                <w:tab w:val="clear" w:pos="567"/>
                <w:tab w:val="left" w:pos="720"/>
              </w:tabs>
              <w:spacing w:before="0"/>
              <w:ind w:right="130"/>
              <w:rPr>
                <w:rStyle w:val="Artdef"/>
              </w:rPr>
            </w:pPr>
            <w:r w:rsidRPr="00F261AC">
              <w:rPr>
                <w:rStyle w:val="Artdef"/>
                <w:rFonts w:cs="Times New Roman"/>
              </w:rPr>
              <w:t>1/39</w:t>
            </w:r>
            <w:r w:rsidRPr="00F261AC">
              <w:tab/>
              <w:t>3.4.2</w:t>
            </w:r>
            <w:r w:rsidRPr="00F261AC">
              <w:tab/>
            </w:r>
            <w:r w:rsidR="009B791B" w:rsidRPr="009B791B">
              <w:t>Si se produce un cambio radical en el sistema monetario internacional que haga inoperantes o inadecuadas las disposiciones contenidas en uno o en varios párrafos anteriores, las empresas de explotación autorizadas tendrán plena libertad para adoptar por vía de acuerdos mutuos, una base monetaria diferente y/o procedimientos diferentes para la liquidación de los saldos de las cuentas, en espera de la revisión de dichas disposiciones</w:t>
            </w:r>
            <w:r w:rsidRPr="00F261AC">
              <w:t>.</w:t>
            </w:r>
          </w:p>
        </w:tc>
        <w:tc>
          <w:tcPr>
            <w:tcW w:w="3601" w:type="dxa"/>
            <w:tcBorders>
              <w:top w:val="single" w:sz="4" w:space="0" w:color="auto"/>
              <w:left w:val="single" w:sz="4" w:space="0" w:color="auto"/>
              <w:bottom w:val="single" w:sz="4" w:space="0" w:color="auto"/>
              <w:right w:val="single" w:sz="4" w:space="0" w:color="auto"/>
            </w:tcBorders>
          </w:tcPr>
          <w:p w14:paraId="09200211" w14:textId="62F6779F" w:rsidR="00CA5968" w:rsidRPr="00F261AC" w:rsidRDefault="00CA5968" w:rsidP="00CA5968">
            <w:pPr>
              <w:tabs>
                <w:tab w:val="clear" w:pos="567"/>
                <w:tab w:val="left" w:pos="720"/>
              </w:tabs>
              <w:spacing w:before="0"/>
              <w:ind w:right="44"/>
              <w:rPr>
                <w:rFonts w:asciiTheme="minorHAnsi" w:eastAsia="SimSun" w:hAnsiTheme="minorHAnsi" w:cs="Times New Roman Bold"/>
                <w:b/>
                <w:bCs/>
                <w:iCs/>
                <w:color w:val="000000"/>
                <w:sz w:val="22"/>
              </w:rPr>
            </w:pPr>
            <w:r w:rsidRPr="00F261AC">
              <w:rPr>
                <w:rStyle w:val="Artdef"/>
              </w:rPr>
              <w:t>1/37</w:t>
            </w:r>
            <w:r w:rsidRPr="00F261AC">
              <w:tab/>
              <w:t>3.4.3</w:t>
            </w:r>
            <w:r w:rsidRPr="00F261AC">
              <w:tab/>
            </w:r>
            <w:r w:rsidR="00AA6BF7" w:rsidRPr="00AA6BF7">
              <w:t>Si se produce un cambio radical en el sistema monetario internacional que haga inoperantes o inadecuadas las disposiciones contenidas en uno o en varios párrafos anteriores, las administraciones tendrán plena libertad para adoptar por vía de acuerdos mutuos, una base monetaria diferente o procedimientos diferentes para la liquidación de los saldos de las cuentas, en espera de la revisión de dichas disposiciones</w:t>
            </w:r>
            <w:r w:rsidRPr="00F261AC">
              <w:t>.</w:t>
            </w:r>
          </w:p>
        </w:tc>
        <w:tc>
          <w:tcPr>
            <w:tcW w:w="2341" w:type="dxa"/>
            <w:tcBorders>
              <w:top w:val="single" w:sz="4" w:space="0" w:color="auto"/>
              <w:left w:val="single" w:sz="4" w:space="0" w:color="auto"/>
              <w:bottom w:val="single" w:sz="4" w:space="0" w:color="auto"/>
              <w:right w:val="single" w:sz="4" w:space="0" w:color="auto"/>
            </w:tcBorders>
          </w:tcPr>
          <w:p w14:paraId="2BFBF90E" w14:textId="12035B0E" w:rsidR="00CA5968" w:rsidRPr="00F261AC" w:rsidRDefault="00AA6BF7" w:rsidP="00CA5968">
            <w:pPr>
              <w:tabs>
                <w:tab w:val="clear" w:pos="567"/>
                <w:tab w:val="left" w:pos="720"/>
              </w:tabs>
              <w:spacing w:before="0"/>
              <w:rPr>
                <w:rFonts w:asciiTheme="minorHAnsi" w:hAnsiTheme="minorHAnsi" w:cstheme="minorHAnsi"/>
                <w:bCs/>
                <w:sz w:val="22"/>
                <w:highlight w:val="lightGray"/>
              </w:rPr>
            </w:pPr>
            <w:r>
              <w:rPr>
                <w:rFonts w:asciiTheme="minorHAnsi" w:hAnsiTheme="minorHAnsi" w:cstheme="minorHAnsi"/>
                <w:bCs/>
                <w:sz w:val="22"/>
              </w:rPr>
              <w:t>La disposición es aplicable para fomentar el suministro y el desarrollo de redes y servicios</w:t>
            </w:r>
            <w:r w:rsidR="00C60676">
              <w:rPr>
                <w:rFonts w:asciiTheme="minorHAnsi" w:hAnsiTheme="minorHAnsi" w:cstheme="minorHAnsi"/>
                <w:bCs/>
                <w:sz w:val="22"/>
              </w:rPr>
              <w:t>.</w:t>
            </w:r>
          </w:p>
        </w:tc>
        <w:tc>
          <w:tcPr>
            <w:tcW w:w="1981" w:type="dxa"/>
            <w:tcBorders>
              <w:top w:val="single" w:sz="4" w:space="0" w:color="auto"/>
              <w:left w:val="single" w:sz="4" w:space="0" w:color="auto"/>
              <w:bottom w:val="single" w:sz="4" w:space="0" w:color="auto"/>
              <w:right w:val="single" w:sz="4" w:space="0" w:color="auto"/>
            </w:tcBorders>
          </w:tcPr>
          <w:p w14:paraId="7C8E4E5F" w14:textId="25C8D472" w:rsidR="00CA5968" w:rsidRPr="00F261AC" w:rsidRDefault="00AA6BF7" w:rsidP="00CA5968">
            <w:pPr>
              <w:tabs>
                <w:tab w:val="clear" w:pos="567"/>
                <w:tab w:val="left" w:pos="720"/>
              </w:tabs>
              <w:spacing w:before="0"/>
              <w:rPr>
                <w:rFonts w:asciiTheme="minorHAnsi" w:hAnsiTheme="minorHAnsi" w:cstheme="minorHAnsi"/>
                <w:bCs/>
                <w:sz w:val="22"/>
              </w:rPr>
            </w:pPr>
            <w:r>
              <w:rPr>
                <w:rFonts w:asciiTheme="minorHAnsi" w:hAnsiTheme="minorHAnsi" w:cstheme="minorHAnsi"/>
                <w:bCs/>
                <w:sz w:val="22"/>
              </w:rPr>
              <w:t>Esta disposición garantiza la flexibilidad necesaria para dar cabida a nuevas tendencias y cuestiones emergentes</w:t>
            </w:r>
            <w:r w:rsidR="00C60676">
              <w:rPr>
                <w:rFonts w:asciiTheme="minorHAnsi" w:hAnsiTheme="minorHAnsi" w:cstheme="minorHAnsi"/>
                <w:bCs/>
                <w:sz w:val="22"/>
              </w:rPr>
              <w:t>.</w:t>
            </w:r>
          </w:p>
        </w:tc>
        <w:tc>
          <w:tcPr>
            <w:tcW w:w="1860" w:type="dxa"/>
            <w:gridSpan w:val="2"/>
            <w:tcBorders>
              <w:top w:val="single" w:sz="4" w:space="0" w:color="auto"/>
              <w:left w:val="single" w:sz="4" w:space="0" w:color="auto"/>
              <w:bottom w:val="single" w:sz="4" w:space="0" w:color="auto"/>
              <w:right w:val="single" w:sz="4" w:space="0" w:color="auto"/>
            </w:tcBorders>
          </w:tcPr>
          <w:p w14:paraId="7A618CDE" w14:textId="654F103C" w:rsidR="00CA5968" w:rsidRPr="00F261AC" w:rsidRDefault="00AA6BF7" w:rsidP="00C60676">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r>
              <w:rPr>
                <w:rFonts w:asciiTheme="minorHAnsi" w:hAnsiTheme="minorHAnsi" w:cstheme="minorHAnsi"/>
                <w:bCs/>
                <w:sz w:val="22"/>
              </w:rPr>
              <w:t>La disposición no requiere modificación, ya que es aplicable y flexible</w:t>
            </w:r>
            <w:r w:rsidR="00CA5968">
              <w:rPr>
                <w:rFonts w:asciiTheme="minorHAnsi" w:hAnsiTheme="minorHAnsi" w:cstheme="minorHAnsi"/>
                <w:bCs/>
                <w:sz w:val="22"/>
              </w:rPr>
              <w:t>.</w:t>
            </w:r>
          </w:p>
          <w:p w14:paraId="0B661251" w14:textId="77777777" w:rsidR="00CA5968" w:rsidRPr="00F261AC" w:rsidRDefault="00CA5968" w:rsidP="00CA5968">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cstheme="minorHAnsi"/>
                <w:bCs/>
                <w:sz w:val="22"/>
              </w:rPr>
            </w:pPr>
          </w:p>
        </w:tc>
      </w:tr>
    </w:tbl>
    <w:p w14:paraId="6291EB1E" w14:textId="77777777" w:rsidR="00CA5968" w:rsidRPr="00F261AC" w:rsidRDefault="00CA5968" w:rsidP="00CA5968"/>
    <w:p w14:paraId="12F5D26A" w14:textId="77777777" w:rsidR="00CA5968" w:rsidRPr="00F261AC" w:rsidRDefault="00CA5968" w:rsidP="00CA5968">
      <w:pPr>
        <w:pStyle w:val="Reasons"/>
      </w:pPr>
    </w:p>
    <w:p w14:paraId="79AC3814" w14:textId="2F5CB0B5" w:rsidR="00884546" w:rsidRPr="00CA5968" w:rsidRDefault="00884546">
      <w:pPr>
        <w:jc w:val="center"/>
        <w:rPr>
          <w:lang w:val="es-ES"/>
        </w:rPr>
      </w:pPr>
      <w:r w:rsidRPr="00CA5968">
        <w:rPr>
          <w:lang w:val="es-ES"/>
        </w:rPr>
        <w:t>______________</w:t>
      </w:r>
    </w:p>
    <w:sectPr w:rsidR="00884546" w:rsidRPr="00CA5968" w:rsidSect="00AE6A66">
      <w:headerReference w:type="first" r:id="rId11"/>
      <w:footerReference w:type="first" r:id="rId1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DDC31" w14:textId="77777777" w:rsidR="00CA5968" w:rsidRDefault="00CA5968">
      <w:r>
        <w:separator/>
      </w:r>
    </w:p>
  </w:endnote>
  <w:endnote w:type="continuationSeparator" w:id="0">
    <w:p w14:paraId="3253C40A" w14:textId="77777777" w:rsidR="00CA5968" w:rsidRDefault="00CA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44BE4" w14:textId="5D6271F7" w:rsidR="00CA5968" w:rsidRPr="00F13C7F" w:rsidRDefault="00CA5968" w:rsidP="00D378F1">
    <w:pPr>
      <w:pStyle w:val="Footer"/>
      <w:rPr>
        <w:lang w:val="en-US"/>
      </w:rPr>
    </w:pPr>
    <w:r w:rsidRPr="00D378F1">
      <w:rPr>
        <w:lang w:val="en-US"/>
      </w:rPr>
      <w:fldChar w:fldCharType="begin"/>
    </w:r>
    <w:r w:rsidRPr="00D378F1">
      <w:rPr>
        <w:lang w:val="en-US"/>
      </w:rPr>
      <w:instrText xml:space="preserve"> FILENAME \p  \* MERGEFORMAT </w:instrText>
    </w:r>
    <w:r w:rsidRPr="00D378F1">
      <w:rPr>
        <w:lang w:val="en-US"/>
      </w:rPr>
      <w:fldChar w:fldCharType="separate"/>
    </w:r>
    <w:r w:rsidR="00555BAC">
      <w:rPr>
        <w:lang w:val="en-US"/>
      </w:rPr>
      <w:t>P:\ESP\SG\CONSEIL\EG-ITR\EG-ITR-3\000\006S.docx</w:t>
    </w:r>
    <w:r w:rsidRPr="00D378F1">
      <w:rPr>
        <w:lang w:val="en-US"/>
      </w:rPr>
      <w:fldChar w:fldCharType="end"/>
    </w:r>
    <w:r w:rsidRPr="00D378F1">
      <w:rPr>
        <w:lang w:val="en-US"/>
      </w:rPr>
      <w:t xml:space="preserve"> (</w:t>
    </w:r>
    <w:r w:rsidRPr="00FA161B">
      <w:rPr>
        <w:lang w:val="en-US"/>
      </w:rPr>
      <w:t>476492</w:t>
    </w:r>
    <w:r w:rsidRPr="00D378F1">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458D5" w14:textId="10E3A1EB" w:rsidR="00CA5968" w:rsidRPr="00D378F1" w:rsidRDefault="00CA5968" w:rsidP="00D378F1">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34356" w14:textId="4DDAB052" w:rsidR="00CA5968" w:rsidRPr="00D378F1" w:rsidRDefault="00CA5968" w:rsidP="00D378F1">
    <w:pPr>
      <w:pStyle w:val="Footer"/>
      <w:rPr>
        <w:lang w:val="en-US"/>
      </w:rPr>
    </w:pPr>
    <w:r w:rsidRPr="00D378F1">
      <w:rPr>
        <w:lang w:val="en-US"/>
      </w:rPr>
      <w:fldChar w:fldCharType="begin"/>
    </w:r>
    <w:r w:rsidRPr="00D378F1">
      <w:rPr>
        <w:lang w:val="en-US"/>
      </w:rPr>
      <w:instrText xml:space="preserve"> FILENAME \p  \* MERGEFORMAT </w:instrText>
    </w:r>
    <w:r w:rsidRPr="00D378F1">
      <w:rPr>
        <w:lang w:val="en-US"/>
      </w:rPr>
      <w:fldChar w:fldCharType="separate"/>
    </w:r>
    <w:r>
      <w:rPr>
        <w:lang w:val="en-US"/>
      </w:rPr>
      <w:t>P:\ESP\SG\CONSEIL\EG-ITR\EG-ITR-2\000\002S.docx</w:t>
    </w:r>
    <w:r w:rsidRPr="00D378F1">
      <w:rPr>
        <w:lang w:val="en-US"/>
      </w:rPr>
      <w:fldChar w:fldCharType="end"/>
    </w:r>
    <w:r w:rsidRPr="00D378F1">
      <w:rPr>
        <w:lang w:val="en-US"/>
      </w:rPr>
      <w:t xml:space="preserve"> (</w:t>
    </w:r>
    <w:r>
      <w:rPr>
        <w:lang w:val="en-US"/>
      </w:rPr>
      <w:t>466734</w:t>
    </w:r>
    <w:r w:rsidRPr="00D378F1">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41771" w14:textId="77777777" w:rsidR="00CA5968" w:rsidRDefault="00CA5968">
      <w:r>
        <w:t>____________________</w:t>
      </w:r>
    </w:p>
  </w:footnote>
  <w:footnote w:type="continuationSeparator" w:id="0">
    <w:p w14:paraId="7BE59CAE" w14:textId="77777777" w:rsidR="00CA5968" w:rsidRDefault="00CA5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FE82D" w14:textId="77777777" w:rsidR="00CA5968" w:rsidRDefault="00CA5968" w:rsidP="007657F0">
    <w:pPr>
      <w:pStyle w:val="Header"/>
    </w:pPr>
    <w:r>
      <w:fldChar w:fldCharType="begin"/>
    </w:r>
    <w:r>
      <w:instrText>PAGE</w:instrText>
    </w:r>
    <w:r>
      <w:fldChar w:fldCharType="separate"/>
    </w:r>
    <w:r>
      <w:rPr>
        <w:noProof/>
      </w:rPr>
      <w:t>2</w:t>
    </w:r>
    <w:r>
      <w:rPr>
        <w:noProof/>
      </w:rPr>
      <w:fldChar w:fldCharType="end"/>
    </w:r>
  </w:p>
  <w:p w14:paraId="029ADB2C" w14:textId="4D817103" w:rsidR="00CA5968" w:rsidRDefault="00CA5968" w:rsidP="00654220">
    <w:pPr>
      <w:pStyle w:val="Header"/>
      <w:spacing w:after="120"/>
    </w:pPr>
    <w:r>
      <w:rPr>
        <w:noProof/>
      </w:rPr>
      <w:t>EG-ITRs-3\6-S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A191B" w14:textId="77777777" w:rsidR="00CA5968" w:rsidRPr="00AE6A66" w:rsidRDefault="00CA5968" w:rsidP="00AE6A66">
    <w:pPr>
      <w:pStyle w:val="Header"/>
    </w:pPr>
    <w:r w:rsidRPr="00AE6A66">
      <w:fldChar w:fldCharType="begin"/>
    </w:r>
    <w:r w:rsidRPr="00AE6A66">
      <w:instrText>PAGE</w:instrText>
    </w:r>
    <w:r w:rsidRPr="00AE6A66">
      <w:fldChar w:fldCharType="separate"/>
    </w:r>
    <w:r w:rsidRPr="00AE6A66">
      <w:t>2</w:t>
    </w:r>
    <w:r w:rsidRPr="00AE6A66">
      <w:fldChar w:fldCharType="end"/>
    </w:r>
  </w:p>
  <w:p w14:paraId="46225878" w14:textId="359623F1" w:rsidR="00CA5968" w:rsidRDefault="00CA5968">
    <w:pPr>
      <w:pStyle w:val="Header"/>
    </w:pPr>
    <w:r w:rsidRPr="00AE6A66">
      <w:t>EG-ITRs-2\</w:t>
    </w:r>
    <w:r>
      <w:t>2</w:t>
    </w:r>
    <w:r w:rsidRPr="00AE6A66">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66"/>
    <w:rsid w:val="00012E27"/>
    <w:rsid w:val="00026F40"/>
    <w:rsid w:val="00057E10"/>
    <w:rsid w:val="00075305"/>
    <w:rsid w:val="00093EEB"/>
    <w:rsid w:val="000B0D00"/>
    <w:rsid w:val="000B7C15"/>
    <w:rsid w:val="000D1D0F"/>
    <w:rsid w:val="000F5290"/>
    <w:rsid w:val="000F761E"/>
    <w:rsid w:val="0010165C"/>
    <w:rsid w:val="00103EBC"/>
    <w:rsid w:val="00121365"/>
    <w:rsid w:val="001304D3"/>
    <w:rsid w:val="00132DA1"/>
    <w:rsid w:val="00135FAE"/>
    <w:rsid w:val="00146BFB"/>
    <w:rsid w:val="0016469F"/>
    <w:rsid w:val="001814D0"/>
    <w:rsid w:val="00181FE6"/>
    <w:rsid w:val="001B446D"/>
    <w:rsid w:val="001D3573"/>
    <w:rsid w:val="001F143F"/>
    <w:rsid w:val="001F14A2"/>
    <w:rsid w:val="001F60AD"/>
    <w:rsid w:val="002249E4"/>
    <w:rsid w:val="0027089C"/>
    <w:rsid w:val="002801AA"/>
    <w:rsid w:val="002A1B82"/>
    <w:rsid w:val="002A2ED9"/>
    <w:rsid w:val="002C4676"/>
    <w:rsid w:val="002C70B0"/>
    <w:rsid w:val="002F3CC4"/>
    <w:rsid w:val="00356713"/>
    <w:rsid w:val="003700C5"/>
    <w:rsid w:val="003916DF"/>
    <w:rsid w:val="003C63A2"/>
    <w:rsid w:val="003F54CC"/>
    <w:rsid w:val="00457218"/>
    <w:rsid w:val="004D55EF"/>
    <w:rsid w:val="00513630"/>
    <w:rsid w:val="005262CD"/>
    <w:rsid w:val="00555BAC"/>
    <w:rsid w:val="00560125"/>
    <w:rsid w:val="00585553"/>
    <w:rsid w:val="005B34D9"/>
    <w:rsid w:val="005D0CCF"/>
    <w:rsid w:val="005D52EA"/>
    <w:rsid w:val="005F410F"/>
    <w:rsid w:val="0060149A"/>
    <w:rsid w:val="00601924"/>
    <w:rsid w:val="0062570D"/>
    <w:rsid w:val="00644509"/>
    <w:rsid w:val="006447EA"/>
    <w:rsid w:val="0064731F"/>
    <w:rsid w:val="00654220"/>
    <w:rsid w:val="006710F6"/>
    <w:rsid w:val="0067129F"/>
    <w:rsid w:val="006803BE"/>
    <w:rsid w:val="00687355"/>
    <w:rsid w:val="006C1B56"/>
    <w:rsid w:val="006D0215"/>
    <w:rsid w:val="006D077E"/>
    <w:rsid w:val="006D4761"/>
    <w:rsid w:val="006F421F"/>
    <w:rsid w:val="00726872"/>
    <w:rsid w:val="00744511"/>
    <w:rsid w:val="00760F1C"/>
    <w:rsid w:val="007657F0"/>
    <w:rsid w:val="0077252D"/>
    <w:rsid w:val="007B714A"/>
    <w:rsid w:val="007E5DD3"/>
    <w:rsid w:val="007F350B"/>
    <w:rsid w:val="0080318D"/>
    <w:rsid w:val="00820BE4"/>
    <w:rsid w:val="008451E8"/>
    <w:rsid w:val="0085057C"/>
    <w:rsid w:val="00884546"/>
    <w:rsid w:val="008854C2"/>
    <w:rsid w:val="008D0F84"/>
    <w:rsid w:val="00907E2C"/>
    <w:rsid w:val="00913B9C"/>
    <w:rsid w:val="00927922"/>
    <w:rsid w:val="00930A2B"/>
    <w:rsid w:val="00956E77"/>
    <w:rsid w:val="009B791B"/>
    <w:rsid w:val="009D2B30"/>
    <w:rsid w:val="00A8060A"/>
    <w:rsid w:val="00A8238F"/>
    <w:rsid w:val="00A91D7C"/>
    <w:rsid w:val="00AA390C"/>
    <w:rsid w:val="00AA6BF7"/>
    <w:rsid w:val="00AE6A66"/>
    <w:rsid w:val="00B0200A"/>
    <w:rsid w:val="00B07EBE"/>
    <w:rsid w:val="00B574DB"/>
    <w:rsid w:val="00B76F8E"/>
    <w:rsid w:val="00B826C2"/>
    <w:rsid w:val="00B8298E"/>
    <w:rsid w:val="00BA4764"/>
    <w:rsid w:val="00BD0723"/>
    <w:rsid w:val="00BD2518"/>
    <w:rsid w:val="00BF1D1C"/>
    <w:rsid w:val="00C20C59"/>
    <w:rsid w:val="00C55B1F"/>
    <w:rsid w:val="00C60676"/>
    <w:rsid w:val="00C85B97"/>
    <w:rsid w:val="00CA5968"/>
    <w:rsid w:val="00CB698C"/>
    <w:rsid w:val="00CC6A3B"/>
    <w:rsid w:val="00CD07E5"/>
    <w:rsid w:val="00CE0A8C"/>
    <w:rsid w:val="00CF1A67"/>
    <w:rsid w:val="00D2750E"/>
    <w:rsid w:val="00D378F1"/>
    <w:rsid w:val="00D62446"/>
    <w:rsid w:val="00D92832"/>
    <w:rsid w:val="00DA4EA2"/>
    <w:rsid w:val="00DB74E7"/>
    <w:rsid w:val="00DC3D3E"/>
    <w:rsid w:val="00DC47DA"/>
    <w:rsid w:val="00DD1935"/>
    <w:rsid w:val="00DE2C90"/>
    <w:rsid w:val="00DE3B24"/>
    <w:rsid w:val="00E06947"/>
    <w:rsid w:val="00E3592D"/>
    <w:rsid w:val="00E549B0"/>
    <w:rsid w:val="00E61738"/>
    <w:rsid w:val="00E67211"/>
    <w:rsid w:val="00E9121E"/>
    <w:rsid w:val="00E92DE8"/>
    <w:rsid w:val="00EB1212"/>
    <w:rsid w:val="00ED65AB"/>
    <w:rsid w:val="00EF2E1F"/>
    <w:rsid w:val="00F12850"/>
    <w:rsid w:val="00F13C7F"/>
    <w:rsid w:val="00F33BF4"/>
    <w:rsid w:val="00F70229"/>
    <w:rsid w:val="00F7105E"/>
    <w:rsid w:val="00F75F57"/>
    <w:rsid w:val="00F82FEE"/>
    <w:rsid w:val="00FA161B"/>
    <w:rsid w:val="00FA7D0A"/>
    <w:rsid w:val="00FC4FA1"/>
    <w:rsid w:val="00FD1553"/>
    <w:rsid w:val="00FF0D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E8A012"/>
  <w15:docId w15:val="{863DF798-C55D-45CD-95B6-259559E9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916DF"/>
    <w:pPr>
      <w:keepNext/>
      <w:spacing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uiPriority w:val="39"/>
    <w:rsid w:val="00AE6A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AE6A66"/>
    <w:rPr>
      <w:rFonts w:ascii="Calibri" w:hAnsi="Calibri"/>
      <w:sz w:val="24"/>
      <w:lang w:val="es-ES_tradnl" w:eastAsia="en-US"/>
    </w:rPr>
  </w:style>
  <w:style w:type="character" w:customStyle="1" w:styleId="href">
    <w:name w:val="href"/>
    <w:basedOn w:val="DefaultParagraphFont"/>
    <w:uiPriority w:val="99"/>
    <w:rsid w:val="00CA5968"/>
    <w:rPr>
      <w:color w:val="auto"/>
    </w:rPr>
  </w:style>
  <w:style w:type="character" w:customStyle="1" w:styleId="Artdef">
    <w:name w:val="Art_def"/>
    <w:basedOn w:val="DefaultParagraphFont"/>
    <w:rsid w:val="00CA5968"/>
    <w:rPr>
      <w:rFonts w:asciiTheme="minorHAnsi" w:hAnsiTheme="minorHAnsi" w:cs="Calibri"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701493">
      <w:bodyDiv w:val="1"/>
      <w:marLeft w:val="0"/>
      <w:marRight w:val="0"/>
      <w:marTop w:val="0"/>
      <w:marBottom w:val="0"/>
      <w:divBdr>
        <w:top w:val="none" w:sz="0" w:space="0" w:color="auto"/>
        <w:left w:val="none" w:sz="0" w:space="0" w:color="auto"/>
        <w:bottom w:val="none" w:sz="0" w:space="0" w:color="auto"/>
        <w:right w:val="none" w:sz="0" w:space="0" w:color="auto"/>
      </w:divBdr>
    </w:div>
    <w:div w:id="755591567">
      <w:bodyDiv w:val="1"/>
      <w:marLeft w:val="0"/>
      <w:marRight w:val="0"/>
      <w:marTop w:val="0"/>
      <w:marBottom w:val="0"/>
      <w:divBdr>
        <w:top w:val="none" w:sz="0" w:space="0" w:color="auto"/>
        <w:left w:val="none" w:sz="0" w:space="0" w:color="auto"/>
        <w:bottom w:val="none" w:sz="0" w:space="0" w:color="auto"/>
        <w:right w:val="none" w:sz="0" w:space="0" w:color="auto"/>
      </w:divBdr>
    </w:div>
    <w:div w:id="205226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4BE1D-8537-4C15-96A1-34E8CC94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129</TotalTime>
  <Pages>29</Pages>
  <Words>7948</Words>
  <Characters>43715</Characters>
  <Application>Microsoft Office Word</Application>
  <DocSecurity>0</DocSecurity>
  <Lines>364</Lines>
  <Paragraphs>103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51560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Spanish83</dc:creator>
  <cp:keywords>C2010, C10</cp:keywords>
  <dc:description>Documento C17/-S  Para: _x000d_Fecha del documento: enero de 2017_x000d_Registrado por ITU51009317 a 15:32:38 el 06/04/2017</dc:description>
  <cp:lastModifiedBy>Ayala Martinez, Beatriz</cp:lastModifiedBy>
  <cp:revision>15</cp:revision>
  <cp:lastPrinted>2020-01-31T13:43:00Z</cp:lastPrinted>
  <dcterms:created xsi:type="dcterms:W3CDTF">2020-09-09T05:23:00Z</dcterms:created>
  <dcterms:modified xsi:type="dcterms:W3CDTF">2020-09-09T07:35:00Z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