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529AF9D2" w14:textId="77777777">
        <w:trPr>
          <w:cantSplit/>
        </w:trPr>
        <w:tc>
          <w:tcPr>
            <w:tcW w:w="6912" w:type="dxa"/>
          </w:tcPr>
          <w:p w14:paraId="7E69899F" w14:textId="77777777" w:rsidR="00520F36" w:rsidRPr="0092392D" w:rsidRDefault="00D837AA" w:rsidP="00C661CD">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14:paraId="31D1A45B" w14:textId="77777777" w:rsidR="00520F36" w:rsidRPr="0092392D" w:rsidRDefault="00B84194" w:rsidP="00C661CD">
            <w:pPr>
              <w:spacing w:before="0"/>
              <w:rPr>
                <w:lang w:val="fr-CH"/>
              </w:rPr>
            </w:pPr>
            <w:bookmarkStart w:id="0" w:name="ditulogo"/>
            <w:bookmarkEnd w:id="0"/>
            <w:r>
              <w:rPr>
                <w:noProof/>
                <w:lang w:val="en-US"/>
              </w:rPr>
              <w:drawing>
                <wp:inline distT="0" distB="0" distL="0" distR="0" wp14:anchorId="19DBA296" wp14:editId="19F9238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92392D" w14:paraId="5629C1A4" w14:textId="77777777" w:rsidTr="00583AAC">
        <w:trPr>
          <w:cantSplit/>
          <w:trHeight w:val="20"/>
        </w:trPr>
        <w:tc>
          <w:tcPr>
            <w:tcW w:w="6912" w:type="dxa"/>
            <w:tcBorders>
              <w:bottom w:val="single" w:sz="12" w:space="0" w:color="auto"/>
            </w:tcBorders>
            <w:vAlign w:val="center"/>
          </w:tcPr>
          <w:p w14:paraId="1E6EC110" w14:textId="53155F62" w:rsidR="00520F36" w:rsidRPr="0099613D" w:rsidRDefault="00250825" w:rsidP="00C661CD">
            <w:pPr>
              <w:spacing w:before="0"/>
              <w:rPr>
                <w:b/>
                <w:bCs/>
                <w:szCs w:val="24"/>
                <w:lang w:val="fr-CH"/>
              </w:rPr>
            </w:pPr>
            <w:r>
              <w:rPr>
                <w:b/>
                <w:bCs/>
                <w:szCs w:val="24"/>
                <w:lang w:val="fr-CH"/>
              </w:rPr>
              <w:t>Troisième</w:t>
            </w:r>
            <w:r w:rsidR="00D06D06" w:rsidRPr="00D06D06">
              <w:rPr>
                <w:b/>
                <w:bCs/>
                <w:szCs w:val="24"/>
              </w:rPr>
              <w:t xml:space="preserve"> </w:t>
            </w:r>
            <w:r w:rsidR="00D837AA" w:rsidRPr="0099613D">
              <w:rPr>
                <w:b/>
                <w:bCs/>
                <w:szCs w:val="24"/>
              </w:rPr>
              <w:t>réunion –</w:t>
            </w:r>
            <w:r w:rsidR="00F06D00">
              <w:rPr>
                <w:b/>
                <w:bCs/>
                <w:szCs w:val="24"/>
              </w:rPr>
              <w:t xml:space="preserve"> </w:t>
            </w:r>
            <w:r>
              <w:rPr>
                <w:b/>
                <w:bCs/>
                <w:szCs w:val="24"/>
              </w:rPr>
              <w:t>Réunion virtuelle</w:t>
            </w:r>
            <w:r w:rsidR="00D837AA" w:rsidRPr="0099613D">
              <w:rPr>
                <w:b/>
                <w:bCs/>
                <w:szCs w:val="24"/>
              </w:rPr>
              <w:t xml:space="preserve">, </w:t>
            </w:r>
            <w:r w:rsidR="00D06D06">
              <w:rPr>
                <w:b/>
                <w:bCs/>
                <w:szCs w:val="24"/>
              </w:rPr>
              <w:t>1</w:t>
            </w:r>
            <w:r>
              <w:rPr>
                <w:b/>
                <w:bCs/>
                <w:szCs w:val="24"/>
              </w:rPr>
              <w:t>7</w:t>
            </w:r>
            <w:r w:rsidR="00D837AA" w:rsidRPr="0099613D">
              <w:rPr>
                <w:b/>
                <w:bCs/>
                <w:szCs w:val="24"/>
              </w:rPr>
              <w:t>-</w:t>
            </w:r>
            <w:r w:rsidR="00D06D06">
              <w:rPr>
                <w:b/>
                <w:bCs/>
                <w:szCs w:val="24"/>
              </w:rPr>
              <w:t>1</w:t>
            </w:r>
            <w:r>
              <w:rPr>
                <w:b/>
                <w:bCs/>
                <w:szCs w:val="24"/>
              </w:rPr>
              <w:t>8</w:t>
            </w:r>
            <w:r w:rsidR="00D837AA" w:rsidRPr="0099613D">
              <w:rPr>
                <w:b/>
                <w:bCs/>
                <w:szCs w:val="24"/>
              </w:rPr>
              <w:t xml:space="preserve"> </w:t>
            </w:r>
            <w:r>
              <w:rPr>
                <w:b/>
                <w:bCs/>
                <w:szCs w:val="24"/>
              </w:rPr>
              <w:t>septembre</w:t>
            </w:r>
            <w:r w:rsidR="00D837AA" w:rsidRPr="0099613D">
              <w:rPr>
                <w:b/>
                <w:bCs/>
                <w:szCs w:val="24"/>
              </w:rPr>
              <w:t xml:space="preserve"> 20</w:t>
            </w:r>
            <w:r w:rsidR="00D06D06">
              <w:rPr>
                <w:b/>
                <w:bCs/>
                <w:szCs w:val="24"/>
              </w:rPr>
              <w:t>20</w:t>
            </w:r>
          </w:p>
        </w:tc>
        <w:tc>
          <w:tcPr>
            <w:tcW w:w="3261" w:type="dxa"/>
            <w:tcBorders>
              <w:bottom w:val="single" w:sz="12" w:space="0" w:color="auto"/>
            </w:tcBorders>
          </w:tcPr>
          <w:p w14:paraId="19F13923" w14:textId="77777777" w:rsidR="00520F36" w:rsidRPr="0092392D" w:rsidRDefault="00520F36" w:rsidP="00C661CD">
            <w:pPr>
              <w:spacing w:before="0"/>
              <w:rPr>
                <w:b/>
                <w:bCs/>
              </w:rPr>
            </w:pPr>
          </w:p>
        </w:tc>
      </w:tr>
      <w:tr w:rsidR="00520F36" w:rsidRPr="0092392D" w14:paraId="35395F22" w14:textId="77777777">
        <w:trPr>
          <w:cantSplit/>
          <w:trHeight w:val="20"/>
        </w:trPr>
        <w:tc>
          <w:tcPr>
            <w:tcW w:w="6912" w:type="dxa"/>
            <w:tcBorders>
              <w:top w:val="single" w:sz="12" w:space="0" w:color="auto"/>
            </w:tcBorders>
          </w:tcPr>
          <w:p w14:paraId="1AF686D3" w14:textId="77777777" w:rsidR="00520F36" w:rsidRPr="0092392D" w:rsidRDefault="00520F36" w:rsidP="00C661CD">
            <w:pPr>
              <w:spacing w:before="0"/>
              <w:rPr>
                <w:smallCaps/>
                <w:sz w:val="22"/>
                <w:lang w:val="fr-CH"/>
              </w:rPr>
            </w:pPr>
          </w:p>
        </w:tc>
        <w:tc>
          <w:tcPr>
            <w:tcW w:w="3261" w:type="dxa"/>
            <w:tcBorders>
              <w:top w:val="single" w:sz="12" w:space="0" w:color="auto"/>
            </w:tcBorders>
          </w:tcPr>
          <w:p w14:paraId="7E9F02BF" w14:textId="77777777" w:rsidR="00520F36" w:rsidRPr="0092392D" w:rsidRDefault="00520F36" w:rsidP="00C661CD">
            <w:pPr>
              <w:spacing w:before="0"/>
              <w:rPr>
                <w:b/>
                <w:bCs/>
              </w:rPr>
            </w:pPr>
          </w:p>
        </w:tc>
      </w:tr>
      <w:tr w:rsidR="00520F36" w:rsidRPr="0092392D" w14:paraId="7C148C71" w14:textId="77777777">
        <w:trPr>
          <w:cantSplit/>
          <w:trHeight w:val="20"/>
        </w:trPr>
        <w:tc>
          <w:tcPr>
            <w:tcW w:w="6912" w:type="dxa"/>
            <w:vMerge w:val="restart"/>
          </w:tcPr>
          <w:p w14:paraId="75037E07" w14:textId="77777777" w:rsidR="00520F36" w:rsidRPr="00520F36" w:rsidRDefault="00520F36" w:rsidP="00C661CD">
            <w:pPr>
              <w:spacing w:before="0"/>
              <w:rPr>
                <w:rFonts w:cs="Times"/>
                <w:b/>
                <w:bCs/>
                <w:szCs w:val="24"/>
                <w:lang w:val="fr-CH"/>
              </w:rPr>
            </w:pPr>
            <w:bookmarkStart w:id="1" w:name="dnum" w:colFirst="1" w:colLast="1"/>
            <w:bookmarkStart w:id="2" w:name="dmeeting" w:colFirst="0" w:colLast="0"/>
          </w:p>
        </w:tc>
        <w:tc>
          <w:tcPr>
            <w:tcW w:w="3261" w:type="dxa"/>
          </w:tcPr>
          <w:p w14:paraId="2206DB37" w14:textId="5D1227A3" w:rsidR="00520F36" w:rsidRPr="00520F36" w:rsidRDefault="00520F36" w:rsidP="00C661CD">
            <w:pPr>
              <w:spacing w:before="0"/>
              <w:rPr>
                <w:b/>
                <w:bCs/>
              </w:rPr>
            </w:pPr>
            <w:r>
              <w:rPr>
                <w:b/>
                <w:bCs/>
              </w:rPr>
              <w:t xml:space="preserve">Document </w:t>
            </w:r>
            <w:r w:rsidR="00D837AA" w:rsidRPr="009B70A4">
              <w:rPr>
                <w:b/>
              </w:rPr>
              <w:t>EG-ITRs</w:t>
            </w:r>
            <w:r w:rsidR="00F06D00">
              <w:rPr>
                <w:b/>
              </w:rPr>
              <w:t>-</w:t>
            </w:r>
            <w:r w:rsidR="00ED3560">
              <w:rPr>
                <w:b/>
              </w:rPr>
              <w:t>2</w:t>
            </w:r>
            <w:r w:rsidR="00D837AA" w:rsidRPr="009B70A4">
              <w:rPr>
                <w:b/>
              </w:rPr>
              <w:t>/</w:t>
            </w:r>
            <w:r w:rsidR="006D438A">
              <w:rPr>
                <w:b/>
              </w:rPr>
              <w:t>7</w:t>
            </w:r>
            <w:r w:rsidR="00D837AA" w:rsidRPr="009B70A4">
              <w:rPr>
                <w:b/>
              </w:rPr>
              <w:t>-</w:t>
            </w:r>
            <w:r w:rsidR="00D837AA">
              <w:rPr>
                <w:b/>
              </w:rPr>
              <w:t>F</w:t>
            </w:r>
          </w:p>
        </w:tc>
      </w:tr>
      <w:tr w:rsidR="00520F36" w:rsidRPr="0092392D" w14:paraId="33160612" w14:textId="77777777">
        <w:trPr>
          <w:cantSplit/>
          <w:trHeight w:val="20"/>
        </w:trPr>
        <w:tc>
          <w:tcPr>
            <w:tcW w:w="6912" w:type="dxa"/>
            <w:vMerge/>
          </w:tcPr>
          <w:p w14:paraId="3B5CC57C" w14:textId="77777777" w:rsidR="00520F36" w:rsidRPr="0092392D" w:rsidRDefault="00520F36" w:rsidP="00C661CD">
            <w:pPr>
              <w:shd w:val="solid" w:color="FFFFFF" w:fill="FFFFFF"/>
              <w:spacing w:before="180"/>
              <w:rPr>
                <w:smallCaps/>
                <w:lang w:val="fr-CH"/>
              </w:rPr>
            </w:pPr>
            <w:bookmarkStart w:id="3" w:name="ddate" w:colFirst="1" w:colLast="1"/>
            <w:bookmarkEnd w:id="1"/>
            <w:bookmarkEnd w:id="2"/>
          </w:p>
        </w:tc>
        <w:tc>
          <w:tcPr>
            <w:tcW w:w="3261" w:type="dxa"/>
          </w:tcPr>
          <w:p w14:paraId="7110F864" w14:textId="64F11215" w:rsidR="00520F36" w:rsidRPr="00520F36" w:rsidRDefault="00250825" w:rsidP="00C661CD">
            <w:pPr>
              <w:spacing w:before="0"/>
              <w:rPr>
                <w:b/>
                <w:bCs/>
              </w:rPr>
            </w:pPr>
            <w:r>
              <w:rPr>
                <w:b/>
                <w:bCs/>
              </w:rPr>
              <w:t xml:space="preserve">3 septembre </w:t>
            </w:r>
            <w:r w:rsidR="00520F36">
              <w:rPr>
                <w:b/>
                <w:bCs/>
              </w:rPr>
              <w:t>20</w:t>
            </w:r>
            <w:r w:rsidR="00D06D06">
              <w:rPr>
                <w:b/>
                <w:bCs/>
              </w:rPr>
              <w:t>20</w:t>
            </w:r>
          </w:p>
        </w:tc>
      </w:tr>
      <w:tr w:rsidR="00520F36" w:rsidRPr="0092392D" w14:paraId="41C23F0E" w14:textId="77777777">
        <w:trPr>
          <w:cantSplit/>
          <w:trHeight w:val="20"/>
        </w:trPr>
        <w:tc>
          <w:tcPr>
            <w:tcW w:w="6912" w:type="dxa"/>
            <w:vMerge/>
          </w:tcPr>
          <w:p w14:paraId="6EF3B02F" w14:textId="77777777" w:rsidR="00520F36" w:rsidRPr="0092392D" w:rsidRDefault="00520F36" w:rsidP="00C661CD">
            <w:pPr>
              <w:shd w:val="solid" w:color="FFFFFF" w:fill="FFFFFF"/>
              <w:spacing w:before="180"/>
              <w:rPr>
                <w:smallCaps/>
                <w:lang w:val="fr-CH"/>
              </w:rPr>
            </w:pPr>
            <w:bookmarkStart w:id="4" w:name="dorlang" w:colFirst="1" w:colLast="1"/>
            <w:bookmarkEnd w:id="3"/>
          </w:p>
        </w:tc>
        <w:tc>
          <w:tcPr>
            <w:tcW w:w="3261" w:type="dxa"/>
          </w:tcPr>
          <w:p w14:paraId="15BAFE80" w14:textId="77777777" w:rsidR="00520F36" w:rsidRPr="00520F36" w:rsidRDefault="00520F36" w:rsidP="00C661CD">
            <w:pPr>
              <w:spacing w:before="0"/>
              <w:rPr>
                <w:b/>
                <w:bCs/>
              </w:rPr>
            </w:pPr>
            <w:proofErr w:type="gramStart"/>
            <w:r>
              <w:rPr>
                <w:b/>
                <w:bCs/>
              </w:rPr>
              <w:t>Original:</w:t>
            </w:r>
            <w:proofErr w:type="gramEnd"/>
            <w:r>
              <w:rPr>
                <w:b/>
                <w:bCs/>
              </w:rPr>
              <w:t xml:space="preserve"> anglais</w:t>
            </w:r>
          </w:p>
        </w:tc>
      </w:tr>
      <w:tr w:rsidR="00520F36" w:rsidRPr="0092392D" w14:paraId="3106E87D" w14:textId="77777777">
        <w:trPr>
          <w:cantSplit/>
        </w:trPr>
        <w:tc>
          <w:tcPr>
            <w:tcW w:w="10173" w:type="dxa"/>
            <w:gridSpan w:val="2"/>
          </w:tcPr>
          <w:p w14:paraId="53F9CBA9" w14:textId="6303F84F" w:rsidR="00520F36" w:rsidRPr="0092392D" w:rsidRDefault="006D438A" w:rsidP="00C661CD">
            <w:pPr>
              <w:pStyle w:val="Source"/>
            </w:pPr>
            <w:bookmarkStart w:id="5" w:name="dsource" w:colFirst="0" w:colLast="0"/>
            <w:bookmarkEnd w:id="4"/>
            <w:proofErr w:type="spellStart"/>
            <w:r w:rsidRPr="006D438A">
              <w:rPr>
                <w:caps/>
                <w:lang w:val="en-US"/>
              </w:rPr>
              <w:t>é</w:t>
            </w:r>
            <w:r>
              <w:rPr>
                <w:lang w:val="en-US"/>
              </w:rPr>
              <w:t>gypte</w:t>
            </w:r>
            <w:proofErr w:type="spellEnd"/>
            <w:r>
              <w:rPr>
                <w:lang w:val="en-US"/>
              </w:rPr>
              <w:t xml:space="preserve"> (</w:t>
            </w:r>
            <w:proofErr w:type="spellStart"/>
            <w:r>
              <w:rPr>
                <w:lang w:val="en-US"/>
              </w:rPr>
              <w:t>République</w:t>
            </w:r>
            <w:proofErr w:type="spellEnd"/>
            <w:r>
              <w:rPr>
                <w:lang w:val="en-US"/>
              </w:rPr>
              <w:t xml:space="preserve"> </w:t>
            </w:r>
            <w:proofErr w:type="spellStart"/>
            <w:r>
              <w:rPr>
                <w:lang w:val="en-US"/>
              </w:rPr>
              <w:t>arabe</w:t>
            </w:r>
            <w:proofErr w:type="spellEnd"/>
            <w:r>
              <w:rPr>
                <w:lang w:val="en-US"/>
              </w:rPr>
              <w:t xml:space="preserve"> d') </w:t>
            </w:r>
          </w:p>
        </w:tc>
      </w:tr>
      <w:tr w:rsidR="00520F36" w:rsidRPr="0092392D" w14:paraId="53AFA573" w14:textId="77777777">
        <w:trPr>
          <w:cantSplit/>
        </w:trPr>
        <w:tc>
          <w:tcPr>
            <w:tcW w:w="10173" w:type="dxa"/>
            <w:gridSpan w:val="2"/>
          </w:tcPr>
          <w:p w14:paraId="7111D1EF" w14:textId="3FF80530" w:rsidR="00520F36" w:rsidRPr="0092392D" w:rsidRDefault="0032094E" w:rsidP="00C661CD">
            <w:pPr>
              <w:pStyle w:val="Title1"/>
            </w:pPr>
            <w:bookmarkStart w:id="6" w:name="lt_pId013"/>
            <w:bookmarkStart w:id="7" w:name="dtitle1" w:colFirst="0" w:colLast="0"/>
            <w:bookmarkEnd w:id="5"/>
            <w:r>
              <w:rPr>
                <w:bCs/>
              </w:rPr>
              <w:t>Examen disposition par disposition des</w:t>
            </w:r>
            <w:r w:rsidR="00250825" w:rsidRPr="00250825">
              <w:rPr>
                <w:bCs/>
              </w:rPr>
              <w:t xml:space="preserve"> articles 5</w:t>
            </w:r>
            <w:r w:rsidR="006D438A">
              <w:rPr>
                <w:bCs/>
              </w:rPr>
              <w:t>, 6, 7 et</w:t>
            </w:r>
            <w:r w:rsidR="00250825" w:rsidRPr="00250825">
              <w:rPr>
                <w:bCs/>
              </w:rPr>
              <w:t xml:space="preserve"> 8 et</w:t>
            </w:r>
            <w:r>
              <w:rPr>
                <w:bCs/>
              </w:rPr>
              <w:t xml:space="preserve"> de</w:t>
            </w:r>
            <w:r w:rsidR="00250825" w:rsidRPr="00250825">
              <w:rPr>
                <w:bCs/>
              </w:rPr>
              <w:t xml:space="preserve"> l'appendice</w:t>
            </w:r>
            <w:r>
              <w:rPr>
                <w:bCs/>
              </w:rPr>
              <w:t> </w:t>
            </w:r>
            <w:r w:rsidR="00250825" w:rsidRPr="00250825">
              <w:rPr>
                <w:bCs/>
              </w:rPr>
              <w:t xml:space="preserve">1 </w:t>
            </w:r>
            <w:r w:rsidR="006D438A">
              <w:rPr>
                <w:bCs/>
              </w:rPr>
              <w:t>DU </w:t>
            </w:r>
            <w:r w:rsidR="00250825" w:rsidRPr="00250825">
              <w:rPr>
                <w:bCs/>
              </w:rPr>
              <w:t>rÈglement des tÉlÉcommunications internationales</w:t>
            </w:r>
            <w:bookmarkEnd w:id="6"/>
          </w:p>
        </w:tc>
      </w:tr>
    </w:tbl>
    <w:p w14:paraId="3AB07DB9" w14:textId="009796A9" w:rsidR="00583AAC" w:rsidRPr="00AE6811" w:rsidRDefault="00AE6811" w:rsidP="00C661CD">
      <w:pPr>
        <w:spacing w:before="600"/>
        <w:rPr>
          <w:szCs w:val="24"/>
        </w:rPr>
      </w:pPr>
      <w:bookmarkStart w:id="8" w:name="lt_pId012"/>
      <w:bookmarkEnd w:id="7"/>
      <w:r w:rsidRPr="00AE6811">
        <w:rPr>
          <w:szCs w:val="24"/>
        </w:rPr>
        <w:t xml:space="preserve">L'Égypte a l'honneur </w:t>
      </w:r>
      <w:r>
        <w:rPr>
          <w:szCs w:val="24"/>
        </w:rPr>
        <w:t>de transmettre ses vue</w:t>
      </w:r>
      <w:r w:rsidR="00ED3560">
        <w:rPr>
          <w:szCs w:val="24"/>
        </w:rPr>
        <w:t>s</w:t>
      </w:r>
      <w:r>
        <w:rPr>
          <w:szCs w:val="24"/>
        </w:rPr>
        <w:t xml:space="preserve"> concernant les dispositions relatives au </w:t>
      </w:r>
      <w:r w:rsidR="00C004CC">
        <w:rPr>
          <w:szCs w:val="24"/>
        </w:rPr>
        <w:t>P</w:t>
      </w:r>
      <w:r>
        <w:rPr>
          <w:szCs w:val="24"/>
        </w:rPr>
        <w:t>réambule, aux Articles</w:t>
      </w:r>
      <w:r w:rsidR="00583AAC" w:rsidRPr="00AE6811">
        <w:rPr>
          <w:szCs w:val="24"/>
        </w:rPr>
        <w:t xml:space="preserve"> 5, 6, 7</w:t>
      </w:r>
      <w:r w:rsidR="00FA78D9" w:rsidRPr="00AE6811">
        <w:rPr>
          <w:szCs w:val="24"/>
        </w:rPr>
        <w:t xml:space="preserve"> et</w:t>
      </w:r>
      <w:r w:rsidR="00583AAC" w:rsidRPr="00AE6811">
        <w:rPr>
          <w:szCs w:val="24"/>
        </w:rPr>
        <w:t xml:space="preserve"> 8 et </w:t>
      </w:r>
      <w:r>
        <w:rPr>
          <w:szCs w:val="24"/>
        </w:rPr>
        <w:t xml:space="preserve">à </w:t>
      </w:r>
      <w:r w:rsidR="00583AAC" w:rsidRPr="00AE6811">
        <w:rPr>
          <w:szCs w:val="24"/>
        </w:rPr>
        <w:t>l'Appendice 1 du RTI.</w:t>
      </w:r>
      <w:bookmarkEnd w:id="8"/>
    </w:p>
    <w:p w14:paraId="1FD40890" w14:textId="76DAC19E" w:rsidR="00583AAC" w:rsidRPr="00AE6811" w:rsidRDefault="00583AAC" w:rsidP="00C661CD">
      <w:pPr>
        <w:snapToGrid w:val="0"/>
        <w:spacing w:before="360" w:after="120"/>
        <w:jc w:val="center"/>
        <w:rPr>
          <w:rFonts w:asciiTheme="majorBidi" w:hAnsiTheme="majorBidi" w:cstheme="majorBidi"/>
          <w:b/>
        </w:rPr>
      </w:pPr>
    </w:p>
    <w:p w14:paraId="4142AED7" w14:textId="77777777" w:rsidR="00583AAC" w:rsidRPr="00AE6811" w:rsidRDefault="00583AAC" w:rsidP="00C661CD">
      <w:pPr>
        <w:snapToGrid w:val="0"/>
        <w:spacing w:before="360" w:after="120"/>
        <w:jc w:val="center"/>
        <w:rPr>
          <w:rFonts w:asciiTheme="majorBidi" w:hAnsiTheme="majorBidi" w:cstheme="majorBidi"/>
          <w:b/>
        </w:rPr>
        <w:sectPr w:rsidR="00583AAC" w:rsidRPr="00AE6811" w:rsidSect="00583AAC">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docGrid w:linePitch="299"/>
        </w:sectPr>
      </w:pPr>
    </w:p>
    <w:tbl>
      <w:tblPr>
        <w:tblStyle w:val="TableGrid"/>
        <w:tblpPr w:leftFromText="180" w:rightFromText="180" w:vertAnchor="text" w:tblpXSpec="center" w:tblpY="1"/>
        <w:tblOverlap w:val="never"/>
        <w:tblW w:w="15080" w:type="dxa"/>
        <w:tblLayout w:type="fixed"/>
        <w:tblLook w:val="04A0" w:firstRow="1" w:lastRow="0" w:firstColumn="1" w:lastColumn="0" w:noHBand="0" w:noVBand="1"/>
      </w:tblPr>
      <w:tblGrid>
        <w:gridCol w:w="1980"/>
        <w:gridCol w:w="2977"/>
        <w:gridCol w:w="2976"/>
        <w:gridCol w:w="2375"/>
        <w:gridCol w:w="2445"/>
        <w:gridCol w:w="2327"/>
      </w:tblGrid>
      <w:tr w:rsidR="00B159FE" w:rsidRPr="00A35219" w14:paraId="47CC5035" w14:textId="77777777" w:rsidTr="00A35219">
        <w:trPr>
          <w:tblHeader/>
        </w:trPr>
        <w:tc>
          <w:tcPr>
            <w:tcW w:w="1980" w:type="dxa"/>
          </w:tcPr>
          <w:p w14:paraId="24593470" w14:textId="3C0419A3" w:rsidR="00B159FE" w:rsidRPr="00A35219" w:rsidRDefault="00B159FE" w:rsidP="00A35219">
            <w:pPr>
              <w:pStyle w:val="Tablehead"/>
              <w:rPr>
                <w:sz w:val="20"/>
                <w:szCs w:val="20"/>
              </w:rPr>
            </w:pPr>
            <w:bookmarkStart w:id="9" w:name="_GoBack" w:colFirst="0" w:colLast="5"/>
            <w:r w:rsidRPr="00A35219">
              <w:rPr>
                <w:sz w:val="20"/>
                <w:szCs w:val="20"/>
              </w:rPr>
              <w:lastRenderedPageBreak/>
              <w:t>Article de la version de 2012</w:t>
            </w:r>
          </w:p>
        </w:tc>
        <w:tc>
          <w:tcPr>
            <w:tcW w:w="2977" w:type="dxa"/>
          </w:tcPr>
          <w:p w14:paraId="06E6D9B3" w14:textId="4CEFF556" w:rsidR="00B159FE" w:rsidRPr="00A35219" w:rsidRDefault="00B159FE" w:rsidP="00A35219">
            <w:pPr>
              <w:pStyle w:val="Tablehead"/>
              <w:rPr>
                <w:sz w:val="20"/>
                <w:szCs w:val="20"/>
              </w:rPr>
            </w:pPr>
            <w:r w:rsidRPr="00A35219">
              <w:rPr>
                <w:sz w:val="20"/>
                <w:szCs w:val="20"/>
              </w:rPr>
              <w:t>Paragraphe et disposition</w:t>
            </w:r>
          </w:p>
        </w:tc>
        <w:tc>
          <w:tcPr>
            <w:tcW w:w="2976" w:type="dxa"/>
          </w:tcPr>
          <w:p w14:paraId="613A671E" w14:textId="1FA36A1B" w:rsidR="00B159FE" w:rsidRPr="00A35219" w:rsidRDefault="00B159FE" w:rsidP="00A35219">
            <w:pPr>
              <w:pStyle w:val="Tablehead"/>
              <w:rPr>
                <w:sz w:val="20"/>
                <w:szCs w:val="20"/>
              </w:rPr>
            </w:pPr>
            <w:r w:rsidRPr="00A35219">
              <w:rPr>
                <w:sz w:val="20"/>
                <w:szCs w:val="20"/>
              </w:rPr>
              <w:t>Paragraphe et disposition correspondants dans la version de 1988</w:t>
            </w:r>
          </w:p>
        </w:tc>
        <w:tc>
          <w:tcPr>
            <w:tcW w:w="2375" w:type="dxa"/>
          </w:tcPr>
          <w:p w14:paraId="1892C17E" w14:textId="02AC55F1" w:rsidR="00B159FE" w:rsidRPr="00A35219" w:rsidRDefault="00B159FE" w:rsidP="00A35219">
            <w:pPr>
              <w:pStyle w:val="Tablehead"/>
              <w:rPr>
                <w:sz w:val="20"/>
                <w:szCs w:val="20"/>
              </w:rPr>
            </w:pPr>
            <w:r w:rsidRPr="00A35219">
              <w:rPr>
                <w:sz w:val="20"/>
                <w:szCs w:val="20"/>
              </w:rPr>
              <w:t>Applicabilité pour ce qui est de favoriser la fourniture et le développement des réseaux et des services</w:t>
            </w:r>
          </w:p>
        </w:tc>
        <w:tc>
          <w:tcPr>
            <w:tcW w:w="2445" w:type="dxa"/>
          </w:tcPr>
          <w:p w14:paraId="5115BF36" w14:textId="41299380" w:rsidR="00B159FE" w:rsidRPr="00A35219" w:rsidRDefault="00B159FE" w:rsidP="00A35219">
            <w:pPr>
              <w:pStyle w:val="Tablehead"/>
              <w:rPr>
                <w:sz w:val="20"/>
                <w:szCs w:val="20"/>
              </w:rPr>
            </w:pPr>
            <w:r w:rsidRPr="00A35219">
              <w:rPr>
                <w:sz w:val="20"/>
                <w:szCs w:val="20"/>
              </w:rPr>
              <w:t>Souplesse pour tenir compte des nouvelles tendances et des nouveaux problèmes qui se font jour</w:t>
            </w:r>
          </w:p>
        </w:tc>
        <w:tc>
          <w:tcPr>
            <w:tcW w:w="2327" w:type="dxa"/>
          </w:tcPr>
          <w:p w14:paraId="4A555C8C" w14:textId="6EE9D91C" w:rsidR="00B159FE" w:rsidRPr="00A35219" w:rsidRDefault="00B159FE" w:rsidP="00A35219">
            <w:pPr>
              <w:pStyle w:val="Tablehead"/>
              <w:rPr>
                <w:sz w:val="20"/>
                <w:szCs w:val="20"/>
              </w:rPr>
            </w:pPr>
            <w:r w:rsidRPr="00A35219">
              <w:rPr>
                <w:sz w:val="20"/>
                <w:szCs w:val="20"/>
              </w:rPr>
              <w:t>Résumé des résultats</w:t>
            </w:r>
          </w:p>
        </w:tc>
      </w:tr>
      <w:tr w:rsidR="00583AAC" w:rsidRPr="0088256C" w14:paraId="15F95A75" w14:textId="77777777" w:rsidTr="00C10FCA">
        <w:tc>
          <w:tcPr>
            <w:tcW w:w="1980" w:type="dxa"/>
          </w:tcPr>
          <w:p w14:paraId="042DE9EF" w14:textId="3046B1CA" w:rsidR="00583AAC" w:rsidRPr="00707D64" w:rsidRDefault="00122A6E" w:rsidP="00C661CD">
            <w:pPr>
              <w:snapToGrid w:val="0"/>
              <w:spacing w:before="60" w:after="60"/>
              <w:jc w:val="center"/>
              <w:rPr>
                <w:rFonts w:asciiTheme="minorHAnsi" w:hAnsiTheme="minorHAnsi" w:cstheme="majorBidi"/>
                <w:b/>
                <w:sz w:val="20"/>
                <w:szCs w:val="20"/>
              </w:rPr>
            </w:pPr>
            <w:bookmarkStart w:id="10" w:name="_Hlk50115517"/>
            <w:bookmarkEnd w:id="9"/>
            <w:r w:rsidRPr="00707D64">
              <w:rPr>
                <w:rFonts w:asciiTheme="minorHAnsi" w:hAnsiTheme="minorHAnsi" w:cstheme="majorBidi"/>
                <w:b/>
                <w:sz w:val="20"/>
                <w:szCs w:val="20"/>
              </w:rPr>
              <w:t xml:space="preserve">5 </w:t>
            </w:r>
            <w:bookmarkStart w:id="11" w:name="_Toc351716092"/>
            <w:r w:rsidR="008D42DB" w:rsidRPr="00707D64">
              <w:rPr>
                <w:rFonts w:asciiTheme="minorHAnsi" w:hAnsiTheme="minorHAnsi"/>
                <w:b/>
                <w:sz w:val="20"/>
                <w:szCs w:val="20"/>
                <w:lang w:val="fr-CH"/>
              </w:rPr>
              <w:t>Sécurité de la vie </w:t>
            </w:r>
            <w:r w:rsidRPr="00707D64">
              <w:rPr>
                <w:rFonts w:asciiTheme="minorHAnsi" w:hAnsiTheme="minorHAnsi"/>
                <w:b/>
                <w:sz w:val="20"/>
                <w:szCs w:val="20"/>
                <w:lang w:val="fr-CH"/>
              </w:rPr>
              <w:t>humaine et priorité des télécommunications</w:t>
            </w:r>
            <w:bookmarkEnd w:id="11"/>
          </w:p>
        </w:tc>
        <w:tc>
          <w:tcPr>
            <w:tcW w:w="2977" w:type="dxa"/>
          </w:tcPr>
          <w:p w14:paraId="000B4B4C" w14:textId="50859BD8"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5.1</w:t>
            </w:r>
            <w:r w:rsidRPr="00707D64">
              <w:rPr>
                <w:rFonts w:asciiTheme="minorHAnsi" w:hAnsiTheme="minorHAnsi"/>
                <w:sz w:val="20"/>
                <w:szCs w:val="20"/>
                <w:lang w:val="fr-CH"/>
              </w:rPr>
              <w:tab/>
              <w:t>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tc>
        <w:tc>
          <w:tcPr>
            <w:tcW w:w="2976" w:type="dxa"/>
          </w:tcPr>
          <w:p w14:paraId="58639397" w14:textId="36951936" w:rsidR="00B053EB" w:rsidRPr="00981979" w:rsidRDefault="00D0530C" w:rsidP="00C661CD">
            <w:pPr>
              <w:pStyle w:val="Tabletext"/>
              <w:rPr>
                <w:rFonts w:asciiTheme="minorHAnsi" w:hAnsiTheme="minorHAnsi" w:cstheme="majorBidi"/>
                <w:b/>
                <w:sz w:val="20"/>
                <w:szCs w:val="20"/>
              </w:rPr>
            </w:pPr>
            <w:r w:rsidRPr="00981979">
              <w:rPr>
                <w:rFonts w:asciiTheme="minorHAnsi" w:hAnsiTheme="minorHAnsi"/>
                <w:sz w:val="20"/>
                <w:szCs w:val="20"/>
                <w:lang w:val="fr-CH"/>
              </w:rPr>
              <w:t>5.1</w:t>
            </w:r>
            <w:r w:rsidRPr="00981979">
              <w:rPr>
                <w:rFonts w:asciiTheme="minorHAnsi" w:hAnsiTheme="minorHAnsi"/>
                <w:sz w:val="20"/>
                <w:szCs w:val="20"/>
                <w:lang w:val="fr-CH"/>
              </w:rPr>
              <w:tab/>
            </w:r>
            <w:r w:rsidR="00B053EB" w:rsidRPr="00981979">
              <w:rPr>
                <w:rFonts w:asciiTheme="minorHAnsi" w:hAnsiTheme="minorHAnsi" w:cstheme="minorHAnsi"/>
                <w:sz w:val="20"/>
                <w:szCs w:val="20"/>
              </w:rPr>
              <w:t>Les télécommunications se rapportant à la sécurité de la vie humaine, telles que les télécommunications de détresse, bénéficient d'un droit absolu à la transmission et jouissent, dans la mesure où c'est techniquement réalisable, d'une priorité absolue sur toutes les autres télécommunications, conformément aux articles pertinents de la Convention et en tenant dûment compte des</w:t>
            </w:r>
            <w:r w:rsidR="00970AFD" w:rsidRPr="00981979">
              <w:rPr>
                <w:rFonts w:asciiTheme="minorHAnsi" w:hAnsiTheme="minorHAnsi" w:cstheme="minorHAnsi"/>
                <w:sz w:val="20"/>
                <w:szCs w:val="20"/>
              </w:rPr>
              <w:t xml:space="preserve"> Recommandations pertinentes du </w:t>
            </w:r>
            <w:r w:rsidR="00B053EB" w:rsidRPr="00981979">
              <w:rPr>
                <w:rFonts w:asciiTheme="minorHAnsi" w:hAnsiTheme="minorHAnsi" w:cstheme="minorHAnsi"/>
                <w:sz w:val="20"/>
                <w:szCs w:val="20"/>
              </w:rPr>
              <w:t>CCITT.</w:t>
            </w:r>
          </w:p>
        </w:tc>
        <w:tc>
          <w:tcPr>
            <w:tcW w:w="2375" w:type="dxa"/>
          </w:tcPr>
          <w:p w14:paraId="7F21EA02" w14:textId="72DFCF37"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Cette</w:t>
            </w:r>
            <w:r w:rsidR="00A0090B" w:rsidRPr="00981979">
              <w:rPr>
                <w:rFonts w:asciiTheme="minorHAnsi" w:hAnsiTheme="minorHAnsi" w:cstheme="majorBidi"/>
                <w:b/>
                <w:sz w:val="20"/>
                <w:szCs w:val="20"/>
              </w:rPr>
              <w:t xml:space="preserve"> disposition est applicable.</w:t>
            </w:r>
          </w:p>
        </w:tc>
        <w:tc>
          <w:tcPr>
            <w:tcW w:w="2445" w:type="dxa"/>
          </w:tcPr>
          <w:p w14:paraId="531B4CFB" w14:textId="5457BEB0" w:rsidR="00583AAC" w:rsidRPr="00981979" w:rsidRDefault="00ED3560" w:rsidP="00C661CD">
            <w:pPr>
              <w:pStyle w:val="Tabletext"/>
              <w:rPr>
                <w:rFonts w:asciiTheme="minorHAnsi" w:hAnsiTheme="minorHAnsi" w:cstheme="majorBidi"/>
                <w:b/>
                <w:sz w:val="20"/>
                <w:szCs w:val="20"/>
              </w:rPr>
            </w:pPr>
            <w:bookmarkStart w:id="12" w:name="lt_pId027"/>
            <w:r w:rsidRPr="00981979">
              <w:rPr>
                <w:rFonts w:asciiTheme="minorHAnsi" w:hAnsiTheme="minorHAnsi" w:cstheme="majorBidi"/>
                <w:b/>
                <w:sz w:val="20"/>
                <w:szCs w:val="20"/>
              </w:rPr>
              <w:t>Ce texte</w:t>
            </w:r>
            <w:r w:rsidR="00981979" w:rsidRPr="00981979">
              <w:rPr>
                <w:rFonts w:asciiTheme="minorHAnsi" w:hAnsiTheme="minorHAnsi" w:cstheme="majorBidi"/>
                <w:b/>
                <w:sz w:val="20"/>
                <w:szCs w:val="20"/>
              </w:rPr>
              <w:t xml:space="preserve"> </w:t>
            </w:r>
            <w:r w:rsidR="007B59C9" w:rsidRPr="00981979">
              <w:rPr>
                <w:rFonts w:asciiTheme="minorHAnsi" w:hAnsiTheme="minorHAnsi" w:cstheme="majorBidi"/>
                <w:b/>
                <w:sz w:val="20"/>
                <w:szCs w:val="20"/>
              </w:rPr>
              <w:t xml:space="preserve">peut offrir davantage de souplesse si l'on </w:t>
            </w:r>
            <w:r w:rsidRPr="00981979">
              <w:rPr>
                <w:rFonts w:asciiTheme="minorHAnsi" w:hAnsiTheme="minorHAnsi" w:cstheme="majorBidi"/>
                <w:b/>
                <w:sz w:val="20"/>
                <w:szCs w:val="20"/>
              </w:rPr>
              <w:t>renvoie</w:t>
            </w:r>
            <w:r w:rsidR="0088256C" w:rsidRPr="00981979">
              <w:rPr>
                <w:rFonts w:asciiTheme="minorHAnsi" w:hAnsiTheme="minorHAnsi" w:cstheme="majorBidi"/>
                <w:b/>
                <w:sz w:val="20"/>
                <w:szCs w:val="20"/>
              </w:rPr>
              <w:t xml:space="preserve"> aux Recommandations de l'UIT</w:t>
            </w:r>
            <w:r w:rsidR="0096619F" w:rsidRPr="00981979">
              <w:rPr>
                <w:rFonts w:asciiTheme="minorHAnsi" w:hAnsiTheme="minorHAnsi" w:cstheme="majorBidi"/>
                <w:b/>
                <w:sz w:val="20"/>
                <w:szCs w:val="20"/>
              </w:rPr>
              <w:t>,</w:t>
            </w:r>
            <w:r w:rsidR="0088256C" w:rsidRPr="00981979">
              <w:rPr>
                <w:rFonts w:asciiTheme="minorHAnsi" w:hAnsiTheme="minorHAnsi" w:cstheme="majorBidi"/>
                <w:b/>
                <w:sz w:val="20"/>
                <w:szCs w:val="20"/>
              </w:rPr>
              <w:t xml:space="preserve"> </w:t>
            </w:r>
            <w:bookmarkEnd w:id="12"/>
            <w:r w:rsidR="0088256C" w:rsidRPr="00981979">
              <w:rPr>
                <w:rFonts w:asciiTheme="minorHAnsi" w:hAnsiTheme="minorHAnsi" w:cstheme="majorBidi"/>
                <w:b/>
                <w:sz w:val="20"/>
                <w:szCs w:val="20"/>
              </w:rPr>
              <w:t>en lieu et place des Recommandations de l'UIT-T.</w:t>
            </w:r>
          </w:p>
        </w:tc>
        <w:tc>
          <w:tcPr>
            <w:tcW w:w="2327" w:type="dxa"/>
          </w:tcPr>
          <w:p w14:paraId="59651592" w14:textId="67EAA733" w:rsidR="00583AAC" w:rsidRPr="00981979" w:rsidRDefault="0096619F"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Renvoie</w:t>
            </w:r>
            <w:r w:rsidR="00981979" w:rsidRPr="00981979">
              <w:rPr>
                <w:rFonts w:asciiTheme="minorHAnsi" w:hAnsiTheme="minorHAnsi" w:cstheme="majorBidi"/>
                <w:b/>
                <w:sz w:val="20"/>
                <w:szCs w:val="20"/>
              </w:rPr>
              <w:t xml:space="preserve"> </w:t>
            </w:r>
            <w:r w:rsidR="0088256C" w:rsidRPr="00981979">
              <w:rPr>
                <w:rFonts w:asciiTheme="minorHAnsi" w:hAnsiTheme="minorHAnsi" w:cstheme="majorBidi"/>
                <w:b/>
                <w:sz w:val="20"/>
                <w:szCs w:val="20"/>
              </w:rPr>
              <w:t>aux Recommandations de l'UIT en général.</w:t>
            </w:r>
          </w:p>
        </w:tc>
      </w:tr>
      <w:bookmarkEnd w:id="10"/>
      <w:tr w:rsidR="00583AAC" w:rsidRPr="0088256C" w14:paraId="0AEEDF6B" w14:textId="77777777" w:rsidTr="00C10FCA">
        <w:tc>
          <w:tcPr>
            <w:tcW w:w="1980" w:type="dxa"/>
          </w:tcPr>
          <w:p w14:paraId="1A0FFADF" w14:textId="77777777" w:rsidR="00583AAC" w:rsidRPr="0088256C" w:rsidRDefault="00583AAC" w:rsidP="00C661CD">
            <w:pPr>
              <w:snapToGrid w:val="0"/>
              <w:spacing w:before="60" w:after="60"/>
              <w:jc w:val="center"/>
              <w:rPr>
                <w:rFonts w:asciiTheme="minorHAnsi" w:hAnsiTheme="minorHAnsi" w:cstheme="majorBidi"/>
                <w:b/>
                <w:sz w:val="20"/>
                <w:szCs w:val="20"/>
              </w:rPr>
            </w:pPr>
          </w:p>
        </w:tc>
        <w:tc>
          <w:tcPr>
            <w:tcW w:w="2977" w:type="dxa"/>
          </w:tcPr>
          <w:p w14:paraId="1B9CDB25" w14:textId="2F618505" w:rsidR="00583AAC" w:rsidRPr="00707D64" w:rsidRDefault="008D42DB" w:rsidP="00C661CD">
            <w:pPr>
              <w:pStyle w:val="Tabletext"/>
              <w:rPr>
                <w:rFonts w:asciiTheme="minorHAnsi" w:hAnsiTheme="minorHAnsi" w:cstheme="majorBidi"/>
                <w:b/>
                <w:sz w:val="20"/>
                <w:szCs w:val="20"/>
              </w:rPr>
            </w:pPr>
            <w:r w:rsidRPr="00707D64">
              <w:rPr>
                <w:rFonts w:asciiTheme="minorHAnsi" w:hAnsiTheme="minorHAnsi"/>
                <w:sz w:val="20"/>
                <w:szCs w:val="20"/>
                <w:lang w:val="fr-CH"/>
              </w:rPr>
              <w:t>5.2</w:t>
            </w:r>
            <w:r w:rsidRPr="00707D64">
              <w:rPr>
                <w:rFonts w:asciiTheme="minorHAnsi" w:hAnsiTheme="minorHAnsi"/>
                <w:sz w:val="20"/>
                <w:szCs w:val="20"/>
                <w:lang w:val="fr-CH"/>
              </w:rPr>
              <w:tab/>
              <w:t>Les télécommunications d'</w:t>
            </w:r>
            <w:r w:rsidRPr="00707D64">
              <w:rPr>
                <w:rFonts w:asciiTheme="minorHAnsi" w:hAnsiTheme="minorHAnsi"/>
                <w:caps/>
                <w:sz w:val="20"/>
                <w:szCs w:val="20"/>
                <w:lang w:val="fr-CH"/>
              </w:rPr>
              <w:t>é</w:t>
            </w:r>
            <w:r w:rsidRPr="00707D64">
              <w:rPr>
                <w:rFonts w:asciiTheme="minorHAnsi" w:hAnsiTheme="minorHAnsi"/>
                <w:sz w:val="20"/>
                <w:szCs w:val="20"/>
                <w:lang w:val="fr-CH"/>
              </w:rPr>
              <w:t>tat, y compris les télécommunications relatives à l'application de certaines dispositions de la Charte des Nations Unies, jouissent, dans la mesure où cela est techniquement possible, d'un droit de priorité sur toutes les télécommunications autres que celles mentionnées au numéro 45 (disposition 5.1) ci</w:t>
            </w:r>
            <w:r w:rsidRPr="00707D64">
              <w:rPr>
                <w:rFonts w:asciiTheme="minorHAnsi" w:hAnsiTheme="minorHAnsi"/>
                <w:sz w:val="20"/>
                <w:szCs w:val="20"/>
                <w:lang w:val="fr-CH"/>
              </w:rPr>
              <w:noBreakHyphen/>
              <w:t xml:space="preserve">dessus, conformément aux dispositions pertinentes de la Constitution et de la Convention et compte </w:t>
            </w:r>
            <w:r w:rsidRPr="00707D64">
              <w:rPr>
                <w:rFonts w:asciiTheme="minorHAnsi" w:hAnsiTheme="minorHAnsi"/>
                <w:sz w:val="20"/>
                <w:szCs w:val="20"/>
                <w:lang w:val="fr-CH"/>
              </w:rPr>
              <w:lastRenderedPageBreak/>
              <w:t>dûment tenu des Recommandations UIT-T pertinentes.</w:t>
            </w:r>
          </w:p>
        </w:tc>
        <w:tc>
          <w:tcPr>
            <w:tcW w:w="2976" w:type="dxa"/>
          </w:tcPr>
          <w:p w14:paraId="090928F5" w14:textId="20D1828E" w:rsidR="00B053EB" w:rsidRPr="00981979" w:rsidRDefault="00D0530C" w:rsidP="00C661CD">
            <w:pPr>
              <w:pStyle w:val="Tabletext"/>
              <w:rPr>
                <w:rFonts w:asciiTheme="minorHAnsi" w:hAnsiTheme="minorHAnsi" w:cstheme="majorBidi"/>
                <w:b/>
                <w:sz w:val="20"/>
                <w:szCs w:val="20"/>
              </w:rPr>
            </w:pPr>
            <w:r w:rsidRPr="00981979">
              <w:rPr>
                <w:rFonts w:asciiTheme="minorHAnsi" w:hAnsiTheme="minorHAnsi"/>
                <w:sz w:val="20"/>
                <w:szCs w:val="20"/>
                <w:lang w:val="fr-CH"/>
              </w:rPr>
              <w:lastRenderedPageBreak/>
              <w:t>5.2</w:t>
            </w:r>
            <w:r w:rsidRPr="00981979">
              <w:rPr>
                <w:rFonts w:asciiTheme="minorHAnsi" w:hAnsiTheme="minorHAnsi"/>
                <w:sz w:val="20"/>
                <w:szCs w:val="20"/>
                <w:lang w:val="fr-CH"/>
              </w:rPr>
              <w:tab/>
            </w:r>
            <w:r w:rsidR="00B053EB" w:rsidRPr="00981979">
              <w:rPr>
                <w:rFonts w:asciiTheme="minorHAnsi" w:hAnsiTheme="minorHAnsi" w:cstheme="minorHAnsi"/>
                <w:sz w:val="20"/>
                <w:szCs w:val="20"/>
              </w:rPr>
              <w:t>Les télécommunications d'</w:t>
            </w:r>
            <w:r w:rsidR="00B053EB" w:rsidRPr="00981979">
              <w:rPr>
                <w:rFonts w:asciiTheme="minorHAnsi" w:hAnsiTheme="minorHAnsi"/>
                <w:caps/>
                <w:sz w:val="20"/>
                <w:szCs w:val="20"/>
                <w:lang w:val="fr-CH"/>
              </w:rPr>
              <w:t>é</w:t>
            </w:r>
            <w:r w:rsidR="00B053EB" w:rsidRPr="00981979">
              <w:rPr>
                <w:rFonts w:asciiTheme="minorHAnsi" w:hAnsiTheme="minorHAnsi" w:cstheme="minorHAnsi"/>
                <w:sz w:val="20"/>
                <w:szCs w:val="20"/>
              </w:rPr>
              <w:t xml:space="preserv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w:t>
            </w:r>
            <w:r w:rsidR="00B053EB" w:rsidRPr="00981979">
              <w:rPr>
                <w:rFonts w:asciiTheme="minorHAnsi" w:hAnsiTheme="minorHAnsi" w:cstheme="minorHAnsi"/>
                <w:sz w:val="20"/>
                <w:szCs w:val="20"/>
              </w:rPr>
              <w:lastRenderedPageBreak/>
              <w:t>compte des Recommandations pertinentes du CCITT.</w:t>
            </w:r>
          </w:p>
        </w:tc>
        <w:tc>
          <w:tcPr>
            <w:tcW w:w="2375" w:type="dxa"/>
          </w:tcPr>
          <w:p w14:paraId="3F74F82D" w14:textId="0BB61573"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Ce</w:t>
            </w:r>
            <w:r w:rsidR="0096619F" w:rsidRPr="00981979">
              <w:rPr>
                <w:rFonts w:asciiTheme="minorHAnsi" w:hAnsiTheme="minorHAnsi" w:cstheme="majorBidi"/>
                <w:b/>
                <w:sz w:val="20"/>
                <w:szCs w:val="20"/>
              </w:rPr>
              <w:t xml:space="preserve"> texte </w:t>
            </w:r>
            <w:r w:rsidR="00AA277B" w:rsidRPr="00981979">
              <w:rPr>
                <w:rFonts w:asciiTheme="minorHAnsi" w:hAnsiTheme="minorHAnsi" w:cstheme="majorBidi"/>
                <w:b/>
                <w:sz w:val="20"/>
                <w:szCs w:val="20"/>
              </w:rPr>
              <w:t>est applicable</w:t>
            </w:r>
            <w:r w:rsidR="0088256C" w:rsidRPr="00981979">
              <w:rPr>
                <w:rFonts w:asciiTheme="minorHAnsi" w:hAnsiTheme="minorHAnsi" w:cstheme="majorBidi"/>
                <w:b/>
                <w:sz w:val="20"/>
                <w:szCs w:val="20"/>
              </w:rPr>
              <w:t>.</w:t>
            </w:r>
          </w:p>
        </w:tc>
        <w:tc>
          <w:tcPr>
            <w:tcW w:w="2445" w:type="dxa"/>
          </w:tcPr>
          <w:p w14:paraId="0561A088" w14:textId="7F61B75A"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7B59C9" w:rsidRPr="00981979">
              <w:rPr>
                <w:rFonts w:asciiTheme="minorHAnsi" w:hAnsiTheme="minorHAnsi" w:cstheme="majorBidi"/>
                <w:b/>
                <w:sz w:val="20"/>
                <w:szCs w:val="20"/>
              </w:rPr>
              <w:t>peut offrir davantage de souplesse si l'on</w:t>
            </w:r>
            <w:r w:rsidR="00981979" w:rsidRPr="00981979">
              <w:rPr>
                <w:rFonts w:asciiTheme="minorHAnsi" w:hAnsiTheme="minorHAnsi" w:cstheme="majorBidi"/>
                <w:b/>
                <w:sz w:val="20"/>
                <w:szCs w:val="20"/>
              </w:rPr>
              <w:t xml:space="preserve"> </w:t>
            </w:r>
            <w:r w:rsidR="0096619F" w:rsidRPr="00981979">
              <w:rPr>
                <w:rFonts w:asciiTheme="minorHAnsi" w:hAnsiTheme="minorHAnsi" w:cstheme="majorBidi"/>
                <w:b/>
                <w:sz w:val="20"/>
                <w:szCs w:val="20"/>
              </w:rPr>
              <w:t xml:space="preserve">renvoie </w:t>
            </w:r>
            <w:r w:rsidR="007B59C9" w:rsidRPr="00981979">
              <w:rPr>
                <w:rFonts w:asciiTheme="minorHAnsi" w:hAnsiTheme="minorHAnsi" w:cstheme="majorBidi"/>
                <w:b/>
                <w:sz w:val="20"/>
                <w:szCs w:val="20"/>
              </w:rPr>
              <w:t xml:space="preserve">aux Recommandations de </w:t>
            </w:r>
            <w:proofErr w:type="gramStart"/>
            <w:r w:rsidR="007B59C9" w:rsidRPr="00981979">
              <w:rPr>
                <w:rFonts w:asciiTheme="minorHAnsi" w:hAnsiTheme="minorHAnsi" w:cstheme="majorBidi"/>
                <w:b/>
                <w:sz w:val="20"/>
                <w:szCs w:val="20"/>
              </w:rPr>
              <w:t xml:space="preserve">l'UIT </w:t>
            </w:r>
            <w:r w:rsidR="0096619F" w:rsidRPr="00981979">
              <w:rPr>
                <w:rFonts w:asciiTheme="minorHAnsi" w:hAnsiTheme="minorHAnsi" w:cstheme="majorBidi"/>
                <w:b/>
                <w:sz w:val="20"/>
                <w:szCs w:val="20"/>
              </w:rPr>
              <w:t>,</w:t>
            </w:r>
            <w:r w:rsidR="007B59C9" w:rsidRPr="00981979">
              <w:rPr>
                <w:rFonts w:asciiTheme="minorHAnsi" w:hAnsiTheme="minorHAnsi" w:cstheme="majorBidi"/>
                <w:b/>
                <w:sz w:val="20"/>
                <w:szCs w:val="20"/>
              </w:rPr>
              <w:t>en</w:t>
            </w:r>
            <w:proofErr w:type="gramEnd"/>
            <w:r w:rsidR="007B59C9" w:rsidRPr="00981979">
              <w:rPr>
                <w:rFonts w:asciiTheme="minorHAnsi" w:hAnsiTheme="minorHAnsi" w:cstheme="majorBidi"/>
                <w:b/>
                <w:sz w:val="20"/>
                <w:szCs w:val="20"/>
              </w:rPr>
              <w:t xml:space="preserve"> lieu et place des Recommandations de l'UIT-T.</w:t>
            </w:r>
          </w:p>
        </w:tc>
        <w:tc>
          <w:tcPr>
            <w:tcW w:w="2327" w:type="dxa"/>
          </w:tcPr>
          <w:p w14:paraId="0D582E24" w14:textId="3F08FA2A" w:rsidR="00583AAC" w:rsidRPr="00981979" w:rsidRDefault="0096619F"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Renvoie</w:t>
            </w:r>
            <w:r w:rsidR="0088256C" w:rsidRPr="00981979">
              <w:rPr>
                <w:rFonts w:asciiTheme="minorHAnsi" w:hAnsiTheme="minorHAnsi" w:cstheme="majorBidi"/>
                <w:b/>
                <w:sz w:val="20"/>
                <w:szCs w:val="20"/>
              </w:rPr>
              <w:t xml:space="preserve"> aux Recommandations de l'UIT en général.</w:t>
            </w:r>
          </w:p>
        </w:tc>
      </w:tr>
      <w:tr w:rsidR="00583AAC" w14:paraId="6F0BECE6" w14:textId="77777777" w:rsidTr="00C10FCA">
        <w:tc>
          <w:tcPr>
            <w:tcW w:w="1980" w:type="dxa"/>
          </w:tcPr>
          <w:p w14:paraId="08FDB22A" w14:textId="77777777" w:rsidR="00583AAC" w:rsidRPr="0088256C" w:rsidRDefault="00583AAC" w:rsidP="00C661CD">
            <w:pPr>
              <w:snapToGrid w:val="0"/>
              <w:spacing w:before="60" w:after="60"/>
              <w:jc w:val="center"/>
              <w:rPr>
                <w:rFonts w:asciiTheme="minorHAnsi" w:hAnsiTheme="minorHAnsi" w:cstheme="majorBidi"/>
                <w:b/>
                <w:sz w:val="20"/>
                <w:szCs w:val="20"/>
              </w:rPr>
            </w:pPr>
          </w:p>
        </w:tc>
        <w:tc>
          <w:tcPr>
            <w:tcW w:w="2977" w:type="dxa"/>
          </w:tcPr>
          <w:p w14:paraId="07A8A1C5" w14:textId="28844871" w:rsidR="00583AAC" w:rsidRPr="00707D64" w:rsidRDefault="008D42DB" w:rsidP="00C661CD">
            <w:pPr>
              <w:pStyle w:val="Tabletext"/>
              <w:rPr>
                <w:rFonts w:asciiTheme="minorHAnsi" w:hAnsiTheme="minorHAnsi" w:cstheme="majorBidi"/>
                <w:b/>
                <w:sz w:val="20"/>
                <w:szCs w:val="20"/>
              </w:rPr>
            </w:pPr>
            <w:r w:rsidRPr="00707D64">
              <w:rPr>
                <w:rFonts w:asciiTheme="minorHAnsi" w:hAnsiTheme="minorHAnsi"/>
                <w:sz w:val="20"/>
                <w:szCs w:val="20"/>
                <w:lang w:val="fr-CH"/>
              </w:rPr>
              <w:t>5.3</w:t>
            </w:r>
            <w:r w:rsidRPr="00707D64">
              <w:rPr>
                <w:rFonts w:asciiTheme="minorHAnsi" w:hAnsiTheme="minorHAnsi"/>
                <w:sz w:val="20"/>
                <w:szCs w:val="20"/>
                <w:lang w:val="fr-CH"/>
              </w:rPr>
              <w:tab/>
              <w:t>Les dispositions régissant la priorité de tous les autres services de télécommunication figurent dans les Recommandations UIT-T pertinentes.</w:t>
            </w:r>
          </w:p>
        </w:tc>
        <w:tc>
          <w:tcPr>
            <w:tcW w:w="2976" w:type="dxa"/>
          </w:tcPr>
          <w:p w14:paraId="6B52B1FE" w14:textId="7E27132A" w:rsidR="00B053EB" w:rsidRPr="00981979" w:rsidRDefault="00D0530C" w:rsidP="00C661CD">
            <w:pPr>
              <w:pStyle w:val="Tabletext"/>
              <w:rPr>
                <w:rFonts w:asciiTheme="minorHAnsi" w:hAnsiTheme="minorHAnsi" w:cstheme="majorBidi"/>
                <w:b/>
                <w:sz w:val="20"/>
                <w:szCs w:val="20"/>
              </w:rPr>
            </w:pPr>
            <w:r w:rsidRPr="00981979">
              <w:rPr>
                <w:rFonts w:asciiTheme="minorHAnsi" w:hAnsiTheme="minorHAnsi"/>
                <w:sz w:val="20"/>
                <w:szCs w:val="20"/>
                <w:lang w:val="fr-CH"/>
              </w:rPr>
              <w:t>5.3</w:t>
            </w:r>
            <w:r w:rsidRPr="00981979">
              <w:rPr>
                <w:rFonts w:asciiTheme="minorHAnsi" w:hAnsiTheme="minorHAnsi"/>
                <w:sz w:val="20"/>
                <w:szCs w:val="20"/>
                <w:lang w:val="fr-CH"/>
              </w:rPr>
              <w:tab/>
            </w:r>
            <w:r w:rsidR="00B053EB" w:rsidRPr="00981979">
              <w:rPr>
                <w:rFonts w:asciiTheme="minorHAnsi" w:hAnsiTheme="minorHAnsi" w:cstheme="minorHAnsi"/>
                <w:sz w:val="20"/>
                <w:szCs w:val="20"/>
              </w:rPr>
              <w:t>Les dispositions régissant la priorité de toutes les autres télécommunications figurent dans les Recommandations pertinentes du CCITT.</w:t>
            </w:r>
          </w:p>
        </w:tc>
        <w:tc>
          <w:tcPr>
            <w:tcW w:w="2375" w:type="dxa"/>
          </w:tcPr>
          <w:p w14:paraId="5E835CA6" w14:textId="7B093B17"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Ce</w:t>
            </w:r>
            <w:r w:rsidR="0088256C" w:rsidRPr="00981979">
              <w:rPr>
                <w:rFonts w:asciiTheme="minorHAnsi" w:hAnsiTheme="minorHAnsi" w:cstheme="majorBidi"/>
                <w:b/>
                <w:sz w:val="20"/>
                <w:szCs w:val="20"/>
              </w:rPr>
              <w:t xml:space="preserve"> texte est applicable.</w:t>
            </w:r>
          </w:p>
        </w:tc>
        <w:tc>
          <w:tcPr>
            <w:tcW w:w="2445" w:type="dxa"/>
          </w:tcPr>
          <w:p w14:paraId="70864469" w14:textId="11F98A30"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7B59C9" w:rsidRPr="00981979">
              <w:rPr>
                <w:rFonts w:asciiTheme="minorHAnsi" w:hAnsiTheme="minorHAnsi" w:cstheme="majorBidi"/>
                <w:b/>
                <w:sz w:val="20"/>
                <w:szCs w:val="20"/>
              </w:rPr>
              <w:t xml:space="preserve">peut offrir davantage de souplesse si l'on </w:t>
            </w:r>
            <w:r w:rsidR="0096619F" w:rsidRPr="00981979">
              <w:rPr>
                <w:rFonts w:asciiTheme="minorHAnsi" w:hAnsiTheme="minorHAnsi" w:cstheme="majorBidi"/>
                <w:b/>
                <w:sz w:val="20"/>
                <w:szCs w:val="20"/>
              </w:rPr>
              <w:t xml:space="preserve">renvoie </w:t>
            </w:r>
            <w:r w:rsidR="007B59C9" w:rsidRPr="00981979">
              <w:rPr>
                <w:rFonts w:asciiTheme="minorHAnsi" w:hAnsiTheme="minorHAnsi" w:cstheme="majorBidi"/>
                <w:b/>
                <w:sz w:val="20"/>
                <w:szCs w:val="20"/>
              </w:rPr>
              <w:t>aux Recommandations de l'UIT en lieu et place des Recommandations de l'UIT-T.</w:t>
            </w:r>
          </w:p>
        </w:tc>
        <w:tc>
          <w:tcPr>
            <w:tcW w:w="2327" w:type="dxa"/>
          </w:tcPr>
          <w:p w14:paraId="69FB76DD" w14:textId="141DF7E4" w:rsidR="00583AAC" w:rsidRPr="00981979" w:rsidRDefault="0096619F"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Renvoie</w:t>
            </w:r>
            <w:r w:rsidR="00981979" w:rsidRPr="00981979">
              <w:rPr>
                <w:rFonts w:asciiTheme="minorHAnsi" w:hAnsiTheme="minorHAnsi" w:cstheme="majorBidi"/>
                <w:b/>
                <w:sz w:val="20"/>
                <w:szCs w:val="20"/>
              </w:rPr>
              <w:t xml:space="preserve"> </w:t>
            </w:r>
            <w:r w:rsidR="0088256C" w:rsidRPr="00981979">
              <w:rPr>
                <w:rFonts w:asciiTheme="minorHAnsi" w:hAnsiTheme="minorHAnsi" w:cstheme="majorBidi"/>
                <w:b/>
                <w:sz w:val="20"/>
                <w:szCs w:val="20"/>
              </w:rPr>
              <w:t>aux Recommandations de l'UIT en général.</w:t>
            </w:r>
          </w:p>
        </w:tc>
      </w:tr>
      <w:tr w:rsidR="00583AAC" w14:paraId="76C1D165" w14:textId="77777777" w:rsidTr="00C10FCA">
        <w:tc>
          <w:tcPr>
            <w:tcW w:w="1980" w:type="dxa"/>
          </w:tcPr>
          <w:p w14:paraId="378C33FC" w14:textId="77777777" w:rsidR="00583AAC" w:rsidRPr="00707D64" w:rsidRDefault="00583AAC" w:rsidP="00C661CD">
            <w:pPr>
              <w:snapToGrid w:val="0"/>
              <w:spacing w:before="60" w:after="60"/>
              <w:jc w:val="center"/>
              <w:rPr>
                <w:rFonts w:asciiTheme="minorHAnsi" w:hAnsiTheme="minorHAnsi" w:cstheme="majorBidi"/>
                <w:b/>
                <w:sz w:val="20"/>
                <w:szCs w:val="20"/>
              </w:rPr>
            </w:pPr>
          </w:p>
        </w:tc>
        <w:tc>
          <w:tcPr>
            <w:tcW w:w="2977" w:type="dxa"/>
          </w:tcPr>
          <w:p w14:paraId="27B6679C" w14:textId="789D3FEC"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5.4</w:t>
            </w:r>
            <w:r w:rsidRPr="00707D64">
              <w:rPr>
                <w:rFonts w:asciiTheme="minorHAnsi" w:hAnsiTheme="minorHAnsi"/>
                <w:sz w:val="20"/>
                <w:szCs w:val="20"/>
                <w:lang w:val="fr-CH"/>
              </w:rPr>
              <w:tab/>
              <w:t xml:space="preserve">Les </w:t>
            </w:r>
            <w:r w:rsidR="008D42DB" w:rsidRPr="00707D64">
              <w:rPr>
                <w:rFonts w:asciiTheme="minorHAnsi" w:hAnsiTheme="minorHAnsi"/>
                <w:caps/>
                <w:sz w:val="20"/>
                <w:szCs w:val="20"/>
                <w:lang w:val="fr-CH"/>
              </w:rPr>
              <w:t>é</w:t>
            </w:r>
            <w:r w:rsidRPr="00707D64">
              <w:rPr>
                <w:rFonts w:asciiTheme="minorHAnsi" w:hAnsiTheme="minorHAnsi"/>
                <w:sz w:val="20"/>
                <w:szCs w:val="20"/>
                <w:lang w:val="fr-CH"/>
              </w:rPr>
              <w:t>tats Membres devraient encourager les exploitations autorisées à informer tous les utilisateurs, y compris les utilisateurs itinérants, en temps utile et gratuitement, du numéro à utiliser pour les appels vers les services d'urgence.</w:t>
            </w:r>
          </w:p>
        </w:tc>
        <w:tc>
          <w:tcPr>
            <w:tcW w:w="2976" w:type="dxa"/>
          </w:tcPr>
          <w:p w14:paraId="1BB192C8" w14:textId="22B6197F" w:rsidR="00583AAC" w:rsidRPr="00981979" w:rsidRDefault="0096619F" w:rsidP="00C661CD">
            <w:pPr>
              <w:pStyle w:val="Tabletext"/>
              <w:rPr>
                <w:rFonts w:asciiTheme="minorHAnsi" w:hAnsiTheme="minorHAnsi" w:cstheme="majorBidi"/>
                <w:b/>
                <w:bCs/>
                <w:sz w:val="20"/>
                <w:szCs w:val="20"/>
              </w:rPr>
            </w:pPr>
            <w:r w:rsidRPr="00981979">
              <w:rPr>
                <w:rFonts w:asciiTheme="minorHAnsi" w:hAnsiTheme="minorHAnsi"/>
                <w:b/>
                <w:color w:val="000000"/>
                <w:sz w:val="20"/>
                <w:szCs w:val="20"/>
              </w:rPr>
              <w:t>Sans objet</w:t>
            </w:r>
            <w:r w:rsidR="00981979">
              <w:rPr>
                <w:rFonts w:asciiTheme="minorHAnsi" w:hAnsiTheme="minorHAnsi"/>
                <w:b/>
                <w:color w:val="000000"/>
                <w:sz w:val="20"/>
                <w:szCs w:val="20"/>
              </w:rPr>
              <w:t>.</w:t>
            </w:r>
          </w:p>
        </w:tc>
        <w:tc>
          <w:tcPr>
            <w:tcW w:w="2375" w:type="dxa"/>
          </w:tcPr>
          <w:p w14:paraId="0658C499" w14:textId="798E0029"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Ce</w:t>
            </w:r>
            <w:r w:rsidR="0088256C" w:rsidRPr="00981979">
              <w:rPr>
                <w:rFonts w:asciiTheme="minorHAnsi" w:hAnsiTheme="minorHAnsi" w:cstheme="majorBidi"/>
                <w:b/>
                <w:sz w:val="20"/>
                <w:szCs w:val="20"/>
              </w:rPr>
              <w:t xml:space="preserve"> texte est applicable.</w:t>
            </w:r>
          </w:p>
        </w:tc>
        <w:tc>
          <w:tcPr>
            <w:tcW w:w="2445" w:type="dxa"/>
          </w:tcPr>
          <w:p w14:paraId="167ACF11" w14:textId="4282FEE4"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06D78" w:rsidRPr="00981979">
              <w:rPr>
                <w:rFonts w:asciiTheme="minorHAnsi" w:hAnsiTheme="minorHAnsi" w:cstheme="majorBidi"/>
                <w:b/>
                <w:sz w:val="20"/>
                <w:szCs w:val="20"/>
              </w:rPr>
              <w:t>offre la souplesse nécessaire</w:t>
            </w:r>
            <w:r w:rsidR="00FC7C01" w:rsidRPr="00981979">
              <w:rPr>
                <w:rFonts w:asciiTheme="minorHAnsi" w:hAnsiTheme="minorHAnsi" w:cstheme="majorBidi"/>
                <w:b/>
                <w:sz w:val="20"/>
                <w:szCs w:val="20"/>
              </w:rPr>
              <w:t>.</w:t>
            </w:r>
          </w:p>
        </w:tc>
        <w:tc>
          <w:tcPr>
            <w:tcW w:w="2327" w:type="dxa"/>
          </w:tcPr>
          <w:p w14:paraId="00667C79" w14:textId="77777777" w:rsidR="00583AAC" w:rsidRPr="00981979" w:rsidRDefault="00583AAC" w:rsidP="00C661CD">
            <w:pPr>
              <w:pStyle w:val="Tabletext"/>
              <w:rPr>
                <w:rFonts w:asciiTheme="minorHAnsi" w:hAnsiTheme="minorHAnsi" w:cstheme="majorBidi"/>
                <w:b/>
                <w:sz w:val="20"/>
                <w:szCs w:val="20"/>
              </w:rPr>
            </w:pPr>
          </w:p>
        </w:tc>
      </w:tr>
      <w:tr w:rsidR="00583AAC" w:rsidRPr="00264627" w14:paraId="14B2D331" w14:textId="77777777" w:rsidTr="00C10FCA">
        <w:tc>
          <w:tcPr>
            <w:tcW w:w="1980" w:type="dxa"/>
          </w:tcPr>
          <w:p w14:paraId="657209CF" w14:textId="3FEC63AB" w:rsidR="00583AAC" w:rsidRPr="00707D64" w:rsidRDefault="00122A6E" w:rsidP="00C661CD">
            <w:pPr>
              <w:pStyle w:val="Arttitle"/>
              <w:spacing w:before="60" w:after="60"/>
              <w:rPr>
                <w:rFonts w:asciiTheme="minorHAnsi" w:hAnsiTheme="minorHAnsi" w:cstheme="majorBidi"/>
                <w:b w:val="0"/>
                <w:sz w:val="20"/>
                <w:szCs w:val="20"/>
              </w:rPr>
            </w:pPr>
            <w:r w:rsidRPr="00707D64">
              <w:rPr>
                <w:rFonts w:asciiTheme="minorHAnsi" w:hAnsiTheme="minorHAnsi" w:cstheme="majorBidi"/>
                <w:sz w:val="20"/>
                <w:szCs w:val="20"/>
              </w:rPr>
              <w:t xml:space="preserve">6 </w:t>
            </w:r>
            <w:bookmarkStart w:id="13" w:name="_Toc351716094"/>
            <w:r w:rsidRPr="00707D64">
              <w:rPr>
                <w:rFonts w:asciiTheme="minorHAnsi" w:hAnsiTheme="minorHAnsi"/>
                <w:sz w:val="20"/>
                <w:szCs w:val="20"/>
                <w:lang w:val="fr-CH"/>
              </w:rPr>
              <w:t>Sécurité et robustesse des réseaux</w:t>
            </w:r>
            <w:bookmarkEnd w:id="13"/>
          </w:p>
        </w:tc>
        <w:tc>
          <w:tcPr>
            <w:tcW w:w="2977" w:type="dxa"/>
          </w:tcPr>
          <w:p w14:paraId="0E0C655D" w14:textId="0B2E3D09"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6.1</w:t>
            </w:r>
            <w:r w:rsidRPr="00707D64">
              <w:rPr>
                <w:rFonts w:asciiTheme="minorHAnsi" w:hAnsiTheme="minorHAnsi"/>
                <w:sz w:val="20"/>
                <w:szCs w:val="20"/>
                <w:lang w:val="fr-CH"/>
              </w:rPr>
              <w:tab/>
              <w:t xml:space="preserve">Les </w:t>
            </w:r>
            <w:r w:rsidR="008D42DB" w:rsidRPr="00707D64">
              <w:rPr>
                <w:rFonts w:asciiTheme="minorHAnsi" w:hAnsiTheme="minorHAnsi"/>
                <w:caps/>
                <w:sz w:val="20"/>
                <w:szCs w:val="20"/>
                <w:lang w:val="fr-CH"/>
              </w:rPr>
              <w:t>é</w:t>
            </w:r>
            <w:r w:rsidRPr="00707D64">
              <w:rPr>
                <w:rFonts w:asciiTheme="minorHAnsi" w:hAnsiTheme="minorHAnsi"/>
                <w:sz w:val="20"/>
                <w:szCs w:val="20"/>
                <w:lang w:val="fr-CH"/>
              </w:rPr>
              <w:t>tats Membres s'efforcent, individuellement et collectivement, de garantir la sécurité et la robustesse des réseaux internationaux de télécommunication, en vue d'en assurer l'utilisation efficace et d'éviter que des préjudices techniques leur soient causés, et de garantir le développement harmonieux des services internationaux de télécommunication offerts au public.</w:t>
            </w:r>
          </w:p>
        </w:tc>
        <w:tc>
          <w:tcPr>
            <w:tcW w:w="2976" w:type="dxa"/>
          </w:tcPr>
          <w:p w14:paraId="0C9965B9" w14:textId="0588B8A4" w:rsidR="00583AAC" w:rsidRPr="00981979" w:rsidRDefault="0096619F" w:rsidP="00C661CD">
            <w:pPr>
              <w:pStyle w:val="Tabletext"/>
              <w:rPr>
                <w:rFonts w:asciiTheme="minorHAnsi" w:hAnsiTheme="minorHAnsi" w:cstheme="majorBidi"/>
                <w:b/>
                <w:bCs/>
                <w:sz w:val="20"/>
                <w:szCs w:val="20"/>
              </w:rPr>
            </w:pPr>
            <w:r w:rsidRPr="00981979">
              <w:rPr>
                <w:rFonts w:asciiTheme="minorHAnsi" w:hAnsiTheme="minorHAnsi"/>
                <w:b/>
                <w:color w:val="000000"/>
                <w:sz w:val="20"/>
                <w:szCs w:val="20"/>
              </w:rPr>
              <w:t>Sans objet</w:t>
            </w:r>
            <w:r w:rsidR="00981979">
              <w:rPr>
                <w:rFonts w:asciiTheme="minorHAnsi" w:hAnsiTheme="minorHAnsi"/>
                <w:b/>
                <w:color w:val="000000"/>
                <w:sz w:val="20"/>
                <w:szCs w:val="20"/>
              </w:rPr>
              <w:t>.</w:t>
            </w:r>
          </w:p>
        </w:tc>
        <w:tc>
          <w:tcPr>
            <w:tcW w:w="2375" w:type="dxa"/>
          </w:tcPr>
          <w:p w14:paraId="73E021E0" w14:textId="06B8F8B2" w:rsidR="00583AAC" w:rsidRPr="00981979" w:rsidRDefault="0096619F" w:rsidP="00C661CD">
            <w:pPr>
              <w:pStyle w:val="Tabletext"/>
              <w:rPr>
                <w:rFonts w:asciiTheme="minorHAnsi" w:hAnsiTheme="minorHAnsi" w:cstheme="majorBidi"/>
                <w:b/>
                <w:sz w:val="20"/>
                <w:szCs w:val="20"/>
              </w:rPr>
            </w:pPr>
            <w:bookmarkStart w:id="14" w:name="lt_pId053"/>
            <w:r w:rsidRPr="00981979">
              <w:rPr>
                <w:rFonts w:asciiTheme="minorHAnsi" w:hAnsiTheme="minorHAnsi" w:cstheme="majorBidi"/>
                <w:b/>
                <w:sz w:val="20"/>
                <w:szCs w:val="20"/>
              </w:rPr>
              <w:t>C</w:t>
            </w:r>
            <w:r w:rsidR="00264627" w:rsidRPr="00981979">
              <w:rPr>
                <w:rFonts w:asciiTheme="minorHAnsi" w:hAnsiTheme="minorHAnsi" w:cstheme="majorBidi"/>
                <w:b/>
                <w:sz w:val="20"/>
                <w:szCs w:val="20"/>
              </w:rPr>
              <w:t xml:space="preserve">ompte tenu des atteintes </w:t>
            </w:r>
            <w:r w:rsidRPr="00981979">
              <w:rPr>
                <w:rFonts w:asciiTheme="minorHAnsi" w:hAnsiTheme="minorHAnsi" w:cstheme="majorBidi"/>
                <w:b/>
                <w:sz w:val="20"/>
                <w:szCs w:val="20"/>
              </w:rPr>
              <w:t xml:space="preserve">croissantes </w:t>
            </w:r>
            <w:r w:rsidR="00264627" w:rsidRPr="00981979">
              <w:rPr>
                <w:rFonts w:asciiTheme="minorHAnsi" w:hAnsiTheme="minorHAnsi" w:cstheme="majorBidi"/>
                <w:b/>
                <w:sz w:val="20"/>
                <w:szCs w:val="20"/>
              </w:rPr>
              <w:t>à la sécurité des réseaux</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qui sévissent</w:t>
            </w:r>
            <w:r w:rsidR="00981979" w:rsidRPr="00981979">
              <w:rPr>
                <w:rFonts w:asciiTheme="minorHAnsi" w:hAnsiTheme="minorHAnsi" w:cstheme="majorBidi"/>
                <w:b/>
                <w:sz w:val="20"/>
                <w:szCs w:val="20"/>
              </w:rPr>
              <w:t xml:space="preserve"> </w:t>
            </w:r>
            <w:r w:rsidR="00264627" w:rsidRPr="00981979">
              <w:rPr>
                <w:rFonts w:asciiTheme="minorHAnsi" w:hAnsiTheme="minorHAnsi" w:cstheme="majorBidi"/>
                <w:b/>
                <w:sz w:val="20"/>
                <w:szCs w:val="20"/>
              </w:rPr>
              <w:t>actuellement</w:t>
            </w:r>
            <w:r w:rsidRPr="00981979">
              <w:rPr>
                <w:rFonts w:asciiTheme="minorHAnsi" w:hAnsiTheme="minorHAnsi" w:cstheme="majorBidi"/>
                <w:b/>
                <w:sz w:val="20"/>
                <w:szCs w:val="20"/>
              </w:rPr>
              <w:t>, cet Article est applicable</w:t>
            </w:r>
            <w:r w:rsidR="00264627" w:rsidRPr="00981979">
              <w:rPr>
                <w:rFonts w:asciiTheme="minorHAnsi" w:hAnsiTheme="minorHAnsi" w:cstheme="majorBidi"/>
                <w:b/>
                <w:sz w:val="20"/>
                <w:szCs w:val="20"/>
              </w:rPr>
              <w:t xml:space="preserve">. </w:t>
            </w:r>
            <w:bookmarkEnd w:id="14"/>
          </w:p>
        </w:tc>
        <w:tc>
          <w:tcPr>
            <w:tcW w:w="2445" w:type="dxa"/>
          </w:tcPr>
          <w:p w14:paraId="78808D00" w14:textId="77777777" w:rsidR="00583AAC" w:rsidRPr="00981979" w:rsidRDefault="00583AAC" w:rsidP="00C661CD">
            <w:pPr>
              <w:pStyle w:val="Tabletext"/>
              <w:rPr>
                <w:rFonts w:asciiTheme="minorHAnsi" w:hAnsiTheme="minorHAnsi" w:cstheme="majorBidi"/>
                <w:b/>
                <w:sz w:val="20"/>
                <w:szCs w:val="20"/>
              </w:rPr>
            </w:pPr>
          </w:p>
        </w:tc>
        <w:tc>
          <w:tcPr>
            <w:tcW w:w="2327" w:type="dxa"/>
          </w:tcPr>
          <w:p w14:paraId="76AE384D" w14:textId="77777777" w:rsidR="00583AAC" w:rsidRPr="00981979" w:rsidRDefault="00583AAC" w:rsidP="00C661CD">
            <w:pPr>
              <w:pStyle w:val="Tabletext"/>
              <w:rPr>
                <w:rFonts w:asciiTheme="minorHAnsi" w:hAnsiTheme="minorHAnsi" w:cstheme="majorBidi"/>
                <w:b/>
                <w:sz w:val="20"/>
                <w:szCs w:val="20"/>
              </w:rPr>
            </w:pPr>
          </w:p>
        </w:tc>
      </w:tr>
    </w:tbl>
    <w:p w14:paraId="0A031CBB" w14:textId="77777777" w:rsidR="00071F91" w:rsidRDefault="00071F91">
      <w:r>
        <w:rPr>
          <w:b/>
        </w:rPr>
        <w:br w:type="page"/>
      </w:r>
    </w:p>
    <w:tbl>
      <w:tblPr>
        <w:tblStyle w:val="TableGrid"/>
        <w:tblpPr w:leftFromText="180" w:rightFromText="180" w:vertAnchor="text" w:tblpXSpec="center" w:tblpY="1"/>
        <w:tblOverlap w:val="never"/>
        <w:tblW w:w="15080" w:type="dxa"/>
        <w:tblLayout w:type="fixed"/>
        <w:tblLook w:val="04A0" w:firstRow="1" w:lastRow="0" w:firstColumn="1" w:lastColumn="0" w:noHBand="0" w:noVBand="1"/>
      </w:tblPr>
      <w:tblGrid>
        <w:gridCol w:w="1980"/>
        <w:gridCol w:w="2977"/>
        <w:gridCol w:w="2976"/>
        <w:gridCol w:w="2375"/>
        <w:gridCol w:w="2445"/>
        <w:gridCol w:w="2327"/>
      </w:tblGrid>
      <w:tr w:rsidR="00583AAC" w:rsidRPr="00FC7C01" w14:paraId="7315A35D" w14:textId="77777777" w:rsidTr="00C10FCA">
        <w:tc>
          <w:tcPr>
            <w:tcW w:w="1980" w:type="dxa"/>
          </w:tcPr>
          <w:p w14:paraId="20D680F2" w14:textId="77777777" w:rsidR="00583AAC" w:rsidRPr="00707D64" w:rsidRDefault="00583AAC" w:rsidP="00C661CD">
            <w:pPr>
              <w:pStyle w:val="Arttitle"/>
              <w:spacing w:before="60" w:after="60"/>
              <w:rPr>
                <w:rFonts w:asciiTheme="minorHAnsi" w:hAnsiTheme="minorHAnsi" w:cstheme="majorBidi"/>
                <w:b w:val="0"/>
                <w:sz w:val="20"/>
                <w:szCs w:val="20"/>
              </w:rPr>
            </w:pPr>
            <w:r w:rsidRPr="00707D64">
              <w:rPr>
                <w:rFonts w:asciiTheme="minorHAnsi" w:hAnsiTheme="minorHAnsi" w:cstheme="majorBidi"/>
                <w:sz w:val="20"/>
                <w:szCs w:val="20"/>
              </w:rPr>
              <w:lastRenderedPageBreak/>
              <w:t>7</w:t>
            </w:r>
            <w:r w:rsidRPr="00707D64">
              <w:rPr>
                <w:rFonts w:asciiTheme="minorHAnsi" w:hAnsiTheme="minorHAnsi" w:cstheme="majorBidi"/>
                <w:b w:val="0"/>
                <w:sz w:val="20"/>
                <w:szCs w:val="20"/>
              </w:rPr>
              <w:t xml:space="preserve"> </w:t>
            </w:r>
            <w:bookmarkStart w:id="15" w:name="_Toc351716096"/>
            <w:r w:rsidR="00122A6E" w:rsidRPr="00707D64">
              <w:rPr>
                <w:rFonts w:asciiTheme="minorHAnsi" w:hAnsiTheme="minorHAnsi"/>
                <w:sz w:val="20"/>
                <w:szCs w:val="20"/>
                <w:lang w:val="fr-CH"/>
              </w:rPr>
              <w:t>Communications électroniques non sollicitées envoyées en masse</w:t>
            </w:r>
            <w:bookmarkEnd w:id="15"/>
          </w:p>
        </w:tc>
        <w:tc>
          <w:tcPr>
            <w:tcW w:w="2977" w:type="dxa"/>
          </w:tcPr>
          <w:p w14:paraId="69231ED6" w14:textId="38128D5C"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7.1</w:t>
            </w:r>
            <w:r w:rsidRPr="00707D64">
              <w:rPr>
                <w:rFonts w:asciiTheme="minorHAnsi" w:hAnsiTheme="minorHAnsi"/>
                <w:sz w:val="20"/>
                <w:szCs w:val="20"/>
                <w:lang w:val="fr-CH"/>
              </w:rPr>
              <w:tab/>
              <w:t xml:space="preserve">Les </w:t>
            </w:r>
            <w:r w:rsidR="008D42DB" w:rsidRPr="00707D64">
              <w:rPr>
                <w:rFonts w:asciiTheme="minorHAnsi" w:hAnsiTheme="minorHAnsi"/>
                <w:caps/>
                <w:sz w:val="20"/>
                <w:szCs w:val="20"/>
                <w:lang w:val="fr-CH"/>
              </w:rPr>
              <w:t>é</w:t>
            </w:r>
            <w:r w:rsidRPr="00707D64">
              <w:rPr>
                <w:rFonts w:asciiTheme="minorHAnsi" w:hAnsiTheme="minorHAnsi"/>
                <w:sz w:val="20"/>
                <w:szCs w:val="20"/>
                <w:lang w:val="fr-CH"/>
              </w:rPr>
              <w:t>tats Membres devraient s'efforcer de prendre les mesures nécessaires pour empêcher la propagation de communications électroniques non sollicitées envoyées en masse et en réduire autant que possible l'incidence sur les services internationaux de télécommunication.</w:t>
            </w:r>
          </w:p>
        </w:tc>
        <w:tc>
          <w:tcPr>
            <w:tcW w:w="2976" w:type="dxa"/>
          </w:tcPr>
          <w:p w14:paraId="0362F6C0" w14:textId="7C72C572" w:rsidR="00583AAC" w:rsidRPr="00981979" w:rsidRDefault="002E7D29" w:rsidP="00C661CD">
            <w:pPr>
              <w:pStyle w:val="Tabletext"/>
              <w:rPr>
                <w:rFonts w:asciiTheme="minorHAnsi" w:hAnsiTheme="minorHAnsi" w:cstheme="majorBidi"/>
                <w:b/>
                <w:sz w:val="20"/>
                <w:szCs w:val="20"/>
              </w:rPr>
            </w:pPr>
            <w:r w:rsidRPr="00981979">
              <w:rPr>
                <w:rFonts w:asciiTheme="minorHAnsi" w:hAnsiTheme="minorHAnsi"/>
                <w:b/>
                <w:color w:val="000000"/>
                <w:sz w:val="20"/>
                <w:szCs w:val="20"/>
              </w:rPr>
              <w:t>Sans objet</w:t>
            </w:r>
            <w:r w:rsidR="00981979">
              <w:rPr>
                <w:rFonts w:asciiTheme="minorHAnsi" w:hAnsiTheme="minorHAnsi"/>
                <w:b/>
                <w:color w:val="000000"/>
                <w:sz w:val="20"/>
                <w:szCs w:val="20"/>
              </w:rPr>
              <w:t>.</w:t>
            </w:r>
          </w:p>
        </w:tc>
        <w:tc>
          <w:tcPr>
            <w:tcW w:w="2375" w:type="dxa"/>
          </w:tcPr>
          <w:p w14:paraId="06A0D2A9" w14:textId="7D44EBE9"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88256C" w:rsidRPr="00981979">
              <w:rPr>
                <w:rFonts w:asciiTheme="minorHAnsi" w:hAnsiTheme="minorHAnsi" w:cstheme="majorBidi"/>
                <w:b/>
                <w:sz w:val="20"/>
                <w:szCs w:val="20"/>
              </w:rPr>
              <w:t>est applicable.</w:t>
            </w:r>
          </w:p>
        </w:tc>
        <w:tc>
          <w:tcPr>
            <w:tcW w:w="2445" w:type="dxa"/>
          </w:tcPr>
          <w:p w14:paraId="62BE45A1" w14:textId="09194B4D" w:rsidR="00583AAC" w:rsidRPr="00981979" w:rsidRDefault="00ED3560" w:rsidP="00C661CD">
            <w:pPr>
              <w:pStyle w:val="Tabletext"/>
              <w:rPr>
                <w:rFonts w:asciiTheme="minorHAnsi" w:hAnsiTheme="minorHAnsi" w:cstheme="majorBidi"/>
                <w:b/>
                <w:sz w:val="20"/>
                <w:szCs w:val="20"/>
              </w:rPr>
            </w:pPr>
            <w:bookmarkStart w:id="16" w:name="lt_pId060"/>
            <w:r w:rsidRPr="00981979">
              <w:rPr>
                <w:rFonts w:asciiTheme="minorHAnsi" w:hAnsiTheme="minorHAnsi" w:cstheme="majorBidi"/>
                <w:b/>
                <w:sz w:val="20"/>
                <w:szCs w:val="20"/>
              </w:rPr>
              <w:t xml:space="preserve">Ce texte </w:t>
            </w:r>
            <w:r w:rsidR="00FC7C01" w:rsidRPr="00981979">
              <w:rPr>
                <w:rFonts w:asciiTheme="minorHAnsi" w:hAnsiTheme="minorHAnsi" w:cstheme="majorBidi"/>
                <w:b/>
                <w:sz w:val="20"/>
                <w:szCs w:val="20"/>
              </w:rPr>
              <w:t xml:space="preserve">est générique et </w:t>
            </w:r>
            <w:r w:rsidR="002E7D29" w:rsidRPr="00981979">
              <w:rPr>
                <w:rFonts w:asciiTheme="minorHAnsi" w:hAnsiTheme="minorHAnsi" w:cstheme="majorBidi"/>
                <w:b/>
                <w:sz w:val="20"/>
                <w:szCs w:val="20"/>
              </w:rPr>
              <w:t>ne fait pas mention de telle ou telle</w:t>
            </w:r>
            <w:r w:rsidR="00981979" w:rsidRPr="00981979">
              <w:rPr>
                <w:rFonts w:asciiTheme="minorHAnsi" w:hAnsiTheme="minorHAnsi" w:cstheme="majorBidi"/>
                <w:b/>
                <w:sz w:val="20"/>
                <w:szCs w:val="20"/>
              </w:rPr>
              <w:t xml:space="preserve"> </w:t>
            </w:r>
            <w:r w:rsidR="00FC7C01" w:rsidRPr="00981979">
              <w:rPr>
                <w:rFonts w:asciiTheme="minorHAnsi" w:hAnsiTheme="minorHAnsi" w:cstheme="majorBidi"/>
                <w:b/>
                <w:sz w:val="20"/>
                <w:szCs w:val="20"/>
              </w:rPr>
              <w:t>technologie</w:t>
            </w:r>
            <w:r w:rsidR="00981979" w:rsidRPr="00981979">
              <w:rPr>
                <w:rFonts w:asciiTheme="minorHAnsi" w:hAnsiTheme="minorHAnsi" w:cstheme="majorBidi"/>
                <w:b/>
                <w:sz w:val="20"/>
                <w:szCs w:val="20"/>
              </w:rPr>
              <w:t xml:space="preserve"> </w:t>
            </w:r>
            <w:r w:rsidR="00C46B28" w:rsidRPr="00981979">
              <w:rPr>
                <w:rFonts w:asciiTheme="minorHAnsi" w:hAnsiTheme="minorHAnsi" w:cstheme="majorBidi"/>
                <w:b/>
                <w:sz w:val="20"/>
                <w:szCs w:val="20"/>
              </w:rPr>
              <w:t>pour ce qui est de la souplesse</w:t>
            </w:r>
            <w:r w:rsidR="00FC7C01" w:rsidRPr="00981979">
              <w:rPr>
                <w:rFonts w:asciiTheme="minorHAnsi" w:hAnsiTheme="minorHAnsi" w:cstheme="majorBidi"/>
                <w:b/>
                <w:sz w:val="20"/>
                <w:szCs w:val="20"/>
              </w:rPr>
              <w:t xml:space="preserve">. </w:t>
            </w:r>
            <w:bookmarkEnd w:id="16"/>
          </w:p>
        </w:tc>
        <w:tc>
          <w:tcPr>
            <w:tcW w:w="2327" w:type="dxa"/>
          </w:tcPr>
          <w:p w14:paraId="38822015" w14:textId="77777777" w:rsidR="00583AAC" w:rsidRPr="00981979" w:rsidRDefault="00583AAC" w:rsidP="00C661CD">
            <w:pPr>
              <w:pStyle w:val="Tabletext"/>
              <w:rPr>
                <w:rFonts w:asciiTheme="minorHAnsi" w:hAnsiTheme="minorHAnsi" w:cstheme="majorBidi"/>
                <w:b/>
                <w:sz w:val="20"/>
                <w:szCs w:val="20"/>
              </w:rPr>
            </w:pPr>
          </w:p>
        </w:tc>
      </w:tr>
      <w:tr w:rsidR="00583AAC" w14:paraId="3AE7F011" w14:textId="77777777" w:rsidTr="00C10FCA">
        <w:tc>
          <w:tcPr>
            <w:tcW w:w="1980" w:type="dxa"/>
          </w:tcPr>
          <w:p w14:paraId="2029098B" w14:textId="77777777" w:rsidR="00583AAC" w:rsidRPr="00FC7C01" w:rsidRDefault="00583AAC" w:rsidP="00C661CD">
            <w:pPr>
              <w:snapToGrid w:val="0"/>
              <w:spacing w:before="60" w:after="60"/>
              <w:jc w:val="center"/>
              <w:rPr>
                <w:rFonts w:asciiTheme="minorHAnsi" w:hAnsiTheme="minorHAnsi" w:cstheme="majorBidi"/>
                <w:b/>
                <w:sz w:val="20"/>
                <w:szCs w:val="20"/>
              </w:rPr>
            </w:pPr>
          </w:p>
        </w:tc>
        <w:tc>
          <w:tcPr>
            <w:tcW w:w="2977" w:type="dxa"/>
          </w:tcPr>
          <w:p w14:paraId="615FDC8E" w14:textId="6516C44F"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7.2</w:t>
            </w:r>
            <w:r w:rsidRPr="00707D64">
              <w:rPr>
                <w:rFonts w:asciiTheme="minorHAnsi" w:hAnsiTheme="minorHAnsi"/>
                <w:sz w:val="20"/>
                <w:szCs w:val="20"/>
                <w:lang w:val="fr-CH"/>
              </w:rPr>
              <w:tab/>
              <w:t xml:space="preserve">Les </w:t>
            </w:r>
            <w:r w:rsidR="008D42DB" w:rsidRPr="00707D64">
              <w:rPr>
                <w:rFonts w:asciiTheme="minorHAnsi" w:hAnsiTheme="minorHAnsi"/>
                <w:caps/>
                <w:sz w:val="20"/>
                <w:szCs w:val="20"/>
                <w:lang w:val="fr-CH"/>
              </w:rPr>
              <w:t>é</w:t>
            </w:r>
            <w:r w:rsidRPr="00707D64">
              <w:rPr>
                <w:rFonts w:asciiTheme="minorHAnsi" w:hAnsiTheme="minorHAnsi"/>
                <w:sz w:val="20"/>
                <w:szCs w:val="20"/>
                <w:lang w:val="fr-CH"/>
              </w:rPr>
              <w:t>tats Membres sont encouragés à coopérer dans ce sens.</w:t>
            </w:r>
          </w:p>
        </w:tc>
        <w:tc>
          <w:tcPr>
            <w:tcW w:w="2976" w:type="dxa"/>
          </w:tcPr>
          <w:p w14:paraId="359D233B" w14:textId="3B2531B4" w:rsidR="00583AAC" w:rsidRPr="00981979" w:rsidRDefault="002E7D29" w:rsidP="00C661CD">
            <w:pPr>
              <w:pStyle w:val="Tabletext"/>
              <w:rPr>
                <w:rFonts w:asciiTheme="minorHAnsi" w:hAnsiTheme="minorHAnsi" w:cstheme="majorBidi"/>
                <w:b/>
                <w:sz w:val="20"/>
                <w:szCs w:val="20"/>
              </w:rPr>
            </w:pPr>
            <w:r w:rsidRPr="00981979">
              <w:rPr>
                <w:rFonts w:asciiTheme="minorHAnsi" w:hAnsiTheme="minorHAnsi"/>
                <w:b/>
                <w:color w:val="000000"/>
                <w:sz w:val="20"/>
                <w:szCs w:val="20"/>
              </w:rPr>
              <w:t>Sans objet</w:t>
            </w:r>
            <w:r w:rsidR="00981979">
              <w:rPr>
                <w:rFonts w:asciiTheme="minorHAnsi" w:hAnsiTheme="minorHAnsi"/>
                <w:b/>
                <w:color w:val="000000"/>
                <w:sz w:val="20"/>
                <w:szCs w:val="20"/>
              </w:rPr>
              <w:t>.</w:t>
            </w:r>
          </w:p>
        </w:tc>
        <w:tc>
          <w:tcPr>
            <w:tcW w:w="2375" w:type="dxa"/>
          </w:tcPr>
          <w:p w14:paraId="685D5AA2" w14:textId="15818E3F"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88256C" w:rsidRPr="00981979">
              <w:rPr>
                <w:rFonts w:asciiTheme="minorHAnsi" w:hAnsiTheme="minorHAnsi" w:cstheme="majorBidi"/>
                <w:b/>
                <w:sz w:val="20"/>
                <w:szCs w:val="20"/>
              </w:rPr>
              <w:t>est applicable.</w:t>
            </w:r>
          </w:p>
        </w:tc>
        <w:tc>
          <w:tcPr>
            <w:tcW w:w="2445" w:type="dxa"/>
          </w:tcPr>
          <w:p w14:paraId="606AEEA3" w14:textId="32E32237" w:rsidR="00583AAC" w:rsidRPr="00981979" w:rsidRDefault="00063182"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w:t>
            </w:r>
            <w:r w:rsidR="002E7D29" w:rsidRPr="00981979">
              <w:rPr>
                <w:rFonts w:asciiTheme="minorHAnsi" w:hAnsiTheme="minorHAnsi" w:cstheme="majorBidi"/>
                <w:b/>
                <w:sz w:val="20"/>
                <w:szCs w:val="20"/>
              </w:rPr>
              <w:t>e souplesse</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n'est requis</w:t>
            </w:r>
            <w:r w:rsidR="002E7D29" w:rsidRPr="00981979">
              <w:rPr>
                <w:rFonts w:asciiTheme="minorHAnsi" w:hAnsiTheme="minorHAnsi" w:cstheme="majorBidi"/>
                <w:b/>
                <w:sz w:val="20"/>
                <w:szCs w:val="20"/>
              </w:rPr>
              <w:t>e</w:t>
            </w:r>
            <w:r w:rsidR="00FC7C01" w:rsidRPr="00981979">
              <w:rPr>
                <w:rFonts w:asciiTheme="minorHAnsi" w:hAnsiTheme="minorHAnsi" w:cstheme="majorBidi"/>
                <w:b/>
                <w:sz w:val="20"/>
                <w:szCs w:val="20"/>
              </w:rPr>
              <w:t>.</w:t>
            </w:r>
          </w:p>
        </w:tc>
        <w:tc>
          <w:tcPr>
            <w:tcW w:w="2327" w:type="dxa"/>
          </w:tcPr>
          <w:p w14:paraId="0151D1BD" w14:textId="77777777" w:rsidR="00583AAC" w:rsidRPr="00981979" w:rsidRDefault="00583AAC" w:rsidP="00C661CD">
            <w:pPr>
              <w:pStyle w:val="Tabletext"/>
              <w:rPr>
                <w:rFonts w:asciiTheme="minorHAnsi" w:hAnsiTheme="minorHAnsi" w:cstheme="majorBidi"/>
                <w:b/>
                <w:sz w:val="20"/>
                <w:szCs w:val="20"/>
              </w:rPr>
            </w:pPr>
          </w:p>
        </w:tc>
      </w:tr>
      <w:tr w:rsidR="00583AAC" w14:paraId="35BB0E7C" w14:textId="77777777" w:rsidTr="00C10FCA">
        <w:tc>
          <w:tcPr>
            <w:tcW w:w="1980" w:type="dxa"/>
          </w:tcPr>
          <w:p w14:paraId="6EF17CB0" w14:textId="052BCC69" w:rsidR="00583AAC" w:rsidRPr="00707D64" w:rsidRDefault="00583AAC" w:rsidP="00C661CD">
            <w:pPr>
              <w:snapToGrid w:val="0"/>
              <w:spacing w:before="60" w:after="60"/>
              <w:jc w:val="center"/>
              <w:rPr>
                <w:rFonts w:asciiTheme="minorHAnsi" w:hAnsiTheme="minorHAnsi" w:cstheme="majorBidi"/>
                <w:b/>
                <w:sz w:val="20"/>
                <w:szCs w:val="20"/>
              </w:rPr>
            </w:pPr>
            <w:r w:rsidRPr="00707D64">
              <w:rPr>
                <w:rFonts w:asciiTheme="minorHAnsi" w:hAnsiTheme="minorHAnsi" w:cstheme="majorBidi"/>
                <w:b/>
                <w:sz w:val="20"/>
                <w:szCs w:val="20"/>
              </w:rPr>
              <w:t xml:space="preserve">8 </w:t>
            </w:r>
            <w:bookmarkStart w:id="17" w:name="_Toc351716098"/>
            <w:r w:rsidR="00122A6E" w:rsidRPr="00707D64">
              <w:rPr>
                <w:rFonts w:asciiTheme="minorHAnsi" w:hAnsiTheme="minorHAnsi"/>
                <w:b/>
                <w:sz w:val="20"/>
                <w:szCs w:val="20"/>
                <w:lang w:val="fr-CH"/>
              </w:rPr>
              <w:t>Tarification et comptabilité</w:t>
            </w:r>
            <w:bookmarkEnd w:id="17"/>
          </w:p>
        </w:tc>
        <w:tc>
          <w:tcPr>
            <w:tcW w:w="2977" w:type="dxa"/>
          </w:tcPr>
          <w:p w14:paraId="4149604D" w14:textId="0D7ECC7F"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b/>
                <w:sz w:val="20"/>
                <w:szCs w:val="20"/>
                <w:lang w:val="fr-CH"/>
              </w:rPr>
              <w:t>8.1</w:t>
            </w:r>
            <w:r w:rsidRPr="00707D64">
              <w:rPr>
                <w:rFonts w:asciiTheme="minorHAnsi" w:hAnsiTheme="minorHAnsi"/>
                <w:b/>
                <w:sz w:val="20"/>
                <w:szCs w:val="20"/>
                <w:lang w:val="fr-CH"/>
              </w:rPr>
              <w:tab/>
            </w:r>
            <w:r w:rsidRPr="00707D64">
              <w:rPr>
                <w:rFonts w:asciiTheme="minorHAnsi" w:hAnsiTheme="minorHAnsi"/>
                <w:b/>
                <w:sz w:val="20"/>
                <w:szCs w:val="20"/>
              </w:rPr>
              <w:t>Arrangements concernant les télécommunications internationales</w:t>
            </w:r>
          </w:p>
        </w:tc>
        <w:tc>
          <w:tcPr>
            <w:tcW w:w="2976" w:type="dxa"/>
          </w:tcPr>
          <w:p w14:paraId="37004742" w14:textId="77777777" w:rsidR="00583AAC" w:rsidRPr="00981979" w:rsidRDefault="00583AAC" w:rsidP="00C661CD">
            <w:pPr>
              <w:pStyle w:val="Tabletext"/>
              <w:rPr>
                <w:rFonts w:asciiTheme="minorHAnsi" w:hAnsiTheme="minorHAnsi" w:cstheme="majorBidi"/>
                <w:b/>
                <w:sz w:val="20"/>
                <w:szCs w:val="20"/>
              </w:rPr>
            </w:pPr>
          </w:p>
        </w:tc>
        <w:tc>
          <w:tcPr>
            <w:tcW w:w="2375" w:type="dxa"/>
          </w:tcPr>
          <w:p w14:paraId="20BA8E4A" w14:textId="77777777" w:rsidR="00583AAC" w:rsidRPr="00981979" w:rsidRDefault="00583AAC" w:rsidP="00C661CD">
            <w:pPr>
              <w:pStyle w:val="Tabletext"/>
              <w:rPr>
                <w:rFonts w:asciiTheme="minorHAnsi" w:hAnsiTheme="minorHAnsi" w:cstheme="majorBidi"/>
                <w:b/>
                <w:sz w:val="20"/>
                <w:szCs w:val="20"/>
              </w:rPr>
            </w:pPr>
          </w:p>
        </w:tc>
        <w:tc>
          <w:tcPr>
            <w:tcW w:w="2445" w:type="dxa"/>
          </w:tcPr>
          <w:p w14:paraId="2FF16228" w14:textId="77777777" w:rsidR="00583AAC" w:rsidRPr="00981979" w:rsidRDefault="00583AAC" w:rsidP="00C661CD">
            <w:pPr>
              <w:pStyle w:val="Tabletext"/>
              <w:rPr>
                <w:rFonts w:asciiTheme="minorHAnsi" w:hAnsiTheme="minorHAnsi" w:cstheme="majorBidi"/>
                <w:b/>
                <w:sz w:val="20"/>
                <w:szCs w:val="20"/>
              </w:rPr>
            </w:pPr>
          </w:p>
        </w:tc>
        <w:tc>
          <w:tcPr>
            <w:tcW w:w="2327" w:type="dxa"/>
          </w:tcPr>
          <w:p w14:paraId="5A4F77FD" w14:textId="77777777" w:rsidR="00583AAC" w:rsidRPr="00981979" w:rsidRDefault="00583AAC" w:rsidP="00C661CD">
            <w:pPr>
              <w:pStyle w:val="Tabletext"/>
              <w:rPr>
                <w:rFonts w:asciiTheme="minorHAnsi" w:hAnsiTheme="minorHAnsi" w:cstheme="majorBidi"/>
                <w:b/>
                <w:sz w:val="20"/>
                <w:szCs w:val="20"/>
              </w:rPr>
            </w:pPr>
          </w:p>
        </w:tc>
      </w:tr>
      <w:tr w:rsidR="00583AAC" w14:paraId="4C8B7CB8" w14:textId="77777777" w:rsidTr="00C10FCA">
        <w:tc>
          <w:tcPr>
            <w:tcW w:w="1980" w:type="dxa"/>
          </w:tcPr>
          <w:p w14:paraId="64278243" w14:textId="77777777" w:rsidR="00583AAC" w:rsidRPr="00707D64" w:rsidRDefault="00583AAC" w:rsidP="00C661CD">
            <w:pPr>
              <w:snapToGrid w:val="0"/>
              <w:spacing w:before="60" w:after="60"/>
              <w:jc w:val="center"/>
              <w:rPr>
                <w:rFonts w:asciiTheme="minorHAnsi" w:hAnsiTheme="minorHAnsi" w:cstheme="majorBidi"/>
                <w:b/>
                <w:sz w:val="20"/>
                <w:szCs w:val="20"/>
              </w:rPr>
            </w:pPr>
          </w:p>
        </w:tc>
        <w:tc>
          <w:tcPr>
            <w:tcW w:w="2977" w:type="dxa"/>
          </w:tcPr>
          <w:p w14:paraId="26B3FFEF" w14:textId="6521DA5A" w:rsidR="00583AAC" w:rsidRPr="00707D64" w:rsidRDefault="00122A6E" w:rsidP="00C661CD">
            <w:pPr>
              <w:pStyle w:val="Tabletext"/>
              <w:rPr>
                <w:rFonts w:asciiTheme="minorHAnsi" w:hAnsiTheme="minorHAnsi" w:cstheme="majorBidi"/>
                <w:b/>
                <w:sz w:val="20"/>
                <w:szCs w:val="20"/>
              </w:rPr>
            </w:pPr>
            <w:r w:rsidRPr="00707D64">
              <w:rPr>
                <w:rFonts w:asciiTheme="minorHAnsi" w:hAnsiTheme="minorHAnsi"/>
                <w:sz w:val="20"/>
                <w:szCs w:val="20"/>
                <w:lang w:val="fr-CH"/>
              </w:rPr>
              <w:t>8.1.1</w:t>
            </w:r>
            <w:r w:rsidRPr="00707D64">
              <w:rPr>
                <w:rFonts w:asciiTheme="minorHAnsi" w:hAnsiTheme="minorHAnsi"/>
                <w:sz w:val="20"/>
                <w:szCs w:val="20"/>
                <w:lang w:val="fr-CH"/>
              </w:rPr>
              <w:tab/>
              <w:t>Sous réserve de la législation nationale applicable, les modalités et conditions des arrangements concernant des services internationaux de télécommunication peuvent être établies dans le cadre d'accords commerciaux ou en vertu des principes relatifs aux taxes de répartition établis conformément à la réglementation nationale.</w:t>
            </w:r>
          </w:p>
        </w:tc>
        <w:tc>
          <w:tcPr>
            <w:tcW w:w="2976" w:type="dxa"/>
          </w:tcPr>
          <w:p w14:paraId="626E34EF" w14:textId="77777777" w:rsidR="00583AAC" w:rsidRPr="00981979" w:rsidRDefault="00583AAC" w:rsidP="00C661CD">
            <w:pPr>
              <w:pStyle w:val="Tabletext"/>
              <w:rPr>
                <w:rFonts w:asciiTheme="minorHAnsi" w:hAnsiTheme="minorHAnsi" w:cstheme="majorBidi"/>
                <w:b/>
                <w:sz w:val="20"/>
                <w:szCs w:val="20"/>
              </w:rPr>
            </w:pPr>
          </w:p>
        </w:tc>
        <w:tc>
          <w:tcPr>
            <w:tcW w:w="2375" w:type="dxa"/>
          </w:tcPr>
          <w:p w14:paraId="38F1AF1C" w14:textId="35209E10"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88256C" w:rsidRPr="00981979">
              <w:rPr>
                <w:rFonts w:asciiTheme="minorHAnsi" w:hAnsiTheme="minorHAnsi" w:cstheme="majorBidi"/>
                <w:b/>
                <w:sz w:val="20"/>
                <w:szCs w:val="20"/>
              </w:rPr>
              <w:t>est applicable.</w:t>
            </w:r>
          </w:p>
        </w:tc>
        <w:tc>
          <w:tcPr>
            <w:tcW w:w="2445" w:type="dxa"/>
          </w:tcPr>
          <w:p w14:paraId="2AD7896F" w14:textId="5F20D6CA" w:rsidR="00583AAC"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2F4D75" w:rsidRPr="00981979">
              <w:rPr>
                <w:rFonts w:asciiTheme="minorHAnsi" w:hAnsiTheme="minorHAnsi" w:cstheme="majorBidi"/>
                <w:b/>
                <w:sz w:val="20"/>
                <w:szCs w:val="20"/>
              </w:rPr>
              <w:t>offre la souplesse nécessaire</w:t>
            </w:r>
            <w:r w:rsidR="00FC7C01" w:rsidRPr="00981979">
              <w:rPr>
                <w:rFonts w:asciiTheme="minorHAnsi" w:hAnsiTheme="minorHAnsi" w:cstheme="majorBidi"/>
                <w:b/>
                <w:sz w:val="20"/>
                <w:szCs w:val="20"/>
              </w:rPr>
              <w:t>.</w:t>
            </w:r>
          </w:p>
        </w:tc>
        <w:tc>
          <w:tcPr>
            <w:tcW w:w="2327" w:type="dxa"/>
          </w:tcPr>
          <w:p w14:paraId="29C02D02" w14:textId="316171E6" w:rsidR="00583AAC" w:rsidRPr="00981979" w:rsidRDefault="0088256C"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 modification.</w:t>
            </w:r>
          </w:p>
        </w:tc>
      </w:tr>
      <w:tr w:rsidR="00AA277B" w14:paraId="6E9AC64D" w14:textId="77777777" w:rsidTr="00C10FCA">
        <w:tc>
          <w:tcPr>
            <w:tcW w:w="1980" w:type="dxa"/>
          </w:tcPr>
          <w:p w14:paraId="1E3C7444"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54AD30F" w14:textId="49E51799" w:rsidR="00AA277B" w:rsidRPr="00C10FCA"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8.1.2</w:t>
            </w:r>
            <w:r w:rsidRPr="00707D64">
              <w:rPr>
                <w:rFonts w:asciiTheme="minorHAnsi" w:hAnsiTheme="minorHAnsi"/>
                <w:sz w:val="20"/>
                <w:szCs w:val="20"/>
                <w:lang w:val="fr-CH"/>
              </w:rPr>
              <w:tab/>
              <w:t xml:space="preserve">Les </w:t>
            </w:r>
            <w:r w:rsidRPr="00707D64">
              <w:rPr>
                <w:rFonts w:asciiTheme="minorHAnsi" w:hAnsiTheme="minorHAnsi"/>
                <w:caps/>
                <w:sz w:val="20"/>
                <w:szCs w:val="20"/>
                <w:lang w:val="fr-CH"/>
              </w:rPr>
              <w:t>é</w:t>
            </w:r>
            <w:r w:rsidRPr="00707D64">
              <w:rPr>
                <w:rFonts w:asciiTheme="minorHAnsi" w:hAnsiTheme="minorHAnsi"/>
                <w:sz w:val="20"/>
                <w:szCs w:val="20"/>
                <w:lang w:val="fr-CH"/>
              </w:rPr>
              <w:t xml:space="preserve">tats Membres s'efforcent d'encourager les investissements dans les réseaux internationaux de télécommunication et de promouvoir une tarification de gros concurrentielle pour le trafic </w:t>
            </w:r>
            <w:r w:rsidRPr="00707D64">
              <w:rPr>
                <w:rFonts w:asciiTheme="minorHAnsi" w:hAnsiTheme="minorHAnsi"/>
                <w:sz w:val="20"/>
                <w:szCs w:val="20"/>
                <w:lang w:val="fr-CH"/>
              </w:rPr>
              <w:lastRenderedPageBreak/>
              <w:t>acheminé sur ces réseaux de télécommunication.</w:t>
            </w:r>
          </w:p>
        </w:tc>
        <w:tc>
          <w:tcPr>
            <w:tcW w:w="2976" w:type="dxa"/>
          </w:tcPr>
          <w:p w14:paraId="728F9BCC" w14:textId="3B7C351C"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bCs/>
                <w:sz w:val="20"/>
                <w:szCs w:val="20"/>
              </w:rPr>
              <w:lastRenderedPageBreak/>
              <w:t>Sans objet</w:t>
            </w:r>
            <w:r w:rsidR="00981979">
              <w:rPr>
                <w:rFonts w:asciiTheme="minorHAnsi" w:hAnsiTheme="minorHAnsi" w:cstheme="majorBidi"/>
                <w:b/>
                <w:bCs/>
                <w:sz w:val="20"/>
                <w:szCs w:val="20"/>
              </w:rPr>
              <w:t>.</w:t>
            </w:r>
          </w:p>
        </w:tc>
        <w:tc>
          <w:tcPr>
            <w:tcW w:w="2375" w:type="dxa"/>
          </w:tcPr>
          <w:p w14:paraId="0A58C78A" w14:textId="7A0B5AC5"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est applicable.</w:t>
            </w:r>
          </w:p>
        </w:tc>
        <w:tc>
          <w:tcPr>
            <w:tcW w:w="2445" w:type="dxa"/>
          </w:tcPr>
          <w:p w14:paraId="0AEBB84D" w14:textId="24BEC66B"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100A1A2C" w14:textId="35D3AB20"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 modification.</w:t>
            </w:r>
          </w:p>
        </w:tc>
      </w:tr>
      <w:tr w:rsidR="00AA277B" w14:paraId="700F733E" w14:textId="77777777" w:rsidTr="00C10FCA">
        <w:tc>
          <w:tcPr>
            <w:tcW w:w="1980" w:type="dxa"/>
          </w:tcPr>
          <w:p w14:paraId="42B65A47"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2F856224" w14:textId="77777777" w:rsidR="00AA277B" w:rsidRPr="00707D64" w:rsidRDefault="00AA277B" w:rsidP="00C661CD">
            <w:pPr>
              <w:pStyle w:val="Tabletext"/>
              <w:rPr>
                <w:rFonts w:asciiTheme="minorHAnsi" w:hAnsiTheme="minorHAnsi"/>
                <w:b/>
                <w:bCs/>
                <w:sz w:val="20"/>
                <w:szCs w:val="20"/>
              </w:rPr>
            </w:pPr>
            <w:r w:rsidRPr="00707D64">
              <w:rPr>
                <w:rFonts w:asciiTheme="minorHAnsi" w:hAnsiTheme="minorHAnsi"/>
                <w:b/>
                <w:bCs/>
                <w:sz w:val="20"/>
                <w:szCs w:val="20"/>
                <w:lang w:val="fr-CH"/>
              </w:rPr>
              <w:t>8.2</w:t>
            </w:r>
            <w:r w:rsidRPr="00707D64">
              <w:rPr>
                <w:rFonts w:asciiTheme="minorHAnsi" w:hAnsiTheme="minorHAnsi"/>
                <w:sz w:val="20"/>
                <w:szCs w:val="20"/>
                <w:lang w:val="fr-CH"/>
              </w:rPr>
              <w:tab/>
            </w:r>
            <w:r w:rsidRPr="00707D64">
              <w:rPr>
                <w:rFonts w:asciiTheme="minorHAnsi" w:hAnsiTheme="minorHAnsi"/>
                <w:b/>
                <w:bCs/>
                <w:sz w:val="20"/>
                <w:szCs w:val="20"/>
              </w:rPr>
              <w:t>Principes applicables aux taxes de répartition</w:t>
            </w:r>
          </w:p>
          <w:p w14:paraId="70B97FC6" w14:textId="70E51876" w:rsidR="00AA277B" w:rsidRPr="00707D64" w:rsidRDefault="00AA277B" w:rsidP="00C661CD">
            <w:pPr>
              <w:pStyle w:val="Tabletext"/>
              <w:rPr>
                <w:rFonts w:asciiTheme="minorHAnsi" w:hAnsiTheme="minorHAnsi"/>
                <w:sz w:val="20"/>
                <w:szCs w:val="20"/>
                <w:lang w:val="fr-CH"/>
              </w:rPr>
            </w:pPr>
            <w:r w:rsidRPr="00707D64">
              <w:rPr>
                <w:rFonts w:asciiTheme="minorHAnsi" w:hAnsiTheme="minorHAnsi"/>
                <w:b/>
                <w:bCs/>
                <w:i/>
                <w:iCs/>
                <w:sz w:val="20"/>
                <w:szCs w:val="20"/>
              </w:rPr>
              <w:t>Modalités et conditions</w:t>
            </w:r>
          </w:p>
          <w:p w14:paraId="18A616D6" w14:textId="0E5868CF"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8.2.1</w:t>
            </w:r>
            <w:r w:rsidRPr="00707D64">
              <w:rPr>
                <w:rFonts w:asciiTheme="minorHAnsi" w:hAnsiTheme="minorHAnsi"/>
                <w:sz w:val="20"/>
                <w:szCs w:val="20"/>
                <w:lang w:val="fr-CH"/>
              </w:rPr>
              <w:tab/>
              <w:t>Les dispositions suivantes peuvent s'appliquer lorsque les modalités et conditions des arrangements concernant des services internationaux de télécommunication sont établies en vertu des principes relatifs aux taxes de répartition établis conformément à la réglementation nationale. Ces dispositions ne s'appliquent pas aux arrangements établis dans le cadre d'accords commerciaux.</w:t>
            </w:r>
          </w:p>
        </w:tc>
        <w:tc>
          <w:tcPr>
            <w:tcW w:w="2976" w:type="dxa"/>
          </w:tcPr>
          <w:p w14:paraId="36C6BB93" w14:textId="1AFEC0B5"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b/>
                <w:color w:val="000000"/>
                <w:sz w:val="20"/>
                <w:szCs w:val="20"/>
              </w:rPr>
              <w:t>Sans objet</w:t>
            </w:r>
            <w:r w:rsidR="00981979">
              <w:rPr>
                <w:rFonts w:asciiTheme="minorHAnsi" w:hAnsiTheme="minorHAnsi"/>
                <w:b/>
                <w:color w:val="000000"/>
                <w:sz w:val="20"/>
                <w:szCs w:val="20"/>
              </w:rPr>
              <w:t>.</w:t>
            </w:r>
          </w:p>
        </w:tc>
        <w:tc>
          <w:tcPr>
            <w:tcW w:w="2375" w:type="dxa"/>
          </w:tcPr>
          <w:p w14:paraId="0116DA36" w14:textId="4FC466F4"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64BDFAFE" w14:textId="261076FF"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6752D703" w14:textId="360BFA50"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w:t>
            </w:r>
            <w:r w:rsidR="00AF2D4A" w:rsidRPr="00981979">
              <w:rPr>
                <w:rFonts w:asciiTheme="minorHAnsi" w:hAnsiTheme="minorHAnsi" w:cstheme="majorBidi"/>
                <w:b/>
                <w:sz w:val="20"/>
                <w:szCs w:val="20"/>
              </w:rPr>
              <w:t>e</w:t>
            </w:r>
            <w:r w:rsidRPr="00981979">
              <w:rPr>
                <w:rFonts w:asciiTheme="minorHAnsi" w:hAnsiTheme="minorHAnsi" w:cstheme="majorBidi"/>
                <w:b/>
                <w:sz w:val="20"/>
                <w:szCs w:val="20"/>
              </w:rPr>
              <w:t xml:space="preserve"> modification.</w:t>
            </w:r>
          </w:p>
        </w:tc>
      </w:tr>
      <w:tr w:rsidR="00AA277B" w:rsidRPr="00C24241" w14:paraId="11971084" w14:textId="77777777" w:rsidTr="00C10FCA">
        <w:tc>
          <w:tcPr>
            <w:tcW w:w="1980" w:type="dxa"/>
          </w:tcPr>
          <w:p w14:paraId="1BC4F39B"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6DC2524E" w14:textId="43895233"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8.2.2</w:t>
            </w:r>
            <w:r w:rsidRPr="00707D64">
              <w:rPr>
                <w:rFonts w:asciiTheme="minorHAnsi" w:hAnsiTheme="minorHAnsi"/>
                <w:sz w:val="20"/>
                <w:szCs w:val="20"/>
                <w:lang w:val="fr-CH"/>
              </w:rPr>
              <w:tab/>
              <w:t>Pour chaque service admis dans une relation donnée, les exploitations autorisées établissent et révisent, par accord mutuel, les taxes de répartition applicables entre elles, conformément aux dispositions de l'Appendice 1 et en tenant compte des Recommandations UIT-T pertinentes.</w:t>
            </w:r>
          </w:p>
        </w:tc>
        <w:tc>
          <w:tcPr>
            <w:tcW w:w="2976" w:type="dxa"/>
          </w:tcPr>
          <w:p w14:paraId="6B9E5C9C" w14:textId="5C184589"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6.1.1</w:t>
            </w:r>
            <w:r w:rsidRPr="00981979">
              <w:rPr>
                <w:rFonts w:asciiTheme="minorHAnsi" w:hAnsiTheme="minorHAnsi"/>
                <w:sz w:val="20"/>
                <w:szCs w:val="20"/>
              </w:rPr>
              <w:tab/>
              <w:t xml:space="preserve">Chaque administration* établit, conformément à la législation nationale applicable, les taxes à percevoir sur ses clients. La fixation du niveau de ces taxes est une affaire </w:t>
            </w:r>
            <w:proofErr w:type="gramStart"/>
            <w:r w:rsidRPr="00981979">
              <w:rPr>
                <w:rFonts w:asciiTheme="minorHAnsi" w:hAnsiTheme="minorHAnsi"/>
                <w:sz w:val="20"/>
                <w:szCs w:val="20"/>
              </w:rPr>
              <w:t>nationale;</w:t>
            </w:r>
            <w:proofErr w:type="gramEnd"/>
            <w:r w:rsidRPr="00981979">
              <w:rPr>
                <w:rFonts w:asciiTheme="minorHAnsi" w:hAnsiTheme="minorHAnsi"/>
                <w:sz w:val="20"/>
                <w:szCs w:val="20"/>
              </w:rPr>
              <w:t xml:space="preserve"> toutefois, ce faisant, les administrations* devraient s'efforcer d'éviter une trop grande dissymétrie entre les taxes de perception applicables dans les deux sens d'une même relation. </w:t>
            </w:r>
          </w:p>
        </w:tc>
        <w:tc>
          <w:tcPr>
            <w:tcW w:w="2375" w:type="dxa"/>
          </w:tcPr>
          <w:p w14:paraId="3553BB6B" w14:textId="115F88A0" w:rsidR="00AA277B" w:rsidRPr="00981979" w:rsidRDefault="002E7D29" w:rsidP="00C661CD">
            <w:pPr>
              <w:pStyle w:val="Tabletext"/>
              <w:rPr>
                <w:rFonts w:asciiTheme="minorHAnsi" w:hAnsiTheme="minorHAnsi" w:cstheme="majorBidi"/>
                <w:b/>
                <w:sz w:val="20"/>
                <w:szCs w:val="20"/>
              </w:rPr>
            </w:pPr>
            <w:bookmarkStart w:id="18" w:name="lt_pId098"/>
            <w:r w:rsidRPr="00981979">
              <w:rPr>
                <w:rFonts w:asciiTheme="minorHAnsi" w:hAnsiTheme="minorHAnsi" w:cstheme="majorBidi"/>
                <w:b/>
                <w:sz w:val="20"/>
                <w:szCs w:val="20"/>
              </w:rPr>
              <w:t xml:space="preserve">Cette </w:t>
            </w:r>
            <w:r w:rsidR="006F58CC" w:rsidRPr="00981979">
              <w:rPr>
                <w:rFonts w:asciiTheme="minorHAnsi" w:hAnsiTheme="minorHAnsi" w:cstheme="majorBidi"/>
                <w:b/>
                <w:sz w:val="20"/>
                <w:szCs w:val="20"/>
              </w:rPr>
              <w:t xml:space="preserve">disposition est applicable étant donné que certains pays </w:t>
            </w:r>
            <w:r w:rsidRPr="00981979">
              <w:rPr>
                <w:rFonts w:asciiTheme="minorHAnsi" w:hAnsiTheme="minorHAnsi" w:cstheme="majorBidi"/>
                <w:b/>
                <w:sz w:val="20"/>
                <w:szCs w:val="20"/>
              </w:rPr>
              <w:t>utilisent</w:t>
            </w:r>
            <w:r w:rsidR="00981979" w:rsidRPr="00981979">
              <w:rPr>
                <w:rFonts w:asciiTheme="minorHAnsi" w:hAnsiTheme="minorHAnsi" w:cstheme="majorBidi"/>
                <w:b/>
                <w:sz w:val="20"/>
                <w:szCs w:val="20"/>
              </w:rPr>
              <w:t xml:space="preserve"> </w:t>
            </w:r>
            <w:r w:rsidR="006F58CC" w:rsidRPr="00981979">
              <w:rPr>
                <w:rFonts w:asciiTheme="minorHAnsi" w:hAnsiTheme="minorHAnsi" w:cstheme="majorBidi"/>
                <w:b/>
                <w:sz w:val="20"/>
                <w:szCs w:val="20"/>
              </w:rPr>
              <w:t xml:space="preserve">encore </w:t>
            </w:r>
            <w:r w:rsidR="008100C6" w:rsidRPr="00981979">
              <w:rPr>
                <w:rFonts w:asciiTheme="minorHAnsi" w:hAnsiTheme="minorHAnsi" w:cstheme="majorBidi"/>
                <w:b/>
                <w:sz w:val="20"/>
                <w:szCs w:val="20"/>
              </w:rPr>
              <w:t>le</w:t>
            </w:r>
            <w:r w:rsidR="00C24241" w:rsidRPr="00981979">
              <w:rPr>
                <w:rFonts w:asciiTheme="minorHAnsi" w:hAnsiTheme="minorHAnsi" w:cstheme="majorBidi"/>
                <w:b/>
                <w:sz w:val="20"/>
                <w:szCs w:val="20"/>
              </w:rPr>
              <w:t xml:space="preserve"> </w:t>
            </w:r>
            <w:r w:rsidR="006F58CC" w:rsidRPr="00981979">
              <w:rPr>
                <w:rFonts w:asciiTheme="minorHAnsi" w:hAnsiTheme="minorHAnsi" w:cstheme="majorBidi"/>
                <w:b/>
                <w:sz w:val="20"/>
                <w:szCs w:val="20"/>
              </w:rPr>
              <w:t xml:space="preserve">système </w:t>
            </w:r>
            <w:bookmarkEnd w:id="18"/>
            <w:r w:rsidR="006F58CC" w:rsidRPr="00981979">
              <w:rPr>
                <w:rFonts w:asciiTheme="minorHAnsi" w:hAnsiTheme="minorHAnsi" w:cstheme="majorBidi"/>
                <w:b/>
                <w:sz w:val="20"/>
                <w:szCs w:val="20"/>
              </w:rPr>
              <w:t>des taxes de répartition.</w:t>
            </w:r>
          </w:p>
        </w:tc>
        <w:tc>
          <w:tcPr>
            <w:tcW w:w="2445" w:type="dxa"/>
          </w:tcPr>
          <w:p w14:paraId="6849BD54" w14:textId="20792526"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6FF127F7" w14:textId="3440B5D6" w:rsidR="00AA277B" w:rsidRPr="00981979" w:rsidRDefault="00B71B74"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Bien que l'utilisation du système des taxes de répartition soit limitée parmi les États Membres, ce sy</w:t>
            </w:r>
            <w:r w:rsidR="00981979">
              <w:rPr>
                <w:rFonts w:asciiTheme="minorHAnsi" w:hAnsiTheme="minorHAnsi" w:cstheme="majorBidi"/>
                <w:b/>
                <w:sz w:val="20"/>
                <w:szCs w:val="20"/>
              </w:rPr>
              <w:t>s</w:t>
            </w:r>
            <w:r w:rsidRPr="00981979">
              <w:rPr>
                <w:rFonts w:asciiTheme="minorHAnsi" w:hAnsiTheme="minorHAnsi" w:cstheme="majorBidi"/>
                <w:b/>
                <w:sz w:val="20"/>
                <w:szCs w:val="20"/>
              </w:rPr>
              <w:t xml:space="preserve">tème est </w:t>
            </w:r>
            <w:r w:rsidR="002E7D29" w:rsidRPr="00981979">
              <w:rPr>
                <w:rFonts w:asciiTheme="minorHAnsi" w:hAnsiTheme="minorHAnsi" w:cstheme="majorBidi"/>
                <w:b/>
                <w:sz w:val="20"/>
                <w:szCs w:val="20"/>
              </w:rPr>
              <w:t xml:space="preserve">toujours </w:t>
            </w:r>
            <w:r w:rsidRPr="00981979">
              <w:rPr>
                <w:rFonts w:asciiTheme="minorHAnsi" w:hAnsiTheme="minorHAnsi" w:cstheme="majorBidi"/>
                <w:b/>
                <w:sz w:val="20"/>
                <w:szCs w:val="20"/>
              </w:rPr>
              <w:t xml:space="preserve">utilisé dans certains pays. Par conséquent, il est important de </w:t>
            </w:r>
            <w:r w:rsidR="002E7D29" w:rsidRPr="00981979">
              <w:rPr>
                <w:rFonts w:asciiTheme="minorHAnsi" w:hAnsiTheme="minorHAnsi" w:cstheme="majorBidi"/>
                <w:b/>
                <w:sz w:val="20"/>
                <w:szCs w:val="20"/>
              </w:rPr>
              <w:t>continuer de faire mention</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 xml:space="preserve">du </w:t>
            </w:r>
            <w:r w:rsidRPr="00981979">
              <w:rPr>
                <w:rFonts w:asciiTheme="minorHAnsi" w:hAnsiTheme="minorHAnsi" w:cstheme="majorBidi"/>
                <w:b/>
                <w:sz w:val="20"/>
                <w:szCs w:val="20"/>
              </w:rPr>
              <w:t>système des taxes de répartition dans le RTI</w:t>
            </w:r>
            <w:r w:rsidR="002E7D29" w:rsidRPr="00981979">
              <w:rPr>
                <w:rFonts w:asciiTheme="minorHAnsi" w:hAnsiTheme="minorHAnsi" w:cstheme="majorBidi"/>
                <w:b/>
                <w:sz w:val="20"/>
                <w:szCs w:val="20"/>
              </w:rPr>
              <w:t>,</w:t>
            </w:r>
            <w:r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 xml:space="preserve">étant donné </w:t>
            </w:r>
            <w:r w:rsidRPr="00981979">
              <w:rPr>
                <w:rFonts w:asciiTheme="minorHAnsi" w:hAnsiTheme="minorHAnsi" w:cstheme="majorBidi"/>
                <w:b/>
                <w:sz w:val="20"/>
                <w:szCs w:val="20"/>
              </w:rPr>
              <w:t xml:space="preserve">qu'il s'agit du seul document </w:t>
            </w:r>
            <w:r w:rsidR="00B6391D" w:rsidRPr="00981979">
              <w:rPr>
                <w:rFonts w:asciiTheme="minorHAnsi" w:hAnsiTheme="minorHAnsi" w:cstheme="majorBidi"/>
                <w:b/>
                <w:sz w:val="20"/>
                <w:szCs w:val="20"/>
              </w:rPr>
              <w:t xml:space="preserve">juridique </w:t>
            </w:r>
            <w:r w:rsidRPr="00981979">
              <w:rPr>
                <w:rFonts w:asciiTheme="minorHAnsi" w:hAnsiTheme="minorHAnsi" w:cstheme="majorBidi"/>
                <w:b/>
                <w:sz w:val="20"/>
                <w:szCs w:val="20"/>
              </w:rPr>
              <w:t xml:space="preserve">qui définit clairement le règlement des comptes </w:t>
            </w:r>
            <w:r w:rsidR="002E7D29" w:rsidRPr="00981979">
              <w:rPr>
                <w:rFonts w:asciiTheme="minorHAnsi" w:hAnsiTheme="minorHAnsi" w:cstheme="majorBidi"/>
                <w:b/>
                <w:sz w:val="20"/>
                <w:szCs w:val="20"/>
              </w:rPr>
              <w:t xml:space="preserve">au moyen </w:t>
            </w:r>
            <w:r w:rsidR="002E7D29" w:rsidRPr="00981979">
              <w:rPr>
                <w:rFonts w:asciiTheme="minorHAnsi" w:hAnsiTheme="minorHAnsi" w:cstheme="majorBidi"/>
                <w:b/>
                <w:sz w:val="20"/>
                <w:szCs w:val="20"/>
              </w:rPr>
              <w:lastRenderedPageBreak/>
              <w:t xml:space="preserve">de </w:t>
            </w:r>
            <w:r w:rsidRPr="00981979">
              <w:rPr>
                <w:rFonts w:asciiTheme="minorHAnsi" w:hAnsiTheme="minorHAnsi" w:cstheme="majorBidi"/>
                <w:b/>
                <w:sz w:val="20"/>
                <w:szCs w:val="20"/>
              </w:rPr>
              <w:t>ce système. Néanmoins, nous suggérons de solliciter l'avis du conseiller juridique.</w:t>
            </w:r>
            <w:r w:rsidR="00AA277B" w:rsidRPr="00981979">
              <w:rPr>
                <w:rFonts w:asciiTheme="minorHAnsi" w:hAnsiTheme="minorHAnsi" w:cstheme="majorBidi"/>
                <w:b/>
                <w:sz w:val="20"/>
                <w:szCs w:val="20"/>
              </w:rPr>
              <w:t xml:space="preserve"> </w:t>
            </w:r>
          </w:p>
        </w:tc>
      </w:tr>
      <w:tr w:rsidR="00AA277B" w14:paraId="3119C428" w14:textId="77777777" w:rsidTr="00C10FCA">
        <w:tc>
          <w:tcPr>
            <w:tcW w:w="1980" w:type="dxa"/>
          </w:tcPr>
          <w:p w14:paraId="6B614D13" w14:textId="77777777" w:rsidR="00AA277B" w:rsidRPr="00C24241" w:rsidRDefault="00AA277B" w:rsidP="00C661CD">
            <w:pPr>
              <w:snapToGrid w:val="0"/>
              <w:spacing w:before="60" w:after="60"/>
              <w:jc w:val="center"/>
              <w:rPr>
                <w:rFonts w:asciiTheme="minorHAnsi" w:hAnsiTheme="minorHAnsi" w:cstheme="majorBidi"/>
                <w:b/>
                <w:sz w:val="20"/>
                <w:szCs w:val="20"/>
              </w:rPr>
            </w:pPr>
          </w:p>
        </w:tc>
        <w:tc>
          <w:tcPr>
            <w:tcW w:w="2977" w:type="dxa"/>
          </w:tcPr>
          <w:p w14:paraId="610815D5" w14:textId="341A4E97"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8.2.3</w:t>
            </w:r>
            <w:r w:rsidRPr="00707D64">
              <w:rPr>
                <w:rFonts w:asciiTheme="minorHAnsi" w:hAnsiTheme="minorHAnsi"/>
                <w:sz w:val="20"/>
                <w:szCs w:val="20"/>
                <w:lang w:val="fr-CH"/>
              </w:rPr>
              <w:tab/>
            </w:r>
            <w:r w:rsidRPr="00707D64">
              <w:rPr>
                <w:rFonts w:asciiTheme="minorHAnsi" w:hAnsiTheme="minorHAnsi"/>
                <w:caps/>
                <w:sz w:val="20"/>
                <w:szCs w:val="20"/>
                <w:lang w:val="fr-CH"/>
              </w:rPr>
              <w:t>à</w:t>
            </w:r>
            <w:r w:rsidRPr="00707D64">
              <w:rPr>
                <w:rFonts w:asciiTheme="minorHAnsi" w:hAnsiTheme="minorHAnsi"/>
                <w:sz w:val="20"/>
                <w:szCs w:val="20"/>
                <w:lang w:val="fr-CH"/>
              </w:rPr>
              <w:t xml:space="preserve"> moins qu'il n'en soit convenu autrement, les parties qui fournissent des services internationaux de télécommunication se conforment aux dispositions pertinentes figurant dans les Appendices 1 et 2. </w:t>
            </w:r>
          </w:p>
        </w:tc>
        <w:tc>
          <w:tcPr>
            <w:tcW w:w="2976" w:type="dxa"/>
          </w:tcPr>
          <w:p w14:paraId="76AEA79E" w14:textId="08372BCB"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6.4.1</w:t>
            </w:r>
            <w:r w:rsidRPr="00981979">
              <w:rPr>
                <w:rFonts w:asciiTheme="minorHAnsi" w:hAnsiTheme="minorHAnsi"/>
                <w:sz w:val="20"/>
                <w:szCs w:val="20"/>
              </w:rPr>
              <w:tab/>
            </w:r>
            <w:r w:rsidRPr="00981979">
              <w:rPr>
                <w:rFonts w:asciiTheme="minorHAnsi" w:hAnsiTheme="minorHAnsi"/>
                <w:caps/>
                <w:sz w:val="20"/>
                <w:szCs w:val="20"/>
              </w:rPr>
              <w:t>À</w:t>
            </w:r>
            <w:r w:rsidRPr="00981979">
              <w:rPr>
                <w:rFonts w:asciiTheme="minorHAnsi" w:hAnsiTheme="minorHAnsi"/>
                <w:sz w:val="20"/>
                <w:szCs w:val="20"/>
              </w:rPr>
              <w:t xml:space="preserve"> moins qu'il n'en soit convenu autrement, les administrations* suivent les dispositions pertinentes figurant dans les Appendices 1 et 2. </w:t>
            </w:r>
          </w:p>
        </w:tc>
        <w:tc>
          <w:tcPr>
            <w:tcW w:w="2375" w:type="dxa"/>
          </w:tcPr>
          <w:p w14:paraId="256151C9" w14:textId="1C12529F"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218B4963" w14:textId="36FF70A6"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 xml:space="preserve">offre la souplesse nécessaire </w:t>
            </w:r>
            <w:r w:rsidR="00B95BB4" w:rsidRPr="00981979">
              <w:rPr>
                <w:rFonts w:asciiTheme="minorHAnsi" w:hAnsiTheme="minorHAnsi" w:cstheme="majorBidi"/>
                <w:b/>
                <w:sz w:val="20"/>
                <w:szCs w:val="20"/>
              </w:rPr>
              <w:t>(</w:t>
            </w:r>
            <w:r w:rsidR="00AA277B" w:rsidRPr="00981979">
              <w:rPr>
                <w:rFonts w:asciiTheme="minorHAnsi" w:hAnsiTheme="minorHAnsi" w:cstheme="majorBidi"/>
                <w:b/>
                <w:sz w:val="20"/>
                <w:szCs w:val="20"/>
              </w:rPr>
              <w:t>il est</w:t>
            </w:r>
            <w:r w:rsidR="00D6427A" w:rsidRPr="00981979">
              <w:rPr>
                <w:rFonts w:asciiTheme="minorHAnsi" w:hAnsiTheme="minorHAnsi" w:cstheme="majorBidi"/>
                <w:b/>
                <w:sz w:val="20"/>
                <w:szCs w:val="20"/>
              </w:rPr>
              <w:t xml:space="preserve"> indiqué</w:t>
            </w:r>
            <w:r w:rsidR="00AA277B" w:rsidRPr="00981979">
              <w:rPr>
                <w:rFonts w:asciiTheme="minorHAnsi" w:hAnsiTheme="minorHAnsi" w:cstheme="majorBidi"/>
                <w:b/>
                <w:sz w:val="20"/>
                <w:szCs w:val="20"/>
              </w:rPr>
              <w:t xml:space="preserve"> "À moins qu'il n'en soit convenu autrement"</w:t>
            </w:r>
            <w:r w:rsidR="00B95BB4" w:rsidRPr="00981979">
              <w:rPr>
                <w:rFonts w:asciiTheme="minorHAnsi" w:hAnsiTheme="minorHAnsi" w:cstheme="majorBidi"/>
                <w:b/>
                <w:sz w:val="20"/>
                <w:szCs w:val="20"/>
              </w:rPr>
              <w:t>)</w:t>
            </w:r>
            <w:r w:rsidR="00AA277B" w:rsidRPr="00981979">
              <w:rPr>
                <w:rFonts w:asciiTheme="minorHAnsi" w:hAnsiTheme="minorHAnsi" w:cstheme="majorBidi"/>
                <w:b/>
                <w:sz w:val="20"/>
                <w:szCs w:val="20"/>
              </w:rPr>
              <w:t>.</w:t>
            </w:r>
          </w:p>
        </w:tc>
        <w:tc>
          <w:tcPr>
            <w:tcW w:w="2327" w:type="dxa"/>
          </w:tcPr>
          <w:p w14:paraId="778B2BBC" w14:textId="077D7034"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 modification.</w:t>
            </w:r>
          </w:p>
        </w:tc>
      </w:tr>
      <w:tr w:rsidR="00AA277B" w14:paraId="24BD535E" w14:textId="77777777" w:rsidTr="00C10FCA">
        <w:tc>
          <w:tcPr>
            <w:tcW w:w="1980" w:type="dxa"/>
          </w:tcPr>
          <w:p w14:paraId="44870BEC"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FFD29BB" w14:textId="77777777" w:rsidR="00AA277B" w:rsidRPr="00707D64" w:rsidRDefault="00AA277B" w:rsidP="00C661CD">
            <w:pPr>
              <w:pStyle w:val="enumlev2"/>
              <w:ind w:left="0" w:firstLine="0"/>
              <w:rPr>
                <w:rFonts w:asciiTheme="minorHAnsi" w:hAnsiTheme="minorHAnsi"/>
                <w:sz w:val="20"/>
                <w:szCs w:val="20"/>
                <w:lang w:val="fr-CH"/>
              </w:rPr>
            </w:pPr>
            <w:r w:rsidRPr="00707D64">
              <w:rPr>
                <w:rFonts w:asciiTheme="minorHAnsi" w:hAnsiTheme="minorHAnsi"/>
                <w:sz w:val="20"/>
                <w:szCs w:val="20"/>
                <w:lang w:val="fr-CH"/>
              </w:rPr>
              <w:t>8.2.4</w:t>
            </w:r>
            <w:r w:rsidRPr="00707D64">
              <w:rPr>
                <w:rFonts w:asciiTheme="minorHAnsi" w:hAnsiTheme="minorHAnsi"/>
                <w:sz w:val="20"/>
                <w:szCs w:val="20"/>
                <w:lang w:val="fr-CH"/>
              </w:rPr>
              <w:tab/>
              <w:t xml:space="preserve">En l'absence d'arrangements particuliers conclus entre exploitations autorisées, l'unité monétaire employée dans la composition des taxes de répartition pour les services internationaux de télécommunication et dans l'établissement des comptes internationaux </w:t>
            </w:r>
            <w:proofErr w:type="gramStart"/>
            <w:r w:rsidRPr="00707D64">
              <w:rPr>
                <w:rFonts w:asciiTheme="minorHAnsi" w:hAnsiTheme="minorHAnsi"/>
                <w:sz w:val="20"/>
                <w:szCs w:val="20"/>
                <w:lang w:val="fr-CH"/>
              </w:rPr>
              <w:t>est:</w:t>
            </w:r>
            <w:proofErr w:type="gramEnd"/>
          </w:p>
          <w:p w14:paraId="4E36AA8C" w14:textId="77777777" w:rsidR="00AA277B" w:rsidRPr="00707D64" w:rsidRDefault="00AA277B" w:rsidP="00071F91">
            <w:pPr>
              <w:pStyle w:val="enumlev2"/>
              <w:tabs>
                <w:tab w:val="clear" w:pos="567"/>
              </w:tabs>
              <w:ind w:left="313" w:hanging="313"/>
              <w:rPr>
                <w:rFonts w:asciiTheme="minorHAnsi" w:hAnsiTheme="minorHAnsi"/>
                <w:sz w:val="20"/>
                <w:szCs w:val="20"/>
                <w:lang w:val="fr-CH"/>
              </w:rPr>
            </w:pPr>
            <w:r w:rsidRPr="00707D64">
              <w:rPr>
                <w:rFonts w:asciiTheme="minorHAnsi" w:hAnsiTheme="minorHAnsi"/>
                <w:sz w:val="20"/>
                <w:szCs w:val="20"/>
                <w:lang w:val="fr-CH"/>
              </w:rPr>
              <w:t>–</w:t>
            </w:r>
            <w:r w:rsidRPr="00707D64">
              <w:rPr>
                <w:rFonts w:asciiTheme="minorHAnsi" w:hAnsiTheme="minorHAnsi"/>
                <w:sz w:val="20"/>
                <w:szCs w:val="20"/>
                <w:lang w:val="fr-CH"/>
              </w:rPr>
              <w:tab/>
              <w:t xml:space="preserve">soit l'unité monétaire du Fonds monétaire international (FMI), actuellement le Droit de tirage spécial (DTS), telle qu'elle est définie par cette </w:t>
            </w:r>
            <w:proofErr w:type="gramStart"/>
            <w:r w:rsidRPr="00707D64">
              <w:rPr>
                <w:rFonts w:asciiTheme="minorHAnsi" w:hAnsiTheme="minorHAnsi"/>
                <w:sz w:val="20"/>
                <w:szCs w:val="20"/>
                <w:lang w:val="fr-CH"/>
              </w:rPr>
              <w:t>organisation;</w:t>
            </w:r>
            <w:proofErr w:type="gramEnd"/>
          </w:p>
          <w:p w14:paraId="642A950A" w14:textId="22399EDE" w:rsidR="00AA277B" w:rsidRPr="00707D64" w:rsidRDefault="00AA277B" w:rsidP="00071F91">
            <w:pPr>
              <w:pStyle w:val="enumlev2"/>
              <w:tabs>
                <w:tab w:val="clear" w:pos="567"/>
              </w:tabs>
              <w:ind w:left="313" w:hanging="313"/>
              <w:rPr>
                <w:rFonts w:asciiTheme="minorHAnsi" w:hAnsiTheme="minorHAnsi"/>
                <w:sz w:val="20"/>
                <w:szCs w:val="20"/>
                <w:lang w:val="fr-CH"/>
              </w:rPr>
            </w:pPr>
            <w:r w:rsidRPr="00707D64">
              <w:rPr>
                <w:rFonts w:asciiTheme="minorHAnsi" w:hAnsiTheme="minorHAnsi"/>
                <w:sz w:val="20"/>
                <w:szCs w:val="20"/>
                <w:lang w:val="fr-CH"/>
              </w:rPr>
              <w:t>–</w:t>
            </w:r>
            <w:r w:rsidRPr="00707D64">
              <w:rPr>
                <w:rFonts w:asciiTheme="minorHAnsi" w:hAnsiTheme="minorHAnsi"/>
                <w:sz w:val="20"/>
                <w:szCs w:val="20"/>
                <w:lang w:val="fr-CH"/>
              </w:rPr>
              <w:tab/>
              <w:t>soit une monnaie librement convertible ou une autre unité monétaire convenue entre les exploitations autorisées.</w:t>
            </w:r>
          </w:p>
        </w:tc>
        <w:tc>
          <w:tcPr>
            <w:tcW w:w="2976" w:type="dxa"/>
          </w:tcPr>
          <w:p w14:paraId="01F5F3EE" w14:textId="77777777" w:rsidR="00AA277B" w:rsidRPr="00981979" w:rsidRDefault="00AA277B" w:rsidP="00C661CD">
            <w:pPr>
              <w:pStyle w:val="Tabletext"/>
              <w:spacing w:before="80" w:after="80"/>
              <w:rPr>
                <w:rFonts w:asciiTheme="minorHAnsi" w:hAnsiTheme="minorHAnsi" w:cstheme="minorHAnsi"/>
                <w:sz w:val="20"/>
                <w:szCs w:val="20"/>
              </w:rPr>
            </w:pPr>
            <w:r w:rsidRPr="00981979">
              <w:rPr>
                <w:rFonts w:asciiTheme="minorHAnsi" w:hAnsiTheme="minorHAnsi" w:cstheme="minorHAnsi"/>
                <w:sz w:val="20"/>
                <w:szCs w:val="20"/>
              </w:rPr>
              <w:t>6.3.1</w:t>
            </w:r>
            <w:r w:rsidRPr="00981979">
              <w:rPr>
                <w:rFonts w:asciiTheme="minorHAnsi" w:hAnsiTheme="minorHAnsi" w:cstheme="minorHAnsi"/>
                <w:sz w:val="20"/>
                <w:szCs w:val="20"/>
              </w:rPr>
              <w:tab/>
              <w:t xml:space="preserve">En l'absence d'arrangements particuliers conclus entre administrations*, l'unité monétaire employée à la composition des taxes de répartition pour les services internationaux de télécommunication et à l'établissement des comptes internationaux </w:t>
            </w:r>
            <w:proofErr w:type="gramStart"/>
            <w:r w:rsidRPr="00981979">
              <w:rPr>
                <w:rFonts w:asciiTheme="minorHAnsi" w:hAnsiTheme="minorHAnsi" w:cstheme="minorHAnsi"/>
                <w:sz w:val="20"/>
                <w:szCs w:val="20"/>
              </w:rPr>
              <w:t>est:</w:t>
            </w:r>
            <w:proofErr w:type="gramEnd"/>
          </w:p>
          <w:p w14:paraId="539BAB88" w14:textId="77777777" w:rsidR="00AA277B" w:rsidRPr="00981979" w:rsidRDefault="00AA277B" w:rsidP="00071F91">
            <w:pPr>
              <w:pStyle w:val="Tabletext"/>
              <w:tabs>
                <w:tab w:val="left" w:pos="317"/>
              </w:tabs>
              <w:spacing w:before="80" w:after="80"/>
              <w:ind w:left="317" w:hanging="317"/>
              <w:rPr>
                <w:rFonts w:asciiTheme="minorHAnsi" w:hAnsiTheme="minorHAnsi" w:cstheme="minorHAnsi"/>
                <w:sz w:val="20"/>
                <w:szCs w:val="20"/>
              </w:rPr>
            </w:pPr>
            <w:r w:rsidRPr="00981979">
              <w:rPr>
                <w:rFonts w:asciiTheme="minorHAnsi" w:hAnsiTheme="minorHAnsi" w:cstheme="minorHAnsi"/>
                <w:sz w:val="20"/>
                <w:szCs w:val="20"/>
              </w:rPr>
              <w:t>–</w:t>
            </w:r>
            <w:r w:rsidRPr="00981979">
              <w:rPr>
                <w:rFonts w:asciiTheme="minorHAnsi" w:hAnsiTheme="minorHAnsi" w:cstheme="minorHAnsi"/>
                <w:sz w:val="20"/>
                <w:szCs w:val="20"/>
              </w:rPr>
              <w:tab/>
              <w:t xml:space="preserve">soit l'unité monétaire du Fonds monétaire international (FMI), actuellement le Droit de tirage spécial (DTS), telle qu'elle est définie par cette </w:t>
            </w:r>
            <w:proofErr w:type="gramStart"/>
            <w:r w:rsidRPr="00981979">
              <w:rPr>
                <w:rFonts w:asciiTheme="minorHAnsi" w:hAnsiTheme="minorHAnsi" w:cstheme="minorHAnsi"/>
                <w:sz w:val="20"/>
                <w:szCs w:val="20"/>
              </w:rPr>
              <w:t>organisation;</w:t>
            </w:r>
            <w:proofErr w:type="gramEnd"/>
          </w:p>
          <w:p w14:paraId="35435162" w14:textId="6A58C477" w:rsidR="00AA277B" w:rsidRPr="00981979" w:rsidRDefault="00AA277B" w:rsidP="00071F91">
            <w:pPr>
              <w:pStyle w:val="Tabletext"/>
              <w:tabs>
                <w:tab w:val="left" w:pos="317"/>
              </w:tabs>
              <w:ind w:left="317" w:hanging="317"/>
              <w:rPr>
                <w:rFonts w:asciiTheme="minorHAnsi" w:hAnsiTheme="minorHAnsi" w:cstheme="majorBidi"/>
                <w:b/>
                <w:sz w:val="20"/>
                <w:szCs w:val="20"/>
              </w:rPr>
            </w:pPr>
            <w:r w:rsidRPr="00981979">
              <w:rPr>
                <w:rFonts w:asciiTheme="minorHAnsi" w:hAnsiTheme="minorHAnsi" w:cstheme="minorHAnsi"/>
                <w:sz w:val="20"/>
                <w:szCs w:val="20"/>
              </w:rPr>
              <w:t>–</w:t>
            </w:r>
            <w:r w:rsidRPr="00981979">
              <w:rPr>
                <w:rFonts w:asciiTheme="minorHAnsi" w:hAnsiTheme="minorHAnsi" w:cstheme="minorHAnsi"/>
                <w:sz w:val="20"/>
                <w:szCs w:val="20"/>
              </w:rPr>
              <w:tab/>
              <w:t>soit le franc</w:t>
            </w:r>
            <w:r w:rsidRPr="00981979">
              <w:rPr>
                <w:rFonts w:asciiTheme="minorHAnsi" w:hAnsiTheme="minorHAnsi" w:cstheme="minorHAnsi"/>
                <w:sz w:val="20"/>
                <w:szCs w:val="20"/>
              </w:rPr>
              <w:noBreakHyphen/>
              <w:t>or, équivalant à 1/3,061 DTS.</w:t>
            </w:r>
          </w:p>
        </w:tc>
        <w:tc>
          <w:tcPr>
            <w:tcW w:w="2375" w:type="dxa"/>
          </w:tcPr>
          <w:p w14:paraId="7295FC35" w14:textId="5E933904" w:rsidR="00AA277B" w:rsidRPr="00981979" w:rsidRDefault="00ED3560" w:rsidP="00C661CD">
            <w:pPr>
              <w:pStyle w:val="Tabletext"/>
              <w:rPr>
                <w:rFonts w:asciiTheme="minorHAnsi" w:hAnsiTheme="minorHAnsi" w:cstheme="majorBidi"/>
                <w:b/>
                <w:sz w:val="20"/>
                <w:szCs w:val="20"/>
              </w:rPr>
            </w:pPr>
            <w:bookmarkStart w:id="19" w:name="lt_pId123"/>
            <w:r w:rsidRPr="00981979">
              <w:rPr>
                <w:rFonts w:asciiTheme="minorHAnsi" w:hAnsiTheme="minorHAnsi" w:cstheme="majorBidi"/>
                <w:b/>
                <w:sz w:val="20"/>
                <w:szCs w:val="20"/>
              </w:rPr>
              <w:t xml:space="preserve">Cette </w:t>
            </w:r>
            <w:r w:rsidR="00B95BB4" w:rsidRPr="00981979">
              <w:rPr>
                <w:rFonts w:asciiTheme="minorHAnsi" w:hAnsiTheme="minorHAnsi" w:cstheme="majorBidi"/>
                <w:b/>
                <w:sz w:val="20"/>
                <w:szCs w:val="20"/>
              </w:rPr>
              <w:t>disposition est ap</w:t>
            </w:r>
            <w:r w:rsidR="001D617E">
              <w:rPr>
                <w:rFonts w:asciiTheme="minorHAnsi" w:hAnsiTheme="minorHAnsi" w:cstheme="majorBidi"/>
                <w:b/>
                <w:sz w:val="20"/>
                <w:szCs w:val="20"/>
              </w:rPr>
              <w:t xml:space="preserve">plicable. La référence au franc </w:t>
            </w:r>
            <w:r w:rsidR="00B95BB4" w:rsidRPr="00981979">
              <w:rPr>
                <w:rFonts w:asciiTheme="minorHAnsi" w:hAnsiTheme="minorHAnsi" w:cstheme="majorBidi"/>
                <w:b/>
                <w:sz w:val="20"/>
                <w:szCs w:val="20"/>
              </w:rPr>
              <w:t>or a été supprimée</w:t>
            </w:r>
            <w:r w:rsidR="002E7D29" w:rsidRPr="00981979">
              <w:rPr>
                <w:rFonts w:asciiTheme="minorHAnsi" w:hAnsiTheme="minorHAnsi" w:cstheme="majorBidi"/>
                <w:b/>
                <w:sz w:val="20"/>
                <w:szCs w:val="20"/>
              </w:rPr>
              <w:t>,</w:t>
            </w:r>
            <w:r w:rsidR="00B95BB4" w:rsidRPr="00981979">
              <w:rPr>
                <w:rFonts w:asciiTheme="minorHAnsi" w:hAnsiTheme="minorHAnsi" w:cstheme="majorBidi"/>
                <w:b/>
                <w:sz w:val="20"/>
                <w:szCs w:val="20"/>
              </w:rPr>
              <w:t xml:space="preserve"> </w:t>
            </w:r>
            <w:bookmarkEnd w:id="19"/>
            <w:r w:rsidR="00B95BB4" w:rsidRPr="00981979">
              <w:rPr>
                <w:rFonts w:asciiTheme="minorHAnsi" w:hAnsiTheme="minorHAnsi" w:cstheme="majorBidi"/>
                <w:b/>
                <w:sz w:val="20"/>
                <w:szCs w:val="20"/>
              </w:rPr>
              <w:t>car elle est obsolète.</w:t>
            </w:r>
          </w:p>
        </w:tc>
        <w:tc>
          <w:tcPr>
            <w:tcW w:w="2445" w:type="dxa"/>
          </w:tcPr>
          <w:p w14:paraId="7EF974C3" w14:textId="71D1E1A8" w:rsidR="00AA277B" w:rsidRPr="00981979" w:rsidRDefault="00B95BB4"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w:t>
            </w:r>
            <w:r w:rsidR="002E7D29" w:rsidRPr="00981979">
              <w:rPr>
                <w:rFonts w:asciiTheme="minorHAnsi" w:hAnsiTheme="minorHAnsi" w:cstheme="majorBidi"/>
                <w:b/>
                <w:sz w:val="20"/>
                <w:szCs w:val="20"/>
              </w:rPr>
              <w:t>e</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 xml:space="preserve">souplesse </w:t>
            </w:r>
            <w:r w:rsidRPr="00981979">
              <w:rPr>
                <w:rFonts w:asciiTheme="minorHAnsi" w:hAnsiTheme="minorHAnsi" w:cstheme="majorBidi"/>
                <w:b/>
                <w:sz w:val="20"/>
                <w:szCs w:val="20"/>
              </w:rPr>
              <w:t>n'est nécessaire.</w:t>
            </w:r>
          </w:p>
        </w:tc>
        <w:tc>
          <w:tcPr>
            <w:tcW w:w="2327" w:type="dxa"/>
          </w:tcPr>
          <w:p w14:paraId="43015241" w14:textId="77777777" w:rsidR="00AA277B" w:rsidRPr="00981979" w:rsidRDefault="00AA277B" w:rsidP="00C661CD">
            <w:pPr>
              <w:pStyle w:val="Tabletext"/>
              <w:rPr>
                <w:rFonts w:asciiTheme="minorHAnsi" w:hAnsiTheme="minorHAnsi" w:cstheme="majorBidi"/>
                <w:b/>
                <w:sz w:val="20"/>
                <w:szCs w:val="20"/>
              </w:rPr>
            </w:pPr>
          </w:p>
        </w:tc>
      </w:tr>
      <w:tr w:rsidR="00AA277B" w14:paraId="34485277" w14:textId="77777777" w:rsidTr="00C10FCA">
        <w:tc>
          <w:tcPr>
            <w:tcW w:w="1980" w:type="dxa"/>
          </w:tcPr>
          <w:p w14:paraId="0E340921"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7D4EF181" w14:textId="47E479FC" w:rsidR="00AA277B" w:rsidRPr="00707D64" w:rsidRDefault="00AA277B" w:rsidP="00C661CD">
            <w:pPr>
              <w:pStyle w:val="Tabletext"/>
              <w:rPr>
                <w:rFonts w:asciiTheme="minorHAnsi" w:hAnsiTheme="minorHAnsi"/>
                <w:sz w:val="20"/>
                <w:szCs w:val="20"/>
              </w:rPr>
            </w:pPr>
            <w:r w:rsidRPr="00707D64">
              <w:rPr>
                <w:rFonts w:asciiTheme="minorHAnsi" w:hAnsiTheme="minorHAnsi"/>
                <w:b/>
                <w:bCs/>
                <w:i/>
                <w:iCs/>
                <w:sz w:val="20"/>
                <w:szCs w:val="20"/>
              </w:rPr>
              <w:t>Frais de perception</w:t>
            </w:r>
          </w:p>
          <w:p w14:paraId="5893DCBF" w14:textId="0EE81B1E" w:rsidR="00AA277B" w:rsidRPr="00707D64" w:rsidRDefault="00AA277B" w:rsidP="00C661CD">
            <w:pPr>
              <w:pStyle w:val="Tabletext"/>
              <w:rPr>
                <w:rFonts w:asciiTheme="minorHAnsi" w:hAnsiTheme="minorHAnsi" w:cstheme="majorBidi"/>
                <w:b/>
                <w:sz w:val="20"/>
                <w:szCs w:val="20"/>
              </w:rPr>
            </w:pPr>
            <w:r w:rsidRPr="00707D64">
              <w:rPr>
                <w:rStyle w:val="Artdef"/>
                <w:bCs/>
                <w:sz w:val="20"/>
                <w:szCs w:val="20"/>
                <w:lang w:val="fr-CH"/>
              </w:rPr>
              <w:t>8.2.5</w:t>
            </w:r>
            <w:r w:rsidRPr="00707D64">
              <w:rPr>
                <w:rStyle w:val="Artdef"/>
                <w:sz w:val="20"/>
                <w:szCs w:val="20"/>
                <w:lang w:val="fr-CH"/>
              </w:rPr>
              <w:tab/>
            </w:r>
            <w:r w:rsidRPr="00707D64">
              <w:rPr>
                <w:rFonts w:asciiTheme="minorHAnsi" w:hAnsiTheme="minorHAnsi"/>
                <w:sz w:val="20"/>
                <w:szCs w:val="20"/>
                <w:lang w:val="fr-CH"/>
              </w:rPr>
              <w:t xml:space="preserve">Les frais perçus auprès des clients pour une communication particulière devraient, en principe, être identiques dans une relation donnée, quelle que soit la voie d'acheminement internationale utilisée pour cette communication. Dans l'établissement de ces frais, les </w:t>
            </w:r>
            <w:r w:rsidRPr="00707D64">
              <w:rPr>
                <w:rFonts w:asciiTheme="minorHAnsi" w:hAnsiTheme="minorHAnsi"/>
                <w:caps/>
                <w:sz w:val="20"/>
                <w:szCs w:val="20"/>
                <w:lang w:val="fr-CH"/>
              </w:rPr>
              <w:t>é</w:t>
            </w:r>
            <w:r w:rsidRPr="00707D64">
              <w:rPr>
                <w:rFonts w:asciiTheme="minorHAnsi" w:hAnsiTheme="minorHAnsi"/>
                <w:sz w:val="20"/>
                <w:szCs w:val="20"/>
                <w:lang w:val="fr-CH"/>
              </w:rPr>
              <w:t>tats Membres devraient s'efforcer d'éviter qu'il n'existe une dissymétrie entre les frais applicables dans les deux sens d'une même relation.</w:t>
            </w:r>
          </w:p>
        </w:tc>
        <w:tc>
          <w:tcPr>
            <w:tcW w:w="2976" w:type="dxa"/>
          </w:tcPr>
          <w:p w14:paraId="3B886108" w14:textId="6FB86D7C" w:rsidR="00AA277B" w:rsidRPr="00981979" w:rsidRDefault="00AA277B" w:rsidP="00C661CD">
            <w:pPr>
              <w:pStyle w:val="Tabletext"/>
              <w:rPr>
                <w:rFonts w:asciiTheme="minorHAnsi" w:hAnsiTheme="minorHAnsi"/>
                <w:sz w:val="20"/>
                <w:szCs w:val="20"/>
              </w:rPr>
            </w:pPr>
            <w:r w:rsidRPr="00981979">
              <w:rPr>
                <w:rFonts w:asciiTheme="minorHAnsi" w:hAnsiTheme="minorHAnsi"/>
                <w:sz w:val="20"/>
                <w:szCs w:val="20"/>
              </w:rPr>
              <w:t>6.1.1</w:t>
            </w:r>
            <w:r w:rsidRPr="00981979">
              <w:rPr>
                <w:rFonts w:asciiTheme="minorHAnsi" w:hAnsiTheme="minorHAnsi"/>
                <w:sz w:val="20"/>
                <w:szCs w:val="20"/>
              </w:rPr>
              <w:tab/>
              <w:t xml:space="preserve">Chaque administration* établit, conformément à la législation nationale applicable, les taxes à percevoir sur ses clients. La fixation du niveau de ces taxes est une affaire </w:t>
            </w:r>
            <w:proofErr w:type="gramStart"/>
            <w:r w:rsidRPr="00981979">
              <w:rPr>
                <w:rFonts w:asciiTheme="minorHAnsi" w:hAnsiTheme="minorHAnsi"/>
                <w:sz w:val="20"/>
                <w:szCs w:val="20"/>
              </w:rPr>
              <w:t>nationale;</w:t>
            </w:r>
            <w:proofErr w:type="gramEnd"/>
            <w:r w:rsidRPr="00981979">
              <w:rPr>
                <w:rFonts w:asciiTheme="minorHAnsi" w:hAnsiTheme="minorHAnsi"/>
                <w:sz w:val="20"/>
                <w:szCs w:val="20"/>
              </w:rPr>
              <w:t xml:space="preserve"> toutefois, ce faisant, les administrations* devraient s'efforcer d'éviter une trop grande dissymétrie entre les taxes de perception applicables dans les deux sens d'une même relation.</w:t>
            </w:r>
          </w:p>
          <w:p w14:paraId="4F86AF89" w14:textId="22329DE7"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6.1.2</w:t>
            </w:r>
            <w:r w:rsidRPr="00981979">
              <w:rPr>
                <w:rFonts w:asciiTheme="minorHAnsi" w:hAnsiTheme="minorHAnsi"/>
                <w:sz w:val="20"/>
                <w:szCs w:val="20"/>
              </w:rPr>
              <w:tab/>
              <w:t>La taxe à percevoir par une administration* sur les clients pour une même prestation devrait, en principe, être identique dans une relation donnée, quelle que soit la voie d'acheminement choisie par cette administration*.</w:t>
            </w:r>
          </w:p>
        </w:tc>
        <w:tc>
          <w:tcPr>
            <w:tcW w:w="2375" w:type="dxa"/>
          </w:tcPr>
          <w:p w14:paraId="7D08FA73" w14:textId="118242AE" w:rsidR="00AA277B" w:rsidRPr="00981979" w:rsidRDefault="00ED3560" w:rsidP="00C661CD">
            <w:pPr>
              <w:pStyle w:val="Tabletext"/>
              <w:rPr>
                <w:rFonts w:asciiTheme="minorHAnsi" w:hAnsiTheme="minorHAnsi" w:cstheme="majorBidi"/>
                <w:b/>
                <w:sz w:val="20"/>
                <w:szCs w:val="20"/>
              </w:rPr>
            </w:pPr>
            <w:bookmarkStart w:id="20" w:name="lt_pId137"/>
            <w:r w:rsidRPr="00981979">
              <w:rPr>
                <w:rFonts w:asciiTheme="minorHAnsi" w:hAnsiTheme="minorHAnsi" w:cstheme="majorBidi"/>
                <w:b/>
                <w:sz w:val="20"/>
                <w:szCs w:val="20"/>
              </w:rPr>
              <w:t xml:space="preserve">Cette </w:t>
            </w:r>
            <w:r w:rsidR="00206158" w:rsidRPr="00981979">
              <w:rPr>
                <w:rFonts w:asciiTheme="minorHAnsi" w:hAnsiTheme="minorHAnsi" w:cstheme="majorBidi"/>
                <w:b/>
                <w:sz w:val="20"/>
                <w:szCs w:val="20"/>
              </w:rPr>
              <w:t>disposition est applicable</w:t>
            </w:r>
            <w:r w:rsidR="00AA277B" w:rsidRPr="00981979">
              <w:rPr>
                <w:rFonts w:asciiTheme="minorHAnsi" w:hAnsiTheme="minorHAnsi" w:cstheme="majorBidi"/>
                <w:b/>
                <w:sz w:val="20"/>
                <w:szCs w:val="20"/>
              </w:rPr>
              <w:t xml:space="preserve"> – </w:t>
            </w:r>
            <w:r w:rsidR="00206158" w:rsidRPr="00981979">
              <w:rPr>
                <w:rFonts w:asciiTheme="minorHAnsi" w:hAnsiTheme="minorHAnsi" w:cstheme="majorBidi"/>
                <w:b/>
                <w:sz w:val="20"/>
                <w:szCs w:val="20"/>
              </w:rPr>
              <w:t>unique</w:t>
            </w:r>
            <w:r w:rsidR="00D6427A" w:rsidRPr="00981979">
              <w:rPr>
                <w:rFonts w:asciiTheme="minorHAnsi" w:hAnsiTheme="minorHAnsi" w:cstheme="majorBidi"/>
                <w:b/>
                <w:sz w:val="20"/>
                <w:szCs w:val="20"/>
              </w:rPr>
              <w:t>ment</w:t>
            </w:r>
            <w:r w:rsidR="00206158" w:rsidRPr="00981979">
              <w:rPr>
                <w:rFonts w:asciiTheme="minorHAnsi" w:hAnsiTheme="minorHAnsi" w:cstheme="majorBidi"/>
                <w:b/>
                <w:sz w:val="20"/>
                <w:szCs w:val="20"/>
              </w:rPr>
              <w:t xml:space="preserve"> au système des taxes de répartition. </w:t>
            </w:r>
            <w:bookmarkEnd w:id="20"/>
          </w:p>
        </w:tc>
        <w:tc>
          <w:tcPr>
            <w:tcW w:w="2445" w:type="dxa"/>
          </w:tcPr>
          <w:p w14:paraId="5C7D0C41" w14:textId="61F5E967"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444C0AD4" w14:textId="39C4617E" w:rsidR="00AA277B" w:rsidRPr="00981979" w:rsidRDefault="00206158"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 modification.</w:t>
            </w:r>
          </w:p>
        </w:tc>
      </w:tr>
      <w:tr w:rsidR="00AA277B" w14:paraId="3755BB55" w14:textId="77777777" w:rsidTr="00C10FCA">
        <w:tc>
          <w:tcPr>
            <w:tcW w:w="1980" w:type="dxa"/>
          </w:tcPr>
          <w:p w14:paraId="559064D6"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F795C22" w14:textId="72D50EE9" w:rsidR="00AA277B" w:rsidRPr="00707D64" w:rsidRDefault="00AA277B" w:rsidP="00C661CD">
            <w:pPr>
              <w:pStyle w:val="Tabletext"/>
              <w:rPr>
                <w:rFonts w:asciiTheme="minorHAnsi" w:hAnsiTheme="minorHAnsi"/>
                <w:sz w:val="20"/>
                <w:szCs w:val="20"/>
              </w:rPr>
            </w:pPr>
            <w:r w:rsidRPr="00707D64">
              <w:rPr>
                <w:rFonts w:asciiTheme="minorHAnsi" w:hAnsiTheme="minorHAnsi"/>
                <w:b/>
                <w:sz w:val="20"/>
                <w:szCs w:val="20"/>
                <w:lang w:val="fr-CH"/>
              </w:rPr>
              <w:t>8.3</w:t>
            </w:r>
            <w:r w:rsidRPr="00707D64">
              <w:rPr>
                <w:rFonts w:asciiTheme="minorHAnsi" w:hAnsiTheme="minorHAnsi"/>
                <w:b/>
                <w:sz w:val="20"/>
                <w:szCs w:val="20"/>
                <w:lang w:val="fr-CH"/>
              </w:rPr>
              <w:tab/>
            </w:r>
            <w:r w:rsidRPr="00707D64">
              <w:rPr>
                <w:rFonts w:asciiTheme="minorHAnsi" w:hAnsiTheme="minorHAnsi"/>
                <w:b/>
                <w:sz w:val="20"/>
                <w:szCs w:val="20"/>
              </w:rPr>
              <w:t>Imposition</w:t>
            </w:r>
          </w:p>
          <w:p w14:paraId="07EF1235" w14:textId="57E8A9AC"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8.3.1</w:t>
            </w:r>
            <w:r w:rsidRPr="00707D64">
              <w:rPr>
                <w:rFonts w:asciiTheme="minorHAnsi" w:hAnsiTheme="minorHAnsi"/>
                <w:sz w:val="20"/>
                <w:szCs w:val="20"/>
              </w:rPr>
              <w:tab/>
              <w:t xml:space="preserve">Quand la législation nationale d'un pays prévoit l'application d'une taxe fiscale sur les </w:t>
            </w:r>
            <w:r w:rsidRPr="00707D64">
              <w:rPr>
                <w:rFonts w:asciiTheme="minorHAnsi" w:hAnsiTheme="minorHAnsi"/>
                <w:sz w:val="20"/>
                <w:szCs w:val="20"/>
                <w:lang w:val="fr-CH"/>
              </w:rPr>
              <w:t xml:space="preserve">frais </w:t>
            </w:r>
            <w:r w:rsidRPr="00707D64">
              <w:rPr>
                <w:rFonts w:asciiTheme="minorHAnsi" w:hAnsiTheme="minorHAnsi"/>
                <w:sz w:val="20"/>
                <w:szCs w:val="20"/>
              </w:rPr>
              <w:t>de perception pour les services internationaux de télécommunication, cette taxe n'est normalement perçue que pour les services internationaux facturés aux clients dans ce pays, à moins que d'autres arrangements soient conclus pour faire face à des circonstances spéciales.</w:t>
            </w:r>
          </w:p>
        </w:tc>
        <w:tc>
          <w:tcPr>
            <w:tcW w:w="2976" w:type="dxa"/>
          </w:tcPr>
          <w:p w14:paraId="799A3EC3" w14:textId="270340BE"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6.1.3</w:t>
            </w:r>
            <w:r w:rsidRPr="00981979">
              <w:rPr>
                <w:rFonts w:asciiTheme="minorHAnsi" w:hAnsiTheme="minorHAnsi"/>
                <w:sz w:val="20"/>
                <w:szCs w:val="20"/>
              </w:rPr>
              <w:tab/>
              <w:t>Quand la législation nationale d'un pays prévoit l'application d'une taxe fiscale sur la taxe de perception pour les services internationaux de télécommunication, cette taxe fiscale n'est normalement perçue que pour les services internationaux facturés aux clients de ce pays, à moins que d'autres arrangements soient conclus pour faire face à des circonstances spéciales.</w:t>
            </w:r>
          </w:p>
        </w:tc>
        <w:tc>
          <w:tcPr>
            <w:tcW w:w="2375" w:type="dxa"/>
          </w:tcPr>
          <w:p w14:paraId="2D66B1EE" w14:textId="75F5CF7B" w:rsidR="00AA277B" w:rsidRPr="00981979" w:rsidRDefault="00ED3560" w:rsidP="00C661CD">
            <w:pPr>
              <w:pStyle w:val="Tabletext"/>
              <w:rPr>
                <w:rFonts w:asciiTheme="minorHAnsi" w:hAnsiTheme="minorHAnsi" w:cstheme="majorBidi"/>
                <w:b/>
                <w:sz w:val="20"/>
                <w:szCs w:val="20"/>
              </w:rPr>
            </w:pPr>
            <w:bookmarkStart w:id="21" w:name="lt_pId146"/>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est applicable</w:t>
            </w:r>
            <w:bookmarkEnd w:id="21"/>
            <w:r w:rsidR="00D8542B" w:rsidRPr="00981979">
              <w:rPr>
                <w:rFonts w:asciiTheme="minorHAnsi" w:hAnsiTheme="minorHAnsi" w:cstheme="majorBidi"/>
                <w:b/>
                <w:sz w:val="20"/>
                <w:szCs w:val="20"/>
              </w:rPr>
              <w:t xml:space="preserve"> et important pour éviter la double taxation.</w:t>
            </w:r>
          </w:p>
        </w:tc>
        <w:tc>
          <w:tcPr>
            <w:tcW w:w="2445" w:type="dxa"/>
          </w:tcPr>
          <w:p w14:paraId="57C4D14D" w14:textId="000DF07E"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349E48A5" w14:textId="5F9A5C9F"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 modification.</w:t>
            </w:r>
          </w:p>
        </w:tc>
      </w:tr>
      <w:tr w:rsidR="00AA277B" w:rsidRPr="00D8542B" w14:paraId="64FEF187" w14:textId="77777777" w:rsidTr="00C10FCA">
        <w:tc>
          <w:tcPr>
            <w:tcW w:w="1980" w:type="dxa"/>
          </w:tcPr>
          <w:p w14:paraId="4163A442"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26A1417C" w14:textId="0F0B357C" w:rsidR="00AA277B" w:rsidRPr="00707D64" w:rsidRDefault="00AA277B" w:rsidP="00C661CD">
            <w:pPr>
              <w:pStyle w:val="Tabletext"/>
              <w:rPr>
                <w:rFonts w:asciiTheme="minorHAnsi" w:hAnsiTheme="minorHAnsi" w:cstheme="majorBidi"/>
                <w:sz w:val="20"/>
                <w:szCs w:val="20"/>
              </w:rPr>
            </w:pPr>
            <w:r w:rsidRPr="00707D64">
              <w:rPr>
                <w:rStyle w:val="Heading2Char"/>
                <w:rFonts w:asciiTheme="minorHAnsi" w:hAnsiTheme="minorHAnsi"/>
                <w:sz w:val="20"/>
                <w:szCs w:val="20"/>
              </w:rPr>
              <w:t>8.4</w:t>
            </w:r>
            <w:r w:rsidRPr="00707D64">
              <w:rPr>
                <w:rStyle w:val="Heading2Char"/>
                <w:rFonts w:asciiTheme="minorHAnsi" w:hAnsiTheme="minorHAnsi"/>
                <w:sz w:val="20"/>
                <w:szCs w:val="20"/>
              </w:rPr>
              <w:tab/>
              <w:t>Télécommunications de service</w:t>
            </w:r>
          </w:p>
          <w:p w14:paraId="7BDDEACE" w14:textId="5E0A17E6"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8.4.1</w:t>
            </w:r>
            <w:r w:rsidRPr="00707D64">
              <w:rPr>
                <w:rFonts w:asciiTheme="minorHAnsi" w:hAnsiTheme="minorHAnsi"/>
                <w:sz w:val="20"/>
                <w:szCs w:val="20"/>
              </w:rPr>
              <w:tab/>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tc>
        <w:tc>
          <w:tcPr>
            <w:tcW w:w="2976" w:type="dxa"/>
          </w:tcPr>
          <w:p w14:paraId="0B85D07C" w14:textId="0151E6BB" w:rsidR="00AA277B" w:rsidRPr="00981979" w:rsidRDefault="00AA277B" w:rsidP="00C661CD">
            <w:pPr>
              <w:pStyle w:val="Tabletext"/>
              <w:rPr>
                <w:rFonts w:asciiTheme="minorHAnsi" w:hAnsiTheme="minorHAnsi"/>
                <w:b/>
                <w:sz w:val="20"/>
                <w:szCs w:val="20"/>
              </w:rPr>
            </w:pPr>
            <w:bookmarkStart w:id="22" w:name="lt_pId154"/>
            <w:r w:rsidRPr="00981979">
              <w:rPr>
                <w:rFonts w:asciiTheme="minorHAnsi" w:hAnsiTheme="minorHAnsi"/>
                <w:b/>
                <w:sz w:val="20"/>
                <w:szCs w:val="20"/>
              </w:rPr>
              <w:t>Appendice 3</w:t>
            </w:r>
            <w:bookmarkEnd w:id="22"/>
          </w:p>
          <w:p w14:paraId="1339E2B8" w14:textId="027BCBD0" w:rsidR="00AA277B" w:rsidRPr="00981979" w:rsidRDefault="00AA277B" w:rsidP="00C661CD">
            <w:pPr>
              <w:pStyle w:val="Tabletext"/>
              <w:rPr>
                <w:rFonts w:asciiTheme="minorHAnsi" w:hAnsiTheme="minorHAnsi"/>
                <w:sz w:val="20"/>
                <w:szCs w:val="20"/>
              </w:rPr>
            </w:pPr>
            <w:r w:rsidRPr="00981979">
              <w:rPr>
                <w:rFonts w:asciiTheme="minorHAnsi" w:hAnsiTheme="minorHAnsi"/>
                <w:sz w:val="20"/>
                <w:szCs w:val="20"/>
              </w:rPr>
              <w:t>1.1</w:t>
            </w:r>
            <w:r w:rsidRPr="00981979">
              <w:rPr>
                <w:rFonts w:asciiTheme="minorHAnsi" w:hAnsiTheme="minorHAnsi"/>
                <w:sz w:val="20"/>
                <w:szCs w:val="20"/>
              </w:rPr>
              <w:tab/>
              <w:t xml:space="preserve">Les administrations* peuvent fournir des télécommunications de service en exemption de taxe. </w:t>
            </w:r>
          </w:p>
          <w:p w14:paraId="1E8407C5" w14:textId="13BE4AE0"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1.2</w:t>
            </w:r>
            <w:r w:rsidRPr="00981979">
              <w:rPr>
                <w:rFonts w:asciiTheme="minorHAnsi" w:hAnsiTheme="minorHAnsi"/>
                <w:sz w:val="20"/>
                <w:szCs w:val="20"/>
              </w:rPr>
              <w:tab/>
              <w:t xml:space="preserve">Les administrations* peuvent en principe renoncer à inclure les télécommunications de service dans la comptabilité internationale, conformément aux dispositions pertinentes de la Convention internationale des télécommunications et du présent Règlement, et en tenant dûment compte de la nécessité de conclure des arrangements réciproques. </w:t>
            </w:r>
          </w:p>
        </w:tc>
        <w:tc>
          <w:tcPr>
            <w:tcW w:w="2375" w:type="dxa"/>
          </w:tcPr>
          <w:p w14:paraId="4A2AC1B8" w14:textId="1647D1D7"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65568FAD" w14:textId="504AA36F"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 xml:space="preserve">souplesse </w:t>
            </w:r>
            <w:r w:rsidR="00D8542B" w:rsidRPr="00981979">
              <w:rPr>
                <w:rFonts w:asciiTheme="minorHAnsi" w:hAnsiTheme="minorHAnsi" w:cstheme="majorBidi"/>
                <w:b/>
                <w:sz w:val="20"/>
                <w:szCs w:val="20"/>
              </w:rPr>
              <w:t>n'est requis</w:t>
            </w:r>
            <w:r w:rsidRPr="00981979">
              <w:rPr>
                <w:rFonts w:asciiTheme="minorHAnsi" w:hAnsiTheme="minorHAnsi" w:cstheme="majorBidi"/>
                <w:b/>
                <w:sz w:val="20"/>
                <w:szCs w:val="20"/>
              </w:rPr>
              <w:t>e</w:t>
            </w:r>
            <w:r w:rsidR="00D8542B" w:rsidRPr="00981979">
              <w:rPr>
                <w:rFonts w:asciiTheme="minorHAnsi" w:hAnsiTheme="minorHAnsi" w:cstheme="majorBidi"/>
                <w:b/>
                <w:sz w:val="20"/>
                <w:szCs w:val="20"/>
              </w:rPr>
              <w:t>.</w:t>
            </w:r>
          </w:p>
        </w:tc>
        <w:tc>
          <w:tcPr>
            <w:tcW w:w="2327" w:type="dxa"/>
          </w:tcPr>
          <w:p w14:paraId="44D2C5E6" w14:textId="15C65395"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Il </w:t>
            </w:r>
            <w:r w:rsidR="002E7D29" w:rsidRPr="00981979">
              <w:rPr>
                <w:rFonts w:asciiTheme="minorHAnsi" w:hAnsiTheme="minorHAnsi" w:cstheme="majorBidi"/>
                <w:b/>
                <w:sz w:val="20"/>
                <w:szCs w:val="20"/>
              </w:rPr>
              <w:t>pourrait être</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nécessaire de définir les télécommunications de service.</w:t>
            </w:r>
          </w:p>
        </w:tc>
      </w:tr>
      <w:tr w:rsidR="00AA277B" w14:paraId="47904081" w14:textId="77777777" w:rsidTr="00C10FCA">
        <w:tc>
          <w:tcPr>
            <w:tcW w:w="1980" w:type="dxa"/>
          </w:tcPr>
          <w:p w14:paraId="2384B43E" w14:textId="77777777" w:rsidR="00AA277B" w:rsidRPr="00D8542B" w:rsidRDefault="00AA277B" w:rsidP="00C661CD">
            <w:pPr>
              <w:snapToGrid w:val="0"/>
              <w:spacing w:before="60" w:after="60"/>
              <w:jc w:val="center"/>
              <w:rPr>
                <w:rFonts w:asciiTheme="minorHAnsi" w:hAnsiTheme="minorHAnsi" w:cstheme="majorBidi"/>
                <w:b/>
                <w:sz w:val="20"/>
                <w:szCs w:val="20"/>
              </w:rPr>
            </w:pPr>
          </w:p>
        </w:tc>
        <w:tc>
          <w:tcPr>
            <w:tcW w:w="2977" w:type="dxa"/>
          </w:tcPr>
          <w:p w14:paraId="35036D17" w14:textId="2548B9F9"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8.4.2</w:t>
            </w:r>
            <w:r w:rsidRPr="00707D64">
              <w:rPr>
                <w:rFonts w:asciiTheme="minorHAnsi" w:hAnsiTheme="minorHAnsi"/>
                <w:sz w:val="20"/>
                <w:szCs w:val="20"/>
              </w:rPr>
              <w:tab/>
              <w:t>Les principes généraux d'exploitation, de tarification et de comptabilité applicables aux télécommunications de service devraient tenir compte des Recommandations UIT</w:t>
            </w:r>
            <w:r w:rsidRPr="00707D64">
              <w:rPr>
                <w:rFonts w:asciiTheme="minorHAnsi" w:hAnsiTheme="minorHAnsi"/>
                <w:sz w:val="20"/>
                <w:szCs w:val="20"/>
              </w:rPr>
              <w:noBreakHyphen/>
              <w:t>T pertinentes.</w:t>
            </w:r>
          </w:p>
        </w:tc>
        <w:tc>
          <w:tcPr>
            <w:tcW w:w="2976" w:type="dxa"/>
          </w:tcPr>
          <w:p w14:paraId="5F7CD888" w14:textId="068A13F4" w:rsidR="00AA277B" w:rsidRPr="00981979" w:rsidRDefault="00AA277B" w:rsidP="00C661CD">
            <w:pPr>
              <w:pStyle w:val="Tabletext"/>
              <w:rPr>
                <w:rFonts w:asciiTheme="minorHAnsi" w:hAnsiTheme="minorHAnsi" w:cstheme="majorBidi"/>
                <w:b/>
                <w:sz w:val="20"/>
                <w:szCs w:val="20"/>
              </w:rPr>
            </w:pPr>
            <w:bookmarkStart w:id="23" w:name="lt_pId166"/>
            <w:r w:rsidRPr="00981979">
              <w:rPr>
                <w:rFonts w:asciiTheme="minorHAnsi" w:hAnsiTheme="minorHAnsi" w:cstheme="majorBidi"/>
                <w:b/>
                <w:sz w:val="20"/>
                <w:szCs w:val="20"/>
              </w:rPr>
              <w:t>Appendice 3</w:t>
            </w:r>
            <w:bookmarkEnd w:id="23"/>
          </w:p>
          <w:p w14:paraId="63757BFC" w14:textId="0A8A1ADA" w:rsidR="00AA277B" w:rsidRPr="00981979" w:rsidRDefault="00AA277B" w:rsidP="00C661CD">
            <w:pPr>
              <w:pStyle w:val="Tabletext"/>
              <w:keepNext/>
              <w:keepLines/>
              <w:spacing w:before="80" w:after="80"/>
              <w:rPr>
                <w:rFonts w:asciiTheme="minorHAnsi" w:hAnsiTheme="minorHAnsi" w:cs="Calibri"/>
                <w:b/>
                <w:sz w:val="20"/>
                <w:szCs w:val="20"/>
              </w:rPr>
            </w:pPr>
            <w:r w:rsidRPr="00981979">
              <w:rPr>
                <w:rFonts w:asciiTheme="minorHAnsi" w:hAnsiTheme="minorHAnsi" w:cstheme="majorBidi"/>
                <w:b/>
                <w:sz w:val="20"/>
                <w:szCs w:val="20"/>
              </w:rPr>
              <w:t>3</w:t>
            </w:r>
            <w:r w:rsidRPr="00981979">
              <w:rPr>
                <w:rFonts w:asciiTheme="minorHAnsi" w:hAnsiTheme="minorHAnsi" w:cstheme="majorBidi"/>
                <w:b/>
                <w:sz w:val="20"/>
                <w:szCs w:val="20"/>
              </w:rPr>
              <w:tab/>
            </w:r>
            <w:r w:rsidRPr="00981979">
              <w:rPr>
                <w:rFonts w:asciiTheme="minorHAnsi" w:hAnsiTheme="minorHAnsi" w:cs="Calibri"/>
                <w:b/>
                <w:sz w:val="20"/>
                <w:szCs w:val="20"/>
              </w:rPr>
              <w:t>Dispositions applicables</w:t>
            </w:r>
          </w:p>
          <w:p w14:paraId="5981D34F" w14:textId="2D226BA2"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Calibri"/>
                <w:sz w:val="20"/>
                <w:szCs w:val="20"/>
              </w:rPr>
              <w:t xml:space="preserve">Les principes généraux d'exploitation, de tarification et de comptabilité applicables aux télécommunications de service et aux télécommunications privilégiées, devraient tenir compte des Recommandations pertinentes du CCITT. </w:t>
            </w:r>
          </w:p>
        </w:tc>
        <w:tc>
          <w:tcPr>
            <w:tcW w:w="2375" w:type="dxa"/>
          </w:tcPr>
          <w:p w14:paraId="64945D28" w14:textId="1AA73F8B"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2AC6B11B" w14:textId="1AD1A2E3"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Aucune</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 xml:space="preserve">souplesse </w:t>
            </w:r>
            <w:r w:rsidR="00D8542B" w:rsidRPr="00981979">
              <w:rPr>
                <w:rFonts w:asciiTheme="minorHAnsi" w:hAnsiTheme="minorHAnsi" w:cstheme="majorBidi"/>
                <w:b/>
                <w:sz w:val="20"/>
                <w:szCs w:val="20"/>
              </w:rPr>
              <w:t>n'est requis</w:t>
            </w:r>
            <w:r w:rsidRPr="00981979">
              <w:rPr>
                <w:rFonts w:asciiTheme="minorHAnsi" w:hAnsiTheme="minorHAnsi" w:cstheme="majorBidi"/>
                <w:b/>
                <w:sz w:val="20"/>
                <w:szCs w:val="20"/>
              </w:rPr>
              <w:t>e</w:t>
            </w:r>
            <w:r w:rsidR="00D8542B" w:rsidRPr="00981979">
              <w:rPr>
                <w:rFonts w:asciiTheme="minorHAnsi" w:hAnsiTheme="minorHAnsi" w:cstheme="majorBidi"/>
                <w:b/>
                <w:sz w:val="20"/>
                <w:szCs w:val="20"/>
              </w:rPr>
              <w:t>.</w:t>
            </w:r>
          </w:p>
        </w:tc>
        <w:tc>
          <w:tcPr>
            <w:tcW w:w="2327" w:type="dxa"/>
          </w:tcPr>
          <w:p w14:paraId="23853007" w14:textId="77777777" w:rsidR="00AA277B" w:rsidRPr="00981979" w:rsidRDefault="00AA277B" w:rsidP="00C661CD">
            <w:pPr>
              <w:pStyle w:val="Tabletext"/>
              <w:rPr>
                <w:rFonts w:asciiTheme="minorHAnsi" w:hAnsiTheme="minorHAnsi" w:cstheme="majorBidi"/>
                <w:b/>
                <w:sz w:val="20"/>
                <w:szCs w:val="20"/>
              </w:rPr>
            </w:pPr>
          </w:p>
        </w:tc>
      </w:tr>
      <w:tr w:rsidR="00AA277B" w:rsidRPr="005D3EBC" w14:paraId="088E43E7" w14:textId="77777777" w:rsidTr="00C10FCA">
        <w:tc>
          <w:tcPr>
            <w:tcW w:w="1980" w:type="dxa"/>
          </w:tcPr>
          <w:p w14:paraId="0407650A"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2ABBF1BF" w14:textId="7487DA56" w:rsidR="00AA277B" w:rsidRPr="00707D64" w:rsidRDefault="00AA277B" w:rsidP="00C661CD">
            <w:pPr>
              <w:pStyle w:val="Tabletext"/>
              <w:rPr>
                <w:rFonts w:asciiTheme="minorHAnsi" w:hAnsiTheme="minorHAnsi" w:cstheme="majorBidi"/>
                <w:b/>
                <w:sz w:val="20"/>
                <w:szCs w:val="20"/>
              </w:rPr>
            </w:pPr>
            <w:bookmarkStart w:id="24" w:name="lt_pId172"/>
            <w:r w:rsidRPr="00707D64">
              <w:rPr>
                <w:rFonts w:asciiTheme="minorHAnsi" w:hAnsiTheme="minorHAnsi" w:cstheme="majorBidi"/>
                <w:b/>
                <w:sz w:val="20"/>
                <w:szCs w:val="20"/>
              </w:rPr>
              <w:t xml:space="preserve">Appendice 1 – </w:t>
            </w:r>
            <w:bookmarkStart w:id="25" w:name="_Toc351716112"/>
            <w:r w:rsidRPr="00707D64">
              <w:rPr>
                <w:rFonts w:asciiTheme="minorHAnsi" w:hAnsiTheme="minorHAnsi"/>
                <w:b/>
                <w:sz w:val="20"/>
                <w:szCs w:val="20"/>
              </w:rPr>
              <w:t>Dispositions générales concernant la comptabilité</w:t>
            </w:r>
            <w:bookmarkEnd w:id="24"/>
            <w:bookmarkEnd w:id="25"/>
          </w:p>
        </w:tc>
        <w:tc>
          <w:tcPr>
            <w:tcW w:w="2976" w:type="dxa"/>
          </w:tcPr>
          <w:p w14:paraId="0736004F" w14:textId="77777777" w:rsidR="00AA277B" w:rsidRPr="00981979" w:rsidRDefault="00AA277B" w:rsidP="00C661CD">
            <w:pPr>
              <w:pStyle w:val="Tabletext"/>
              <w:rPr>
                <w:rFonts w:asciiTheme="minorHAnsi" w:hAnsiTheme="minorHAnsi" w:cstheme="majorBidi"/>
                <w:b/>
                <w:sz w:val="20"/>
                <w:szCs w:val="20"/>
              </w:rPr>
            </w:pPr>
          </w:p>
        </w:tc>
        <w:tc>
          <w:tcPr>
            <w:tcW w:w="2375" w:type="dxa"/>
          </w:tcPr>
          <w:p w14:paraId="3DB69AF6" w14:textId="77777777" w:rsidR="00AA277B" w:rsidRPr="00981979" w:rsidRDefault="00AA277B" w:rsidP="00C661CD">
            <w:pPr>
              <w:pStyle w:val="Tabletext"/>
              <w:rPr>
                <w:rFonts w:asciiTheme="minorHAnsi" w:hAnsiTheme="minorHAnsi" w:cstheme="majorBidi"/>
                <w:b/>
                <w:sz w:val="20"/>
                <w:szCs w:val="20"/>
              </w:rPr>
            </w:pPr>
          </w:p>
        </w:tc>
        <w:tc>
          <w:tcPr>
            <w:tcW w:w="2445" w:type="dxa"/>
          </w:tcPr>
          <w:p w14:paraId="2163950D" w14:textId="77777777" w:rsidR="00AA277B" w:rsidRPr="00981979" w:rsidRDefault="00AA277B" w:rsidP="00C661CD">
            <w:pPr>
              <w:pStyle w:val="Tabletext"/>
              <w:rPr>
                <w:rFonts w:asciiTheme="minorHAnsi" w:hAnsiTheme="minorHAnsi" w:cstheme="majorBidi"/>
                <w:b/>
                <w:sz w:val="20"/>
                <w:szCs w:val="20"/>
              </w:rPr>
            </w:pPr>
          </w:p>
        </w:tc>
        <w:tc>
          <w:tcPr>
            <w:tcW w:w="2327" w:type="dxa"/>
          </w:tcPr>
          <w:p w14:paraId="0459EAB8" w14:textId="77777777" w:rsidR="00AA277B" w:rsidRPr="00981979" w:rsidRDefault="00AA277B" w:rsidP="00C661CD">
            <w:pPr>
              <w:pStyle w:val="Tabletext"/>
              <w:rPr>
                <w:rFonts w:asciiTheme="minorHAnsi" w:hAnsiTheme="minorHAnsi" w:cstheme="majorBidi"/>
                <w:b/>
                <w:sz w:val="20"/>
                <w:szCs w:val="20"/>
              </w:rPr>
            </w:pPr>
          </w:p>
        </w:tc>
      </w:tr>
      <w:tr w:rsidR="00AA277B" w14:paraId="2DE634AB" w14:textId="77777777" w:rsidTr="00C10FCA">
        <w:tc>
          <w:tcPr>
            <w:tcW w:w="1980" w:type="dxa"/>
          </w:tcPr>
          <w:p w14:paraId="54CFAB17"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5A74393D" w14:textId="7F56BFEC"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1.1</w:t>
            </w:r>
            <w:r w:rsidRPr="00707D64">
              <w:rPr>
                <w:rFonts w:asciiTheme="minorHAnsi" w:hAnsiTheme="minorHAnsi"/>
                <w:sz w:val="20"/>
                <w:szCs w:val="20"/>
                <w:lang w:val="fr-CH"/>
              </w:rPr>
              <w:tab/>
              <w:t xml:space="preserve">Pour chaque service admis dans une relation donnée, les </w:t>
            </w:r>
            <w:r w:rsidRPr="00707D64">
              <w:rPr>
                <w:rFonts w:asciiTheme="minorHAnsi" w:hAnsiTheme="minorHAnsi"/>
                <w:caps/>
                <w:sz w:val="20"/>
                <w:szCs w:val="20"/>
                <w:lang w:val="fr-CH"/>
              </w:rPr>
              <w:t>é</w:t>
            </w:r>
            <w:r w:rsidRPr="00707D64">
              <w:rPr>
                <w:rFonts w:asciiTheme="minorHAnsi" w:hAnsiTheme="minorHAnsi"/>
                <w:sz w:val="20"/>
                <w:szCs w:val="20"/>
                <w:lang w:val="fr-CH"/>
              </w:rPr>
              <w:t>tats Membres s'efforcent de veiller à ce que les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 xml:space="preserve"> fixent et révisent par </w:t>
            </w:r>
            <w:r w:rsidRPr="00707D64">
              <w:rPr>
                <w:rFonts w:asciiTheme="minorHAnsi" w:hAnsiTheme="minorHAnsi"/>
                <w:sz w:val="20"/>
                <w:szCs w:val="20"/>
                <w:lang w:val="fr-CH"/>
              </w:rPr>
              <w:lastRenderedPageBreak/>
              <w:t>accord mutuel les taxes de répartition applicables entre elles, en tenant compte des Recommandations UIT-T et en fonction de l'évolution des coûts encourus pour assurer le service de télécommunication considéré, et à ce qu'elles les répartissent en quotes</w:t>
            </w:r>
            <w:r w:rsidRPr="00707D64">
              <w:rPr>
                <w:rFonts w:asciiTheme="minorHAnsi" w:hAnsiTheme="minorHAnsi"/>
                <w:sz w:val="20"/>
                <w:szCs w:val="20"/>
                <w:lang w:val="fr-CH"/>
              </w:rPr>
              <w:noBreakHyphen/>
              <w:t>parts terminales revenant aux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 xml:space="preserve"> des pays terminaux et, s'il y a lieu, en quotes</w:t>
            </w:r>
            <w:r w:rsidRPr="00707D64">
              <w:rPr>
                <w:rFonts w:asciiTheme="minorHAnsi" w:hAnsiTheme="minorHAnsi"/>
                <w:sz w:val="20"/>
                <w:szCs w:val="20"/>
                <w:lang w:val="fr-CH"/>
              </w:rPr>
              <w:noBreakHyphen/>
              <w:t>parts de transit revenant aux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 xml:space="preserve"> des pays de transit.</w:t>
            </w:r>
          </w:p>
        </w:tc>
        <w:tc>
          <w:tcPr>
            <w:tcW w:w="2976" w:type="dxa"/>
          </w:tcPr>
          <w:p w14:paraId="105BB571" w14:textId="1069A0F2"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lastRenderedPageBreak/>
              <w:t>1.1</w:t>
            </w:r>
            <w:r w:rsidRPr="00981979">
              <w:rPr>
                <w:rFonts w:asciiTheme="minorHAnsi" w:hAnsiTheme="minorHAnsi"/>
                <w:sz w:val="20"/>
                <w:szCs w:val="20"/>
              </w:rPr>
              <w:tab/>
              <w:t xml:space="preserve">Pour chaque service admis dans une relation donnée, les administrations* fixent et révisent par accord mutuel les taxes de répartition applicables </w:t>
            </w:r>
            <w:r w:rsidRPr="00981979">
              <w:rPr>
                <w:rFonts w:asciiTheme="minorHAnsi" w:hAnsiTheme="minorHAnsi"/>
                <w:sz w:val="20"/>
                <w:szCs w:val="20"/>
              </w:rPr>
              <w:lastRenderedPageBreak/>
              <w:t>entre elles, conformément aux Recommandations du CCITT et en fonction de l'évolution des coûts encourus pour assurer le service de télécommunication considéré, et les répartissent en quotes</w:t>
            </w:r>
            <w:r w:rsidRPr="00981979">
              <w:rPr>
                <w:rFonts w:asciiTheme="minorHAnsi" w:hAnsiTheme="minorHAnsi"/>
                <w:sz w:val="20"/>
                <w:szCs w:val="20"/>
              </w:rPr>
              <w:noBreakHyphen/>
              <w:t>parts terminales revenant aux administrations* des pays terminaux et, s'il y a lieu, en quotes</w:t>
            </w:r>
            <w:r w:rsidRPr="00981979">
              <w:rPr>
                <w:rFonts w:asciiTheme="minorHAnsi" w:hAnsiTheme="minorHAnsi"/>
                <w:sz w:val="20"/>
                <w:szCs w:val="20"/>
              </w:rPr>
              <w:noBreakHyphen/>
              <w:t>parts de transit revenant aux administrations* des pays de transit.</w:t>
            </w:r>
          </w:p>
        </w:tc>
        <w:tc>
          <w:tcPr>
            <w:tcW w:w="2375" w:type="dxa"/>
          </w:tcPr>
          <w:p w14:paraId="294C6F24" w14:textId="0E8E69ED" w:rsidR="00AA277B" w:rsidRPr="00981979" w:rsidRDefault="00D8542B" w:rsidP="00C661CD">
            <w:pPr>
              <w:pStyle w:val="Tabletext"/>
              <w:rPr>
                <w:rFonts w:asciiTheme="minorHAnsi" w:hAnsiTheme="minorHAnsi" w:cstheme="majorBidi"/>
                <w:b/>
                <w:sz w:val="20"/>
                <w:szCs w:val="20"/>
              </w:rPr>
            </w:pPr>
            <w:bookmarkStart w:id="26" w:name="lt_pId180"/>
            <w:r w:rsidRPr="00981979">
              <w:rPr>
                <w:rFonts w:asciiTheme="minorHAnsi" w:hAnsiTheme="minorHAnsi" w:cstheme="majorBidi"/>
                <w:b/>
                <w:sz w:val="20"/>
                <w:szCs w:val="20"/>
              </w:rPr>
              <w:lastRenderedPageBreak/>
              <w:t xml:space="preserve">Bien que l'utilisation du système des taxes de répartition soit limitée, ce système </w:t>
            </w:r>
            <w:r w:rsidR="002E7D29" w:rsidRPr="00981979">
              <w:rPr>
                <w:rFonts w:asciiTheme="minorHAnsi" w:hAnsiTheme="minorHAnsi" w:cstheme="majorBidi"/>
                <w:b/>
                <w:sz w:val="20"/>
                <w:szCs w:val="20"/>
              </w:rPr>
              <w:t>reste</w:t>
            </w:r>
            <w:r w:rsidRPr="00981979">
              <w:rPr>
                <w:rFonts w:asciiTheme="minorHAnsi" w:hAnsiTheme="minorHAnsi" w:cstheme="majorBidi"/>
                <w:b/>
                <w:sz w:val="20"/>
                <w:szCs w:val="20"/>
              </w:rPr>
              <w:t xml:space="preserve"> appl</w:t>
            </w:r>
            <w:r w:rsidR="00081C0B" w:rsidRPr="00981979">
              <w:rPr>
                <w:rFonts w:asciiTheme="minorHAnsi" w:hAnsiTheme="minorHAnsi" w:cstheme="majorBidi"/>
                <w:b/>
                <w:sz w:val="20"/>
                <w:szCs w:val="20"/>
              </w:rPr>
              <w:t>i</w:t>
            </w:r>
            <w:r w:rsidR="006F64D1" w:rsidRPr="00981979">
              <w:rPr>
                <w:rFonts w:asciiTheme="minorHAnsi" w:hAnsiTheme="minorHAnsi" w:cstheme="majorBidi"/>
                <w:b/>
                <w:sz w:val="20"/>
                <w:szCs w:val="20"/>
              </w:rPr>
              <w:t>cable</w:t>
            </w:r>
            <w:r w:rsidRPr="00981979">
              <w:rPr>
                <w:rFonts w:asciiTheme="minorHAnsi" w:hAnsiTheme="minorHAnsi" w:cstheme="majorBidi"/>
                <w:b/>
                <w:sz w:val="20"/>
                <w:szCs w:val="20"/>
              </w:rPr>
              <w:t xml:space="preserve"> dans certains pays. </w:t>
            </w:r>
            <w:bookmarkEnd w:id="26"/>
          </w:p>
        </w:tc>
        <w:tc>
          <w:tcPr>
            <w:tcW w:w="2445" w:type="dxa"/>
          </w:tcPr>
          <w:p w14:paraId="74508FAB" w14:textId="47B6DFC2"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 au système des taxes de répartition.</w:t>
            </w:r>
          </w:p>
        </w:tc>
        <w:tc>
          <w:tcPr>
            <w:tcW w:w="2327" w:type="dxa"/>
          </w:tcPr>
          <w:p w14:paraId="51A479EC" w14:textId="712A48F9"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Bien que l'utilisation du système des taxes de répartition soit limitée </w:t>
            </w:r>
            <w:r w:rsidR="00B71B74" w:rsidRPr="00981979">
              <w:rPr>
                <w:rFonts w:asciiTheme="minorHAnsi" w:hAnsiTheme="minorHAnsi" w:cstheme="majorBidi"/>
                <w:b/>
                <w:sz w:val="20"/>
                <w:szCs w:val="20"/>
              </w:rPr>
              <w:t>parmi</w:t>
            </w:r>
            <w:r w:rsidRPr="00981979">
              <w:rPr>
                <w:rFonts w:asciiTheme="minorHAnsi" w:hAnsiTheme="minorHAnsi" w:cstheme="majorBidi"/>
                <w:b/>
                <w:sz w:val="20"/>
                <w:szCs w:val="20"/>
              </w:rPr>
              <w:t xml:space="preserve"> les États Membres, ce sy</w:t>
            </w:r>
            <w:r w:rsidR="001D617E">
              <w:rPr>
                <w:rFonts w:asciiTheme="minorHAnsi" w:hAnsiTheme="minorHAnsi" w:cstheme="majorBidi"/>
                <w:b/>
                <w:sz w:val="20"/>
                <w:szCs w:val="20"/>
              </w:rPr>
              <w:t>s</w:t>
            </w:r>
            <w:r w:rsidRPr="00981979">
              <w:rPr>
                <w:rFonts w:asciiTheme="minorHAnsi" w:hAnsiTheme="minorHAnsi" w:cstheme="majorBidi"/>
                <w:b/>
                <w:sz w:val="20"/>
                <w:szCs w:val="20"/>
              </w:rPr>
              <w:t xml:space="preserve">tème est </w:t>
            </w:r>
            <w:r w:rsidRPr="00981979">
              <w:rPr>
                <w:rFonts w:asciiTheme="minorHAnsi" w:hAnsiTheme="minorHAnsi" w:cstheme="majorBidi"/>
                <w:b/>
                <w:sz w:val="20"/>
                <w:szCs w:val="20"/>
              </w:rPr>
              <w:lastRenderedPageBreak/>
              <w:t>encore utilisé dans certains pays. Par conséquent, il est important de</w:t>
            </w:r>
            <w:r w:rsidR="002E7D29" w:rsidRPr="00981979">
              <w:rPr>
                <w:rFonts w:asciiTheme="minorHAnsi" w:hAnsiTheme="minorHAnsi" w:cstheme="majorBidi"/>
                <w:b/>
                <w:sz w:val="20"/>
                <w:szCs w:val="20"/>
              </w:rPr>
              <w:t xml:space="preserve"> continuer de faire mention du</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système des taxes de répartition dans le RTI</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 xml:space="preserve">étant donné </w:t>
            </w:r>
            <w:r w:rsidR="00246787" w:rsidRPr="00981979">
              <w:rPr>
                <w:rFonts w:asciiTheme="minorHAnsi" w:hAnsiTheme="minorHAnsi" w:cstheme="majorBidi"/>
                <w:b/>
                <w:sz w:val="20"/>
                <w:szCs w:val="20"/>
              </w:rPr>
              <w:t xml:space="preserve">qu'il </w:t>
            </w:r>
            <w:r w:rsidRPr="00981979">
              <w:rPr>
                <w:rFonts w:asciiTheme="minorHAnsi" w:hAnsiTheme="minorHAnsi" w:cstheme="majorBidi"/>
                <w:b/>
                <w:sz w:val="20"/>
                <w:szCs w:val="20"/>
              </w:rPr>
              <w:t xml:space="preserve">s'agit du seul document </w:t>
            </w:r>
            <w:r w:rsidR="00853C48" w:rsidRPr="00981979">
              <w:rPr>
                <w:rFonts w:asciiTheme="minorHAnsi" w:hAnsiTheme="minorHAnsi" w:cstheme="majorBidi"/>
                <w:b/>
                <w:sz w:val="20"/>
                <w:szCs w:val="20"/>
              </w:rPr>
              <w:t xml:space="preserve">juridique qui définit </w:t>
            </w:r>
            <w:r w:rsidRPr="00981979">
              <w:rPr>
                <w:rFonts w:asciiTheme="minorHAnsi" w:hAnsiTheme="minorHAnsi" w:cstheme="majorBidi"/>
                <w:b/>
                <w:sz w:val="20"/>
                <w:szCs w:val="20"/>
              </w:rPr>
              <w:t>clairement le règlement des comptes</w:t>
            </w:r>
            <w:r w:rsidR="002E7D29" w:rsidRPr="00981979">
              <w:rPr>
                <w:rFonts w:asciiTheme="minorHAnsi" w:hAnsiTheme="minorHAnsi" w:cstheme="majorBidi"/>
                <w:b/>
                <w:sz w:val="20"/>
                <w:szCs w:val="20"/>
              </w:rPr>
              <w:t xml:space="preserve"> au moyen de</w:t>
            </w:r>
            <w:r w:rsidRPr="00981979">
              <w:rPr>
                <w:rFonts w:asciiTheme="minorHAnsi" w:hAnsiTheme="minorHAnsi" w:cstheme="majorBidi"/>
                <w:b/>
                <w:sz w:val="20"/>
                <w:szCs w:val="20"/>
              </w:rPr>
              <w:t xml:space="preserve"> ce système. Néanmoins, nous suggérons de solliciter l'avis du conseiller juridique.</w:t>
            </w:r>
          </w:p>
        </w:tc>
      </w:tr>
      <w:tr w:rsidR="00AA277B" w:rsidRPr="00D8542B" w14:paraId="7AA797F2" w14:textId="77777777" w:rsidTr="00C10FCA">
        <w:tc>
          <w:tcPr>
            <w:tcW w:w="1980" w:type="dxa"/>
          </w:tcPr>
          <w:p w14:paraId="737F471B"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61BD754" w14:textId="77777777" w:rsidR="00AA277B" w:rsidRPr="00707D64" w:rsidRDefault="00AA277B" w:rsidP="00C661CD">
            <w:pPr>
              <w:pStyle w:val="Tabletext"/>
              <w:rPr>
                <w:rFonts w:asciiTheme="minorHAnsi" w:hAnsiTheme="minorHAnsi"/>
                <w:sz w:val="20"/>
                <w:szCs w:val="20"/>
                <w:lang w:val="fr-CH"/>
              </w:rPr>
            </w:pPr>
            <w:r w:rsidRPr="00707D64">
              <w:rPr>
                <w:rFonts w:asciiTheme="minorHAnsi" w:hAnsiTheme="minorHAnsi"/>
                <w:sz w:val="20"/>
                <w:szCs w:val="20"/>
                <w:lang w:val="fr-CH"/>
              </w:rPr>
              <w:t>1.2</w:t>
            </w:r>
            <w:r w:rsidRPr="00707D64">
              <w:rPr>
                <w:rFonts w:asciiTheme="minorHAnsi" w:hAnsiTheme="minorHAnsi"/>
                <w:sz w:val="20"/>
                <w:szCs w:val="20"/>
                <w:lang w:val="fr-CH"/>
              </w:rPr>
              <w:tab/>
              <w:t>Dans les relations de trafic où les études de coût de l'UIT-T peuvent être prises comme base, la taxe de répartition peut aussi être déterminée conformément à la méthode ci-</w:t>
            </w:r>
            <w:proofErr w:type="gramStart"/>
            <w:r w:rsidRPr="00707D64">
              <w:rPr>
                <w:rFonts w:asciiTheme="minorHAnsi" w:hAnsiTheme="minorHAnsi"/>
                <w:sz w:val="20"/>
                <w:szCs w:val="20"/>
                <w:lang w:val="fr-CH"/>
              </w:rPr>
              <w:t>après:</w:t>
            </w:r>
            <w:bookmarkStart w:id="27" w:name="lt_pId186"/>
            <w:proofErr w:type="gramEnd"/>
          </w:p>
          <w:bookmarkEnd w:id="27"/>
          <w:p w14:paraId="13D9C873" w14:textId="77BF02A0" w:rsidR="00AA277B" w:rsidRPr="00707D64" w:rsidRDefault="00AA277B" w:rsidP="00071F91">
            <w:pPr>
              <w:pStyle w:val="Tabletext"/>
              <w:tabs>
                <w:tab w:val="left" w:pos="313"/>
              </w:tabs>
              <w:ind w:left="313" w:hanging="313"/>
              <w:rPr>
                <w:rFonts w:asciiTheme="minorHAnsi" w:hAnsiTheme="minorHAnsi"/>
                <w:sz w:val="20"/>
                <w:szCs w:val="20"/>
              </w:rPr>
            </w:pPr>
            <w:r w:rsidRPr="00C10FCA">
              <w:rPr>
                <w:rStyle w:val="enumlev1Char"/>
                <w:rFonts w:asciiTheme="minorHAnsi" w:hAnsiTheme="minorHAnsi"/>
                <w:i/>
                <w:iCs/>
                <w:sz w:val="20"/>
                <w:szCs w:val="20"/>
              </w:rPr>
              <w:t>a)</w:t>
            </w:r>
            <w:r w:rsidRPr="00707D64">
              <w:rPr>
                <w:rStyle w:val="enumlev1Char"/>
                <w:rFonts w:asciiTheme="minorHAnsi" w:hAnsiTheme="minorHAnsi"/>
                <w:sz w:val="20"/>
                <w:szCs w:val="20"/>
              </w:rPr>
              <w:tab/>
              <w:t>les exploitations</w:t>
            </w:r>
            <w:r w:rsidRPr="00707D64">
              <w:rPr>
                <w:rFonts w:asciiTheme="minorHAnsi" w:hAnsiTheme="minorHAnsi"/>
                <w:sz w:val="20"/>
                <w:szCs w:val="20"/>
              </w:rPr>
              <w:t xml:space="preserve"> autorisées</w:t>
            </w:r>
            <w:r w:rsidRPr="00707D64">
              <w:rPr>
                <w:rStyle w:val="enumlev1Char"/>
                <w:rFonts w:asciiTheme="minorHAnsi" w:hAnsiTheme="minorHAnsi"/>
                <w:sz w:val="20"/>
                <w:szCs w:val="20"/>
              </w:rPr>
              <w:t xml:space="preserve"> établissent et révisent leurs quotes</w:t>
            </w:r>
            <w:r w:rsidRPr="00707D64">
              <w:rPr>
                <w:rStyle w:val="enumlev1Char"/>
                <w:rFonts w:asciiTheme="minorHAnsi" w:hAnsiTheme="minorHAnsi"/>
                <w:sz w:val="20"/>
                <w:szCs w:val="20"/>
              </w:rPr>
              <w:noBreakHyphen/>
              <w:t>parts terminales et de transit en tenant compte des Recommandations UIT-</w:t>
            </w:r>
            <w:proofErr w:type="gramStart"/>
            <w:r w:rsidRPr="00707D64">
              <w:rPr>
                <w:rStyle w:val="enumlev1Char"/>
                <w:rFonts w:asciiTheme="minorHAnsi" w:hAnsiTheme="minorHAnsi"/>
                <w:sz w:val="20"/>
                <w:szCs w:val="20"/>
              </w:rPr>
              <w:t>T;</w:t>
            </w:r>
            <w:proofErr w:type="gramEnd"/>
          </w:p>
          <w:p w14:paraId="7C86B0BF" w14:textId="11BB7EE2" w:rsidR="00AA277B" w:rsidRPr="00707D64" w:rsidRDefault="00AA277B" w:rsidP="00071F91">
            <w:pPr>
              <w:pStyle w:val="Tabletext"/>
              <w:tabs>
                <w:tab w:val="left" w:pos="313"/>
              </w:tabs>
              <w:ind w:left="313" w:hanging="313"/>
              <w:rPr>
                <w:rFonts w:asciiTheme="minorHAnsi" w:hAnsiTheme="minorHAnsi" w:cstheme="majorBidi"/>
                <w:b/>
                <w:sz w:val="20"/>
                <w:szCs w:val="20"/>
              </w:rPr>
            </w:pPr>
            <w:r w:rsidRPr="00C10FCA">
              <w:rPr>
                <w:rStyle w:val="enumlev1Char"/>
                <w:rFonts w:asciiTheme="minorHAnsi" w:hAnsiTheme="minorHAnsi"/>
                <w:i/>
                <w:iCs/>
                <w:sz w:val="20"/>
                <w:szCs w:val="20"/>
              </w:rPr>
              <w:t>b)</w:t>
            </w:r>
            <w:r w:rsidRPr="00707D64">
              <w:rPr>
                <w:rStyle w:val="enumlev1Char"/>
                <w:rFonts w:asciiTheme="minorHAnsi" w:hAnsiTheme="minorHAnsi"/>
                <w:sz w:val="20"/>
                <w:szCs w:val="20"/>
              </w:rPr>
              <w:tab/>
              <w:t>la taxe de répartition est la somme des quotes</w:t>
            </w:r>
            <w:r w:rsidRPr="00707D64">
              <w:rPr>
                <w:rStyle w:val="enumlev1Char"/>
                <w:rFonts w:asciiTheme="minorHAnsi" w:hAnsiTheme="minorHAnsi"/>
                <w:sz w:val="20"/>
                <w:szCs w:val="20"/>
              </w:rPr>
              <w:noBreakHyphen/>
              <w:t>parts terminales et, s'il y a lieu, des quotes</w:t>
            </w:r>
            <w:r w:rsidRPr="00707D64">
              <w:rPr>
                <w:rStyle w:val="enumlev1Char"/>
                <w:rFonts w:asciiTheme="minorHAnsi" w:hAnsiTheme="minorHAnsi"/>
                <w:sz w:val="20"/>
                <w:szCs w:val="20"/>
              </w:rPr>
              <w:noBreakHyphen/>
              <w:t>parts de transit.</w:t>
            </w:r>
          </w:p>
        </w:tc>
        <w:tc>
          <w:tcPr>
            <w:tcW w:w="2976" w:type="dxa"/>
          </w:tcPr>
          <w:p w14:paraId="244D5B3A" w14:textId="6D93464B" w:rsidR="00AA277B" w:rsidRPr="00981979" w:rsidRDefault="00AA277B" w:rsidP="00C661CD">
            <w:pPr>
              <w:pStyle w:val="Tabletext"/>
              <w:spacing w:before="80" w:after="80"/>
              <w:rPr>
                <w:rFonts w:asciiTheme="minorHAnsi" w:hAnsiTheme="minorHAnsi" w:cstheme="minorHAnsi"/>
                <w:sz w:val="20"/>
                <w:szCs w:val="20"/>
                <w:lang w:val="fr-CH"/>
              </w:rPr>
            </w:pPr>
            <w:r w:rsidRPr="00981979">
              <w:rPr>
                <w:rFonts w:asciiTheme="minorHAnsi" w:hAnsiTheme="minorHAnsi" w:cstheme="minorHAnsi"/>
                <w:sz w:val="20"/>
                <w:szCs w:val="20"/>
                <w:lang w:val="fr-CH"/>
              </w:rPr>
              <w:t>1.2</w:t>
            </w:r>
            <w:r w:rsidRPr="00981979">
              <w:rPr>
                <w:rFonts w:asciiTheme="minorHAnsi" w:hAnsiTheme="minorHAnsi" w:cstheme="minorHAnsi"/>
                <w:sz w:val="20"/>
                <w:szCs w:val="20"/>
                <w:lang w:val="fr-CH"/>
              </w:rPr>
              <w:tab/>
              <w:t xml:space="preserve">Dans les relations de </w:t>
            </w:r>
            <w:r w:rsidR="00071F91">
              <w:rPr>
                <w:rFonts w:asciiTheme="minorHAnsi" w:hAnsiTheme="minorHAnsi" w:cstheme="minorHAnsi"/>
                <w:sz w:val="20"/>
                <w:szCs w:val="20"/>
                <w:lang w:val="fr-CH"/>
              </w:rPr>
              <w:t>trafic où les études de coût du </w:t>
            </w:r>
            <w:r w:rsidRPr="00981979">
              <w:rPr>
                <w:rFonts w:asciiTheme="minorHAnsi" w:hAnsiTheme="minorHAnsi" w:cstheme="minorHAnsi"/>
                <w:sz w:val="20"/>
                <w:szCs w:val="20"/>
                <w:lang w:val="fr-CH"/>
              </w:rPr>
              <w:t>CCITT peuvent être prises comme base, la taxe de répartition peut aussi être déterminée conformément à la méthode ci-</w:t>
            </w:r>
            <w:proofErr w:type="gramStart"/>
            <w:r w:rsidRPr="00981979">
              <w:rPr>
                <w:rFonts w:asciiTheme="minorHAnsi" w:hAnsiTheme="minorHAnsi" w:cstheme="minorHAnsi"/>
                <w:sz w:val="20"/>
                <w:szCs w:val="20"/>
                <w:lang w:val="fr-CH"/>
              </w:rPr>
              <w:t>après:</w:t>
            </w:r>
            <w:proofErr w:type="gramEnd"/>
          </w:p>
          <w:p w14:paraId="46B17917" w14:textId="77777777" w:rsidR="00AA277B" w:rsidRPr="00981979" w:rsidRDefault="00AA277B" w:rsidP="00071F91">
            <w:pPr>
              <w:pStyle w:val="Tabletext"/>
              <w:tabs>
                <w:tab w:val="left" w:pos="286"/>
              </w:tabs>
              <w:spacing w:before="80" w:after="80"/>
              <w:ind w:left="286" w:hanging="286"/>
              <w:rPr>
                <w:rFonts w:asciiTheme="minorHAnsi" w:hAnsiTheme="minorHAnsi" w:cstheme="minorHAnsi"/>
                <w:sz w:val="20"/>
                <w:szCs w:val="20"/>
                <w:lang w:val="fr-CH"/>
              </w:rPr>
            </w:pPr>
            <w:r w:rsidRPr="00981979">
              <w:rPr>
                <w:rFonts w:asciiTheme="minorHAnsi" w:hAnsiTheme="minorHAnsi" w:cstheme="minorHAnsi"/>
                <w:i/>
                <w:sz w:val="20"/>
                <w:szCs w:val="20"/>
                <w:lang w:val="fr-CH"/>
              </w:rPr>
              <w:t>a)</w:t>
            </w:r>
            <w:r w:rsidRPr="00981979">
              <w:rPr>
                <w:rFonts w:asciiTheme="minorHAnsi" w:hAnsiTheme="minorHAnsi" w:cstheme="minorHAnsi"/>
                <w:sz w:val="20"/>
                <w:szCs w:val="20"/>
                <w:lang w:val="fr-CH"/>
              </w:rPr>
              <w:tab/>
              <w:t xml:space="preserve">les administrations* établissent et révisent leurs quotes-parts terminales et de transit en tenant compte des Recommandations du </w:t>
            </w:r>
            <w:proofErr w:type="gramStart"/>
            <w:r w:rsidRPr="00981979">
              <w:rPr>
                <w:rFonts w:asciiTheme="minorHAnsi" w:hAnsiTheme="minorHAnsi" w:cstheme="minorHAnsi"/>
                <w:sz w:val="20"/>
                <w:szCs w:val="20"/>
                <w:lang w:val="fr-CH"/>
              </w:rPr>
              <w:t>CCITT;</w:t>
            </w:r>
            <w:proofErr w:type="gramEnd"/>
          </w:p>
          <w:p w14:paraId="280610C0" w14:textId="48FE90AB" w:rsidR="00AA277B" w:rsidRPr="00981979" w:rsidRDefault="00AA277B" w:rsidP="00071F91">
            <w:pPr>
              <w:pStyle w:val="Tabletext"/>
              <w:tabs>
                <w:tab w:val="left" w:pos="286"/>
              </w:tabs>
              <w:ind w:left="286" w:hanging="286"/>
              <w:rPr>
                <w:rFonts w:asciiTheme="minorHAnsi" w:hAnsiTheme="minorHAnsi" w:cstheme="majorBidi"/>
                <w:b/>
                <w:sz w:val="20"/>
                <w:szCs w:val="20"/>
                <w:lang w:val="fr-CH"/>
              </w:rPr>
            </w:pPr>
            <w:r w:rsidRPr="00981979">
              <w:rPr>
                <w:rFonts w:asciiTheme="minorHAnsi" w:hAnsiTheme="minorHAnsi" w:cstheme="minorHAnsi"/>
                <w:i/>
                <w:sz w:val="20"/>
                <w:szCs w:val="20"/>
                <w:lang w:val="fr-CH"/>
              </w:rPr>
              <w:t>b)</w:t>
            </w:r>
            <w:r w:rsidRPr="00981979">
              <w:rPr>
                <w:rFonts w:asciiTheme="minorHAnsi" w:hAnsiTheme="minorHAnsi" w:cstheme="minorHAnsi"/>
                <w:sz w:val="20"/>
                <w:szCs w:val="20"/>
                <w:lang w:val="fr-CH"/>
              </w:rPr>
              <w:tab/>
              <w:t>la taxe de répartition est la somme des quotes</w:t>
            </w:r>
            <w:r w:rsidRPr="00981979">
              <w:rPr>
                <w:rFonts w:asciiTheme="minorHAnsi" w:hAnsiTheme="minorHAnsi" w:cstheme="minorHAnsi"/>
                <w:sz w:val="20"/>
                <w:szCs w:val="20"/>
                <w:lang w:val="fr-CH"/>
              </w:rPr>
              <w:noBreakHyphen/>
              <w:t>parts terminales et, s'il y a lieu, des quotes</w:t>
            </w:r>
            <w:r w:rsidRPr="00981979">
              <w:rPr>
                <w:rFonts w:asciiTheme="minorHAnsi" w:hAnsiTheme="minorHAnsi" w:cstheme="minorHAnsi"/>
                <w:sz w:val="20"/>
                <w:szCs w:val="20"/>
                <w:lang w:val="fr-CH"/>
              </w:rPr>
              <w:noBreakHyphen/>
              <w:t>parts de transit.</w:t>
            </w:r>
            <w:r w:rsidRPr="00981979">
              <w:rPr>
                <w:rFonts w:asciiTheme="minorHAnsi" w:hAnsiTheme="minorHAnsi" w:cstheme="majorBidi"/>
                <w:b/>
                <w:sz w:val="20"/>
                <w:szCs w:val="20"/>
                <w:lang w:val="fr-CH"/>
              </w:rPr>
              <w:t xml:space="preserve"> </w:t>
            </w:r>
          </w:p>
        </w:tc>
        <w:tc>
          <w:tcPr>
            <w:tcW w:w="2375" w:type="dxa"/>
          </w:tcPr>
          <w:p w14:paraId="0BBD6614" w14:textId="57632DF5"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7C01B5F3" w14:textId="47DC29B2"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 au système des taxes de répartition.</w:t>
            </w:r>
          </w:p>
        </w:tc>
        <w:tc>
          <w:tcPr>
            <w:tcW w:w="2327" w:type="dxa"/>
          </w:tcPr>
          <w:p w14:paraId="68AE1D51" w14:textId="77777777" w:rsidR="00AA277B" w:rsidRPr="00981979" w:rsidRDefault="00AA277B" w:rsidP="00C661CD">
            <w:pPr>
              <w:pStyle w:val="Tabletext"/>
              <w:rPr>
                <w:rFonts w:asciiTheme="minorHAnsi" w:hAnsiTheme="minorHAnsi" w:cstheme="majorBidi"/>
                <w:b/>
                <w:sz w:val="20"/>
                <w:szCs w:val="20"/>
              </w:rPr>
            </w:pPr>
          </w:p>
        </w:tc>
      </w:tr>
      <w:tr w:rsidR="00AA277B" w14:paraId="23BE4FB0" w14:textId="77777777" w:rsidTr="00C10FCA">
        <w:tc>
          <w:tcPr>
            <w:tcW w:w="1980" w:type="dxa"/>
          </w:tcPr>
          <w:p w14:paraId="0A7D11DC" w14:textId="77777777" w:rsidR="00AA277B" w:rsidRPr="00D8542B" w:rsidRDefault="00AA277B" w:rsidP="00C661CD">
            <w:pPr>
              <w:snapToGrid w:val="0"/>
              <w:spacing w:before="60" w:after="60"/>
              <w:jc w:val="center"/>
              <w:rPr>
                <w:rFonts w:asciiTheme="minorHAnsi" w:hAnsiTheme="minorHAnsi" w:cstheme="majorBidi"/>
                <w:b/>
                <w:sz w:val="20"/>
                <w:szCs w:val="20"/>
              </w:rPr>
            </w:pPr>
          </w:p>
        </w:tc>
        <w:tc>
          <w:tcPr>
            <w:tcW w:w="2977" w:type="dxa"/>
          </w:tcPr>
          <w:p w14:paraId="7B22CA9C" w14:textId="2252C006"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1.3</w:t>
            </w:r>
            <w:r w:rsidRPr="00707D64">
              <w:rPr>
                <w:rFonts w:asciiTheme="minorHAnsi" w:hAnsiTheme="minorHAnsi"/>
                <w:sz w:val="20"/>
                <w:szCs w:val="20"/>
                <w:lang w:val="fr-CH"/>
              </w:rPr>
              <w:tab/>
              <w:t>Quand une ou plusieurs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 xml:space="preserve"> ont acquis, par rémunération </w:t>
            </w:r>
            <w:r w:rsidRPr="00707D64">
              <w:rPr>
                <w:rFonts w:asciiTheme="minorHAnsi" w:hAnsiTheme="minorHAnsi"/>
                <w:sz w:val="20"/>
                <w:szCs w:val="20"/>
                <w:lang w:val="fr-CH"/>
              </w:rPr>
              <w:lastRenderedPageBreak/>
              <w:t>forfaitaire ou par tout autre moyen, le droit d'utiliser une partie des circuits ou des installations d'une autre 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elles ont le droit d'établir leur quote</w:t>
            </w:r>
            <w:r w:rsidRPr="00707D64">
              <w:rPr>
                <w:rFonts w:asciiTheme="minorHAnsi" w:hAnsiTheme="minorHAnsi"/>
                <w:sz w:val="20"/>
                <w:szCs w:val="20"/>
                <w:lang w:val="fr-CH"/>
              </w:rPr>
              <w:noBreakHyphen/>
              <w:t xml:space="preserve">part conformément aux dispositions des points </w:t>
            </w:r>
            <w:r w:rsidRPr="00707D64">
              <w:rPr>
                <w:rFonts w:asciiTheme="minorHAnsi" w:hAnsiTheme="minorHAnsi"/>
                <w:sz w:val="20"/>
                <w:szCs w:val="20"/>
              </w:rPr>
              <w:t xml:space="preserve">1/2 (paragraphe </w:t>
            </w:r>
            <w:r w:rsidRPr="00707D64">
              <w:rPr>
                <w:rFonts w:asciiTheme="minorHAnsi" w:hAnsiTheme="minorHAnsi"/>
                <w:sz w:val="20"/>
                <w:szCs w:val="20"/>
                <w:lang w:val="fr-CH"/>
              </w:rPr>
              <w:t>1.1) et </w:t>
            </w:r>
            <w:r w:rsidRPr="00707D64">
              <w:rPr>
                <w:rFonts w:asciiTheme="minorHAnsi" w:hAnsiTheme="minorHAnsi"/>
                <w:sz w:val="20"/>
                <w:szCs w:val="20"/>
              </w:rPr>
              <w:t>1/3</w:t>
            </w:r>
            <w:r w:rsidRPr="00707D64">
              <w:rPr>
                <w:rFonts w:asciiTheme="minorHAnsi" w:hAnsiTheme="minorHAnsi"/>
                <w:sz w:val="20"/>
                <w:szCs w:val="20"/>
                <w:lang w:val="fr-CH"/>
              </w:rPr>
              <w:t> (</w:t>
            </w:r>
            <w:r w:rsidRPr="00707D64">
              <w:rPr>
                <w:rFonts w:asciiTheme="minorHAnsi" w:hAnsiTheme="minorHAnsi"/>
                <w:sz w:val="20"/>
                <w:szCs w:val="20"/>
              </w:rPr>
              <w:t xml:space="preserve">paragraphe </w:t>
            </w:r>
            <w:r w:rsidRPr="00707D64">
              <w:rPr>
                <w:rFonts w:asciiTheme="minorHAnsi" w:hAnsiTheme="minorHAnsi"/>
                <w:sz w:val="20"/>
                <w:szCs w:val="20"/>
                <w:lang w:val="fr-CH"/>
              </w:rPr>
              <w:t>1.2) ci</w:t>
            </w:r>
            <w:r w:rsidRPr="00707D64">
              <w:rPr>
                <w:rFonts w:asciiTheme="minorHAnsi" w:hAnsiTheme="minorHAnsi"/>
                <w:sz w:val="20"/>
                <w:szCs w:val="20"/>
                <w:lang w:val="fr-CH"/>
              </w:rPr>
              <w:noBreakHyphen/>
              <w:t>dessus, pour l'utilisation de cette partie de la relation.</w:t>
            </w:r>
          </w:p>
        </w:tc>
        <w:tc>
          <w:tcPr>
            <w:tcW w:w="2976" w:type="dxa"/>
          </w:tcPr>
          <w:p w14:paraId="6D71A73A" w14:textId="3CA9E3E1"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lastRenderedPageBreak/>
              <w:t>1.3</w:t>
            </w:r>
            <w:r w:rsidRPr="00981979">
              <w:rPr>
                <w:rFonts w:asciiTheme="minorHAnsi" w:hAnsiTheme="minorHAnsi"/>
                <w:sz w:val="20"/>
                <w:szCs w:val="20"/>
              </w:rPr>
              <w:tab/>
              <w:t xml:space="preserve">Quand une ou plusieurs administrations* ont acquis, par rémunération forfaitaire ou par </w:t>
            </w:r>
            <w:r w:rsidRPr="00981979">
              <w:rPr>
                <w:rFonts w:asciiTheme="minorHAnsi" w:hAnsiTheme="minorHAnsi"/>
                <w:sz w:val="20"/>
                <w:szCs w:val="20"/>
              </w:rPr>
              <w:lastRenderedPageBreak/>
              <w:t>tout autre moyen, le droit d'utiliser une partie des circuits ou des installations d'une autre administration*, elles ont le droit d'établir leur quote</w:t>
            </w:r>
            <w:r w:rsidRPr="00981979">
              <w:rPr>
                <w:rFonts w:asciiTheme="minorHAnsi" w:hAnsiTheme="minorHAnsi"/>
                <w:sz w:val="20"/>
                <w:szCs w:val="20"/>
              </w:rPr>
              <w:noBreakHyphen/>
              <w:t>part conformément aux dispositions des paragraphes 1.1 et 1.2 ci</w:t>
            </w:r>
            <w:r w:rsidRPr="00981979">
              <w:rPr>
                <w:rFonts w:asciiTheme="minorHAnsi" w:hAnsiTheme="minorHAnsi"/>
                <w:sz w:val="20"/>
                <w:szCs w:val="20"/>
              </w:rPr>
              <w:noBreakHyphen/>
              <w:t xml:space="preserve">dessus, pour l'utilisation de cette partie de la liaison. </w:t>
            </w:r>
          </w:p>
        </w:tc>
        <w:tc>
          <w:tcPr>
            <w:tcW w:w="2375" w:type="dxa"/>
          </w:tcPr>
          <w:p w14:paraId="3C294007" w14:textId="40860B0E"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Cette </w:t>
            </w:r>
            <w:r w:rsidR="00AA277B" w:rsidRPr="00981979">
              <w:rPr>
                <w:rFonts w:asciiTheme="minorHAnsi" w:hAnsiTheme="minorHAnsi" w:cstheme="majorBidi"/>
                <w:b/>
                <w:sz w:val="20"/>
                <w:szCs w:val="20"/>
              </w:rPr>
              <w:t>disposition est applicable.</w:t>
            </w:r>
          </w:p>
        </w:tc>
        <w:tc>
          <w:tcPr>
            <w:tcW w:w="2445" w:type="dxa"/>
          </w:tcPr>
          <w:p w14:paraId="158A1766" w14:textId="087914D4"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AA277B" w:rsidRPr="00981979">
              <w:rPr>
                <w:rFonts w:asciiTheme="minorHAnsi" w:hAnsiTheme="minorHAnsi" w:cstheme="majorBidi"/>
                <w:b/>
                <w:sz w:val="20"/>
                <w:szCs w:val="20"/>
              </w:rPr>
              <w:t>offre la souplesse nécessaire.</w:t>
            </w:r>
          </w:p>
        </w:tc>
        <w:tc>
          <w:tcPr>
            <w:tcW w:w="2327" w:type="dxa"/>
          </w:tcPr>
          <w:p w14:paraId="6DB06923" w14:textId="77777777" w:rsidR="00AA277B" w:rsidRPr="00981979" w:rsidRDefault="00AA277B" w:rsidP="00C661CD">
            <w:pPr>
              <w:pStyle w:val="Tabletext"/>
              <w:rPr>
                <w:rFonts w:asciiTheme="minorHAnsi" w:hAnsiTheme="minorHAnsi" w:cstheme="majorBidi"/>
                <w:b/>
                <w:sz w:val="20"/>
                <w:szCs w:val="20"/>
              </w:rPr>
            </w:pPr>
          </w:p>
        </w:tc>
      </w:tr>
      <w:tr w:rsidR="00AA277B" w:rsidRPr="00D8542B" w14:paraId="024CF240" w14:textId="77777777" w:rsidTr="00C10FCA">
        <w:tc>
          <w:tcPr>
            <w:tcW w:w="1980" w:type="dxa"/>
          </w:tcPr>
          <w:p w14:paraId="5703E309"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96F9A56" w14:textId="55D89B60"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1.4</w:t>
            </w:r>
            <w:r w:rsidRPr="00707D64">
              <w:rPr>
                <w:rFonts w:asciiTheme="minorHAnsi" w:hAnsiTheme="minorHAnsi"/>
                <w:sz w:val="20"/>
                <w:szCs w:val="20"/>
                <w:lang w:val="fr-CH"/>
              </w:rPr>
              <w:tab/>
              <w:t>Dans le cas où une ou plusieurs voies internationales ont été établies par accord entre les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 xml:space="preserve"> et où le trafic est détourné unilatéralement par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d'origine sur une voie internationale qui n'a pas été convenue avec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de destination, les quotes</w:t>
            </w:r>
            <w:r w:rsidRPr="00707D64">
              <w:rPr>
                <w:rFonts w:asciiTheme="minorHAnsi" w:hAnsiTheme="minorHAnsi"/>
                <w:sz w:val="20"/>
                <w:szCs w:val="20"/>
                <w:lang w:val="fr-CH"/>
              </w:rPr>
              <w:noBreakHyphen/>
              <w:t>parts terminales payables à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de destination sont les mêmes que celles qui lui seraient dues si le trafic avait été acheminé sur la voie primaire ayant fait l'objet d'un accord, les frais de transit étant à la charge de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d'origine, à moins que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de destination ne soit disposée à accepter une quote</w:t>
            </w:r>
            <w:r w:rsidRPr="00707D64">
              <w:rPr>
                <w:rFonts w:asciiTheme="minorHAnsi" w:hAnsiTheme="minorHAnsi"/>
                <w:sz w:val="20"/>
                <w:szCs w:val="20"/>
                <w:lang w:val="fr-CH"/>
              </w:rPr>
              <w:noBreakHyphen/>
              <w:t>part différente.</w:t>
            </w:r>
          </w:p>
        </w:tc>
        <w:tc>
          <w:tcPr>
            <w:tcW w:w="2976" w:type="dxa"/>
          </w:tcPr>
          <w:p w14:paraId="057F5032" w14:textId="2F772870"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1.4</w:t>
            </w:r>
            <w:r w:rsidRPr="00981979">
              <w:rPr>
                <w:rFonts w:asciiTheme="minorHAnsi" w:hAnsiTheme="minorHAnsi"/>
                <w:sz w:val="20"/>
                <w:szCs w:val="20"/>
              </w:rPr>
              <w:tab/>
              <w:t>Dans le cas où une ou plusieurs voies ont été établies par accord entre les administrations* et où le trafic est détourné unilatéralement par l'administration* d'origine sur une voie qui n'a pas été convenue avec l'administration* de destination, les quotes-parts terminales payables à l'administration* de destination sont les mêmes que celles qui lui seraient dues si le trafic avait été acheminé sur la voie primaire ayant fait l'objet d'un accord, les frais de transit étant à la charge de l'administration* d'origine, à moins que l'administration* de destination ne soit disposée à accepter une quote-part différente.</w:t>
            </w:r>
            <w:r w:rsidRPr="00981979">
              <w:rPr>
                <w:rFonts w:asciiTheme="minorHAnsi" w:hAnsiTheme="minorHAnsi" w:cstheme="majorBidi"/>
                <w:b/>
                <w:sz w:val="20"/>
                <w:szCs w:val="20"/>
              </w:rPr>
              <w:t xml:space="preserve"> </w:t>
            </w:r>
          </w:p>
        </w:tc>
        <w:tc>
          <w:tcPr>
            <w:tcW w:w="2375" w:type="dxa"/>
          </w:tcPr>
          <w:p w14:paraId="00345367" w14:textId="79A8FCA2"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72704399" w14:textId="6E654F9F" w:rsidR="00AA277B" w:rsidRPr="00981979" w:rsidRDefault="00D8542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 au système des taxes de répartition.</w:t>
            </w:r>
          </w:p>
        </w:tc>
        <w:tc>
          <w:tcPr>
            <w:tcW w:w="2327" w:type="dxa"/>
          </w:tcPr>
          <w:p w14:paraId="57DE32BA" w14:textId="77777777" w:rsidR="00AA277B" w:rsidRPr="00981979" w:rsidRDefault="00AA277B" w:rsidP="00C661CD">
            <w:pPr>
              <w:pStyle w:val="Tabletext"/>
              <w:rPr>
                <w:rFonts w:asciiTheme="minorHAnsi" w:hAnsiTheme="minorHAnsi" w:cstheme="majorBidi"/>
                <w:b/>
                <w:sz w:val="20"/>
                <w:szCs w:val="20"/>
              </w:rPr>
            </w:pPr>
          </w:p>
        </w:tc>
      </w:tr>
      <w:tr w:rsidR="00AA277B" w14:paraId="37E710F3" w14:textId="77777777" w:rsidTr="00C10FCA">
        <w:tc>
          <w:tcPr>
            <w:tcW w:w="1980" w:type="dxa"/>
          </w:tcPr>
          <w:p w14:paraId="5CF62B35" w14:textId="77777777" w:rsidR="00AA277B" w:rsidRPr="00D8542B" w:rsidRDefault="00AA277B" w:rsidP="00C661CD">
            <w:pPr>
              <w:snapToGrid w:val="0"/>
              <w:spacing w:before="60" w:after="60"/>
              <w:jc w:val="center"/>
              <w:rPr>
                <w:rFonts w:asciiTheme="minorHAnsi" w:hAnsiTheme="minorHAnsi" w:cstheme="majorBidi"/>
                <w:b/>
                <w:sz w:val="20"/>
                <w:szCs w:val="20"/>
              </w:rPr>
            </w:pPr>
          </w:p>
        </w:tc>
        <w:tc>
          <w:tcPr>
            <w:tcW w:w="2977" w:type="dxa"/>
          </w:tcPr>
          <w:p w14:paraId="6AE485AB" w14:textId="09B7E2B9"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lang w:val="fr-CH"/>
              </w:rPr>
              <w:t>1.5</w:t>
            </w:r>
            <w:r w:rsidRPr="00707D64">
              <w:rPr>
                <w:rFonts w:asciiTheme="minorHAnsi" w:hAnsiTheme="minorHAnsi"/>
                <w:sz w:val="20"/>
                <w:szCs w:val="20"/>
                <w:lang w:val="fr-CH"/>
              </w:rPr>
              <w:tab/>
              <w:t xml:space="preserve">Quand le trafic est acheminé par un centre de transit sans autorisation et/ou accord </w:t>
            </w:r>
            <w:r w:rsidRPr="00707D64">
              <w:rPr>
                <w:rFonts w:asciiTheme="minorHAnsi" w:hAnsiTheme="minorHAnsi"/>
                <w:sz w:val="20"/>
                <w:szCs w:val="20"/>
                <w:lang w:val="fr-CH"/>
              </w:rPr>
              <w:lastRenderedPageBreak/>
              <w:t>sur le montant de la quote-part de transit, l'exploitation</w:t>
            </w:r>
            <w:r w:rsidRPr="00707D64">
              <w:rPr>
                <w:rFonts w:asciiTheme="minorHAnsi" w:hAnsiTheme="minorHAnsi"/>
                <w:sz w:val="20"/>
                <w:szCs w:val="20"/>
              </w:rPr>
              <w:t xml:space="preserve"> autorisée</w:t>
            </w:r>
            <w:r w:rsidRPr="00707D64">
              <w:rPr>
                <w:rFonts w:asciiTheme="minorHAnsi" w:hAnsiTheme="minorHAnsi"/>
                <w:sz w:val="20"/>
                <w:szCs w:val="20"/>
                <w:lang w:val="fr-CH"/>
              </w:rPr>
              <w:t xml:space="preserve"> de transit a le droit d'établir le montant de la quote-part de transit à inclure dans les comptes internationaux.</w:t>
            </w:r>
          </w:p>
        </w:tc>
        <w:tc>
          <w:tcPr>
            <w:tcW w:w="2976" w:type="dxa"/>
          </w:tcPr>
          <w:p w14:paraId="0E1241DB" w14:textId="5827EEAF"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lastRenderedPageBreak/>
              <w:t>1.5</w:t>
            </w:r>
            <w:r w:rsidRPr="00981979">
              <w:rPr>
                <w:rFonts w:asciiTheme="minorHAnsi" w:hAnsiTheme="minorHAnsi"/>
                <w:sz w:val="20"/>
                <w:szCs w:val="20"/>
              </w:rPr>
              <w:tab/>
              <w:t xml:space="preserve">Quand le trafic est acheminé par un centre de transit sans autorisation ou </w:t>
            </w:r>
            <w:r w:rsidRPr="00981979">
              <w:rPr>
                <w:rFonts w:asciiTheme="minorHAnsi" w:hAnsiTheme="minorHAnsi"/>
                <w:sz w:val="20"/>
                <w:szCs w:val="20"/>
              </w:rPr>
              <w:lastRenderedPageBreak/>
              <w:t xml:space="preserve">accord sur le montant de la quote-part de transit, l'administration* de transit a le droit d'établir le montant de la quote-part de transit à inclure dans les comptes internationaux. </w:t>
            </w:r>
          </w:p>
        </w:tc>
        <w:tc>
          <w:tcPr>
            <w:tcW w:w="2375" w:type="dxa"/>
          </w:tcPr>
          <w:p w14:paraId="6D7534FD" w14:textId="48DB347E"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Cette </w:t>
            </w:r>
            <w:r w:rsidR="00AA277B" w:rsidRPr="00981979">
              <w:rPr>
                <w:rFonts w:asciiTheme="minorHAnsi" w:hAnsiTheme="minorHAnsi" w:cstheme="majorBidi"/>
                <w:b/>
                <w:sz w:val="20"/>
                <w:szCs w:val="20"/>
              </w:rPr>
              <w:t>disposition est applicable.</w:t>
            </w:r>
          </w:p>
        </w:tc>
        <w:tc>
          <w:tcPr>
            <w:tcW w:w="2445" w:type="dxa"/>
          </w:tcPr>
          <w:p w14:paraId="447EC439" w14:textId="1DA0B9C5" w:rsidR="00AA277B" w:rsidRPr="00981979" w:rsidRDefault="00155358"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au système des</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taxes de répartition.</w:t>
            </w:r>
          </w:p>
        </w:tc>
        <w:tc>
          <w:tcPr>
            <w:tcW w:w="2327" w:type="dxa"/>
          </w:tcPr>
          <w:p w14:paraId="4E3A915A" w14:textId="77777777" w:rsidR="00AA277B" w:rsidRPr="00981979" w:rsidRDefault="00AA277B" w:rsidP="00C661CD">
            <w:pPr>
              <w:pStyle w:val="Tabletext"/>
              <w:rPr>
                <w:rFonts w:asciiTheme="minorHAnsi" w:hAnsiTheme="minorHAnsi" w:cstheme="majorBidi"/>
                <w:b/>
                <w:sz w:val="20"/>
                <w:szCs w:val="20"/>
              </w:rPr>
            </w:pPr>
          </w:p>
        </w:tc>
      </w:tr>
      <w:tr w:rsidR="00AA277B" w14:paraId="05575FD3" w14:textId="77777777" w:rsidTr="00C10FCA">
        <w:tc>
          <w:tcPr>
            <w:tcW w:w="1980" w:type="dxa"/>
          </w:tcPr>
          <w:p w14:paraId="3681F94B"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0CBA6993" w14:textId="485411DC"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1.6</w:t>
            </w:r>
            <w:r w:rsidRPr="00707D64">
              <w:rPr>
                <w:rFonts w:asciiTheme="minorHAnsi" w:hAnsiTheme="minorHAnsi"/>
                <w:sz w:val="20"/>
                <w:szCs w:val="20"/>
              </w:rPr>
              <w:tab/>
              <w:t>Lorsqu'une exploitation autorisée est assujettie à un impôt ou à une taxe fiscale sur les quotes</w:t>
            </w:r>
            <w:r w:rsidRPr="00707D64">
              <w:rPr>
                <w:rFonts w:asciiTheme="minorHAnsi" w:hAnsiTheme="minorHAnsi"/>
                <w:sz w:val="20"/>
                <w:szCs w:val="20"/>
              </w:rPr>
              <w:noBreakHyphen/>
              <w:t>parts de répartition ou autres rémunérations qui lui reviennent, elle ne doit pas prélever à son tour un impôt ou une taxe fiscale sur les autres exploitations autorisées.</w:t>
            </w:r>
          </w:p>
        </w:tc>
        <w:tc>
          <w:tcPr>
            <w:tcW w:w="2976" w:type="dxa"/>
          </w:tcPr>
          <w:p w14:paraId="14719F18" w14:textId="454E95A3"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1.6</w:t>
            </w:r>
            <w:r w:rsidRPr="00981979">
              <w:rPr>
                <w:rFonts w:asciiTheme="minorHAnsi" w:hAnsiTheme="minorHAnsi"/>
                <w:sz w:val="20"/>
                <w:szCs w:val="20"/>
              </w:rPr>
              <w:tab/>
              <w:t>Lorsqu'une administration* est assujettie à un impôt ou à une taxe fiscale sur les quotes</w:t>
            </w:r>
            <w:r w:rsidRPr="00981979">
              <w:rPr>
                <w:rFonts w:asciiTheme="minorHAnsi" w:hAnsiTheme="minorHAnsi"/>
                <w:sz w:val="20"/>
                <w:szCs w:val="20"/>
              </w:rPr>
              <w:noBreakHyphen/>
              <w:t xml:space="preserve">parts de répartition ou autres rémunérations qui lui reviennent, elle ne doit pas prélever à son tour un impôt ou une taxe fiscale sur les autres administrations*. </w:t>
            </w:r>
          </w:p>
        </w:tc>
        <w:tc>
          <w:tcPr>
            <w:tcW w:w="2375" w:type="dxa"/>
          </w:tcPr>
          <w:p w14:paraId="65F10C45" w14:textId="00B0BE6D"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155358" w:rsidRPr="00981979">
              <w:rPr>
                <w:rFonts w:asciiTheme="minorHAnsi" w:hAnsiTheme="minorHAnsi" w:cstheme="majorBidi"/>
                <w:b/>
                <w:sz w:val="20"/>
                <w:szCs w:val="20"/>
              </w:rPr>
              <w:t>disposition est applicable aux taxes de répartition.</w:t>
            </w:r>
          </w:p>
        </w:tc>
        <w:tc>
          <w:tcPr>
            <w:tcW w:w="2445" w:type="dxa"/>
          </w:tcPr>
          <w:p w14:paraId="6B70A7E1" w14:textId="089D0BB3" w:rsidR="00AA277B" w:rsidRPr="00981979" w:rsidRDefault="00155358"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au système des</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taxes de répartition.</w:t>
            </w:r>
          </w:p>
        </w:tc>
        <w:tc>
          <w:tcPr>
            <w:tcW w:w="2327" w:type="dxa"/>
          </w:tcPr>
          <w:p w14:paraId="5BE54365" w14:textId="77777777" w:rsidR="00AA277B" w:rsidRPr="00981979" w:rsidRDefault="00AA277B" w:rsidP="00C661CD">
            <w:pPr>
              <w:pStyle w:val="Tabletext"/>
              <w:rPr>
                <w:rFonts w:asciiTheme="minorHAnsi" w:hAnsiTheme="minorHAnsi" w:cstheme="majorBidi"/>
                <w:b/>
                <w:sz w:val="20"/>
                <w:szCs w:val="20"/>
              </w:rPr>
            </w:pPr>
          </w:p>
        </w:tc>
      </w:tr>
      <w:tr w:rsidR="00AA277B" w14:paraId="6113AE1E" w14:textId="77777777" w:rsidTr="00C10FCA">
        <w:tc>
          <w:tcPr>
            <w:tcW w:w="1980" w:type="dxa"/>
          </w:tcPr>
          <w:p w14:paraId="0403C4DF"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1FA460BA" w14:textId="66C46E12"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cstheme="majorBidi"/>
                <w:b/>
                <w:sz w:val="20"/>
                <w:szCs w:val="20"/>
              </w:rPr>
              <w:t>2</w:t>
            </w:r>
            <w:r w:rsidRPr="00707D64">
              <w:rPr>
                <w:rFonts w:asciiTheme="minorHAnsi" w:hAnsiTheme="minorHAnsi" w:cstheme="majorBidi"/>
                <w:b/>
                <w:sz w:val="20"/>
                <w:szCs w:val="20"/>
              </w:rPr>
              <w:tab/>
            </w:r>
            <w:r w:rsidRPr="00707D64">
              <w:rPr>
                <w:rFonts w:asciiTheme="minorHAnsi" w:hAnsiTheme="minorHAnsi"/>
                <w:b/>
                <w:caps/>
                <w:sz w:val="20"/>
                <w:szCs w:val="20"/>
                <w:lang w:val="fr-CH"/>
              </w:rPr>
              <w:t>é</w:t>
            </w:r>
            <w:proofErr w:type="spellStart"/>
            <w:r w:rsidRPr="00707D64">
              <w:rPr>
                <w:rFonts w:asciiTheme="minorHAnsi" w:hAnsiTheme="minorHAnsi"/>
                <w:b/>
                <w:sz w:val="20"/>
                <w:szCs w:val="20"/>
              </w:rPr>
              <w:t>tablissement</w:t>
            </w:r>
            <w:proofErr w:type="spellEnd"/>
            <w:r w:rsidRPr="00707D64">
              <w:rPr>
                <w:rFonts w:asciiTheme="minorHAnsi" w:hAnsiTheme="minorHAnsi"/>
                <w:b/>
                <w:sz w:val="20"/>
                <w:szCs w:val="20"/>
              </w:rPr>
              <w:t xml:space="preserve"> des comptes</w:t>
            </w:r>
          </w:p>
        </w:tc>
        <w:tc>
          <w:tcPr>
            <w:tcW w:w="2976" w:type="dxa"/>
          </w:tcPr>
          <w:p w14:paraId="001F7E84" w14:textId="04BD69A5"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2</w:t>
            </w:r>
            <w:r w:rsidRPr="00981979">
              <w:rPr>
                <w:rFonts w:asciiTheme="minorHAnsi" w:hAnsiTheme="minorHAnsi" w:cstheme="majorBidi"/>
                <w:b/>
                <w:sz w:val="20"/>
                <w:szCs w:val="20"/>
              </w:rPr>
              <w:tab/>
            </w:r>
            <w:r w:rsidRPr="00981979">
              <w:rPr>
                <w:rFonts w:asciiTheme="minorHAnsi" w:hAnsiTheme="minorHAnsi"/>
                <w:b/>
                <w:caps/>
                <w:sz w:val="20"/>
                <w:szCs w:val="20"/>
                <w:lang w:val="fr-CH"/>
              </w:rPr>
              <w:t>é</w:t>
            </w:r>
            <w:proofErr w:type="spellStart"/>
            <w:r w:rsidRPr="00981979">
              <w:rPr>
                <w:rFonts w:asciiTheme="minorHAnsi" w:hAnsiTheme="minorHAnsi"/>
                <w:b/>
                <w:sz w:val="20"/>
                <w:szCs w:val="20"/>
              </w:rPr>
              <w:t>tablissement</w:t>
            </w:r>
            <w:proofErr w:type="spellEnd"/>
            <w:r w:rsidRPr="00981979">
              <w:rPr>
                <w:rFonts w:asciiTheme="minorHAnsi" w:hAnsiTheme="minorHAnsi"/>
                <w:b/>
                <w:sz w:val="20"/>
                <w:szCs w:val="20"/>
              </w:rPr>
              <w:t xml:space="preserve"> des comptes</w:t>
            </w:r>
          </w:p>
        </w:tc>
        <w:tc>
          <w:tcPr>
            <w:tcW w:w="2375" w:type="dxa"/>
          </w:tcPr>
          <w:p w14:paraId="5345313E" w14:textId="77777777" w:rsidR="00AA277B" w:rsidRPr="00981979" w:rsidRDefault="00AA277B" w:rsidP="00C661CD">
            <w:pPr>
              <w:pStyle w:val="Tabletext"/>
              <w:rPr>
                <w:rFonts w:asciiTheme="minorHAnsi" w:hAnsiTheme="minorHAnsi" w:cstheme="majorBidi"/>
                <w:b/>
                <w:sz w:val="20"/>
                <w:szCs w:val="20"/>
              </w:rPr>
            </w:pPr>
          </w:p>
        </w:tc>
        <w:tc>
          <w:tcPr>
            <w:tcW w:w="2445" w:type="dxa"/>
          </w:tcPr>
          <w:p w14:paraId="207F0692" w14:textId="77777777" w:rsidR="00AA277B" w:rsidRPr="00981979" w:rsidRDefault="00AA277B" w:rsidP="00C661CD">
            <w:pPr>
              <w:pStyle w:val="Tabletext"/>
              <w:rPr>
                <w:rFonts w:asciiTheme="minorHAnsi" w:hAnsiTheme="minorHAnsi" w:cstheme="majorBidi"/>
                <w:b/>
                <w:sz w:val="20"/>
                <w:szCs w:val="20"/>
              </w:rPr>
            </w:pPr>
          </w:p>
        </w:tc>
        <w:tc>
          <w:tcPr>
            <w:tcW w:w="2327" w:type="dxa"/>
          </w:tcPr>
          <w:p w14:paraId="442BD83E" w14:textId="77777777" w:rsidR="00AA277B" w:rsidRPr="00981979" w:rsidRDefault="00AA277B" w:rsidP="00C661CD">
            <w:pPr>
              <w:pStyle w:val="Tabletext"/>
              <w:rPr>
                <w:rFonts w:asciiTheme="minorHAnsi" w:hAnsiTheme="minorHAnsi" w:cstheme="majorBidi"/>
                <w:b/>
                <w:sz w:val="20"/>
                <w:szCs w:val="20"/>
              </w:rPr>
            </w:pPr>
          </w:p>
        </w:tc>
      </w:tr>
      <w:tr w:rsidR="00AA277B" w:rsidRPr="000E6DAB" w14:paraId="1EC432C3" w14:textId="77777777" w:rsidTr="00C10FCA">
        <w:tc>
          <w:tcPr>
            <w:tcW w:w="1980" w:type="dxa"/>
          </w:tcPr>
          <w:p w14:paraId="4B0BAECE"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58053179" w14:textId="26E5EDEF"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2.1</w:t>
            </w:r>
            <w:r w:rsidRPr="00707D64">
              <w:rPr>
                <w:rFonts w:asciiTheme="minorHAnsi" w:hAnsiTheme="minorHAnsi"/>
                <w:sz w:val="20"/>
                <w:szCs w:val="20"/>
              </w:rPr>
              <w:tab/>
            </w:r>
            <w:r w:rsidRPr="00707D64">
              <w:rPr>
                <w:rFonts w:asciiTheme="minorHAnsi" w:hAnsiTheme="minorHAnsi"/>
                <w:caps/>
                <w:sz w:val="20"/>
                <w:szCs w:val="20"/>
              </w:rPr>
              <w:t>à</w:t>
            </w:r>
            <w:r w:rsidRPr="00707D64">
              <w:rPr>
                <w:rFonts w:asciiTheme="minorHAnsi" w:hAnsiTheme="minorHAnsi"/>
                <w:sz w:val="20"/>
                <w:szCs w:val="20"/>
              </w:rPr>
              <w:t xml:space="preserve"> moins qu'il n'en soit convenu autrement, les exploitations autorisées responsables du prélèvement des frais établissent un compte mensuel relatif à tous les montants dus et le transmet aux exploitations autorisées concernées.</w:t>
            </w:r>
          </w:p>
        </w:tc>
        <w:tc>
          <w:tcPr>
            <w:tcW w:w="2976" w:type="dxa"/>
          </w:tcPr>
          <w:p w14:paraId="0E39F3EF" w14:textId="0938F416"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2.1</w:t>
            </w:r>
            <w:r w:rsidRPr="00981979">
              <w:rPr>
                <w:rFonts w:asciiTheme="minorHAnsi" w:hAnsiTheme="minorHAnsi"/>
                <w:sz w:val="20"/>
                <w:szCs w:val="20"/>
              </w:rPr>
              <w:tab/>
              <w:t xml:space="preserve">Sauf accord spécial, l'administration* responsable de la perception des taxes établit un compte mensuel relatif à tous les montants dus et le transmet aux administrations* intéressées. </w:t>
            </w:r>
          </w:p>
        </w:tc>
        <w:tc>
          <w:tcPr>
            <w:tcW w:w="2375" w:type="dxa"/>
          </w:tcPr>
          <w:p w14:paraId="604FC1EF" w14:textId="0E646D6A"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6ECFCACF" w14:textId="568F9591" w:rsidR="00AA277B" w:rsidRPr="00981979" w:rsidRDefault="00ED3560" w:rsidP="00C661CD">
            <w:pPr>
              <w:pStyle w:val="Tabletext"/>
              <w:rPr>
                <w:rFonts w:asciiTheme="minorHAnsi" w:hAnsiTheme="minorHAnsi" w:cstheme="majorBidi"/>
                <w:b/>
                <w:sz w:val="20"/>
                <w:szCs w:val="20"/>
              </w:rPr>
            </w:pPr>
            <w:bookmarkStart w:id="28" w:name="lt_pId243"/>
            <w:r w:rsidRPr="00981979">
              <w:rPr>
                <w:rFonts w:asciiTheme="minorHAnsi" w:hAnsiTheme="minorHAnsi" w:cstheme="majorBidi"/>
                <w:b/>
                <w:sz w:val="20"/>
                <w:szCs w:val="20"/>
              </w:rPr>
              <w:t xml:space="preserve">Ce texte </w:t>
            </w:r>
            <w:r w:rsidR="000E6DAB" w:rsidRPr="00981979">
              <w:rPr>
                <w:rFonts w:asciiTheme="minorHAnsi" w:hAnsiTheme="minorHAnsi" w:cstheme="majorBidi"/>
                <w:b/>
                <w:sz w:val="20"/>
                <w:szCs w:val="20"/>
              </w:rPr>
              <w:t xml:space="preserve">offre la souplesse nécessaire étant donné qu'il permet </w:t>
            </w:r>
            <w:r w:rsidR="002E7D29" w:rsidRPr="00981979">
              <w:rPr>
                <w:rFonts w:asciiTheme="minorHAnsi" w:hAnsiTheme="minorHAnsi" w:cstheme="majorBidi"/>
                <w:b/>
                <w:sz w:val="20"/>
                <w:szCs w:val="20"/>
              </w:rPr>
              <w:t>de conclure des</w:t>
            </w:r>
            <w:r w:rsidR="00981979" w:rsidRPr="00981979">
              <w:rPr>
                <w:rFonts w:asciiTheme="minorHAnsi" w:hAnsiTheme="minorHAnsi" w:cstheme="majorBidi"/>
                <w:b/>
                <w:sz w:val="20"/>
                <w:szCs w:val="20"/>
              </w:rPr>
              <w:t xml:space="preserve"> </w:t>
            </w:r>
            <w:r w:rsidR="000E6DAB" w:rsidRPr="00981979">
              <w:rPr>
                <w:rFonts w:asciiTheme="minorHAnsi" w:hAnsiTheme="minorHAnsi" w:cstheme="majorBidi"/>
                <w:b/>
                <w:sz w:val="20"/>
                <w:szCs w:val="20"/>
              </w:rPr>
              <w:t>accords.</w:t>
            </w:r>
            <w:bookmarkEnd w:id="28"/>
          </w:p>
        </w:tc>
        <w:tc>
          <w:tcPr>
            <w:tcW w:w="2327" w:type="dxa"/>
          </w:tcPr>
          <w:p w14:paraId="34A45100" w14:textId="77777777" w:rsidR="00AA277B" w:rsidRPr="00981979" w:rsidRDefault="00AA277B" w:rsidP="00C661CD">
            <w:pPr>
              <w:pStyle w:val="Tabletext"/>
              <w:rPr>
                <w:rFonts w:asciiTheme="minorHAnsi" w:hAnsiTheme="minorHAnsi" w:cstheme="majorBidi"/>
                <w:b/>
                <w:sz w:val="20"/>
                <w:szCs w:val="20"/>
              </w:rPr>
            </w:pPr>
          </w:p>
        </w:tc>
      </w:tr>
      <w:tr w:rsidR="00AA277B" w:rsidRPr="000E6DAB" w14:paraId="00435626" w14:textId="77777777" w:rsidTr="00C10FCA">
        <w:tc>
          <w:tcPr>
            <w:tcW w:w="1980" w:type="dxa"/>
          </w:tcPr>
          <w:p w14:paraId="67DC1A6F" w14:textId="77777777" w:rsidR="00AA277B" w:rsidRPr="000E6DAB" w:rsidRDefault="00AA277B" w:rsidP="00C661CD">
            <w:pPr>
              <w:snapToGrid w:val="0"/>
              <w:spacing w:before="60" w:after="60"/>
              <w:jc w:val="center"/>
              <w:rPr>
                <w:rFonts w:asciiTheme="minorHAnsi" w:hAnsiTheme="minorHAnsi" w:cstheme="majorBidi"/>
                <w:b/>
                <w:sz w:val="20"/>
                <w:szCs w:val="20"/>
              </w:rPr>
            </w:pPr>
          </w:p>
        </w:tc>
        <w:tc>
          <w:tcPr>
            <w:tcW w:w="2977" w:type="dxa"/>
          </w:tcPr>
          <w:p w14:paraId="4AAB9F75" w14:textId="438E4AA4"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2.2</w:t>
            </w:r>
            <w:r w:rsidRPr="00707D64">
              <w:rPr>
                <w:rFonts w:asciiTheme="minorHAnsi" w:hAnsiTheme="minorHAnsi"/>
                <w:sz w:val="20"/>
                <w:szCs w:val="20"/>
              </w:rPr>
              <w:tab/>
              <w:t>Les comptes devraient être envoyés aussi rapidement que possible, compte tenu des Recommandations UIT</w:t>
            </w:r>
            <w:r w:rsidRPr="00707D64">
              <w:rPr>
                <w:rFonts w:asciiTheme="minorHAnsi" w:hAnsiTheme="minorHAnsi"/>
                <w:sz w:val="20"/>
                <w:szCs w:val="20"/>
              </w:rPr>
              <w:noBreakHyphen/>
              <w:t xml:space="preserve">T pertinentes, et, sauf cas de force majeure, avant la fin d'une période de 50 jours suivant le mois auquel ils se rapportent, à </w:t>
            </w:r>
            <w:r w:rsidRPr="00707D64">
              <w:rPr>
                <w:rFonts w:asciiTheme="minorHAnsi" w:hAnsiTheme="minorHAnsi"/>
                <w:sz w:val="20"/>
                <w:szCs w:val="20"/>
              </w:rPr>
              <w:lastRenderedPageBreak/>
              <w:t>moins qu'il n'en soit convenu autrement par accord mutuel.</w:t>
            </w:r>
          </w:p>
        </w:tc>
        <w:tc>
          <w:tcPr>
            <w:tcW w:w="2976" w:type="dxa"/>
          </w:tcPr>
          <w:p w14:paraId="35112E56" w14:textId="35486A6D"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inorHAnsi"/>
                <w:sz w:val="20"/>
                <w:szCs w:val="20"/>
                <w:lang w:val="fr-CH"/>
              </w:rPr>
              <w:lastRenderedPageBreak/>
              <w:t>2.2</w:t>
            </w:r>
            <w:r w:rsidRPr="00981979">
              <w:rPr>
                <w:rFonts w:asciiTheme="minorHAnsi" w:hAnsiTheme="minorHAnsi" w:cstheme="minorHAnsi"/>
                <w:sz w:val="20"/>
                <w:szCs w:val="20"/>
                <w:lang w:val="fr-CH"/>
              </w:rPr>
              <w:tab/>
              <w:t>Les comptes sont envoyés aussi rapidement que possible et, sauf cas de force majeure, avant la fin du troisième mois suivant celui auquel ils se rapportent.</w:t>
            </w:r>
          </w:p>
        </w:tc>
        <w:tc>
          <w:tcPr>
            <w:tcW w:w="2375" w:type="dxa"/>
          </w:tcPr>
          <w:p w14:paraId="6F2B7A1F" w14:textId="7637C476" w:rsidR="00AA277B" w:rsidRPr="00981979" w:rsidRDefault="00ED3560" w:rsidP="00C661CD">
            <w:pPr>
              <w:pStyle w:val="Tabletext"/>
              <w:rPr>
                <w:rFonts w:asciiTheme="minorHAnsi" w:hAnsiTheme="minorHAnsi" w:cstheme="majorBidi"/>
                <w:b/>
                <w:sz w:val="20"/>
                <w:szCs w:val="20"/>
              </w:rPr>
            </w:pPr>
            <w:bookmarkStart w:id="29" w:name="lt_pId248"/>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 xml:space="preserve">disposition est applicable et importante pour le système des taxes de répartition. </w:t>
            </w:r>
            <w:bookmarkEnd w:id="29"/>
          </w:p>
        </w:tc>
        <w:tc>
          <w:tcPr>
            <w:tcW w:w="2445" w:type="dxa"/>
          </w:tcPr>
          <w:p w14:paraId="71F8F224" w14:textId="77F91ED0" w:rsidR="00AA277B" w:rsidRPr="00981979" w:rsidRDefault="000E6DA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Propre au système des taxes de répartition.</w:t>
            </w:r>
          </w:p>
        </w:tc>
        <w:tc>
          <w:tcPr>
            <w:tcW w:w="2327" w:type="dxa"/>
          </w:tcPr>
          <w:p w14:paraId="766E4B15" w14:textId="77777777" w:rsidR="00AA277B" w:rsidRPr="00981979" w:rsidRDefault="00AA277B" w:rsidP="00C661CD">
            <w:pPr>
              <w:pStyle w:val="Tabletext"/>
              <w:rPr>
                <w:rFonts w:asciiTheme="minorHAnsi" w:hAnsiTheme="minorHAnsi" w:cstheme="majorBidi"/>
                <w:b/>
                <w:sz w:val="20"/>
                <w:szCs w:val="20"/>
              </w:rPr>
            </w:pPr>
          </w:p>
        </w:tc>
      </w:tr>
      <w:tr w:rsidR="00AA277B" w14:paraId="2ECB0FF4" w14:textId="77777777" w:rsidTr="00C10FCA">
        <w:tc>
          <w:tcPr>
            <w:tcW w:w="1980" w:type="dxa"/>
          </w:tcPr>
          <w:p w14:paraId="324CAA7A" w14:textId="77777777" w:rsidR="00AA277B" w:rsidRPr="000E6DAB" w:rsidRDefault="00AA277B" w:rsidP="00C661CD">
            <w:pPr>
              <w:snapToGrid w:val="0"/>
              <w:spacing w:before="60" w:after="60"/>
              <w:jc w:val="center"/>
              <w:rPr>
                <w:rFonts w:asciiTheme="minorHAnsi" w:hAnsiTheme="minorHAnsi" w:cstheme="majorBidi"/>
                <w:b/>
                <w:sz w:val="20"/>
                <w:szCs w:val="20"/>
              </w:rPr>
            </w:pPr>
          </w:p>
        </w:tc>
        <w:tc>
          <w:tcPr>
            <w:tcW w:w="2977" w:type="dxa"/>
          </w:tcPr>
          <w:p w14:paraId="4234C66A" w14:textId="657A8EAA"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2.3</w:t>
            </w:r>
            <w:r w:rsidRPr="00707D64">
              <w:rPr>
                <w:rFonts w:asciiTheme="minorHAnsi" w:hAnsiTheme="minorHAnsi"/>
                <w:sz w:val="20"/>
                <w:szCs w:val="20"/>
              </w:rPr>
              <w:tab/>
              <w:t>En principe, un compte est censé être accepté sans qu'il soit nécessaire d'en notifier expressément l'acceptation à l'exploitation autorisée qui l'a présenté.</w:t>
            </w:r>
          </w:p>
        </w:tc>
        <w:tc>
          <w:tcPr>
            <w:tcW w:w="2976" w:type="dxa"/>
          </w:tcPr>
          <w:p w14:paraId="7DACAC4B" w14:textId="3F98FEBC"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inorHAnsi"/>
                <w:sz w:val="20"/>
                <w:szCs w:val="20"/>
                <w:lang w:val="fr-CH"/>
              </w:rPr>
              <w:t>2.3</w:t>
            </w:r>
            <w:r w:rsidRPr="00981979">
              <w:rPr>
                <w:rFonts w:asciiTheme="minorHAnsi" w:hAnsiTheme="minorHAnsi" w:cstheme="minorHAnsi"/>
                <w:sz w:val="20"/>
                <w:szCs w:val="20"/>
                <w:lang w:val="fr-CH"/>
              </w:rPr>
              <w:tab/>
              <w:t>En principe, un compte est censé être accepté sans qu'il soit nécessaire d'en notifier explicitement l'acceptation à l'administration</w:t>
            </w:r>
            <w:r w:rsidRPr="00981979">
              <w:rPr>
                <w:rFonts w:asciiTheme="minorHAnsi" w:hAnsiTheme="minorHAnsi" w:cstheme="minorHAnsi"/>
                <w:sz w:val="20"/>
                <w:szCs w:val="20"/>
              </w:rPr>
              <w:t>*</w:t>
            </w:r>
            <w:r w:rsidRPr="00981979">
              <w:rPr>
                <w:rFonts w:asciiTheme="minorHAnsi" w:hAnsiTheme="minorHAnsi" w:cstheme="minorHAnsi"/>
                <w:sz w:val="20"/>
                <w:szCs w:val="20"/>
                <w:lang w:val="fr-CH"/>
              </w:rPr>
              <w:t>qui l'a présenté.</w:t>
            </w:r>
          </w:p>
        </w:tc>
        <w:tc>
          <w:tcPr>
            <w:tcW w:w="2375" w:type="dxa"/>
          </w:tcPr>
          <w:p w14:paraId="645AA6A4" w14:textId="6845D044"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04B7C2EA" w14:textId="1CE2DECA" w:rsidR="00AA277B" w:rsidRPr="00981979" w:rsidRDefault="000E6DA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Aucun</w:t>
            </w:r>
            <w:r w:rsidR="002E7D29" w:rsidRPr="00981979">
              <w:rPr>
                <w:rFonts w:asciiTheme="minorHAnsi" w:hAnsiTheme="minorHAnsi" w:cstheme="majorBidi"/>
                <w:b/>
                <w:sz w:val="20"/>
                <w:szCs w:val="20"/>
              </w:rPr>
              <w:t>e souplesse</w:t>
            </w:r>
            <w:r w:rsidR="00981979" w:rsidRPr="00981979">
              <w:rPr>
                <w:rFonts w:asciiTheme="minorHAnsi" w:hAnsiTheme="minorHAnsi" w:cstheme="majorBidi"/>
                <w:b/>
                <w:sz w:val="20"/>
                <w:szCs w:val="20"/>
              </w:rPr>
              <w:t xml:space="preserve"> </w:t>
            </w:r>
            <w:r w:rsidRPr="00981979">
              <w:rPr>
                <w:rFonts w:asciiTheme="minorHAnsi" w:hAnsiTheme="minorHAnsi" w:cstheme="majorBidi"/>
                <w:b/>
                <w:sz w:val="20"/>
                <w:szCs w:val="20"/>
              </w:rPr>
              <w:t>n'est requis</w:t>
            </w:r>
            <w:r w:rsidR="002E7D29" w:rsidRPr="00981979">
              <w:rPr>
                <w:rFonts w:asciiTheme="minorHAnsi" w:hAnsiTheme="minorHAnsi" w:cstheme="majorBidi"/>
                <w:b/>
                <w:sz w:val="20"/>
                <w:szCs w:val="20"/>
              </w:rPr>
              <w:t>e</w:t>
            </w:r>
            <w:r w:rsidRPr="00981979">
              <w:rPr>
                <w:rFonts w:asciiTheme="minorHAnsi" w:hAnsiTheme="minorHAnsi" w:cstheme="majorBidi"/>
                <w:b/>
                <w:sz w:val="20"/>
                <w:szCs w:val="20"/>
              </w:rPr>
              <w:t>.</w:t>
            </w:r>
          </w:p>
        </w:tc>
        <w:tc>
          <w:tcPr>
            <w:tcW w:w="2327" w:type="dxa"/>
          </w:tcPr>
          <w:p w14:paraId="18BD3C9D" w14:textId="77777777" w:rsidR="00AA277B" w:rsidRPr="00981979" w:rsidRDefault="00AA277B" w:rsidP="00C661CD">
            <w:pPr>
              <w:pStyle w:val="Tabletext"/>
              <w:rPr>
                <w:rFonts w:asciiTheme="minorHAnsi" w:hAnsiTheme="minorHAnsi" w:cstheme="majorBidi"/>
                <w:b/>
                <w:sz w:val="20"/>
                <w:szCs w:val="20"/>
              </w:rPr>
            </w:pPr>
          </w:p>
        </w:tc>
      </w:tr>
      <w:tr w:rsidR="00AA277B" w14:paraId="14CEC610" w14:textId="77777777" w:rsidTr="00C10FCA">
        <w:tc>
          <w:tcPr>
            <w:tcW w:w="1980" w:type="dxa"/>
          </w:tcPr>
          <w:p w14:paraId="3F2FD0F8"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7EC32DB4" w14:textId="3E322A2A"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2.4</w:t>
            </w:r>
            <w:r w:rsidRPr="00707D64">
              <w:rPr>
                <w:rFonts w:asciiTheme="minorHAnsi" w:hAnsiTheme="minorHAnsi"/>
                <w:sz w:val="20"/>
                <w:szCs w:val="20"/>
              </w:rPr>
              <w:tab/>
              <w:t>Cependant, toute exploitation autorisée a le droit de contester les éléments d'un compte</w:t>
            </w:r>
            <w:r w:rsidRPr="00707D64">
              <w:rPr>
                <w:rFonts w:asciiTheme="minorHAnsi" w:hAnsiTheme="minorHAnsi"/>
                <w:sz w:val="20"/>
                <w:szCs w:val="20"/>
                <w:lang w:val="fr-CH"/>
              </w:rPr>
              <w:t xml:space="preserve"> </w:t>
            </w:r>
            <w:r w:rsidRPr="00707D64">
              <w:rPr>
                <w:rFonts w:asciiTheme="minorHAnsi" w:hAnsiTheme="minorHAnsi"/>
                <w:sz w:val="20"/>
                <w:szCs w:val="20"/>
              </w:rPr>
              <w:t>pendant une période de deux mois calendaires à compter de sa date de réception, mais seulement dans la mesure où il s'agit de ramener les différences dans des limites mutuellement convenues.</w:t>
            </w:r>
          </w:p>
        </w:tc>
        <w:tc>
          <w:tcPr>
            <w:tcW w:w="2976" w:type="dxa"/>
          </w:tcPr>
          <w:p w14:paraId="1A781E92" w14:textId="6FB4B84D"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cstheme="minorHAnsi"/>
                <w:sz w:val="20"/>
                <w:szCs w:val="20"/>
                <w:lang w:val="fr-CH"/>
              </w:rPr>
              <w:t>2.4</w:t>
            </w:r>
            <w:r w:rsidRPr="00981979">
              <w:rPr>
                <w:rFonts w:asciiTheme="minorHAnsi" w:hAnsiTheme="minorHAnsi" w:cstheme="minorHAnsi"/>
                <w:sz w:val="20"/>
                <w:szCs w:val="20"/>
                <w:lang w:val="fr-CH"/>
              </w:rPr>
              <w:tab/>
              <w:t>Cependant, toute administration</w:t>
            </w:r>
            <w:r w:rsidRPr="00981979">
              <w:rPr>
                <w:rFonts w:asciiTheme="minorHAnsi" w:hAnsiTheme="minorHAnsi"/>
                <w:sz w:val="20"/>
                <w:szCs w:val="20"/>
              </w:rPr>
              <w:t xml:space="preserve">* </w:t>
            </w:r>
            <w:r w:rsidRPr="00981979">
              <w:rPr>
                <w:rFonts w:asciiTheme="minorHAnsi" w:hAnsiTheme="minorHAnsi" w:cstheme="minorHAnsi"/>
                <w:sz w:val="20"/>
                <w:szCs w:val="20"/>
                <w:lang w:val="fr-CH"/>
              </w:rPr>
              <w:t xml:space="preserve">a le droit de contester les éléments d'un compte pendant une période de deux mois calendaires à compter de sa date de réception, mais seulement dans la mesure où il s'agit de ramener les différences dans des limites mutuellement convenues. </w:t>
            </w:r>
          </w:p>
        </w:tc>
        <w:tc>
          <w:tcPr>
            <w:tcW w:w="2375" w:type="dxa"/>
          </w:tcPr>
          <w:p w14:paraId="0D398E60" w14:textId="796AA080"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7417A95A" w14:textId="4B608687" w:rsidR="00AA277B" w:rsidRPr="00981979" w:rsidRDefault="000E6DAB"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Propre à la situation </w:t>
            </w:r>
            <w:r w:rsidR="002E7D29" w:rsidRPr="00981979">
              <w:rPr>
                <w:rFonts w:asciiTheme="minorHAnsi" w:hAnsiTheme="minorHAnsi" w:cstheme="majorBidi"/>
                <w:b/>
                <w:sz w:val="20"/>
                <w:szCs w:val="20"/>
              </w:rPr>
              <w:t>en question</w:t>
            </w:r>
            <w:r w:rsidR="001D617E">
              <w:rPr>
                <w:rFonts w:asciiTheme="minorHAnsi" w:hAnsiTheme="minorHAnsi" w:cstheme="majorBidi"/>
                <w:b/>
                <w:sz w:val="20"/>
                <w:szCs w:val="20"/>
              </w:rPr>
              <w:t>.</w:t>
            </w:r>
          </w:p>
        </w:tc>
        <w:tc>
          <w:tcPr>
            <w:tcW w:w="2327" w:type="dxa"/>
          </w:tcPr>
          <w:p w14:paraId="4AC8CF8A" w14:textId="77777777" w:rsidR="00AA277B" w:rsidRPr="00981979" w:rsidRDefault="00AA277B" w:rsidP="00C661CD">
            <w:pPr>
              <w:pStyle w:val="Tabletext"/>
              <w:rPr>
                <w:rFonts w:asciiTheme="minorHAnsi" w:hAnsiTheme="minorHAnsi" w:cstheme="majorBidi"/>
                <w:b/>
                <w:sz w:val="20"/>
                <w:szCs w:val="20"/>
              </w:rPr>
            </w:pPr>
          </w:p>
        </w:tc>
      </w:tr>
      <w:tr w:rsidR="00AA277B" w:rsidRPr="000E6DAB" w14:paraId="32629D4E" w14:textId="77777777" w:rsidTr="00C10FCA">
        <w:tc>
          <w:tcPr>
            <w:tcW w:w="1980" w:type="dxa"/>
          </w:tcPr>
          <w:p w14:paraId="5B9120FD"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6FA2C878" w14:textId="16996774" w:rsidR="00AA277B" w:rsidRPr="00707D64" w:rsidRDefault="00AA277B" w:rsidP="00C661CD">
            <w:pPr>
              <w:pStyle w:val="Tabletext"/>
              <w:rPr>
                <w:rFonts w:asciiTheme="minorHAnsi" w:hAnsiTheme="minorHAnsi" w:cstheme="majorBidi"/>
                <w:b/>
                <w:sz w:val="20"/>
                <w:szCs w:val="20"/>
              </w:rPr>
            </w:pPr>
            <w:r w:rsidRPr="00707D64">
              <w:rPr>
                <w:rFonts w:asciiTheme="minorHAnsi" w:hAnsiTheme="minorHAnsi"/>
                <w:sz w:val="20"/>
                <w:szCs w:val="20"/>
              </w:rPr>
              <w:t>2.5</w:t>
            </w:r>
            <w:r w:rsidRPr="00707D64">
              <w:rPr>
                <w:rFonts w:asciiTheme="minorHAnsi" w:hAnsiTheme="minorHAnsi"/>
                <w:sz w:val="20"/>
                <w:szCs w:val="20"/>
              </w:rPr>
              <w:tab/>
              <w:t>Dans les relations pour lesquelles il n'existe pas d'accord spécial, un décompte trimestriel, indiquant le solde des comptes mensuels pour la période à laquelle ce décompte se rapporte, est établi et publié aussi rapidement que possible par l'exploitation autorisée créancière et transmis à l'exploitation autorisée débitrice, laquelle, après vérification, en renvoie un exemplaire revêtu de son visa d'acceptation.</w:t>
            </w:r>
          </w:p>
        </w:tc>
        <w:tc>
          <w:tcPr>
            <w:tcW w:w="2976" w:type="dxa"/>
          </w:tcPr>
          <w:p w14:paraId="52F1A598" w14:textId="21A786B0" w:rsidR="00AA277B" w:rsidRPr="00981979" w:rsidRDefault="00AA277B" w:rsidP="00C661CD">
            <w:pPr>
              <w:pStyle w:val="Tabletext"/>
              <w:rPr>
                <w:rFonts w:asciiTheme="minorHAnsi" w:hAnsiTheme="minorHAnsi" w:cstheme="majorBidi"/>
                <w:b/>
                <w:sz w:val="20"/>
                <w:szCs w:val="20"/>
              </w:rPr>
            </w:pPr>
            <w:r w:rsidRPr="00981979">
              <w:rPr>
                <w:rFonts w:asciiTheme="minorHAnsi" w:hAnsiTheme="minorHAnsi"/>
                <w:sz w:val="20"/>
                <w:szCs w:val="20"/>
              </w:rPr>
              <w:t>2.5</w:t>
            </w:r>
            <w:r w:rsidRPr="00981979">
              <w:rPr>
                <w:rFonts w:asciiTheme="minorHAnsi" w:hAnsiTheme="minorHAnsi"/>
                <w:sz w:val="20"/>
                <w:szCs w:val="20"/>
              </w:rPr>
              <w:tab/>
              <w:t xml:space="preserve">Dans les relations pour lesquelles il n'existe pas d'accord spécial, un décompte trimestriel, indiquant le solde des comptes mensuels pour la période à laquelle ce décompte se rapporte, est établi aussi rapidement que possible par l'administration* créancière et transmis en double exemplaire à l'administration* débitrice, laquelle, après vérification, renvoie l'un </w:t>
            </w:r>
            <w:proofErr w:type="gramStart"/>
            <w:r w:rsidRPr="00981979">
              <w:rPr>
                <w:rFonts w:asciiTheme="minorHAnsi" w:hAnsiTheme="minorHAnsi"/>
                <w:sz w:val="20"/>
                <w:szCs w:val="20"/>
              </w:rPr>
              <w:t>des exemplaires revêtu</w:t>
            </w:r>
            <w:proofErr w:type="gramEnd"/>
            <w:r w:rsidRPr="00981979">
              <w:rPr>
                <w:rFonts w:asciiTheme="minorHAnsi" w:hAnsiTheme="minorHAnsi"/>
                <w:sz w:val="20"/>
                <w:szCs w:val="20"/>
              </w:rPr>
              <w:t xml:space="preserve"> de son visa d'acceptation.</w:t>
            </w:r>
          </w:p>
        </w:tc>
        <w:tc>
          <w:tcPr>
            <w:tcW w:w="2375" w:type="dxa"/>
          </w:tcPr>
          <w:p w14:paraId="1B6A97C1" w14:textId="25AA2D6C"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AA277B" w:rsidRPr="00981979">
              <w:rPr>
                <w:rFonts w:asciiTheme="minorHAnsi" w:hAnsiTheme="minorHAnsi" w:cstheme="majorBidi"/>
                <w:b/>
                <w:sz w:val="20"/>
                <w:szCs w:val="20"/>
              </w:rPr>
              <w:t>disposition est applicable.</w:t>
            </w:r>
          </w:p>
        </w:tc>
        <w:tc>
          <w:tcPr>
            <w:tcW w:w="2445" w:type="dxa"/>
          </w:tcPr>
          <w:p w14:paraId="634C914A" w14:textId="292FE921" w:rsidR="00AA277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0E6DAB" w:rsidRPr="00981979">
              <w:rPr>
                <w:rFonts w:asciiTheme="minorHAnsi" w:hAnsiTheme="minorHAnsi" w:cstheme="majorBidi"/>
                <w:b/>
                <w:sz w:val="20"/>
                <w:szCs w:val="20"/>
              </w:rPr>
              <w:t>offre la souplesse nécessaire étant donné qu'il permet</w:t>
            </w:r>
            <w:r w:rsidR="00981979" w:rsidRPr="00981979">
              <w:rPr>
                <w:rFonts w:asciiTheme="minorHAnsi" w:hAnsiTheme="minorHAnsi" w:cstheme="majorBidi"/>
                <w:b/>
                <w:sz w:val="20"/>
                <w:szCs w:val="20"/>
              </w:rPr>
              <w:t xml:space="preserve"> </w:t>
            </w:r>
            <w:r w:rsidR="002E7D29" w:rsidRPr="00981979">
              <w:rPr>
                <w:rFonts w:asciiTheme="minorHAnsi" w:hAnsiTheme="minorHAnsi" w:cstheme="majorBidi"/>
                <w:b/>
                <w:sz w:val="20"/>
                <w:szCs w:val="20"/>
              </w:rPr>
              <w:t>de conclure des</w:t>
            </w:r>
            <w:r w:rsidR="00981979" w:rsidRPr="00981979">
              <w:rPr>
                <w:rFonts w:asciiTheme="minorHAnsi" w:hAnsiTheme="minorHAnsi" w:cstheme="majorBidi"/>
                <w:b/>
                <w:sz w:val="20"/>
                <w:szCs w:val="20"/>
              </w:rPr>
              <w:t xml:space="preserve"> </w:t>
            </w:r>
            <w:r w:rsidR="000E6DAB" w:rsidRPr="00981979">
              <w:rPr>
                <w:rFonts w:asciiTheme="minorHAnsi" w:hAnsiTheme="minorHAnsi" w:cstheme="majorBidi"/>
                <w:b/>
                <w:sz w:val="20"/>
                <w:szCs w:val="20"/>
              </w:rPr>
              <w:t>accords spéciaux.</w:t>
            </w:r>
          </w:p>
        </w:tc>
        <w:tc>
          <w:tcPr>
            <w:tcW w:w="2327" w:type="dxa"/>
          </w:tcPr>
          <w:p w14:paraId="0B6EBD58" w14:textId="77777777" w:rsidR="00AA277B" w:rsidRPr="00981979" w:rsidRDefault="00AA277B" w:rsidP="00C661CD">
            <w:pPr>
              <w:pStyle w:val="Tabletext"/>
              <w:rPr>
                <w:rFonts w:asciiTheme="minorHAnsi" w:hAnsiTheme="minorHAnsi" w:cstheme="majorBidi"/>
                <w:b/>
                <w:sz w:val="20"/>
                <w:szCs w:val="20"/>
              </w:rPr>
            </w:pPr>
          </w:p>
        </w:tc>
      </w:tr>
      <w:tr w:rsidR="00AA277B" w14:paraId="5923DC9B" w14:textId="77777777" w:rsidTr="00C10FCA">
        <w:tc>
          <w:tcPr>
            <w:tcW w:w="1980" w:type="dxa"/>
          </w:tcPr>
          <w:p w14:paraId="0C3985FE" w14:textId="77777777" w:rsidR="00AA277B" w:rsidRPr="000E6DAB" w:rsidRDefault="00AA277B" w:rsidP="00C661CD">
            <w:pPr>
              <w:snapToGrid w:val="0"/>
              <w:spacing w:before="60" w:after="60"/>
              <w:jc w:val="center"/>
              <w:rPr>
                <w:rFonts w:asciiTheme="minorHAnsi" w:hAnsiTheme="minorHAnsi" w:cstheme="majorBidi"/>
                <w:b/>
                <w:sz w:val="20"/>
                <w:szCs w:val="20"/>
              </w:rPr>
            </w:pPr>
          </w:p>
        </w:tc>
        <w:tc>
          <w:tcPr>
            <w:tcW w:w="2977" w:type="dxa"/>
          </w:tcPr>
          <w:p w14:paraId="15D60DC9" w14:textId="44C2528B" w:rsidR="00AA277B" w:rsidRPr="00707D64" w:rsidRDefault="00AA277B" w:rsidP="00C661CD">
            <w:pPr>
              <w:pStyle w:val="Tabletext"/>
              <w:rPr>
                <w:rFonts w:asciiTheme="minorHAnsi" w:hAnsiTheme="minorHAnsi"/>
                <w:sz w:val="20"/>
                <w:szCs w:val="20"/>
              </w:rPr>
            </w:pPr>
            <w:r w:rsidRPr="00707D64">
              <w:rPr>
                <w:rFonts w:asciiTheme="minorHAnsi" w:hAnsiTheme="minorHAnsi"/>
                <w:sz w:val="20"/>
                <w:szCs w:val="20"/>
              </w:rPr>
              <w:t>2.6</w:t>
            </w:r>
            <w:r w:rsidRPr="00707D64">
              <w:rPr>
                <w:rFonts w:asciiTheme="minorHAnsi" w:hAnsiTheme="minorHAnsi"/>
                <w:sz w:val="20"/>
                <w:szCs w:val="20"/>
              </w:rPr>
              <w:tab/>
              <w:t xml:space="preserve">Dans les relations indirectes où une exploitation autorisée de transit sert d'intermédiaire comptable entre </w:t>
            </w:r>
            <w:r w:rsidRPr="00707D64">
              <w:rPr>
                <w:rFonts w:asciiTheme="minorHAnsi" w:hAnsiTheme="minorHAnsi"/>
                <w:sz w:val="20"/>
                <w:szCs w:val="20"/>
              </w:rPr>
              <w:lastRenderedPageBreak/>
              <w:t xml:space="preserve">deux points terminaux, </w:t>
            </w:r>
            <w:r w:rsidRPr="00707D64">
              <w:rPr>
                <w:rFonts w:asciiTheme="minorHAnsi" w:hAnsiTheme="minorHAnsi"/>
                <w:sz w:val="20"/>
                <w:szCs w:val="20"/>
                <w:lang w:val="fr-CH"/>
              </w:rPr>
              <w:t>les</w:t>
            </w:r>
            <w:r w:rsidR="00981979">
              <w:rPr>
                <w:rFonts w:asciiTheme="minorHAnsi" w:hAnsiTheme="minorHAnsi"/>
                <w:sz w:val="20"/>
                <w:szCs w:val="20"/>
                <w:lang w:val="fr-CH"/>
              </w:rPr>
              <w:t xml:space="preserve"> </w:t>
            </w:r>
            <w:r w:rsidRPr="00707D64">
              <w:rPr>
                <w:rFonts w:asciiTheme="minorHAnsi" w:hAnsiTheme="minorHAnsi"/>
                <w:caps/>
                <w:sz w:val="20"/>
                <w:szCs w:val="20"/>
                <w:lang w:val="fr-CH"/>
              </w:rPr>
              <w:t>é</w:t>
            </w:r>
            <w:r w:rsidRPr="00707D64">
              <w:rPr>
                <w:rFonts w:asciiTheme="minorHAnsi" w:hAnsiTheme="minorHAnsi"/>
                <w:sz w:val="20"/>
                <w:szCs w:val="20"/>
                <w:lang w:val="fr-CH"/>
              </w:rPr>
              <w:t>tats Membres s'efforcent de veiller à ce que les exploitations</w:t>
            </w:r>
            <w:r w:rsidRPr="00707D64">
              <w:rPr>
                <w:rFonts w:asciiTheme="minorHAnsi" w:hAnsiTheme="minorHAnsi"/>
                <w:sz w:val="20"/>
                <w:szCs w:val="20"/>
              </w:rPr>
              <w:t xml:space="preserve"> autorisées incluent les données comptables relatives au trafic de transit dans le compte du trafic sortant correspondant destiné aux exploitations autorisées en aval dans la séquence d'acheminement, aussi rapidement que possible après réception de ces données de l'exploitation autorisée d'origine, conformément aux Recommandations UIT-T pertinentes.</w:t>
            </w:r>
          </w:p>
        </w:tc>
        <w:tc>
          <w:tcPr>
            <w:tcW w:w="2976" w:type="dxa"/>
          </w:tcPr>
          <w:p w14:paraId="4FDB8773" w14:textId="4FA58201" w:rsidR="00AA277B" w:rsidRPr="00981979" w:rsidRDefault="00AA277B" w:rsidP="00C661CD">
            <w:pPr>
              <w:pStyle w:val="Tabletext"/>
              <w:rPr>
                <w:rFonts w:asciiTheme="minorHAnsi" w:hAnsiTheme="minorHAnsi"/>
                <w:sz w:val="20"/>
                <w:szCs w:val="20"/>
              </w:rPr>
            </w:pPr>
            <w:r w:rsidRPr="00981979">
              <w:rPr>
                <w:rFonts w:asciiTheme="minorHAnsi" w:hAnsiTheme="minorHAnsi"/>
                <w:sz w:val="20"/>
                <w:szCs w:val="20"/>
                <w:lang w:val="fr-CH"/>
              </w:rPr>
              <w:lastRenderedPageBreak/>
              <w:t>2.6</w:t>
            </w:r>
            <w:r w:rsidRPr="00981979">
              <w:rPr>
                <w:rFonts w:asciiTheme="minorHAnsi" w:hAnsiTheme="minorHAnsi"/>
                <w:sz w:val="20"/>
                <w:szCs w:val="20"/>
                <w:lang w:val="fr-CH"/>
              </w:rPr>
              <w:tab/>
              <w:t xml:space="preserve">Dans les relations indirectes où une administration* de transit sert d'intermédiaire comptable entre deux points </w:t>
            </w:r>
            <w:r w:rsidRPr="00981979">
              <w:rPr>
                <w:rFonts w:asciiTheme="minorHAnsi" w:hAnsiTheme="minorHAnsi"/>
                <w:sz w:val="20"/>
                <w:szCs w:val="20"/>
                <w:lang w:val="fr-CH"/>
              </w:rPr>
              <w:lastRenderedPageBreak/>
              <w:t>terminaux, celle</w:t>
            </w:r>
            <w:r w:rsidRPr="00981979">
              <w:rPr>
                <w:rFonts w:asciiTheme="minorHAnsi" w:hAnsiTheme="minorHAnsi"/>
                <w:sz w:val="20"/>
                <w:szCs w:val="20"/>
                <w:lang w:val="fr-CH"/>
              </w:rPr>
              <w:noBreakHyphen/>
              <w:t>ci doit inclure les données comptables relatives au trafic de transit dans le compte du trafic sortant correspondant destiné aux administrations</w:t>
            </w:r>
            <w:r w:rsidRPr="00981979">
              <w:rPr>
                <w:rFonts w:asciiTheme="minorHAnsi" w:hAnsiTheme="minorHAnsi"/>
                <w:sz w:val="20"/>
                <w:szCs w:val="20"/>
              </w:rPr>
              <w:t>*</w:t>
            </w:r>
            <w:r w:rsidRPr="00981979">
              <w:rPr>
                <w:rFonts w:asciiTheme="minorHAnsi" w:hAnsiTheme="minorHAnsi"/>
                <w:sz w:val="20"/>
                <w:szCs w:val="20"/>
                <w:lang w:val="fr-CH"/>
              </w:rPr>
              <w:t xml:space="preserve"> en aval dans la séquence d'acheminement, aussi rapidement que possible après réception de ces données de l'administration</w:t>
            </w:r>
            <w:r w:rsidRPr="00981979">
              <w:rPr>
                <w:rFonts w:asciiTheme="minorHAnsi" w:hAnsiTheme="minorHAnsi"/>
                <w:sz w:val="20"/>
                <w:szCs w:val="20"/>
              </w:rPr>
              <w:t>*</w:t>
            </w:r>
            <w:r w:rsidRPr="00981979">
              <w:rPr>
                <w:rFonts w:asciiTheme="minorHAnsi" w:hAnsiTheme="minorHAnsi"/>
                <w:sz w:val="20"/>
                <w:szCs w:val="20"/>
                <w:lang w:val="fr-CH"/>
              </w:rPr>
              <w:t xml:space="preserve"> d'origine. </w:t>
            </w:r>
          </w:p>
        </w:tc>
        <w:tc>
          <w:tcPr>
            <w:tcW w:w="2375" w:type="dxa"/>
          </w:tcPr>
          <w:p w14:paraId="33E81FCB" w14:textId="3707C307" w:rsidR="00AA277B" w:rsidRPr="00981979" w:rsidRDefault="00ED3560" w:rsidP="00C661CD">
            <w:pPr>
              <w:pStyle w:val="Tabletext"/>
              <w:rPr>
                <w:rFonts w:asciiTheme="minorHAnsi" w:hAnsiTheme="minorHAnsi" w:cstheme="majorBidi"/>
                <w:b/>
                <w:sz w:val="20"/>
                <w:szCs w:val="20"/>
              </w:rPr>
            </w:pPr>
            <w:bookmarkStart w:id="30" w:name="lt_pId279"/>
            <w:r w:rsidRPr="00981979">
              <w:rPr>
                <w:rFonts w:asciiTheme="minorHAnsi" w:hAnsiTheme="minorHAnsi" w:cstheme="majorBidi"/>
                <w:b/>
                <w:sz w:val="20"/>
                <w:szCs w:val="20"/>
              </w:rPr>
              <w:lastRenderedPageBreak/>
              <w:t xml:space="preserve">Cette </w:t>
            </w:r>
            <w:r w:rsidR="000E6DAB" w:rsidRPr="00981979">
              <w:rPr>
                <w:rFonts w:asciiTheme="minorHAnsi" w:hAnsiTheme="minorHAnsi" w:cstheme="majorBidi"/>
                <w:b/>
                <w:sz w:val="20"/>
                <w:szCs w:val="20"/>
              </w:rPr>
              <w:t xml:space="preserve">disposition est applicable étant donné qu'elle </w:t>
            </w:r>
            <w:r w:rsidR="0096619F" w:rsidRPr="00981979">
              <w:rPr>
                <w:rFonts w:asciiTheme="minorHAnsi" w:hAnsiTheme="minorHAnsi" w:cstheme="majorBidi"/>
                <w:b/>
                <w:sz w:val="20"/>
                <w:szCs w:val="20"/>
              </w:rPr>
              <w:t xml:space="preserve">renvoie </w:t>
            </w:r>
            <w:r w:rsidR="000E6DAB" w:rsidRPr="00981979">
              <w:rPr>
                <w:rFonts w:asciiTheme="minorHAnsi" w:hAnsiTheme="minorHAnsi" w:cstheme="majorBidi"/>
                <w:b/>
                <w:sz w:val="20"/>
                <w:szCs w:val="20"/>
              </w:rPr>
              <w:t xml:space="preserve">aux </w:t>
            </w:r>
            <w:r w:rsidR="000E6DAB" w:rsidRPr="00981979">
              <w:rPr>
                <w:rFonts w:asciiTheme="minorHAnsi" w:hAnsiTheme="minorHAnsi" w:cstheme="majorBidi"/>
                <w:b/>
                <w:sz w:val="20"/>
                <w:szCs w:val="20"/>
              </w:rPr>
              <w:lastRenderedPageBreak/>
              <w:t>Recommandations de l'UIT-T.</w:t>
            </w:r>
            <w:r w:rsidR="00AA277B" w:rsidRPr="00981979">
              <w:rPr>
                <w:rFonts w:asciiTheme="minorHAnsi" w:hAnsiTheme="minorHAnsi" w:cstheme="majorBidi"/>
                <w:b/>
                <w:sz w:val="20"/>
                <w:szCs w:val="20"/>
              </w:rPr>
              <w:t xml:space="preserve"> </w:t>
            </w:r>
            <w:bookmarkEnd w:id="30"/>
          </w:p>
        </w:tc>
        <w:tc>
          <w:tcPr>
            <w:tcW w:w="2445" w:type="dxa"/>
          </w:tcPr>
          <w:p w14:paraId="6B18807E" w14:textId="65D95448" w:rsidR="00AA277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Aucune souplesse </w:t>
            </w:r>
            <w:r w:rsidR="000E6DAB" w:rsidRPr="00981979">
              <w:rPr>
                <w:rFonts w:asciiTheme="minorHAnsi" w:hAnsiTheme="minorHAnsi" w:cstheme="majorBidi"/>
                <w:b/>
                <w:sz w:val="20"/>
                <w:szCs w:val="20"/>
              </w:rPr>
              <w:t>n'est requis</w:t>
            </w:r>
            <w:r w:rsidR="0040121F" w:rsidRPr="00981979">
              <w:rPr>
                <w:rFonts w:asciiTheme="minorHAnsi" w:hAnsiTheme="minorHAnsi" w:cstheme="majorBidi"/>
                <w:b/>
                <w:sz w:val="20"/>
                <w:szCs w:val="20"/>
              </w:rPr>
              <w:t>e</w:t>
            </w:r>
            <w:r w:rsidR="000E6DAB" w:rsidRPr="00981979">
              <w:rPr>
                <w:rFonts w:asciiTheme="minorHAnsi" w:hAnsiTheme="minorHAnsi" w:cstheme="majorBidi"/>
                <w:b/>
                <w:sz w:val="20"/>
                <w:szCs w:val="20"/>
              </w:rPr>
              <w:t>.</w:t>
            </w:r>
          </w:p>
        </w:tc>
        <w:tc>
          <w:tcPr>
            <w:tcW w:w="2327" w:type="dxa"/>
          </w:tcPr>
          <w:p w14:paraId="26064222" w14:textId="77777777" w:rsidR="00AA277B" w:rsidRPr="00981979" w:rsidRDefault="00AA277B" w:rsidP="00C661CD">
            <w:pPr>
              <w:pStyle w:val="Tabletext"/>
              <w:rPr>
                <w:rFonts w:asciiTheme="minorHAnsi" w:hAnsiTheme="minorHAnsi" w:cstheme="majorBidi"/>
                <w:b/>
                <w:sz w:val="20"/>
                <w:szCs w:val="20"/>
              </w:rPr>
            </w:pPr>
          </w:p>
        </w:tc>
      </w:tr>
      <w:tr w:rsidR="00AA277B" w:rsidRPr="000E5FCC" w14:paraId="22CF9676" w14:textId="77777777" w:rsidTr="00C10FCA">
        <w:tc>
          <w:tcPr>
            <w:tcW w:w="1980" w:type="dxa"/>
          </w:tcPr>
          <w:p w14:paraId="4FD3005F"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6CC22316" w14:textId="7A4DEF4A" w:rsidR="00AA277B" w:rsidRPr="00707D64" w:rsidRDefault="00AA277B" w:rsidP="00C661CD">
            <w:pPr>
              <w:pStyle w:val="Tabletext"/>
              <w:rPr>
                <w:rFonts w:asciiTheme="minorHAnsi" w:hAnsiTheme="minorHAnsi"/>
                <w:b/>
                <w:sz w:val="20"/>
                <w:szCs w:val="20"/>
              </w:rPr>
            </w:pPr>
            <w:r w:rsidRPr="00707D64">
              <w:rPr>
                <w:rFonts w:asciiTheme="minorHAnsi" w:hAnsiTheme="minorHAnsi"/>
                <w:b/>
                <w:sz w:val="20"/>
                <w:szCs w:val="20"/>
              </w:rPr>
              <w:t>3</w:t>
            </w:r>
            <w:r w:rsidRPr="00707D64">
              <w:rPr>
                <w:rFonts w:asciiTheme="minorHAnsi" w:hAnsiTheme="minorHAnsi"/>
                <w:b/>
                <w:sz w:val="20"/>
                <w:szCs w:val="20"/>
              </w:rPr>
              <w:tab/>
              <w:t>Règlement des soldes de comptes</w:t>
            </w:r>
          </w:p>
        </w:tc>
        <w:tc>
          <w:tcPr>
            <w:tcW w:w="2976" w:type="dxa"/>
          </w:tcPr>
          <w:p w14:paraId="6EC8F661" w14:textId="77777777" w:rsidR="00AA277B" w:rsidRPr="00981979" w:rsidRDefault="00AA277B" w:rsidP="00C661CD">
            <w:pPr>
              <w:pStyle w:val="Tabletext"/>
              <w:rPr>
                <w:rFonts w:asciiTheme="minorHAnsi" w:hAnsiTheme="minorHAnsi"/>
                <w:sz w:val="20"/>
                <w:szCs w:val="20"/>
              </w:rPr>
            </w:pPr>
          </w:p>
        </w:tc>
        <w:tc>
          <w:tcPr>
            <w:tcW w:w="2375" w:type="dxa"/>
          </w:tcPr>
          <w:p w14:paraId="2EA0DCF4" w14:textId="77777777" w:rsidR="00AA277B" w:rsidRPr="00981979" w:rsidRDefault="00AA277B" w:rsidP="00C661CD">
            <w:pPr>
              <w:pStyle w:val="Tabletext"/>
              <w:rPr>
                <w:rFonts w:asciiTheme="minorHAnsi" w:hAnsiTheme="minorHAnsi" w:cstheme="majorBidi"/>
                <w:b/>
                <w:sz w:val="20"/>
                <w:szCs w:val="20"/>
              </w:rPr>
            </w:pPr>
          </w:p>
        </w:tc>
        <w:tc>
          <w:tcPr>
            <w:tcW w:w="2445" w:type="dxa"/>
          </w:tcPr>
          <w:p w14:paraId="6C493DE7" w14:textId="77777777" w:rsidR="00AA277B" w:rsidRPr="00981979" w:rsidRDefault="00AA277B" w:rsidP="00C661CD">
            <w:pPr>
              <w:pStyle w:val="Tabletext"/>
              <w:rPr>
                <w:rFonts w:asciiTheme="minorHAnsi" w:hAnsiTheme="minorHAnsi" w:cstheme="majorBidi"/>
                <w:b/>
                <w:sz w:val="20"/>
                <w:szCs w:val="20"/>
              </w:rPr>
            </w:pPr>
          </w:p>
        </w:tc>
        <w:tc>
          <w:tcPr>
            <w:tcW w:w="2327" w:type="dxa"/>
          </w:tcPr>
          <w:p w14:paraId="50D8A8C6" w14:textId="77777777" w:rsidR="00AA277B" w:rsidRPr="00981979" w:rsidRDefault="00AA277B" w:rsidP="00C661CD">
            <w:pPr>
              <w:pStyle w:val="Tabletext"/>
              <w:rPr>
                <w:rFonts w:asciiTheme="minorHAnsi" w:hAnsiTheme="minorHAnsi" w:cstheme="majorBidi"/>
                <w:b/>
                <w:sz w:val="20"/>
                <w:szCs w:val="20"/>
              </w:rPr>
            </w:pPr>
          </w:p>
        </w:tc>
      </w:tr>
      <w:tr w:rsidR="00AA277B" w:rsidRPr="000E5FCC" w14:paraId="3450F4A6" w14:textId="77777777" w:rsidTr="00C10FCA">
        <w:tc>
          <w:tcPr>
            <w:tcW w:w="1980" w:type="dxa"/>
          </w:tcPr>
          <w:p w14:paraId="10CC013D" w14:textId="77777777" w:rsidR="00AA277B" w:rsidRPr="00707D64" w:rsidRDefault="00AA277B" w:rsidP="00C661CD">
            <w:pPr>
              <w:snapToGrid w:val="0"/>
              <w:spacing w:before="60" w:after="60"/>
              <w:jc w:val="center"/>
              <w:rPr>
                <w:rFonts w:asciiTheme="minorHAnsi" w:hAnsiTheme="minorHAnsi" w:cstheme="majorBidi"/>
                <w:b/>
                <w:sz w:val="20"/>
                <w:szCs w:val="20"/>
              </w:rPr>
            </w:pPr>
          </w:p>
        </w:tc>
        <w:tc>
          <w:tcPr>
            <w:tcW w:w="2977" w:type="dxa"/>
          </w:tcPr>
          <w:p w14:paraId="7D5848DD" w14:textId="7131D811" w:rsidR="00AA277B" w:rsidRPr="001D617E" w:rsidRDefault="00AA277B" w:rsidP="00C661CD">
            <w:pPr>
              <w:pStyle w:val="Tabletext"/>
              <w:rPr>
                <w:rFonts w:asciiTheme="minorHAnsi" w:hAnsiTheme="minorHAnsi"/>
                <w:b/>
                <w:sz w:val="20"/>
                <w:szCs w:val="20"/>
              </w:rPr>
            </w:pPr>
            <w:r w:rsidRPr="001D617E">
              <w:rPr>
                <w:rFonts w:asciiTheme="minorHAnsi" w:hAnsiTheme="minorHAnsi"/>
                <w:b/>
                <w:sz w:val="20"/>
                <w:szCs w:val="20"/>
              </w:rPr>
              <w:t>3.1</w:t>
            </w:r>
            <w:r w:rsidRPr="001D617E">
              <w:rPr>
                <w:rFonts w:asciiTheme="minorHAnsi" w:hAnsiTheme="minorHAnsi"/>
                <w:b/>
                <w:sz w:val="20"/>
                <w:szCs w:val="20"/>
              </w:rPr>
              <w:tab/>
              <w:t>Choix de la monnaie utilisée pour le paiement</w:t>
            </w:r>
          </w:p>
        </w:tc>
        <w:tc>
          <w:tcPr>
            <w:tcW w:w="2976" w:type="dxa"/>
          </w:tcPr>
          <w:p w14:paraId="3EF03FF8" w14:textId="77777777" w:rsidR="00AA277B" w:rsidRPr="00981979" w:rsidRDefault="00AA277B" w:rsidP="00C661CD">
            <w:pPr>
              <w:pStyle w:val="Tabletext"/>
              <w:rPr>
                <w:rFonts w:asciiTheme="minorHAnsi" w:hAnsiTheme="minorHAnsi"/>
                <w:sz w:val="20"/>
                <w:szCs w:val="20"/>
              </w:rPr>
            </w:pPr>
          </w:p>
        </w:tc>
        <w:tc>
          <w:tcPr>
            <w:tcW w:w="2375" w:type="dxa"/>
          </w:tcPr>
          <w:p w14:paraId="21D2E656" w14:textId="77777777" w:rsidR="00AA277B" w:rsidRPr="00981979" w:rsidRDefault="00AA277B" w:rsidP="00C661CD">
            <w:pPr>
              <w:pStyle w:val="Tabletext"/>
              <w:rPr>
                <w:rFonts w:asciiTheme="minorHAnsi" w:hAnsiTheme="minorHAnsi" w:cstheme="majorBidi"/>
                <w:b/>
                <w:sz w:val="20"/>
                <w:szCs w:val="20"/>
              </w:rPr>
            </w:pPr>
          </w:p>
        </w:tc>
        <w:tc>
          <w:tcPr>
            <w:tcW w:w="2445" w:type="dxa"/>
          </w:tcPr>
          <w:p w14:paraId="32DB3188" w14:textId="77777777" w:rsidR="00AA277B" w:rsidRPr="00981979" w:rsidRDefault="00AA277B" w:rsidP="00C661CD">
            <w:pPr>
              <w:pStyle w:val="Tabletext"/>
              <w:rPr>
                <w:rFonts w:asciiTheme="minorHAnsi" w:hAnsiTheme="minorHAnsi" w:cstheme="majorBidi"/>
                <w:b/>
                <w:sz w:val="20"/>
                <w:szCs w:val="20"/>
              </w:rPr>
            </w:pPr>
          </w:p>
        </w:tc>
        <w:tc>
          <w:tcPr>
            <w:tcW w:w="2327" w:type="dxa"/>
          </w:tcPr>
          <w:p w14:paraId="1E080267" w14:textId="77777777" w:rsidR="00AA277B" w:rsidRPr="00981979" w:rsidRDefault="00AA277B" w:rsidP="00C661CD">
            <w:pPr>
              <w:pStyle w:val="Tabletext"/>
              <w:rPr>
                <w:rFonts w:asciiTheme="minorHAnsi" w:hAnsiTheme="minorHAnsi" w:cstheme="majorBidi"/>
                <w:b/>
                <w:sz w:val="20"/>
                <w:szCs w:val="20"/>
              </w:rPr>
            </w:pPr>
          </w:p>
        </w:tc>
      </w:tr>
      <w:tr w:rsidR="000E6DAB" w14:paraId="12EB9E1B" w14:textId="77777777" w:rsidTr="00C10FCA">
        <w:tc>
          <w:tcPr>
            <w:tcW w:w="1980" w:type="dxa"/>
          </w:tcPr>
          <w:p w14:paraId="20C645DF"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6A92C459" w14:textId="14E9CADD"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3.1.1</w:t>
            </w:r>
            <w:r w:rsidRPr="00707D64">
              <w:rPr>
                <w:rFonts w:asciiTheme="minorHAnsi" w:hAnsiTheme="minorHAnsi"/>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des dispositions du point 1/20 (paragraphe 3.1.2) ci</w:t>
            </w:r>
            <w:r w:rsidRPr="00707D64">
              <w:rPr>
                <w:rFonts w:asciiTheme="minorHAnsi" w:hAnsiTheme="minorHAnsi"/>
                <w:sz w:val="20"/>
                <w:szCs w:val="20"/>
              </w:rPr>
              <w:noBreakHyphen/>
              <w:t>après. Si le créancier n'indique pas une monnaie particulière, le choix appartient au débiteur.</w:t>
            </w:r>
          </w:p>
        </w:tc>
        <w:tc>
          <w:tcPr>
            <w:tcW w:w="2976" w:type="dxa"/>
          </w:tcPr>
          <w:p w14:paraId="1DBA5A39" w14:textId="3BF9ADF7"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3.1.1</w:t>
            </w:r>
            <w:r w:rsidRPr="00981979">
              <w:rPr>
                <w:rFonts w:asciiTheme="minorHAnsi" w:hAnsiTheme="minorHAnsi"/>
                <w:sz w:val="20"/>
                <w:szCs w:val="20"/>
              </w:rPr>
              <w:tab/>
              <w:t>Le paiement des soldes de comptes internationaux de télécommunication est effectué dans la monnaie choisie par le créancier après consultation du débiteur. En cas de désaccord, le choix du créancier doit prévaloir dans tous les cas, sous réserve de la disposition du paragraphe 3.1.2 ci</w:t>
            </w:r>
            <w:r w:rsidRPr="00981979">
              <w:rPr>
                <w:rFonts w:asciiTheme="minorHAnsi" w:hAnsiTheme="minorHAnsi"/>
                <w:sz w:val="20"/>
                <w:szCs w:val="20"/>
              </w:rPr>
              <w:noBreakHyphen/>
              <w:t>après. Si le créancier ne spécifie pas une monnaie particulière, le choix appartient au débiteur.</w:t>
            </w:r>
          </w:p>
        </w:tc>
        <w:tc>
          <w:tcPr>
            <w:tcW w:w="2375" w:type="dxa"/>
          </w:tcPr>
          <w:p w14:paraId="11240577" w14:textId="1C68AB81"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2DF26805" w14:textId="5D8340F2" w:rsidR="000E6DA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Aucune souplesse </w:t>
            </w:r>
            <w:r w:rsidR="000E6DAB" w:rsidRPr="00981979">
              <w:rPr>
                <w:rFonts w:asciiTheme="minorHAnsi" w:hAnsiTheme="minorHAnsi" w:cstheme="majorBidi"/>
                <w:b/>
                <w:sz w:val="20"/>
                <w:szCs w:val="20"/>
              </w:rPr>
              <w:t>n'est requis</w:t>
            </w:r>
            <w:r w:rsidR="0040121F" w:rsidRPr="00981979">
              <w:rPr>
                <w:rFonts w:asciiTheme="minorHAnsi" w:hAnsiTheme="minorHAnsi" w:cstheme="majorBidi"/>
                <w:b/>
                <w:sz w:val="20"/>
                <w:szCs w:val="20"/>
              </w:rPr>
              <w:t>e</w:t>
            </w:r>
            <w:r w:rsidR="000E6DAB" w:rsidRPr="00981979">
              <w:rPr>
                <w:rFonts w:asciiTheme="minorHAnsi" w:hAnsiTheme="minorHAnsi" w:cstheme="majorBidi"/>
                <w:b/>
                <w:sz w:val="20"/>
                <w:szCs w:val="20"/>
              </w:rPr>
              <w:t>.</w:t>
            </w:r>
          </w:p>
        </w:tc>
        <w:tc>
          <w:tcPr>
            <w:tcW w:w="2327" w:type="dxa"/>
          </w:tcPr>
          <w:p w14:paraId="478D4DB9" w14:textId="77777777" w:rsidR="000E6DAB" w:rsidRPr="00981979" w:rsidRDefault="000E6DAB" w:rsidP="00C661CD">
            <w:pPr>
              <w:pStyle w:val="Tabletext"/>
              <w:rPr>
                <w:rFonts w:asciiTheme="minorHAnsi" w:hAnsiTheme="minorHAnsi" w:cstheme="majorBidi"/>
                <w:b/>
                <w:sz w:val="20"/>
                <w:szCs w:val="20"/>
              </w:rPr>
            </w:pPr>
          </w:p>
        </w:tc>
      </w:tr>
      <w:tr w:rsidR="000E6DAB" w14:paraId="37E1D56B" w14:textId="77777777" w:rsidTr="00C10FCA">
        <w:tc>
          <w:tcPr>
            <w:tcW w:w="1980" w:type="dxa"/>
          </w:tcPr>
          <w:p w14:paraId="741D3ADC"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52EBD8DA" w14:textId="61433CD1"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3.1.2</w:t>
            </w:r>
            <w:r w:rsidRPr="00707D64">
              <w:rPr>
                <w:rFonts w:asciiTheme="minorHAnsi" w:hAnsiTheme="minorHAnsi"/>
                <w:sz w:val="20"/>
                <w:szCs w:val="20"/>
              </w:rPr>
              <w:tab/>
              <w:t xml:space="preserve">Si le créancier choisit une monnaie dont la valeur est fixée unilatéralement, ou une </w:t>
            </w:r>
            <w:r w:rsidRPr="00707D64">
              <w:rPr>
                <w:rFonts w:asciiTheme="minorHAnsi" w:hAnsiTheme="minorHAnsi"/>
                <w:sz w:val="20"/>
                <w:szCs w:val="20"/>
              </w:rPr>
              <w:lastRenderedPageBreak/>
              <w:t>monnaie dont la valeur équivalente doit être déterminée sur la base d'une monnaie dont la valeur est fixée de même unilatéralement, l'emploi de la monnaie choisie doit être acceptable pour le débiteur.</w:t>
            </w:r>
          </w:p>
        </w:tc>
        <w:tc>
          <w:tcPr>
            <w:tcW w:w="2976" w:type="dxa"/>
          </w:tcPr>
          <w:p w14:paraId="1D3F3C5A" w14:textId="68778CF1"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lastRenderedPageBreak/>
              <w:t>3.1.2</w:t>
            </w:r>
            <w:r w:rsidRPr="00981979">
              <w:rPr>
                <w:rFonts w:asciiTheme="minorHAnsi" w:hAnsiTheme="minorHAnsi"/>
                <w:sz w:val="20"/>
                <w:szCs w:val="20"/>
              </w:rPr>
              <w:tab/>
              <w:t xml:space="preserve">Si le créancier choisit une monnaie dont la valeur est fixée unilatéralement, ou une </w:t>
            </w:r>
            <w:r w:rsidRPr="00981979">
              <w:rPr>
                <w:rFonts w:asciiTheme="minorHAnsi" w:hAnsiTheme="minorHAnsi"/>
                <w:sz w:val="20"/>
                <w:szCs w:val="20"/>
              </w:rPr>
              <w:lastRenderedPageBreak/>
              <w:t>monnaie dont la valeur équivalente doit être déterminée sur la base d'une monnaie avec une valeur fixée de même unilatéralement, l'emploi de la monnaie choisie doit être acceptable pour le débiteur.</w:t>
            </w:r>
          </w:p>
        </w:tc>
        <w:tc>
          <w:tcPr>
            <w:tcW w:w="2375" w:type="dxa"/>
          </w:tcPr>
          <w:p w14:paraId="1DFAFB0D" w14:textId="6148A70B"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Cette </w:t>
            </w:r>
            <w:r w:rsidR="000E6DAB" w:rsidRPr="00981979">
              <w:rPr>
                <w:rFonts w:asciiTheme="minorHAnsi" w:hAnsiTheme="minorHAnsi" w:cstheme="majorBidi"/>
                <w:b/>
                <w:sz w:val="20"/>
                <w:szCs w:val="20"/>
              </w:rPr>
              <w:t>disposition est applicable.</w:t>
            </w:r>
          </w:p>
        </w:tc>
        <w:tc>
          <w:tcPr>
            <w:tcW w:w="2445" w:type="dxa"/>
          </w:tcPr>
          <w:p w14:paraId="407DD799" w14:textId="185CE892"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36C4D310" w14:textId="77777777" w:rsidR="000E6DAB" w:rsidRPr="00981979" w:rsidRDefault="000E6DAB" w:rsidP="00C661CD">
            <w:pPr>
              <w:pStyle w:val="Tabletext"/>
              <w:rPr>
                <w:rFonts w:asciiTheme="minorHAnsi" w:hAnsiTheme="minorHAnsi" w:cstheme="majorBidi"/>
                <w:b/>
                <w:sz w:val="20"/>
                <w:szCs w:val="20"/>
              </w:rPr>
            </w:pPr>
          </w:p>
        </w:tc>
      </w:tr>
      <w:tr w:rsidR="000E6DAB" w14:paraId="55AD81EC" w14:textId="77777777" w:rsidTr="00C10FCA">
        <w:tc>
          <w:tcPr>
            <w:tcW w:w="1980" w:type="dxa"/>
          </w:tcPr>
          <w:p w14:paraId="6DC54415"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43D1CE24" w14:textId="54B2E643"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3.1.3</w:t>
            </w:r>
            <w:r w:rsidRPr="00707D64">
              <w:rPr>
                <w:rFonts w:asciiTheme="minorHAnsi" w:hAnsiTheme="minorHAnsi"/>
                <w:sz w:val="20"/>
                <w:szCs w:val="20"/>
              </w:rPr>
              <w:tab/>
              <w:t xml:space="preserve">Sous réserve que les délais de paiement soient observés, les exploitations autorisées ont le droit, par accord mutuel, de régler leurs divers soldes par </w:t>
            </w:r>
            <w:proofErr w:type="gramStart"/>
            <w:r w:rsidRPr="00707D64">
              <w:rPr>
                <w:rFonts w:asciiTheme="minorHAnsi" w:hAnsiTheme="minorHAnsi"/>
                <w:sz w:val="20"/>
                <w:szCs w:val="20"/>
              </w:rPr>
              <w:t>compensation:</w:t>
            </w:r>
            <w:proofErr w:type="gramEnd"/>
          </w:p>
          <w:p w14:paraId="62DE264C" w14:textId="51D5F331" w:rsidR="000E6DAB" w:rsidRPr="00707D64" w:rsidRDefault="000E6DAB" w:rsidP="00071F91">
            <w:pPr>
              <w:pStyle w:val="Tabletext"/>
              <w:tabs>
                <w:tab w:val="left" w:pos="287"/>
              </w:tabs>
              <w:ind w:left="287" w:hanging="287"/>
              <w:rPr>
                <w:rFonts w:asciiTheme="minorHAnsi" w:hAnsiTheme="minorHAnsi"/>
                <w:sz w:val="20"/>
                <w:szCs w:val="20"/>
              </w:rPr>
            </w:pPr>
            <w:r w:rsidRPr="00707D64">
              <w:rPr>
                <w:rFonts w:asciiTheme="minorHAnsi" w:hAnsiTheme="minorHAnsi"/>
                <w:i/>
                <w:iCs/>
                <w:sz w:val="20"/>
                <w:szCs w:val="20"/>
                <w:lang w:val="fr-CH"/>
              </w:rPr>
              <w:t>a)</w:t>
            </w:r>
            <w:r w:rsidRPr="00707D64">
              <w:rPr>
                <w:rFonts w:asciiTheme="minorHAnsi" w:hAnsiTheme="minorHAnsi"/>
                <w:sz w:val="20"/>
                <w:szCs w:val="20"/>
                <w:lang w:val="fr-CH"/>
              </w:rPr>
              <w:tab/>
              <w:t>de leurs crédits et de leurs débits dans leurs relations avec d'autres exploitations</w:t>
            </w:r>
            <w:r w:rsidRPr="00707D64">
              <w:rPr>
                <w:rFonts w:asciiTheme="minorHAnsi" w:hAnsiTheme="minorHAnsi"/>
                <w:sz w:val="20"/>
                <w:szCs w:val="20"/>
              </w:rPr>
              <w:t xml:space="preserve"> </w:t>
            </w:r>
            <w:proofErr w:type="gramStart"/>
            <w:r w:rsidRPr="00707D64">
              <w:rPr>
                <w:rFonts w:asciiTheme="minorHAnsi" w:hAnsiTheme="minorHAnsi"/>
                <w:sz w:val="20"/>
                <w:szCs w:val="20"/>
              </w:rPr>
              <w:t>autorisées</w:t>
            </w:r>
            <w:r w:rsidRPr="00707D64">
              <w:rPr>
                <w:rFonts w:asciiTheme="minorHAnsi" w:hAnsiTheme="minorHAnsi"/>
                <w:sz w:val="20"/>
                <w:szCs w:val="20"/>
                <w:lang w:val="fr-CH"/>
              </w:rPr>
              <w:t>;</w:t>
            </w:r>
            <w:proofErr w:type="gramEnd"/>
          </w:p>
          <w:p w14:paraId="7F702F09" w14:textId="1778FF29" w:rsidR="000E6DAB" w:rsidRPr="00707D64" w:rsidRDefault="000E6DAB" w:rsidP="00071F91">
            <w:pPr>
              <w:pStyle w:val="Tabletext"/>
              <w:tabs>
                <w:tab w:val="left" w:pos="287"/>
              </w:tabs>
              <w:ind w:left="287" w:hanging="287"/>
              <w:rPr>
                <w:rFonts w:asciiTheme="minorHAnsi" w:hAnsiTheme="minorHAnsi"/>
                <w:sz w:val="20"/>
                <w:szCs w:val="20"/>
              </w:rPr>
            </w:pPr>
            <w:r w:rsidRPr="00707D64">
              <w:rPr>
                <w:rFonts w:asciiTheme="minorHAnsi" w:hAnsiTheme="minorHAnsi"/>
                <w:i/>
                <w:iCs/>
                <w:sz w:val="20"/>
                <w:szCs w:val="20"/>
                <w:lang w:val="fr-CH"/>
              </w:rPr>
              <w:t>b)</w:t>
            </w:r>
            <w:r w:rsidRPr="00707D64">
              <w:rPr>
                <w:rFonts w:asciiTheme="minorHAnsi" w:hAnsiTheme="minorHAnsi"/>
                <w:sz w:val="20"/>
                <w:szCs w:val="20"/>
                <w:lang w:val="fr-CH"/>
              </w:rPr>
              <w:tab/>
              <w:t>de tout autre règlement convenu d'un commun accord, le cas échéant.</w:t>
            </w:r>
          </w:p>
          <w:p w14:paraId="03B4EB50" w14:textId="4D0DF494"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lang w:val="fr-CH"/>
              </w:rPr>
              <w:t>Cette règle s'applique également dans le cas où les paiements sont effectués par l'intermédiaire d'organismes de paiement spécialisés conformément aux arrangements conclus avec les exploitations</w:t>
            </w:r>
            <w:r w:rsidRPr="00707D64">
              <w:rPr>
                <w:rFonts w:asciiTheme="minorHAnsi" w:hAnsiTheme="minorHAnsi"/>
                <w:sz w:val="20"/>
                <w:szCs w:val="20"/>
              </w:rPr>
              <w:t xml:space="preserve"> autorisées</w:t>
            </w:r>
            <w:r w:rsidRPr="00707D64">
              <w:rPr>
                <w:rFonts w:asciiTheme="minorHAnsi" w:hAnsiTheme="minorHAnsi"/>
                <w:sz w:val="20"/>
                <w:szCs w:val="20"/>
                <w:lang w:val="fr-CH"/>
              </w:rPr>
              <w:t>.</w:t>
            </w:r>
          </w:p>
        </w:tc>
        <w:tc>
          <w:tcPr>
            <w:tcW w:w="2976" w:type="dxa"/>
          </w:tcPr>
          <w:p w14:paraId="6307095A" w14:textId="77777777" w:rsidR="000E6DAB" w:rsidRPr="00981979" w:rsidRDefault="000E6DAB" w:rsidP="00C661CD">
            <w:pPr>
              <w:pStyle w:val="Tabletext"/>
              <w:spacing w:before="80" w:after="80"/>
              <w:rPr>
                <w:rFonts w:asciiTheme="minorHAnsi" w:hAnsiTheme="minorHAnsi" w:cs="Calibri"/>
                <w:sz w:val="20"/>
                <w:szCs w:val="20"/>
                <w:lang w:val="fr-CH"/>
              </w:rPr>
            </w:pPr>
            <w:r w:rsidRPr="00981979">
              <w:rPr>
                <w:rFonts w:asciiTheme="minorHAnsi" w:hAnsiTheme="minorHAnsi" w:cs="Calibri"/>
                <w:sz w:val="20"/>
                <w:szCs w:val="20"/>
                <w:lang w:val="fr-CH"/>
              </w:rPr>
              <w:t>3.4.1</w:t>
            </w:r>
            <w:r w:rsidRPr="00981979">
              <w:rPr>
                <w:rFonts w:asciiTheme="minorHAnsi" w:hAnsiTheme="minorHAnsi" w:cs="Calibri"/>
                <w:sz w:val="20"/>
                <w:szCs w:val="20"/>
                <w:lang w:val="fr-CH"/>
              </w:rPr>
              <w:tab/>
              <w:t xml:space="preserve">Sous réserve que les délais de paiement soient observés, les administrations* peuvent, par accord mutuel, régler leurs soldes de toute nature par </w:t>
            </w:r>
            <w:proofErr w:type="gramStart"/>
            <w:r w:rsidRPr="00981979">
              <w:rPr>
                <w:rFonts w:asciiTheme="minorHAnsi" w:hAnsiTheme="minorHAnsi" w:cs="Calibri"/>
                <w:sz w:val="20"/>
                <w:szCs w:val="20"/>
                <w:lang w:val="fr-CH"/>
              </w:rPr>
              <w:t>compensation:</w:t>
            </w:r>
            <w:proofErr w:type="gramEnd"/>
          </w:p>
          <w:p w14:paraId="1FFEBDB4" w14:textId="77777777" w:rsidR="000E6DAB" w:rsidRPr="00981979" w:rsidRDefault="000E6DAB">
            <w:pPr>
              <w:pStyle w:val="Tabletext"/>
              <w:spacing w:before="80" w:after="80"/>
              <w:ind w:left="284" w:hanging="284"/>
              <w:rPr>
                <w:rFonts w:asciiTheme="minorHAnsi" w:hAnsiTheme="minorHAnsi" w:cs="Calibri"/>
                <w:sz w:val="20"/>
                <w:szCs w:val="20"/>
                <w:lang w:val="fr-CH"/>
              </w:rPr>
              <w:pPrChange w:id="31" w:author="Drouiller, Isabelle" w:date="2012-01-26T15:01:00Z">
                <w:pPr>
                  <w:pStyle w:val="Tabletext"/>
                  <w:tabs>
                    <w:tab w:val="left" w:pos="431"/>
                  </w:tabs>
                  <w:spacing w:before="80" w:after="80"/>
                  <w:ind w:left="431" w:hanging="431"/>
                </w:pPr>
              </w:pPrChange>
            </w:pPr>
            <w:r w:rsidRPr="00981979">
              <w:rPr>
                <w:rFonts w:asciiTheme="minorHAnsi" w:hAnsiTheme="minorHAnsi" w:cs="Calibri"/>
                <w:sz w:val="20"/>
                <w:szCs w:val="20"/>
                <w:lang w:val="fr-CH"/>
              </w:rPr>
              <w:t>–</w:t>
            </w:r>
            <w:r w:rsidRPr="00981979">
              <w:rPr>
                <w:rFonts w:asciiTheme="minorHAnsi" w:hAnsiTheme="minorHAnsi" w:cs="Calibri"/>
                <w:sz w:val="20"/>
                <w:szCs w:val="20"/>
                <w:lang w:val="fr-CH"/>
              </w:rPr>
              <w:tab/>
              <w:t xml:space="preserve">de leurs crédits et de leurs débits dans leurs relations avec d'autres administrations*; </w:t>
            </w:r>
            <w:proofErr w:type="gramStart"/>
            <w:r w:rsidRPr="00981979">
              <w:rPr>
                <w:rFonts w:asciiTheme="minorHAnsi" w:hAnsiTheme="minorHAnsi" w:cs="Calibri"/>
                <w:sz w:val="20"/>
                <w:szCs w:val="20"/>
                <w:lang w:val="fr-CH"/>
              </w:rPr>
              <w:t>ou</w:t>
            </w:r>
            <w:proofErr w:type="gramEnd"/>
          </w:p>
          <w:p w14:paraId="23F1F737" w14:textId="0AC06D79" w:rsidR="000E6DAB" w:rsidRPr="00981979" w:rsidRDefault="000E6DAB" w:rsidP="00C661CD">
            <w:pPr>
              <w:pStyle w:val="Tabletext"/>
              <w:ind w:left="284" w:hanging="284"/>
              <w:rPr>
                <w:rFonts w:asciiTheme="minorHAnsi" w:hAnsiTheme="minorHAnsi" w:cs="Calibri"/>
                <w:sz w:val="20"/>
                <w:szCs w:val="20"/>
                <w:lang w:val="fr-CH"/>
              </w:rPr>
            </w:pPr>
            <w:r w:rsidRPr="00981979">
              <w:rPr>
                <w:rFonts w:asciiTheme="minorHAnsi" w:hAnsiTheme="minorHAnsi" w:cs="Calibri"/>
                <w:sz w:val="20"/>
                <w:szCs w:val="20"/>
                <w:lang w:val="fr-CH"/>
              </w:rPr>
              <w:t>–</w:t>
            </w:r>
            <w:r w:rsidRPr="00981979">
              <w:rPr>
                <w:rFonts w:asciiTheme="minorHAnsi" w:hAnsiTheme="minorHAnsi" w:cs="Calibri"/>
                <w:sz w:val="20"/>
                <w:szCs w:val="20"/>
                <w:lang w:val="fr-CH"/>
              </w:rPr>
              <w:tab/>
              <w:t xml:space="preserve">des créances des services postaux, le cas échéant. </w:t>
            </w:r>
          </w:p>
        </w:tc>
        <w:tc>
          <w:tcPr>
            <w:tcW w:w="2375" w:type="dxa"/>
          </w:tcPr>
          <w:p w14:paraId="14A5B84C" w14:textId="3741C727"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349C01BE" w14:textId="25C1C05B"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5FFBB076" w14:textId="77777777" w:rsidR="000E6DAB" w:rsidRPr="00981979" w:rsidRDefault="000E6DAB" w:rsidP="00C661CD">
            <w:pPr>
              <w:pStyle w:val="Tabletext"/>
              <w:rPr>
                <w:rFonts w:asciiTheme="minorHAnsi" w:hAnsiTheme="minorHAnsi" w:cstheme="majorBidi"/>
                <w:b/>
                <w:sz w:val="20"/>
                <w:szCs w:val="20"/>
              </w:rPr>
            </w:pPr>
          </w:p>
        </w:tc>
      </w:tr>
      <w:tr w:rsidR="000E6DAB" w:rsidRPr="000E5FCC" w14:paraId="5175E4AA" w14:textId="77777777" w:rsidTr="00C10FCA">
        <w:tc>
          <w:tcPr>
            <w:tcW w:w="1980" w:type="dxa"/>
          </w:tcPr>
          <w:p w14:paraId="7C5E1984"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4105D48A" w14:textId="28E88B6B" w:rsidR="000E6DAB" w:rsidRPr="001D617E" w:rsidRDefault="000E6DAB" w:rsidP="00C661CD">
            <w:pPr>
              <w:pStyle w:val="Tabletext"/>
              <w:rPr>
                <w:rFonts w:asciiTheme="minorHAnsi" w:hAnsiTheme="minorHAnsi"/>
                <w:b/>
                <w:sz w:val="20"/>
                <w:szCs w:val="20"/>
              </w:rPr>
            </w:pPr>
            <w:r w:rsidRPr="001D617E">
              <w:rPr>
                <w:rFonts w:asciiTheme="minorHAnsi" w:hAnsiTheme="minorHAnsi"/>
                <w:b/>
                <w:sz w:val="20"/>
                <w:szCs w:val="20"/>
              </w:rPr>
              <w:t>3.2</w:t>
            </w:r>
            <w:r w:rsidRPr="001D617E">
              <w:rPr>
                <w:rFonts w:asciiTheme="minorHAnsi" w:hAnsiTheme="minorHAnsi"/>
                <w:b/>
                <w:sz w:val="20"/>
                <w:szCs w:val="20"/>
              </w:rPr>
              <w:tab/>
              <w:t>Détermination du montant du paiement</w:t>
            </w:r>
          </w:p>
        </w:tc>
        <w:tc>
          <w:tcPr>
            <w:tcW w:w="2976" w:type="dxa"/>
          </w:tcPr>
          <w:p w14:paraId="17B78814" w14:textId="77777777" w:rsidR="000E6DAB" w:rsidRPr="00981979" w:rsidRDefault="000E6DAB" w:rsidP="00C661CD">
            <w:pPr>
              <w:pStyle w:val="Tabletext"/>
              <w:rPr>
                <w:rFonts w:asciiTheme="minorHAnsi" w:hAnsiTheme="minorHAnsi"/>
                <w:sz w:val="20"/>
                <w:szCs w:val="20"/>
              </w:rPr>
            </w:pPr>
          </w:p>
        </w:tc>
        <w:tc>
          <w:tcPr>
            <w:tcW w:w="2375" w:type="dxa"/>
          </w:tcPr>
          <w:p w14:paraId="76EC27DA" w14:textId="77777777" w:rsidR="000E6DAB" w:rsidRPr="00981979" w:rsidRDefault="000E6DAB" w:rsidP="00C661CD">
            <w:pPr>
              <w:pStyle w:val="Tabletext"/>
              <w:rPr>
                <w:rFonts w:asciiTheme="minorHAnsi" w:hAnsiTheme="minorHAnsi" w:cstheme="majorBidi"/>
                <w:b/>
                <w:sz w:val="20"/>
                <w:szCs w:val="20"/>
              </w:rPr>
            </w:pPr>
          </w:p>
        </w:tc>
        <w:tc>
          <w:tcPr>
            <w:tcW w:w="2445" w:type="dxa"/>
          </w:tcPr>
          <w:p w14:paraId="5CC1C610" w14:textId="77777777" w:rsidR="000E6DAB" w:rsidRPr="00981979" w:rsidRDefault="000E6DAB" w:rsidP="00C661CD">
            <w:pPr>
              <w:pStyle w:val="Tabletext"/>
              <w:rPr>
                <w:rFonts w:asciiTheme="minorHAnsi" w:hAnsiTheme="minorHAnsi" w:cstheme="majorBidi"/>
                <w:b/>
                <w:sz w:val="20"/>
                <w:szCs w:val="20"/>
              </w:rPr>
            </w:pPr>
          </w:p>
        </w:tc>
        <w:tc>
          <w:tcPr>
            <w:tcW w:w="2327" w:type="dxa"/>
          </w:tcPr>
          <w:p w14:paraId="10D834FF" w14:textId="77777777" w:rsidR="000E6DAB" w:rsidRPr="00981979" w:rsidRDefault="000E6DAB" w:rsidP="00C661CD">
            <w:pPr>
              <w:pStyle w:val="Tabletext"/>
              <w:rPr>
                <w:rFonts w:asciiTheme="minorHAnsi" w:hAnsiTheme="minorHAnsi" w:cstheme="majorBidi"/>
                <w:b/>
                <w:sz w:val="20"/>
                <w:szCs w:val="20"/>
              </w:rPr>
            </w:pPr>
          </w:p>
        </w:tc>
      </w:tr>
      <w:tr w:rsidR="000E6DAB" w14:paraId="76739BEE" w14:textId="77777777" w:rsidTr="00C10FCA">
        <w:tc>
          <w:tcPr>
            <w:tcW w:w="1980" w:type="dxa"/>
          </w:tcPr>
          <w:p w14:paraId="32D23948"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15223734" w14:textId="46DDF1A5"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3.2.1</w:t>
            </w:r>
            <w:r w:rsidRPr="00707D64">
              <w:rPr>
                <w:rFonts w:asciiTheme="minorHAnsi" w:hAnsiTheme="minorHAnsi"/>
                <w:sz w:val="20"/>
                <w:szCs w:val="20"/>
              </w:rPr>
              <w:tab/>
              <w:t>Le montant du paiement dans la monnaie choisie, tel qu'il est déterminé ci</w:t>
            </w:r>
            <w:r w:rsidRPr="00707D64">
              <w:rPr>
                <w:rFonts w:asciiTheme="minorHAnsi" w:hAnsiTheme="minorHAnsi"/>
                <w:sz w:val="20"/>
                <w:szCs w:val="20"/>
              </w:rPr>
              <w:noBreakHyphen/>
              <w:t>après, doit avoir une valeur équivalant à celle du solde du compte.</w:t>
            </w:r>
          </w:p>
        </w:tc>
        <w:tc>
          <w:tcPr>
            <w:tcW w:w="2976" w:type="dxa"/>
          </w:tcPr>
          <w:p w14:paraId="5FBBBCB0" w14:textId="049EF674"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3.2.1</w:t>
            </w:r>
            <w:r w:rsidRPr="00981979">
              <w:rPr>
                <w:rFonts w:asciiTheme="minorHAnsi" w:hAnsiTheme="minorHAnsi"/>
                <w:sz w:val="20"/>
                <w:szCs w:val="20"/>
              </w:rPr>
              <w:tab/>
              <w:t xml:space="preserve">Le montant du paiement dans la monnaie choisie, tel qu'il est déterminé ci-après, doit avoir une valeur équivalant à celle du solde du compte. </w:t>
            </w:r>
          </w:p>
        </w:tc>
        <w:tc>
          <w:tcPr>
            <w:tcW w:w="2375" w:type="dxa"/>
          </w:tcPr>
          <w:p w14:paraId="4042A792" w14:textId="21F9913B"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58235AA3" w14:textId="60C3FE8C" w:rsidR="000E6DAB" w:rsidRPr="00981979" w:rsidRDefault="002E7D29"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Aucune souplesse </w:t>
            </w:r>
            <w:r w:rsidR="000E6DAB" w:rsidRPr="00981979">
              <w:rPr>
                <w:rFonts w:asciiTheme="minorHAnsi" w:hAnsiTheme="minorHAnsi" w:cstheme="majorBidi"/>
                <w:b/>
                <w:sz w:val="20"/>
                <w:szCs w:val="20"/>
              </w:rPr>
              <w:t xml:space="preserve">n'est </w:t>
            </w:r>
            <w:r w:rsidR="0040121F" w:rsidRPr="00981979">
              <w:rPr>
                <w:rFonts w:asciiTheme="minorHAnsi" w:hAnsiTheme="minorHAnsi" w:cstheme="majorBidi"/>
                <w:b/>
                <w:sz w:val="20"/>
                <w:szCs w:val="20"/>
              </w:rPr>
              <w:t>requise</w:t>
            </w:r>
            <w:r w:rsidR="000E6DAB" w:rsidRPr="00981979">
              <w:rPr>
                <w:rFonts w:asciiTheme="minorHAnsi" w:hAnsiTheme="minorHAnsi" w:cstheme="majorBidi"/>
                <w:b/>
                <w:sz w:val="20"/>
                <w:szCs w:val="20"/>
              </w:rPr>
              <w:t>.</w:t>
            </w:r>
          </w:p>
        </w:tc>
        <w:tc>
          <w:tcPr>
            <w:tcW w:w="2327" w:type="dxa"/>
          </w:tcPr>
          <w:p w14:paraId="5F590DCF" w14:textId="77777777" w:rsidR="000E6DAB" w:rsidRPr="00981979" w:rsidRDefault="000E6DAB" w:rsidP="00C661CD">
            <w:pPr>
              <w:pStyle w:val="Tabletext"/>
              <w:rPr>
                <w:rFonts w:asciiTheme="minorHAnsi" w:hAnsiTheme="minorHAnsi" w:cstheme="majorBidi"/>
                <w:b/>
                <w:sz w:val="20"/>
                <w:szCs w:val="20"/>
              </w:rPr>
            </w:pPr>
          </w:p>
        </w:tc>
      </w:tr>
      <w:tr w:rsidR="000E6DAB" w14:paraId="0030EF50" w14:textId="77777777" w:rsidTr="00C10FCA">
        <w:tc>
          <w:tcPr>
            <w:tcW w:w="1980" w:type="dxa"/>
          </w:tcPr>
          <w:p w14:paraId="4C320294"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68FB0E14" w14:textId="27FFA733"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3.2.2</w:t>
            </w:r>
            <w:r w:rsidRPr="00707D64">
              <w:rPr>
                <w:rFonts w:asciiTheme="minorHAnsi" w:hAnsiTheme="minorHAnsi"/>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2976" w:type="dxa"/>
          </w:tcPr>
          <w:p w14:paraId="063145CF" w14:textId="725E85A5"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3.2.2</w:t>
            </w:r>
            <w:r w:rsidRPr="00981979">
              <w:rPr>
                <w:rFonts w:asciiTheme="minorHAnsi" w:hAnsiTheme="minorHAnsi"/>
                <w:sz w:val="20"/>
                <w:szCs w:val="20"/>
              </w:rPr>
              <w:tab/>
              <w:t>Si le solde du compte est exprimé dans l'unité monétaire du FMI, le montant de la monnaie choisie est déterminé par le rapport en vigueur la veille du paiement, ou par le dernier rapport publié par le FMI, entre l'unité monétaire du FMI et la monnaie choisie.</w:t>
            </w:r>
          </w:p>
        </w:tc>
        <w:tc>
          <w:tcPr>
            <w:tcW w:w="2375" w:type="dxa"/>
          </w:tcPr>
          <w:p w14:paraId="2B4FB7FF" w14:textId="4164ACF8"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2C527909" w14:textId="73685D26"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72FA1CD4" w14:textId="77777777" w:rsidR="000E6DAB" w:rsidRPr="00981979" w:rsidRDefault="000E6DAB" w:rsidP="00C661CD">
            <w:pPr>
              <w:pStyle w:val="Tabletext"/>
              <w:rPr>
                <w:rFonts w:asciiTheme="minorHAnsi" w:hAnsiTheme="minorHAnsi" w:cstheme="majorBidi"/>
                <w:b/>
                <w:sz w:val="20"/>
                <w:szCs w:val="20"/>
              </w:rPr>
            </w:pPr>
          </w:p>
        </w:tc>
      </w:tr>
      <w:tr w:rsidR="000E6DAB" w14:paraId="1DFF0F74" w14:textId="77777777" w:rsidTr="00C10FCA">
        <w:tc>
          <w:tcPr>
            <w:tcW w:w="1980" w:type="dxa"/>
          </w:tcPr>
          <w:p w14:paraId="70597659"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27C6F7DB" w14:textId="0734E8C4"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3.2.3</w:t>
            </w:r>
            <w:r w:rsidRPr="00707D64">
              <w:rPr>
                <w:rFonts w:asciiTheme="minorHAnsi" w:hAnsiTheme="minorHAnsi"/>
                <w:sz w:val="20"/>
                <w:szCs w:val="20"/>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2976" w:type="dxa"/>
          </w:tcPr>
          <w:p w14:paraId="29D0926D" w14:textId="4B3A90C5"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lang w:val="fr-CH"/>
              </w:rPr>
              <w:t>3.2.3</w:t>
            </w:r>
            <w:r w:rsidRPr="00981979">
              <w:rPr>
                <w:rFonts w:asciiTheme="minorHAnsi" w:hAnsiTheme="minorHAnsi"/>
                <w:sz w:val="20"/>
                <w:szCs w:val="20"/>
                <w:lang w:val="fr-CH"/>
              </w:rPr>
              <w:tab/>
              <w:t>Cependant, si le rapport entre l'unité monétaire du FMI et la monnaie choisie n'a pas été publié, le montant du solde de compte est, dans une première phase, converti en une monnaie pour laquelle le FMI a publié un rapport, en utilisant le rapport en vigueur la veille du paiement ou le dernier rapport publié. Le montant ainsi obtenu est, dans une deuxième phase, converti dans la valeur équivalente de la monnaie choisie, en appliquant le cours de clôture en vigueur la veille du paiement ou le taux le plus récent coté sur le marché officiel des changes ou sur le marché normalement admis dans le principal centre financier du pays débiteur.</w:t>
            </w:r>
          </w:p>
        </w:tc>
        <w:tc>
          <w:tcPr>
            <w:tcW w:w="2375" w:type="dxa"/>
          </w:tcPr>
          <w:p w14:paraId="418E3B29" w14:textId="6A1F2B1D"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08806C63" w14:textId="528F6222"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0E6DAB" w:rsidRPr="00981979">
              <w:rPr>
                <w:rFonts w:asciiTheme="minorHAnsi" w:hAnsiTheme="minorHAnsi" w:cstheme="majorBidi"/>
                <w:b/>
                <w:sz w:val="20"/>
                <w:szCs w:val="20"/>
              </w:rPr>
              <w:t>offre la souplesse nécessaire.</w:t>
            </w:r>
          </w:p>
        </w:tc>
        <w:tc>
          <w:tcPr>
            <w:tcW w:w="2327" w:type="dxa"/>
          </w:tcPr>
          <w:p w14:paraId="41CAD94C" w14:textId="77777777" w:rsidR="000E6DAB" w:rsidRPr="00981979" w:rsidRDefault="000E6DAB" w:rsidP="00C661CD">
            <w:pPr>
              <w:pStyle w:val="Tabletext"/>
              <w:rPr>
                <w:rFonts w:asciiTheme="minorHAnsi" w:hAnsiTheme="minorHAnsi" w:cstheme="majorBidi"/>
                <w:b/>
                <w:sz w:val="20"/>
                <w:szCs w:val="20"/>
              </w:rPr>
            </w:pPr>
          </w:p>
        </w:tc>
      </w:tr>
      <w:tr w:rsidR="000E6DAB" w14:paraId="0FDF4C4D" w14:textId="77777777" w:rsidTr="00C10FCA">
        <w:tc>
          <w:tcPr>
            <w:tcW w:w="1980" w:type="dxa"/>
          </w:tcPr>
          <w:p w14:paraId="5D009C9F"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43F2CBDE" w14:textId="77777777"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3.2.4</w:t>
            </w:r>
            <w:r w:rsidRPr="00707D64">
              <w:rPr>
                <w:rFonts w:asciiTheme="minorHAnsi" w:hAnsiTheme="minorHAnsi"/>
                <w:sz w:val="20"/>
                <w:szCs w:val="20"/>
              </w:rPr>
              <w:tab/>
              <w:t xml:space="preserve">Si, en vertu d'un arrangement particulier, le solde du compte n'est pas exprimé dans l'unité monétaire du FMI, les dispositions relatives au paiement doivent également </w:t>
            </w:r>
            <w:r w:rsidRPr="00707D64">
              <w:rPr>
                <w:rFonts w:asciiTheme="minorHAnsi" w:hAnsiTheme="minorHAnsi"/>
                <w:sz w:val="20"/>
                <w:szCs w:val="20"/>
              </w:rPr>
              <w:lastRenderedPageBreak/>
              <w:t xml:space="preserve">faire partie dudit arrangement particulier </w:t>
            </w:r>
            <w:proofErr w:type="gramStart"/>
            <w:r w:rsidRPr="00707D64">
              <w:rPr>
                <w:rFonts w:asciiTheme="minorHAnsi" w:hAnsiTheme="minorHAnsi"/>
                <w:sz w:val="20"/>
                <w:szCs w:val="20"/>
              </w:rPr>
              <w:t>et:</w:t>
            </w:r>
            <w:proofErr w:type="gramEnd"/>
          </w:p>
          <w:p w14:paraId="430920E5" w14:textId="77777777" w:rsidR="000E6DAB" w:rsidRPr="00707D64" w:rsidRDefault="000E6DAB" w:rsidP="001D617E">
            <w:pPr>
              <w:pStyle w:val="Tabletext"/>
              <w:tabs>
                <w:tab w:val="left" w:pos="287"/>
              </w:tabs>
              <w:ind w:left="287" w:hanging="287"/>
              <w:rPr>
                <w:rFonts w:asciiTheme="minorHAnsi" w:hAnsiTheme="minorHAnsi"/>
                <w:sz w:val="20"/>
                <w:szCs w:val="20"/>
              </w:rPr>
            </w:pPr>
            <w:r w:rsidRPr="00707D64">
              <w:rPr>
                <w:rStyle w:val="Artdef"/>
                <w:sz w:val="20"/>
                <w:szCs w:val="20"/>
              </w:rPr>
              <w:br w:type="page"/>
            </w:r>
            <w:r w:rsidRPr="00707D64">
              <w:rPr>
                <w:rFonts w:asciiTheme="minorHAnsi" w:hAnsiTheme="minorHAnsi"/>
                <w:i/>
                <w:iCs/>
                <w:sz w:val="20"/>
                <w:szCs w:val="20"/>
              </w:rPr>
              <w:t>a)</w:t>
            </w:r>
            <w:r w:rsidRPr="00707D64">
              <w:rPr>
                <w:rFonts w:asciiTheme="minorHAnsi" w:hAnsiTheme="minorHAnsi"/>
                <w:sz w:val="20"/>
                <w:szCs w:val="20"/>
              </w:rPr>
              <w:tab/>
              <w:t xml:space="preserve">si la monnaie choisie est la même que celle dans laquelle le solde du compte est exprimé, le montant du paiement dans la monnaie choisie est le montant du solde du </w:t>
            </w:r>
            <w:proofErr w:type="gramStart"/>
            <w:r w:rsidRPr="00707D64">
              <w:rPr>
                <w:rFonts w:asciiTheme="minorHAnsi" w:hAnsiTheme="minorHAnsi"/>
                <w:sz w:val="20"/>
                <w:szCs w:val="20"/>
              </w:rPr>
              <w:t>compte;</w:t>
            </w:r>
            <w:bookmarkStart w:id="32" w:name="lt_pId344"/>
            <w:proofErr w:type="gramEnd"/>
          </w:p>
          <w:bookmarkEnd w:id="32"/>
          <w:p w14:paraId="613C0936" w14:textId="207C386C" w:rsidR="000E6DAB" w:rsidRPr="00707D64" w:rsidRDefault="000E6DAB" w:rsidP="001D617E">
            <w:pPr>
              <w:pStyle w:val="Tabletext"/>
              <w:tabs>
                <w:tab w:val="left" w:pos="287"/>
              </w:tabs>
              <w:ind w:left="287" w:hanging="287"/>
              <w:rPr>
                <w:rFonts w:asciiTheme="minorHAnsi" w:hAnsiTheme="minorHAnsi"/>
                <w:sz w:val="20"/>
                <w:szCs w:val="20"/>
              </w:rPr>
            </w:pPr>
            <w:r w:rsidRPr="00707D64">
              <w:rPr>
                <w:rFonts w:asciiTheme="minorHAnsi" w:hAnsiTheme="minorHAnsi"/>
                <w:i/>
                <w:iCs/>
                <w:sz w:val="20"/>
                <w:szCs w:val="20"/>
              </w:rPr>
              <w:t>b)</w:t>
            </w:r>
            <w:r w:rsidRPr="00707D64">
              <w:rPr>
                <w:rFonts w:asciiTheme="minorHAnsi" w:hAnsiTheme="minorHAnsi"/>
                <w:sz w:val="20"/>
                <w:szCs w:val="20"/>
              </w:rPr>
              <w:tab/>
              <w:t>si la monnaie choisie pour le paiement est différente de celle dans laquelle le solde est exprimé, le montant est déterminé en convertissant le solde du compte dans sa valeur équivalente, dans la monnaie choisie, selon les modalités prévues au point 1/28 (paragraphe 3.2.3) ci</w:t>
            </w:r>
            <w:r w:rsidRPr="00707D64">
              <w:rPr>
                <w:rFonts w:asciiTheme="minorHAnsi" w:hAnsiTheme="minorHAnsi"/>
                <w:sz w:val="20"/>
                <w:szCs w:val="20"/>
              </w:rPr>
              <w:noBreakHyphen/>
              <w:t>dessus.</w:t>
            </w:r>
          </w:p>
        </w:tc>
        <w:tc>
          <w:tcPr>
            <w:tcW w:w="2976" w:type="dxa"/>
          </w:tcPr>
          <w:p w14:paraId="29AA5655" w14:textId="098B5225" w:rsidR="000E6DAB" w:rsidRPr="00981979" w:rsidRDefault="000E6DAB" w:rsidP="00C661CD">
            <w:pPr>
              <w:pStyle w:val="Tabletext"/>
              <w:spacing w:before="80" w:after="80"/>
              <w:rPr>
                <w:rFonts w:asciiTheme="minorHAnsi" w:hAnsiTheme="minorHAnsi" w:cstheme="minorHAnsi"/>
                <w:sz w:val="20"/>
                <w:szCs w:val="20"/>
                <w:lang w:val="fr-CH"/>
              </w:rPr>
            </w:pPr>
            <w:r w:rsidRPr="00981979">
              <w:rPr>
                <w:rFonts w:asciiTheme="minorHAnsi" w:hAnsiTheme="minorHAnsi" w:cstheme="minorHAnsi"/>
                <w:sz w:val="20"/>
                <w:szCs w:val="20"/>
                <w:lang w:val="fr-CH"/>
              </w:rPr>
              <w:lastRenderedPageBreak/>
              <w:t>3.2.5</w:t>
            </w:r>
            <w:r w:rsidRPr="00981979">
              <w:rPr>
                <w:rFonts w:asciiTheme="minorHAnsi" w:hAnsiTheme="minorHAnsi" w:cstheme="minorHAnsi"/>
                <w:sz w:val="20"/>
                <w:szCs w:val="20"/>
                <w:lang w:val="fr-CH"/>
              </w:rPr>
              <w:tab/>
              <w:t xml:space="preserve">Si, en vertu d'un arrangement particulier, le solde du compte n'est exprimé ni dans l'unité monétaire du FMI ni en franc-or, les dispositions relatives au paiement doivent également </w:t>
            </w:r>
            <w:r w:rsidRPr="00981979">
              <w:rPr>
                <w:rFonts w:asciiTheme="minorHAnsi" w:hAnsiTheme="minorHAnsi" w:cstheme="minorHAnsi"/>
                <w:sz w:val="20"/>
                <w:szCs w:val="20"/>
                <w:lang w:val="fr-CH"/>
              </w:rPr>
              <w:lastRenderedPageBreak/>
              <w:t xml:space="preserve">faire partie dudit arrangement particulier </w:t>
            </w:r>
            <w:proofErr w:type="gramStart"/>
            <w:r w:rsidRPr="00981979">
              <w:rPr>
                <w:rFonts w:asciiTheme="minorHAnsi" w:hAnsiTheme="minorHAnsi" w:cstheme="minorHAnsi"/>
                <w:sz w:val="20"/>
                <w:szCs w:val="20"/>
                <w:lang w:val="fr-CH"/>
              </w:rPr>
              <w:t>et:</w:t>
            </w:r>
            <w:proofErr w:type="gramEnd"/>
          </w:p>
          <w:p w14:paraId="06BED446" w14:textId="77777777" w:rsidR="000E6DAB" w:rsidRPr="00981979" w:rsidRDefault="000E6DAB" w:rsidP="001D617E">
            <w:pPr>
              <w:pStyle w:val="Tabletext"/>
              <w:spacing w:before="80" w:after="80"/>
              <w:ind w:left="320" w:hanging="320"/>
              <w:rPr>
                <w:rFonts w:asciiTheme="minorHAnsi" w:hAnsiTheme="minorHAnsi" w:cstheme="minorHAnsi"/>
                <w:sz w:val="20"/>
                <w:szCs w:val="20"/>
                <w:lang w:val="fr-CH"/>
              </w:rPr>
            </w:pPr>
            <w:r w:rsidRPr="00981979">
              <w:rPr>
                <w:rFonts w:asciiTheme="minorHAnsi" w:hAnsiTheme="minorHAnsi" w:cstheme="minorHAnsi"/>
                <w:i/>
                <w:sz w:val="20"/>
                <w:szCs w:val="20"/>
                <w:lang w:val="fr-CH"/>
              </w:rPr>
              <w:t>a)</w:t>
            </w:r>
            <w:r w:rsidRPr="00981979">
              <w:rPr>
                <w:rFonts w:asciiTheme="minorHAnsi" w:hAnsiTheme="minorHAnsi" w:cstheme="minorHAnsi"/>
                <w:sz w:val="20"/>
                <w:szCs w:val="20"/>
                <w:lang w:val="fr-CH"/>
              </w:rPr>
              <w:tab/>
              <w:t xml:space="preserve">si la monnaie choisie est la même que celle dans laquelle le solde du compte est exprimé, le montant du paiement dans la monnaie choisie est le montant du solde du </w:t>
            </w:r>
            <w:proofErr w:type="gramStart"/>
            <w:r w:rsidRPr="00981979">
              <w:rPr>
                <w:rFonts w:asciiTheme="minorHAnsi" w:hAnsiTheme="minorHAnsi" w:cstheme="minorHAnsi"/>
                <w:sz w:val="20"/>
                <w:szCs w:val="20"/>
                <w:lang w:val="fr-CH"/>
              </w:rPr>
              <w:t>compte;</w:t>
            </w:r>
            <w:proofErr w:type="gramEnd"/>
          </w:p>
          <w:p w14:paraId="6877ABE2" w14:textId="6CC4D849" w:rsidR="000E6DAB" w:rsidRPr="00981979" w:rsidRDefault="000E6DAB" w:rsidP="001D617E">
            <w:pPr>
              <w:pStyle w:val="Tabletext"/>
              <w:tabs>
                <w:tab w:val="left" w:pos="309"/>
              </w:tabs>
              <w:ind w:left="309" w:hanging="309"/>
              <w:rPr>
                <w:rFonts w:asciiTheme="minorHAnsi" w:hAnsiTheme="minorHAnsi"/>
                <w:sz w:val="20"/>
                <w:szCs w:val="20"/>
              </w:rPr>
            </w:pPr>
            <w:r w:rsidRPr="00981979">
              <w:rPr>
                <w:rFonts w:asciiTheme="minorHAnsi" w:hAnsiTheme="minorHAnsi" w:cstheme="minorHAnsi"/>
                <w:i/>
                <w:sz w:val="20"/>
                <w:szCs w:val="20"/>
                <w:lang w:val="fr-CH"/>
              </w:rPr>
              <w:t>b)</w:t>
            </w:r>
            <w:r w:rsidRPr="00981979">
              <w:rPr>
                <w:rFonts w:asciiTheme="minorHAnsi" w:hAnsiTheme="minorHAnsi" w:cstheme="minorHAnsi"/>
                <w:sz w:val="20"/>
                <w:szCs w:val="20"/>
                <w:lang w:val="fr-CH"/>
              </w:rPr>
              <w:tab/>
              <w:t>si la monnaie choisie pour le paiement est différente de celle dans laquelle le solde est exprimé, le montant est déterminé en convertissant le solde du compte dans sa valeur équivalente, dans la monnaie choisie, selon les modalités prévues au paragraphe 3.2.3 ci</w:t>
            </w:r>
            <w:r w:rsidRPr="00981979">
              <w:rPr>
                <w:rFonts w:asciiTheme="minorHAnsi" w:hAnsiTheme="minorHAnsi" w:cstheme="minorHAnsi"/>
                <w:sz w:val="20"/>
                <w:szCs w:val="20"/>
                <w:lang w:val="fr-CH"/>
              </w:rPr>
              <w:noBreakHyphen/>
              <w:t>dessus.</w:t>
            </w:r>
          </w:p>
        </w:tc>
        <w:tc>
          <w:tcPr>
            <w:tcW w:w="2375" w:type="dxa"/>
          </w:tcPr>
          <w:p w14:paraId="5209FCA1" w14:textId="686B5CA1"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Cette </w:t>
            </w:r>
            <w:r w:rsidR="000E6DAB" w:rsidRPr="00981979">
              <w:rPr>
                <w:rFonts w:asciiTheme="minorHAnsi" w:hAnsiTheme="minorHAnsi" w:cstheme="majorBidi"/>
                <w:b/>
                <w:sz w:val="20"/>
                <w:szCs w:val="20"/>
              </w:rPr>
              <w:t>disposition est applicable.</w:t>
            </w:r>
          </w:p>
        </w:tc>
        <w:tc>
          <w:tcPr>
            <w:tcW w:w="2445" w:type="dxa"/>
          </w:tcPr>
          <w:p w14:paraId="642D8C2B" w14:textId="062ABD1D"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42674C1A" w14:textId="77777777" w:rsidR="000E6DAB" w:rsidRPr="00981979" w:rsidRDefault="000E6DAB" w:rsidP="00C661CD">
            <w:pPr>
              <w:pStyle w:val="Tabletext"/>
              <w:rPr>
                <w:rFonts w:asciiTheme="minorHAnsi" w:hAnsiTheme="minorHAnsi" w:cstheme="majorBidi"/>
                <w:b/>
                <w:sz w:val="20"/>
                <w:szCs w:val="20"/>
              </w:rPr>
            </w:pPr>
          </w:p>
        </w:tc>
      </w:tr>
      <w:tr w:rsidR="000E6DAB" w14:paraId="45AF18C6" w14:textId="77777777" w:rsidTr="00C10FCA">
        <w:tc>
          <w:tcPr>
            <w:tcW w:w="1980" w:type="dxa"/>
          </w:tcPr>
          <w:p w14:paraId="047EEB0F"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140C6410" w14:textId="42434CAD" w:rsidR="000E6DAB" w:rsidRPr="00707D64" w:rsidRDefault="000E6DAB" w:rsidP="00C661CD">
            <w:pPr>
              <w:pStyle w:val="Tabletext"/>
              <w:rPr>
                <w:rFonts w:asciiTheme="minorHAnsi" w:hAnsiTheme="minorHAnsi"/>
                <w:b/>
                <w:sz w:val="20"/>
                <w:szCs w:val="20"/>
              </w:rPr>
            </w:pPr>
            <w:r w:rsidRPr="00707D64">
              <w:rPr>
                <w:rFonts w:asciiTheme="minorHAnsi" w:hAnsiTheme="minorHAnsi"/>
                <w:b/>
                <w:sz w:val="20"/>
                <w:szCs w:val="20"/>
              </w:rPr>
              <w:t>3.3</w:t>
            </w:r>
            <w:r w:rsidRPr="00707D64">
              <w:rPr>
                <w:rFonts w:asciiTheme="minorHAnsi" w:hAnsiTheme="minorHAnsi"/>
                <w:b/>
                <w:sz w:val="20"/>
                <w:szCs w:val="20"/>
              </w:rPr>
              <w:tab/>
              <w:t>Paiement des soldes</w:t>
            </w:r>
          </w:p>
        </w:tc>
        <w:tc>
          <w:tcPr>
            <w:tcW w:w="2976" w:type="dxa"/>
          </w:tcPr>
          <w:p w14:paraId="3A676379" w14:textId="77777777" w:rsidR="000E6DAB" w:rsidRPr="00981979" w:rsidRDefault="000E6DAB" w:rsidP="00C661CD">
            <w:pPr>
              <w:pStyle w:val="Tabletext"/>
              <w:rPr>
                <w:rFonts w:asciiTheme="minorHAnsi" w:hAnsiTheme="minorHAnsi"/>
                <w:sz w:val="20"/>
                <w:szCs w:val="20"/>
              </w:rPr>
            </w:pPr>
          </w:p>
        </w:tc>
        <w:tc>
          <w:tcPr>
            <w:tcW w:w="2375" w:type="dxa"/>
          </w:tcPr>
          <w:p w14:paraId="2B5FF27F" w14:textId="77777777" w:rsidR="000E6DAB" w:rsidRPr="00981979" w:rsidRDefault="000E6DAB" w:rsidP="00C661CD">
            <w:pPr>
              <w:pStyle w:val="Tabletext"/>
              <w:rPr>
                <w:rFonts w:asciiTheme="minorHAnsi" w:hAnsiTheme="minorHAnsi" w:cstheme="majorBidi"/>
                <w:b/>
                <w:sz w:val="20"/>
                <w:szCs w:val="20"/>
              </w:rPr>
            </w:pPr>
          </w:p>
        </w:tc>
        <w:tc>
          <w:tcPr>
            <w:tcW w:w="2445" w:type="dxa"/>
          </w:tcPr>
          <w:p w14:paraId="1AE6CE4D" w14:textId="77777777" w:rsidR="000E6DAB" w:rsidRPr="00981979" w:rsidRDefault="000E6DAB" w:rsidP="00C661CD">
            <w:pPr>
              <w:pStyle w:val="Tabletext"/>
              <w:rPr>
                <w:rFonts w:asciiTheme="minorHAnsi" w:hAnsiTheme="minorHAnsi" w:cstheme="majorBidi"/>
                <w:b/>
                <w:sz w:val="20"/>
                <w:szCs w:val="20"/>
              </w:rPr>
            </w:pPr>
          </w:p>
        </w:tc>
        <w:tc>
          <w:tcPr>
            <w:tcW w:w="2327" w:type="dxa"/>
          </w:tcPr>
          <w:p w14:paraId="2385237C" w14:textId="77777777" w:rsidR="000E6DAB" w:rsidRPr="00981979" w:rsidRDefault="000E6DAB" w:rsidP="00C661CD">
            <w:pPr>
              <w:pStyle w:val="Tabletext"/>
              <w:rPr>
                <w:rFonts w:asciiTheme="minorHAnsi" w:hAnsiTheme="minorHAnsi" w:cstheme="majorBidi"/>
                <w:b/>
                <w:sz w:val="20"/>
                <w:szCs w:val="20"/>
              </w:rPr>
            </w:pPr>
          </w:p>
        </w:tc>
      </w:tr>
      <w:tr w:rsidR="000E6DAB" w14:paraId="45E2D552" w14:textId="77777777" w:rsidTr="00C10FCA">
        <w:tc>
          <w:tcPr>
            <w:tcW w:w="1980" w:type="dxa"/>
          </w:tcPr>
          <w:p w14:paraId="69563DC4"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25207D8D" w14:textId="65E2D587"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3.3.1</w:t>
            </w:r>
            <w:r w:rsidRPr="00707D64">
              <w:rPr>
                <w:rFonts w:asciiTheme="minorHAnsi" w:hAnsiTheme="minorHAnsi"/>
                <w:sz w:val="20"/>
                <w:szCs w:val="20"/>
              </w:rPr>
              <w:tab/>
              <w:t xml:space="preserve">Les paiements des soldes de comptes sont effectués aussi rapidement que possible et en tout cas dans un délai maximal de deux mois calendaires à compter de la date d'expédition du décompte par l'exploitation autorisée créancière. Passé ce délai, l'exploitation autorisée créancière a la possibilité d'exiger, à dater du lendemain du jour d'expiration dudit délai, des intérêts qui, en l'absence d'accord mutuel, peuvent aller jusqu'à 6% par an, sous réserve </w:t>
            </w:r>
            <w:r w:rsidRPr="00707D64">
              <w:rPr>
                <w:rFonts w:asciiTheme="minorHAnsi" w:hAnsiTheme="minorHAnsi"/>
                <w:sz w:val="20"/>
                <w:szCs w:val="20"/>
              </w:rPr>
              <w:lastRenderedPageBreak/>
              <w:t>d'une notification préalable sous forme d'une demande de paiement définitive.</w:t>
            </w:r>
          </w:p>
        </w:tc>
        <w:tc>
          <w:tcPr>
            <w:tcW w:w="2976" w:type="dxa"/>
          </w:tcPr>
          <w:p w14:paraId="65B6FF87" w14:textId="66E21CFE" w:rsidR="000E6DAB" w:rsidRPr="00981979" w:rsidRDefault="000E6DAB" w:rsidP="00C661CD">
            <w:pPr>
              <w:pStyle w:val="Tabletext"/>
              <w:rPr>
                <w:rFonts w:asciiTheme="minorHAnsi" w:hAnsiTheme="minorHAnsi"/>
                <w:sz w:val="20"/>
                <w:szCs w:val="20"/>
              </w:rPr>
            </w:pPr>
            <w:r w:rsidRPr="00981979">
              <w:rPr>
                <w:rFonts w:asciiTheme="minorHAnsi" w:hAnsiTheme="minorHAnsi" w:cs="Calibri"/>
                <w:sz w:val="20"/>
                <w:szCs w:val="20"/>
                <w:lang w:val="fr-CH"/>
              </w:rPr>
              <w:lastRenderedPageBreak/>
              <w:t>3.3.1</w:t>
            </w:r>
            <w:r w:rsidRPr="00981979">
              <w:rPr>
                <w:rFonts w:asciiTheme="minorHAnsi" w:hAnsiTheme="minorHAnsi" w:cs="Calibri"/>
                <w:sz w:val="20"/>
                <w:szCs w:val="20"/>
                <w:lang w:val="fr-CH"/>
              </w:rPr>
              <w:tab/>
              <w:t>Les paiements des soldes de comptes sont effectués aussi rapidement que possible et en tout cas dans un délai maximal de deux mois calendaires à compter de la date d'expédition du décompte par l'administration* créancière. Passé ce délai, l'administration</w:t>
            </w:r>
            <w:r w:rsidRPr="00981979">
              <w:rPr>
                <w:rFonts w:asciiTheme="minorHAnsi" w:hAnsiTheme="minorHAnsi"/>
                <w:sz w:val="20"/>
                <w:szCs w:val="20"/>
              </w:rPr>
              <w:t>*</w:t>
            </w:r>
            <w:r w:rsidRPr="00981979">
              <w:rPr>
                <w:rFonts w:asciiTheme="minorHAnsi" w:hAnsiTheme="minorHAnsi" w:cs="Calibri"/>
                <w:sz w:val="20"/>
                <w:szCs w:val="20"/>
                <w:lang w:val="fr-CH"/>
              </w:rPr>
              <w:t xml:space="preserve"> créancière a la possibilité d'exiger, à dater du lendemain du jour d'expiration dudit délai, des intérêts qui, en l'absence d'accord mutuel, peuvent aller jusqu'à 6% par an, sous réserve </w:t>
            </w:r>
            <w:r w:rsidRPr="00981979">
              <w:rPr>
                <w:rFonts w:asciiTheme="minorHAnsi" w:hAnsiTheme="minorHAnsi" w:cs="Calibri"/>
                <w:sz w:val="20"/>
                <w:szCs w:val="20"/>
                <w:lang w:val="fr-CH"/>
              </w:rPr>
              <w:lastRenderedPageBreak/>
              <w:t>d'une notification préalable sous forme d'une demande de paiement définitive.</w:t>
            </w:r>
          </w:p>
        </w:tc>
        <w:tc>
          <w:tcPr>
            <w:tcW w:w="2375" w:type="dxa"/>
          </w:tcPr>
          <w:p w14:paraId="3875D062" w14:textId="5D113A2E"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lastRenderedPageBreak/>
              <w:t xml:space="preserve">Cette </w:t>
            </w:r>
            <w:r w:rsidR="000E6DAB" w:rsidRPr="00981979">
              <w:rPr>
                <w:rFonts w:asciiTheme="minorHAnsi" w:hAnsiTheme="minorHAnsi" w:cstheme="majorBidi"/>
                <w:b/>
                <w:sz w:val="20"/>
                <w:szCs w:val="20"/>
              </w:rPr>
              <w:t>disposition est applicable.</w:t>
            </w:r>
          </w:p>
        </w:tc>
        <w:tc>
          <w:tcPr>
            <w:tcW w:w="2445" w:type="dxa"/>
          </w:tcPr>
          <w:p w14:paraId="1AC8207D" w14:textId="51A2219D"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0A930992" w14:textId="77777777" w:rsidR="000E6DAB" w:rsidRPr="00981979" w:rsidRDefault="000E6DAB" w:rsidP="00C661CD">
            <w:pPr>
              <w:pStyle w:val="Tabletext"/>
              <w:rPr>
                <w:rFonts w:asciiTheme="minorHAnsi" w:hAnsiTheme="minorHAnsi" w:cstheme="majorBidi"/>
                <w:b/>
                <w:sz w:val="20"/>
                <w:szCs w:val="20"/>
              </w:rPr>
            </w:pPr>
          </w:p>
        </w:tc>
      </w:tr>
      <w:tr w:rsidR="000E6DAB" w14:paraId="0FCEABC4" w14:textId="77777777" w:rsidTr="00C10FCA">
        <w:tc>
          <w:tcPr>
            <w:tcW w:w="1980" w:type="dxa"/>
          </w:tcPr>
          <w:p w14:paraId="2A1E75DE"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6D9C9FA3" w14:textId="5D8B514A"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3.3.2</w:t>
            </w:r>
            <w:r w:rsidRPr="00707D64">
              <w:rPr>
                <w:rFonts w:asciiTheme="minorHAnsi" w:hAnsiTheme="minorHAnsi"/>
                <w:sz w:val="20"/>
                <w:szCs w:val="20"/>
              </w:rPr>
              <w:tab/>
              <w:t>Le paiement du solde du compte ne doit pas être différé dans l'attente d'un accord au sujet d'une contestation relative à ce compte. Les ajustements convenus ultérieurement seront inclus dans un compte ultérieur.</w:t>
            </w:r>
          </w:p>
        </w:tc>
        <w:tc>
          <w:tcPr>
            <w:tcW w:w="2976" w:type="dxa"/>
          </w:tcPr>
          <w:p w14:paraId="535CE2CD" w14:textId="15D1F338"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3.3.2</w:t>
            </w:r>
            <w:r w:rsidRPr="00981979">
              <w:rPr>
                <w:rFonts w:asciiTheme="minorHAnsi" w:hAnsiTheme="minorHAnsi"/>
                <w:sz w:val="20"/>
                <w:szCs w:val="20"/>
              </w:rPr>
              <w:tab/>
              <w:t xml:space="preserve">Le paiement du solde du compte ne doit pas être différé dans l'attente d'un accord au sujet d'une contestation relative à ce compte. Les ajustements, admis après coup d'un commun accord, seront inclus dans un compte ultérieur. </w:t>
            </w:r>
          </w:p>
        </w:tc>
        <w:tc>
          <w:tcPr>
            <w:tcW w:w="2375" w:type="dxa"/>
          </w:tcPr>
          <w:p w14:paraId="2D75A173" w14:textId="70B4F910"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14BF7D7D" w14:textId="450F63FE"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113DED8B" w14:textId="77777777" w:rsidR="000E6DAB" w:rsidRPr="00981979" w:rsidRDefault="000E6DAB" w:rsidP="00C661CD">
            <w:pPr>
              <w:pStyle w:val="Tabletext"/>
              <w:rPr>
                <w:rFonts w:asciiTheme="minorHAnsi" w:hAnsiTheme="minorHAnsi" w:cstheme="majorBidi"/>
                <w:b/>
                <w:sz w:val="20"/>
                <w:szCs w:val="20"/>
              </w:rPr>
            </w:pPr>
          </w:p>
        </w:tc>
      </w:tr>
      <w:tr w:rsidR="000E6DAB" w14:paraId="57ACCACA" w14:textId="77777777" w:rsidTr="00C10FCA">
        <w:tc>
          <w:tcPr>
            <w:tcW w:w="1980" w:type="dxa"/>
          </w:tcPr>
          <w:p w14:paraId="06A02F83"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472105A9" w14:textId="7E7E60B3"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3.3.3</w:t>
            </w:r>
            <w:r w:rsidRPr="00707D64">
              <w:rPr>
                <w:rFonts w:asciiTheme="minorHAnsi" w:hAnsiTheme="minorHAnsi"/>
                <w:sz w:val="20"/>
                <w:szCs w:val="20"/>
              </w:rPr>
              <w:tab/>
            </w:r>
            <w:r w:rsidRPr="00707D64">
              <w:rPr>
                <w:rFonts w:asciiTheme="minorHAnsi" w:hAnsiTheme="minorHAnsi"/>
                <w:caps/>
                <w:sz w:val="20"/>
                <w:szCs w:val="20"/>
              </w:rPr>
              <w:t>à</w:t>
            </w:r>
            <w:r w:rsidRPr="00707D64">
              <w:rPr>
                <w:rFonts w:asciiTheme="minorHAnsi" w:hAnsiTheme="minorHAnsi"/>
                <w:sz w:val="20"/>
                <w:szCs w:val="20"/>
              </w:rPr>
              <w:t xml:space="preserve"> la date du paiement, le débiteur doit transmettre le montant, exprimé dans la monnaie choisie et calculé comme indiqué plus haut, par chèque bancaire, virement ou tout autre moyen acceptable pour le débiteur et pour le créancier. Si le créancier n'émet pas de préférence, le choix appartient au débiteur.</w:t>
            </w:r>
          </w:p>
        </w:tc>
        <w:tc>
          <w:tcPr>
            <w:tcW w:w="2976" w:type="dxa"/>
          </w:tcPr>
          <w:p w14:paraId="19A17A0E" w14:textId="45A612F0" w:rsidR="000E6DAB" w:rsidRPr="00981979" w:rsidRDefault="000E6DAB" w:rsidP="00C661CD">
            <w:pPr>
              <w:pStyle w:val="Tabletext"/>
              <w:rPr>
                <w:rFonts w:asciiTheme="minorHAnsi" w:hAnsiTheme="minorHAnsi"/>
                <w:sz w:val="20"/>
                <w:szCs w:val="20"/>
              </w:rPr>
            </w:pPr>
            <w:r w:rsidRPr="00981979">
              <w:rPr>
                <w:rFonts w:asciiTheme="minorHAnsi" w:hAnsiTheme="minorHAnsi" w:cs="Calibri"/>
                <w:sz w:val="20"/>
                <w:szCs w:val="20"/>
                <w:lang w:val="fr-CH"/>
              </w:rPr>
              <w:t>3.3.3</w:t>
            </w:r>
            <w:r w:rsidRPr="00981979">
              <w:rPr>
                <w:rFonts w:asciiTheme="minorHAnsi" w:hAnsiTheme="minorHAnsi" w:cs="Calibri"/>
                <w:sz w:val="20"/>
                <w:szCs w:val="20"/>
                <w:lang w:val="fr-CH"/>
              </w:rPr>
              <w:tab/>
            </w:r>
            <w:r w:rsidRPr="00981979">
              <w:rPr>
                <w:rFonts w:asciiTheme="minorHAnsi" w:hAnsiTheme="minorHAnsi" w:cs="Calibri"/>
                <w:caps/>
                <w:sz w:val="20"/>
                <w:szCs w:val="20"/>
                <w:lang w:val="fr-CH"/>
              </w:rPr>
              <w:t>à</w:t>
            </w:r>
            <w:r w:rsidRPr="00981979">
              <w:rPr>
                <w:rFonts w:asciiTheme="minorHAnsi" w:hAnsiTheme="minorHAnsi" w:cs="Calibri"/>
                <w:sz w:val="20"/>
                <w:szCs w:val="20"/>
                <w:lang w:val="fr-CH"/>
              </w:rPr>
              <w:t xml:space="preserve"> la date du paiement, le débiteur doit transmettre le montant, exprimé dans la monnaie choisie et calculé comme indiqué plus haut, par un chèque bancaire, un virement ou tout autre moyen acceptable pour le débiteur et pour le créancier. Si le créancier n'émet pas de préférence, le choix appartient au débiteur. </w:t>
            </w:r>
          </w:p>
        </w:tc>
        <w:tc>
          <w:tcPr>
            <w:tcW w:w="2375" w:type="dxa"/>
          </w:tcPr>
          <w:p w14:paraId="62D426CD" w14:textId="18B90595"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7FE17DC1" w14:textId="11BB69F4"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08A25BEA" w14:textId="77777777" w:rsidR="000E6DAB" w:rsidRPr="00981979" w:rsidRDefault="000E6DAB" w:rsidP="00C661CD">
            <w:pPr>
              <w:pStyle w:val="Tabletext"/>
              <w:rPr>
                <w:rFonts w:asciiTheme="minorHAnsi" w:hAnsiTheme="minorHAnsi" w:cstheme="majorBidi"/>
                <w:b/>
                <w:sz w:val="20"/>
                <w:szCs w:val="20"/>
              </w:rPr>
            </w:pPr>
          </w:p>
        </w:tc>
      </w:tr>
      <w:tr w:rsidR="000E6DAB" w14:paraId="1DB0D75C" w14:textId="77777777" w:rsidTr="00C10FCA">
        <w:tc>
          <w:tcPr>
            <w:tcW w:w="1980" w:type="dxa"/>
          </w:tcPr>
          <w:p w14:paraId="1AEC9CB9"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3265E581" w14:textId="0F6DEE6F"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3.3.4</w:t>
            </w:r>
            <w:r w:rsidRPr="00707D64">
              <w:rPr>
                <w:rFonts w:asciiTheme="minorHAnsi" w:hAnsiTheme="minorHAnsi"/>
                <w:sz w:val="20"/>
                <w:szCs w:val="20"/>
              </w:rPr>
              <w:tab/>
              <w:t>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w:t>
            </w:r>
          </w:p>
        </w:tc>
        <w:tc>
          <w:tcPr>
            <w:tcW w:w="2976" w:type="dxa"/>
          </w:tcPr>
          <w:p w14:paraId="5F9C94A8" w14:textId="4B8306BB"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3.3.4</w:t>
            </w:r>
            <w:r w:rsidRPr="00981979">
              <w:rPr>
                <w:rFonts w:asciiTheme="minorHAnsi" w:hAnsiTheme="minorHAnsi"/>
                <w:sz w:val="20"/>
                <w:szCs w:val="20"/>
              </w:rPr>
              <w:tab/>
              <w:t xml:space="preserve">Les frais de paiement (taxes, frais de compensation, commissions, etc.) supportés dans le pays débiteur sont à la charge du débiteur. De tels frais supportés dans le pays créancier, y compris les frais de paiement prélevés par les banques intermédiaires dans les pays tiers, sont à la charge du créancier. </w:t>
            </w:r>
          </w:p>
        </w:tc>
        <w:tc>
          <w:tcPr>
            <w:tcW w:w="2375" w:type="dxa"/>
          </w:tcPr>
          <w:p w14:paraId="14FFD5BD" w14:textId="6A727AB9"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35B76BEF" w14:textId="722F4912"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58B4731C" w14:textId="77777777" w:rsidR="000E6DAB" w:rsidRPr="00981979" w:rsidRDefault="000E6DAB" w:rsidP="00C661CD">
            <w:pPr>
              <w:pStyle w:val="Tabletext"/>
              <w:rPr>
                <w:rFonts w:asciiTheme="minorHAnsi" w:hAnsiTheme="minorHAnsi" w:cstheme="majorBidi"/>
                <w:b/>
                <w:sz w:val="20"/>
                <w:szCs w:val="20"/>
              </w:rPr>
            </w:pPr>
          </w:p>
        </w:tc>
      </w:tr>
      <w:tr w:rsidR="000E6DAB" w14:paraId="589C9731" w14:textId="77777777" w:rsidTr="00C10FCA">
        <w:tc>
          <w:tcPr>
            <w:tcW w:w="1980" w:type="dxa"/>
          </w:tcPr>
          <w:p w14:paraId="2442A443"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2BA46EE4" w14:textId="189546A5" w:rsidR="000E6DAB" w:rsidRPr="00970AFD" w:rsidRDefault="000E6DAB" w:rsidP="00C661CD">
            <w:pPr>
              <w:pStyle w:val="Tabletext"/>
              <w:rPr>
                <w:rFonts w:asciiTheme="minorHAnsi" w:hAnsiTheme="minorHAnsi"/>
                <w:b/>
                <w:sz w:val="20"/>
                <w:szCs w:val="20"/>
              </w:rPr>
            </w:pPr>
            <w:r w:rsidRPr="00970AFD">
              <w:rPr>
                <w:rFonts w:asciiTheme="minorHAnsi" w:hAnsiTheme="minorHAnsi"/>
                <w:b/>
                <w:sz w:val="20"/>
                <w:szCs w:val="20"/>
              </w:rPr>
              <w:t>3.4</w:t>
            </w:r>
            <w:r w:rsidRPr="00970AFD">
              <w:rPr>
                <w:rFonts w:asciiTheme="minorHAnsi" w:hAnsiTheme="minorHAnsi"/>
                <w:b/>
                <w:sz w:val="20"/>
                <w:szCs w:val="20"/>
              </w:rPr>
              <w:tab/>
              <w:t>Dispositions supplémentaires</w:t>
            </w:r>
          </w:p>
        </w:tc>
        <w:tc>
          <w:tcPr>
            <w:tcW w:w="2976" w:type="dxa"/>
          </w:tcPr>
          <w:p w14:paraId="5E3EDE6B" w14:textId="77777777" w:rsidR="000E6DAB" w:rsidRPr="00981979" w:rsidRDefault="000E6DAB" w:rsidP="00C661CD">
            <w:pPr>
              <w:pStyle w:val="Tabletext"/>
              <w:rPr>
                <w:rFonts w:asciiTheme="minorHAnsi" w:hAnsiTheme="minorHAnsi"/>
                <w:sz w:val="20"/>
                <w:szCs w:val="20"/>
              </w:rPr>
            </w:pPr>
          </w:p>
        </w:tc>
        <w:tc>
          <w:tcPr>
            <w:tcW w:w="2375" w:type="dxa"/>
          </w:tcPr>
          <w:p w14:paraId="2CE7948D" w14:textId="77777777" w:rsidR="000E6DAB" w:rsidRPr="00981979" w:rsidRDefault="000E6DAB" w:rsidP="00C661CD">
            <w:pPr>
              <w:pStyle w:val="Tabletext"/>
              <w:rPr>
                <w:rFonts w:asciiTheme="minorHAnsi" w:hAnsiTheme="minorHAnsi" w:cstheme="majorBidi"/>
                <w:b/>
                <w:sz w:val="20"/>
                <w:szCs w:val="20"/>
              </w:rPr>
            </w:pPr>
          </w:p>
        </w:tc>
        <w:tc>
          <w:tcPr>
            <w:tcW w:w="2445" w:type="dxa"/>
          </w:tcPr>
          <w:p w14:paraId="4B3AAB5B" w14:textId="77777777" w:rsidR="000E6DAB" w:rsidRPr="00981979" w:rsidRDefault="000E6DAB" w:rsidP="00C661CD">
            <w:pPr>
              <w:pStyle w:val="Tabletext"/>
              <w:rPr>
                <w:rFonts w:asciiTheme="minorHAnsi" w:hAnsiTheme="minorHAnsi" w:cstheme="majorBidi"/>
                <w:b/>
                <w:sz w:val="20"/>
                <w:szCs w:val="20"/>
              </w:rPr>
            </w:pPr>
          </w:p>
        </w:tc>
        <w:tc>
          <w:tcPr>
            <w:tcW w:w="2327" w:type="dxa"/>
          </w:tcPr>
          <w:p w14:paraId="24CC9C80" w14:textId="77777777" w:rsidR="000E6DAB" w:rsidRPr="00981979" w:rsidRDefault="000E6DAB" w:rsidP="00C661CD">
            <w:pPr>
              <w:pStyle w:val="Tabletext"/>
              <w:rPr>
                <w:rFonts w:asciiTheme="minorHAnsi" w:hAnsiTheme="minorHAnsi" w:cstheme="majorBidi"/>
                <w:b/>
                <w:sz w:val="20"/>
                <w:szCs w:val="20"/>
              </w:rPr>
            </w:pPr>
          </w:p>
        </w:tc>
      </w:tr>
      <w:tr w:rsidR="000E6DAB" w14:paraId="16D767C9" w14:textId="77777777" w:rsidTr="00C10FCA">
        <w:tc>
          <w:tcPr>
            <w:tcW w:w="1980" w:type="dxa"/>
          </w:tcPr>
          <w:p w14:paraId="0A611197"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32DFDA6D" w14:textId="63108C7D"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3.4.1</w:t>
            </w:r>
            <w:r w:rsidRPr="00707D64">
              <w:rPr>
                <w:rFonts w:asciiTheme="minorHAnsi" w:hAnsiTheme="minorHAnsi"/>
                <w:sz w:val="20"/>
                <w:szCs w:val="20"/>
              </w:rPr>
              <w:tab/>
              <w:t>Si, pendant la période comprise entre l'envoi du paiement (virement bancaire, chèques, etc.) et la réception de ce dernier (compte crédité, chèque encaissé, etc.) par le créancier, il se produit une variation de la valeur équivalente de la monnaie choisie, calculée comme indiqué au point 1/25 (paragraphe 3.2) et si la différence résultant de cette variation dépasse 5% de la valeur de la somme due, calculée à la suite de ladite variation, la différence totale est partagée par moitié entre le débiteur et le créancier.</w:t>
            </w:r>
          </w:p>
        </w:tc>
        <w:tc>
          <w:tcPr>
            <w:tcW w:w="2976" w:type="dxa"/>
          </w:tcPr>
          <w:p w14:paraId="50CB482F" w14:textId="56308A68"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3.4.2</w:t>
            </w:r>
            <w:r w:rsidRPr="00981979">
              <w:rPr>
                <w:rFonts w:asciiTheme="minorHAnsi" w:hAnsiTheme="minorHAnsi"/>
                <w:sz w:val="20"/>
                <w:szCs w:val="20"/>
              </w:rPr>
              <w:tab/>
              <w:t>Si, pendant la période comprise entre l'envoi du moyen de paiement (virement bancaire, chèques, etc.) et la réception de ce dernier (compte crédité, chèque encaissé, etc.) par le créancier, il se produit une variation de la valeur équivalente de la monnaie choisie, calculée comme indiqué dans les dispositions du paragraphe 3.2 et si la différence résultant de cette variation dépasse 5% de la valeur de la somme due, calculée à la suite de ladite variation, la différence totale est partagée par moitié entre le débiteur et le créancier.</w:t>
            </w:r>
          </w:p>
        </w:tc>
        <w:tc>
          <w:tcPr>
            <w:tcW w:w="2375" w:type="dxa"/>
          </w:tcPr>
          <w:p w14:paraId="219D22F2" w14:textId="20B67F50"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245258A9" w14:textId="71EC785F" w:rsidR="000E6DAB" w:rsidRPr="00981979" w:rsidRDefault="001D617E" w:rsidP="00C661CD">
            <w:pPr>
              <w:pStyle w:val="Tabletext"/>
              <w:rPr>
                <w:rFonts w:asciiTheme="minorHAnsi" w:hAnsiTheme="minorHAnsi" w:cstheme="majorBidi"/>
                <w:b/>
                <w:sz w:val="20"/>
                <w:szCs w:val="20"/>
              </w:rPr>
            </w:pPr>
            <w:r>
              <w:rPr>
                <w:rFonts w:asciiTheme="minorHAnsi" w:hAnsiTheme="minorHAnsi" w:cstheme="majorBidi"/>
                <w:b/>
                <w:sz w:val="20"/>
                <w:szCs w:val="20"/>
              </w:rPr>
              <w:t>Aucune souplesse n’est requise</w:t>
            </w:r>
            <w:r w:rsidR="000E6DAB" w:rsidRPr="00981979">
              <w:rPr>
                <w:rFonts w:asciiTheme="minorHAnsi" w:hAnsiTheme="minorHAnsi" w:cstheme="majorBidi"/>
                <w:b/>
                <w:sz w:val="20"/>
                <w:szCs w:val="20"/>
              </w:rPr>
              <w:t>.</w:t>
            </w:r>
          </w:p>
        </w:tc>
        <w:tc>
          <w:tcPr>
            <w:tcW w:w="2327" w:type="dxa"/>
          </w:tcPr>
          <w:p w14:paraId="06200E76" w14:textId="77777777" w:rsidR="000E6DAB" w:rsidRPr="00981979" w:rsidRDefault="000E6DAB" w:rsidP="00C661CD">
            <w:pPr>
              <w:pStyle w:val="Tabletext"/>
              <w:rPr>
                <w:rFonts w:asciiTheme="minorHAnsi" w:hAnsiTheme="minorHAnsi" w:cstheme="majorBidi"/>
                <w:b/>
                <w:sz w:val="20"/>
                <w:szCs w:val="20"/>
              </w:rPr>
            </w:pPr>
          </w:p>
        </w:tc>
      </w:tr>
      <w:tr w:rsidR="000E6DAB" w14:paraId="55D0D294" w14:textId="77777777" w:rsidTr="00C10FCA">
        <w:tc>
          <w:tcPr>
            <w:tcW w:w="1980" w:type="dxa"/>
          </w:tcPr>
          <w:p w14:paraId="60B55638" w14:textId="77777777" w:rsidR="000E6DAB" w:rsidRPr="00707D64" w:rsidRDefault="000E6DAB" w:rsidP="00C661CD">
            <w:pPr>
              <w:snapToGrid w:val="0"/>
              <w:spacing w:before="60" w:after="60"/>
              <w:jc w:val="center"/>
              <w:rPr>
                <w:rFonts w:asciiTheme="minorHAnsi" w:hAnsiTheme="minorHAnsi" w:cstheme="majorBidi"/>
                <w:b/>
                <w:sz w:val="20"/>
                <w:szCs w:val="20"/>
              </w:rPr>
            </w:pPr>
          </w:p>
        </w:tc>
        <w:tc>
          <w:tcPr>
            <w:tcW w:w="2977" w:type="dxa"/>
          </w:tcPr>
          <w:p w14:paraId="160E1883" w14:textId="2A7BF6D3" w:rsidR="000E6DAB" w:rsidRPr="00707D64" w:rsidRDefault="000E6DAB" w:rsidP="00C661CD">
            <w:pPr>
              <w:pStyle w:val="Tabletext"/>
              <w:rPr>
                <w:rFonts w:asciiTheme="minorHAnsi" w:hAnsiTheme="minorHAnsi"/>
                <w:sz w:val="20"/>
                <w:szCs w:val="20"/>
              </w:rPr>
            </w:pPr>
            <w:r w:rsidRPr="00707D64">
              <w:rPr>
                <w:rFonts w:asciiTheme="minorHAnsi" w:hAnsiTheme="minorHAnsi"/>
                <w:sz w:val="20"/>
                <w:szCs w:val="20"/>
              </w:rPr>
              <w:t>3.4.2</w:t>
            </w:r>
            <w:r w:rsidRPr="00707D64">
              <w:rPr>
                <w:rFonts w:asciiTheme="minorHAnsi" w:hAnsiTheme="minorHAnsi"/>
                <w:sz w:val="20"/>
                <w:szCs w:val="20"/>
              </w:rPr>
              <w:tab/>
              <w:t>S'il se produit un changement fondamental du système monétaire international, ayant pour effet de rendre inopérantes ou impropres les dispositions prévues dans un ou plusieurs des paragraphes ci</w:t>
            </w:r>
            <w:r w:rsidRPr="00707D64">
              <w:rPr>
                <w:rFonts w:asciiTheme="minorHAnsi" w:hAnsiTheme="minorHAnsi"/>
                <w:sz w:val="20"/>
                <w:szCs w:val="20"/>
              </w:rPr>
              <w:noBreakHyphen/>
              <w:t>dessus, les exploitations autorisées ont toute latitude pour adopter, en vertu d'accords mutuels, une base monétaire différente ou des procédures différentes pour le paiement des soldes de comptes, en attendant la révision des dispositions susmentionnées.</w:t>
            </w:r>
          </w:p>
        </w:tc>
        <w:tc>
          <w:tcPr>
            <w:tcW w:w="2976" w:type="dxa"/>
          </w:tcPr>
          <w:p w14:paraId="62BF3C26" w14:textId="4F288D42" w:rsidR="000E6DAB" w:rsidRPr="00981979" w:rsidRDefault="000E6DAB" w:rsidP="00C661CD">
            <w:pPr>
              <w:pStyle w:val="Tabletext"/>
              <w:rPr>
                <w:rFonts w:asciiTheme="minorHAnsi" w:hAnsiTheme="minorHAnsi"/>
                <w:sz w:val="20"/>
                <w:szCs w:val="20"/>
              </w:rPr>
            </w:pPr>
            <w:r w:rsidRPr="00981979">
              <w:rPr>
                <w:rFonts w:asciiTheme="minorHAnsi" w:hAnsiTheme="minorHAnsi"/>
                <w:sz w:val="20"/>
                <w:szCs w:val="20"/>
              </w:rPr>
              <w:t>3.4.3</w:t>
            </w:r>
            <w:r w:rsidRPr="00981979">
              <w:rPr>
                <w:rFonts w:asciiTheme="minorHAnsi" w:hAnsiTheme="minorHAnsi"/>
                <w:sz w:val="20"/>
                <w:szCs w:val="20"/>
              </w:rPr>
              <w:tab/>
              <w:t>S'il se produit un changement fondamental du système monétaire international, ayant pour effet de rendre inopérantes ou impropres les dispositions prévues dans un ou plusieurs paragraphes ci</w:t>
            </w:r>
            <w:r w:rsidRPr="00981979">
              <w:rPr>
                <w:rFonts w:asciiTheme="minorHAnsi" w:hAnsiTheme="minorHAnsi"/>
                <w:sz w:val="20"/>
                <w:szCs w:val="20"/>
              </w:rPr>
              <w:noBreakHyphen/>
              <w:t>dessus, les administrations* ont toute latitude pour adopter, en vertu d'accords mutuels, une base monétaire différente ou des procédures différentes pour le paiement des soldes de comptes, en attendant la révision des dispositions susmentionnées.</w:t>
            </w:r>
          </w:p>
        </w:tc>
        <w:tc>
          <w:tcPr>
            <w:tcW w:w="2375" w:type="dxa"/>
          </w:tcPr>
          <w:p w14:paraId="5D7366B4" w14:textId="4B48AFA8"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Cette </w:t>
            </w:r>
            <w:r w:rsidR="000E6DAB" w:rsidRPr="00981979">
              <w:rPr>
                <w:rFonts w:asciiTheme="minorHAnsi" w:hAnsiTheme="minorHAnsi" w:cstheme="majorBidi"/>
                <w:b/>
                <w:sz w:val="20"/>
                <w:szCs w:val="20"/>
              </w:rPr>
              <w:t>disposition est applicable.</w:t>
            </w:r>
          </w:p>
        </w:tc>
        <w:tc>
          <w:tcPr>
            <w:tcW w:w="2445" w:type="dxa"/>
          </w:tcPr>
          <w:p w14:paraId="2F37EC9F" w14:textId="678CB8CC" w:rsidR="000E6DAB" w:rsidRPr="00981979" w:rsidRDefault="00ED3560" w:rsidP="00C661CD">
            <w:pPr>
              <w:pStyle w:val="Tabletext"/>
              <w:rPr>
                <w:rFonts w:asciiTheme="minorHAnsi" w:hAnsiTheme="minorHAnsi" w:cstheme="majorBidi"/>
                <w:b/>
                <w:sz w:val="20"/>
                <w:szCs w:val="20"/>
              </w:rPr>
            </w:pPr>
            <w:r w:rsidRPr="00981979">
              <w:rPr>
                <w:rFonts w:asciiTheme="minorHAnsi" w:hAnsiTheme="minorHAnsi" w:cstheme="majorBidi"/>
                <w:b/>
                <w:sz w:val="20"/>
                <w:szCs w:val="20"/>
              </w:rPr>
              <w:t xml:space="preserve">Ce texte </w:t>
            </w:r>
            <w:r w:rsidR="000E6DAB" w:rsidRPr="00981979">
              <w:rPr>
                <w:rFonts w:asciiTheme="minorHAnsi" w:hAnsiTheme="minorHAnsi" w:cstheme="majorBidi"/>
                <w:b/>
                <w:sz w:val="20"/>
                <w:szCs w:val="20"/>
              </w:rPr>
              <w:t>offre la souplesse nécessaire.</w:t>
            </w:r>
          </w:p>
        </w:tc>
        <w:tc>
          <w:tcPr>
            <w:tcW w:w="2327" w:type="dxa"/>
          </w:tcPr>
          <w:p w14:paraId="0F7D5274" w14:textId="77777777" w:rsidR="000E6DAB" w:rsidRPr="00981979" w:rsidRDefault="000E6DAB" w:rsidP="00C661CD">
            <w:pPr>
              <w:pStyle w:val="Tabletext"/>
              <w:rPr>
                <w:rFonts w:asciiTheme="minorHAnsi" w:hAnsiTheme="minorHAnsi" w:cstheme="majorBidi"/>
                <w:b/>
                <w:sz w:val="20"/>
                <w:szCs w:val="20"/>
              </w:rPr>
            </w:pPr>
          </w:p>
        </w:tc>
      </w:tr>
    </w:tbl>
    <w:p w14:paraId="6D56111E" w14:textId="3366F6C2" w:rsidR="00571EEA" w:rsidRDefault="00B159FE" w:rsidP="00071F91">
      <w:pPr>
        <w:spacing w:before="240"/>
        <w:jc w:val="center"/>
      </w:pPr>
      <w:r>
        <w:t>______________</w:t>
      </w:r>
    </w:p>
    <w:sectPr w:rsidR="00571EEA" w:rsidSect="00583AAC">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418" w:bottom="113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884E" w14:textId="77777777" w:rsidR="00122A6E" w:rsidRDefault="00122A6E">
      <w:r>
        <w:separator/>
      </w:r>
    </w:p>
  </w:endnote>
  <w:endnote w:type="continuationSeparator" w:id="0">
    <w:p w14:paraId="35245CFF" w14:textId="77777777" w:rsidR="00122A6E" w:rsidRDefault="0012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0F4E" w14:textId="77777777" w:rsidR="00C661CD" w:rsidRDefault="00C6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8CAE" w14:textId="77777777" w:rsidR="00C661CD" w:rsidRDefault="00C66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A694" w14:textId="77777777" w:rsidR="00122A6E" w:rsidRDefault="00122A6E" w:rsidP="00583AAC">
    <w:pPr>
      <w:spacing w:after="120"/>
      <w:jc w:val="center"/>
      <w:rPr>
        <w:lang w:val="es-ES"/>
      </w:rPr>
    </w:pPr>
    <w:r>
      <w:rPr>
        <w:lang w:val="es-ES"/>
      </w:rPr>
      <w:t xml:space="preserve">• </w:t>
    </w:r>
    <w:hyperlink r:id="rId1" w:history="1">
      <w:r w:rsidRPr="00501983">
        <w:rPr>
          <w:rStyle w:val="Hyperlink"/>
          <w:rFonts w:cstheme="minorHAnsi"/>
          <w:lang w:val="es-ES"/>
        </w:rPr>
        <w:t>http://www.itu.int/council</w:t>
      </w:r>
    </w:hyperlink>
    <w:r w:rsidRPr="00501983">
      <w:rPr>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9AA3" w14:textId="1A2BAEF8" w:rsidR="00122A6E" w:rsidRPr="00474A8E" w:rsidRDefault="00122A6E">
    <w:pPr>
      <w:pStyle w:val="Footer"/>
      <w:rPr>
        <w:lang w:val="en-US"/>
      </w:rPr>
    </w:pPr>
    <w:r>
      <w:fldChar w:fldCharType="begin"/>
    </w:r>
    <w:r w:rsidRPr="00474A8E">
      <w:rPr>
        <w:lang w:val="en-US"/>
      </w:rPr>
      <w:instrText xml:space="preserve"> FILENAME \p \* MERGEFORMAT </w:instrText>
    </w:r>
    <w:r>
      <w:fldChar w:fldCharType="separate"/>
    </w:r>
    <w:r>
      <w:rPr>
        <w:lang w:val="en-US"/>
      </w:rPr>
      <w:t>Document4</w:t>
    </w:r>
    <w:r>
      <w:fldChar w:fldCharType="end"/>
    </w:r>
    <w:r w:rsidRPr="00474A8E">
      <w:rPr>
        <w:lang w:val="en-US"/>
      </w:rPr>
      <w:tab/>
    </w:r>
    <w:r>
      <w:fldChar w:fldCharType="begin"/>
    </w:r>
    <w:r>
      <w:instrText xml:space="preserve"> savedate \@ dd.MM.yy </w:instrText>
    </w:r>
    <w:r>
      <w:fldChar w:fldCharType="separate"/>
    </w:r>
    <w:r w:rsidR="00A35219">
      <w:t>08.09.20</w:t>
    </w:r>
    <w:r>
      <w:fldChar w:fldCharType="end"/>
    </w:r>
    <w:r w:rsidRPr="00474A8E">
      <w:rPr>
        <w:lang w:val="en-US"/>
      </w:rPr>
      <w:tab/>
    </w:r>
    <w:r>
      <w:fldChar w:fldCharType="begin"/>
    </w:r>
    <w:r>
      <w:instrText xml:space="preserve"> printdate \@ dd.MM.yy </w:instrText>
    </w:r>
    <w:r>
      <w:fldChar w:fldCharType="separate"/>
    </w:r>
    <w:r>
      <w:t>18.07.00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1908" w14:textId="3119B336" w:rsidR="00122A6E" w:rsidRPr="00474A8E" w:rsidRDefault="00071F91" w:rsidP="00F5744D">
    <w:pPr>
      <w:pStyle w:val="Footer"/>
      <w:rPr>
        <w:lang w:val="en-US"/>
      </w:rPr>
    </w:pPr>
    <w:fldSimple w:instr=" FILENAME \p  \* MERGEFORMAT ">
      <w:r w:rsidR="00F5744D">
        <w:t>P:\FRA\SG\CONSEIL\EG-ITR\EG-ITR-3\000\007F.docx</w:t>
      </w:r>
    </w:fldSimple>
    <w:r w:rsidR="00F5744D">
      <w:t xml:space="preserve"> </w:t>
    </w:r>
    <w:r w:rsidR="00122A6E">
      <w:t>(476493)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936B" w14:textId="10122320" w:rsidR="00122A6E" w:rsidRPr="00B159FE" w:rsidRDefault="00071F91" w:rsidP="00C661CD">
    <w:pPr>
      <w:pStyle w:val="Footer"/>
    </w:pPr>
    <w:fldSimple w:instr=" FILENAME \p  \* MERGEFORMAT ">
      <w:r w:rsidR="00C661CD">
        <w:t>P:\FRA\SG\CONSEIL\EG-ITR\EG-ITR-3\000\007F.docx</w:t>
      </w:r>
    </w:fldSimple>
    <w:r w:rsidR="00981979">
      <w:t xml:space="preserve"> </w:t>
    </w:r>
    <w:r w:rsidR="00122A6E">
      <w:t>(476493)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1E5B" w14:textId="77777777" w:rsidR="00122A6E" w:rsidRDefault="00122A6E">
      <w:r>
        <w:t>____________________</w:t>
      </w:r>
    </w:p>
  </w:footnote>
  <w:footnote w:type="continuationSeparator" w:id="0">
    <w:p w14:paraId="490E2FF5" w14:textId="77777777" w:rsidR="00122A6E" w:rsidRDefault="0012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B661" w14:textId="77777777" w:rsidR="00C661CD" w:rsidRDefault="00C6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83BF" w14:textId="77777777" w:rsidR="00122A6E" w:rsidRDefault="00122A6E" w:rsidP="00583AAC">
    <w:pPr>
      <w:pStyle w:val="Header"/>
      <w:spacing w:after="120"/>
    </w:pPr>
    <w:r>
      <w:fldChar w:fldCharType="begin"/>
    </w:r>
    <w:r>
      <w:instrText xml:space="preserve"> PAGE   \* MERGEFORMAT </w:instrText>
    </w:r>
    <w:r>
      <w:fldChar w:fldCharType="separate"/>
    </w:r>
    <w:r>
      <w:rPr>
        <w:noProof/>
      </w:rPr>
      <w:t>29</w:t>
    </w:r>
    <w:r>
      <w:rPr>
        <w:noProof/>
      </w:rPr>
      <w:fldChar w:fldCharType="end"/>
    </w:r>
    <w:r>
      <w:rPr>
        <w:noProof/>
      </w:rPr>
      <w:br/>
    </w:r>
    <w:r w:rsidRPr="00501983">
      <w:rPr>
        <w:noProof/>
      </w:rPr>
      <w:t>EG-ITRs-2\7-E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B6A9" w14:textId="77777777" w:rsidR="00C661CD" w:rsidRDefault="00C66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C9B0" w14:textId="77777777" w:rsidR="00122A6E" w:rsidRDefault="00122A6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2C830D6" w14:textId="77777777" w:rsidR="00122A6E" w:rsidRDefault="00122A6E">
    <w:pPr>
      <w:pStyle w:val="Header"/>
    </w:pPr>
    <w:r>
      <w:t>C2001/#-F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D274" w14:textId="53AA37C3" w:rsidR="00122A6E" w:rsidRDefault="00122A6E" w:rsidP="00475FB3">
    <w:pPr>
      <w:pStyle w:val="Header"/>
    </w:pPr>
    <w:r>
      <w:fldChar w:fldCharType="begin"/>
    </w:r>
    <w:r>
      <w:instrText>PAGE</w:instrText>
    </w:r>
    <w:r>
      <w:fldChar w:fldCharType="separate"/>
    </w:r>
    <w:r w:rsidR="00071F91">
      <w:rPr>
        <w:noProof/>
      </w:rPr>
      <w:t>18</w:t>
    </w:r>
    <w:r>
      <w:rPr>
        <w:noProof/>
      </w:rPr>
      <w:fldChar w:fldCharType="end"/>
    </w:r>
  </w:p>
  <w:p w14:paraId="31B4A7C6" w14:textId="72FC4B6D" w:rsidR="00122A6E" w:rsidRDefault="00122A6E" w:rsidP="00B159FE">
    <w:pPr>
      <w:pStyle w:val="Header"/>
      <w:spacing w:after="240"/>
    </w:pPr>
    <w:r>
      <w:rPr>
        <w:noProof/>
      </w:rPr>
      <w:t>EG-ITRs-3\7-F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932A" w14:textId="31F67AEC" w:rsidR="00122A6E" w:rsidRDefault="00122A6E" w:rsidP="00583AAC">
    <w:pPr>
      <w:pStyle w:val="Header"/>
      <w:spacing w:after="240"/>
    </w:pPr>
    <w:r w:rsidRPr="00583AAC">
      <w:rPr>
        <w:lang w:val="en-US"/>
      </w:rPr>
      <w:fldChar w:fldCharType="begin"/>
    </w:r>
    <w:r w:rsidRPr="00583AAC">
      <w:rPr>
        <w:lang w:val="en-US"/>
      </w:rPr>
      <w:instrText xml:space="preserve"> PAGE   \* MERGEFORMAT </w:instrText>
    </w:r>
    <w:r w:rsidRPr="00583AAC">
      <w:rPr>
        <w:lang w:val="en-US"/>
      </w:rPr>
      <w:fldChar w:fldCharType="separate"/>
    </w:r>
    <w:r w:rsidR="00071F91">
      <w:rPr>
        <w:noProof/>
        <w:lang w:val="en-US"/>
      </w:rPr>
      <w:t>2</w:t>
    </w:r>
    <w:r w:rsidRPr="00583AAC">
      <w:fldChar w:fldCharType="end"/>
    </w:r>
    <w:r w:rsidRPr="00583AAC">
      <w:rPr>
        <w:lang w:val="en-US"/>
      </w:rPr>
      <w:br/>
      <w:t>EG-ITRs-</w:t>
    </w:r>
    <w:r>
      <w:rPr>
        <w:lang w:val="en-US"/>
      </w:rPr>
      <w:t>3\7-F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A054C5-25FD-433C-B9E8-B3B8138731B4}"/>
    <w:docVar w:name="dgnword-eventsink" w:val="1743020290400"/>
  </w:docVars>
  <w:rsids>
    <w:rsidRoot w:val="00250825"/>
    <w:rsid w:val="0000611F"/>
    <w:rsid w:val="00010CC0"/>
    <w:rsid w:val="00063182"/>
    <w:rsid w:val="00071F91"/>
    <w:rsid w:val="00081C0B"/>
    <w:rsid w:val="000D0D0A"/>
    <w:rsid w:val="000E5FCC"/>
    <w:rsid w:val="000E6DAB"/>
    <w:rsid w:val="000F629A"/>
    <w:rsid w:val="00103163"/>
    <w:rsid w:val="00115D93"/>
    <w:rsid w:val="00122A6E"/>
    <w:rsid w:val="001247A8"/>
    <w:rsid w:val="001378C0"/>
    <w:rsid w:val="00155358"/>
    <w:rsid w:val="00177740"/>
    <w:rsid w:val="001818EC"/>
    <w:rsid w:val="0018694A"/>
    <w:rsid w:val="001A3287"/>
    <w:rsid w:val="001A6508"/>
    <w:rsid w:val="001D4C31"/>
    <w:rsid w:val="001D617E"/>
    <w:rsid w:val="001D76C9"/>
    <w:rsid w:val="001E4D21"/>
    <w:rsid w:val="00206158"/>
    <w:rsid w:val="00207CD1"/>
    <w:rsid w:val="00246787"/>
    <w:rsid w:val="002477A2"/>
    <w:rsid w:val="00250825"/>
    <w:rsid w:val="00263A51"/>
    <w:rsid w:val="00264627"/>
    <w:rsid w:val="00266545"/>
    <w:rsid w:val="00267E02"/>
    <w:rsid w:val="002A5D44"/>
    <w:rsid w:val="002D0251"/>
    <w:rsid w:val="002E093D"/>
    <w:rsid w:val="002E0BC4"/>
    <w:rsid w:val="002E7D29"/>
    <w:rsid w:val="002F1B76"/>
    <w:rsid w:val="002F4D75"/>
    <w:rsid w:val="00311B58"/>
    <w:rsid w:val="0032094E"/>
    <w:rsid w:val="00355FF5"/>
    <w:rsid w:val="00361350"/>
    <w:rsid w:val="0040121F"/>
    <w:rsid w:val="004038CB"/>
    <w:rsid w:val="0040546F"/>
    <w:rsid w:val="00420A3E"/>
    <w:rsid w:val="0042404A"/>
    <w:rsid w:val="0042535D"/>
    <w:rsid w:val="0044618F"/>
    <w:rsid w:val="0046769A"/>
    <w:rsid w:val="00474A8E"/>
    <w:rsid w:val="00475FB3"/>
    <w:rsid w:val="004C37A9"/>
    <w:rsid w:val="004F0CEC"/>
    <w:rsid w:val="004F259E"/>
    <w:rsid w:val="00511F1D"/>
    <w:rsid w:val="00520F36"/>
    <w:rsid w:val="0053135F"/>
    <w:rsid w:val="00540615"/>
    <w:rsid w:val="00540A6D"/>
    <w:rsid w:val="0056413E"/>
    <w:rsid w:val="00571EEA"/>
    <w:rsid w:val="00575417"/>
    <w:rsid w:val="005768E1"/>
    <w:rsid w:val="00583AAC"/>
    <w:rsid w:val="005C3890"/>
    <w:rsid w:val="005D3EBC"/>
    <w:rsid w:val="005F7BFE"/>
    <w:rsid w:val="00600017"/>
    <w:rsid w:val="006235CA"/>
    <w:rsid w:val="0064467B"/>
    <w:rsid w:val="006643AB"/>
    <w:rsid w:val="006B0B13"/>
    <w:rsid w:val="006D438A"/>
    <w:rsid w:val="006E118C"/>
    <w:rsid w:val="006F58CC"/>
    <w:rsid w:val="006F64D1"/>
    <w:rsid w:val="00707D64"/>
    <w:rsid w:val="007210CD"/>
    <w:rsid w:val="00732045"/>
    <w:rsid w:val="007369DB"/>
    <w:rsid w:val="00752906"/>
    <w:rsid w:val="00760232"/>
    <w:rsid w:val="007956C2"/>
    <w:rsid w:val="007A187E"/>
    <w:rsid w:val="007B59C9"/>
    <w:rsid w:val="007C72C2"/>
    <w:rsid w:val="007D4436"/>
    <w:rsid w:val="007F257A"/>
    <w:rsid w:val="007F3665"/>
    <w:rsid w:val="00800037"/>
    <w:rsid w:val="008100C6"/>
    <w:rsid w:val="00852808"/>
    <w:rsid w:val="00853C48"/>
    <w:rsid w:val="00861D73"/>
    <w:rsid w:val="0088256C"/>
    <w:rsid w:val="008A4E87"/>
    <w:rsid w:val="008D42DB"/>
    <w:rsid w:val="008D76E6"/>
    <w:rsid w:val="009150D4"/>
    <w:rsid w:val="0092392D"/>
    <w:rsid w:val="0093234A"/>
    <w:rsid w:val="00957BC6"/>
    <w:rsid w:val="0096619F"/>
    <w:rsid w:val="00970AFD"/>
    <w:rsid w:val="00981979"/>
    <w:rsid w:val="0099613D"/>
    <w:rsid w:val="009A7F51"/>
    <w:rsid w:val="009B3BDE"/>
    <w:rsid w:val="009C307F"/>
    <w:rsid w:val="009E42FD"/>
    <w:rsid w:val="00A0090B"/>
    <w:rsid w:val="00A06D78"/>
    <w:rsid w:val="00A2113E"/>
    <w:rsid w:val="00A23A51"/>
    <w:rsid w:val="00A24607"/>
    <w:rsid w:val="00A25CD3"/>
    <w:rsid w:val="00A35219"/>
    <w:rsid w:val="00A82767"/>
    <w:rsid w:val="00AA277B"/>
    <w:rsid w:val="00AA332F"/>
    <w:rsid w:val="00AA7BBB"/>
    <w:rsid w:val="00AB64A8"/>
    <w:rsid w:val="00AC0266"/>
    <w:rsid w:val="00AC722F"/>
    <w:rsid w:val="00AD24EC"/>
    <w:rsid w:val="00AD4FEE"/>
    <w:rsid w:val="00AE0E1D"/>
    <w:rsid w:val="00AE6811"/>
    <w:rsid w:val="00AF2D4A"/>
    <w:rsid w:val="00B053EB"/>
    <w:rsid w:val="00B159FE"/>
    <w:rsid w:val="00B309F9"/>
    <w:rsid w:val="00B32B60"/>
    <w:rsid w:val="00B45972"/>
    <w:rsid w:val="00B61619"/>
    <w:rsid w:val="00B6391D"/>
    <w:rsid w:val="00B71B74"/>
    <w:rsid w:val="00B82381"/>
    <w:rsid w:val="00B84194"/>
    <w:rsid w:val="00B95BB4"/>
    <w:rsid w:val="00BA3B09"/>
    <w:rsid w:val="00BB4545"/>
    <w:rsid w:val="00BD5873"/>
    <w:rsid w:val="00C004CC"/>
    <w:rsid w:val="00C04BE3"/>
    <w:rsid w:val="00C10FCA"/>
    <w:rsid w:val="00C24241"/>
    <w:rsid w:val="00C25D29"/>
    <w:rsid w:val="00C27A7C"/>
    <w:rsid w:val="00C46B28"/>
    <w:rsid w:val="00C661CD"/>
    <w:rsid w:val="00C93610"/>
    <w:rsid w:val="00CA08ED"/>
    <w:rsid w:val="00CF183B"/>
    <w:rsid w:val="00D0530C"/>
    <w:rsid w:val="00D06D06"/>
    <w:rsid w:val="00D375CD"/>
    <w:rsid w:val="00D553A2"/>
    <w:rsid w:val="00D6427A"/>
    <w:rsid w:val="00D774D3"/>
    <w:rsid w:val="00D837AA"/>
    <w:rsid w:val="00D8542B"/>
    <w:rsid w:val="00D904E8"/>
    <w:rsid w:val="00DA08C3"/>
    <w:rsid w:val="00DB5A3E"/>
    <w:rsid w:val="00DC22AA"/>
    <w:rsid w:val="00DC54B8"/>
    <w:rsid w:val="00DE3DFE"/>
    <w:rsid w:val="00DF74DD"/>
    <w:rsid w:val="00E25AD0"/>
    <w:rsid w:val="00E54C7C"/>
    <w:rsid w:val="00EB6350"/>
    <w:rsid w:val="00ED3560"/>
    <w:rsid w:val="00F06D00"/>
    <w:rsid w:val="00F15B57"/>
    <w:rsid w:val="00F427DB"/>
    <w:rsid w:val="00F5744D"/>
    <w:rsid w:val="00FA5EB1"/>
    <w:rsid w:val="00FA7439"/>
    <w:rsid w:val="00FA78D9"/>
    <w:rsid w:val="00FC4EC0"/>
    <w:rsid w:val="00FC7C0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0123B8"/>
  <w15:docId w15:val="{12FE360A-3AB4-4637-B796-0E80032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583AAC"/>
    <w:rPr>
      <w:rFonts w:ascii="Calibri" w:hAnsi="Calibri"/>
      <w:sz w:val="24"/>
      <w:lang w:val="fr-FR" w:eastAsia="en-US"/>
    </w:rPr>
  </w:style>
  <w:style w:type="character" w:customStyle="1" w:styleId="enumlev1Char">
    <w:name w:val="enumlev1 Char"/>
    <w:basedOn w:val="DefaultParagraphFont"/>
    <w:link w:val="enumlev1"/>
    <w:rsid w:val="00583AAC"/>
    <w:rPr>
      <w:rFonts w:ascii="Calibri" w:hAnsi="Calibri"/>
      <w:sz w:val="24"/>
      <w:lang w:val="fr-FR" w:eastAsia="en-US"/>
    </w:rPr>
  </w:style>
  <w:style w:type="table" w:styleId="TableGrid">
    <w:name w:val="Table Grid"/>
    <w:basedOn w:val="TableNormal"/>
    <w:uiPriority w:val="39"/>
    <w:rsid w:val="00583AA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83AAC"/>
    <w:rPr>
      <w:rFonts w:asciiTheme="minorHAnsi" w:hAnsiTheme="minorHAnsi"/>
      <w:b/>
    </w:rPr>
  </w:style>
  <w:style w:type="character" w:customStyle="1" w:styleId="Heading2Char">
    <w:name w:val="Heading 2 Char"/>
    <w:basedOn w:val="DefaultParagraphFont"/>
    <w:link w:val="Heading2"/>
    <w:rsid w:val="008D42DB"/>
    <w:rPr>
      <w:rFonts w:ascii="Calibri" w:hAnsi="Calibri"/>
      <w:b/>
      <w:sz w:val="24"/>
      <w:lang w:val="fr-FR" w:eastAsia="en-US"/>
    </w:rPr>
  </w:style>
  <w:style w:type="paragraph" w:styleId="BalloonText">
    <w:name w:val="Balloon Text"/>
    <w:basedOn w:val="Normal"/>
    <w:link w:val="BalloonTextChar"/>
    <w:semiHidden/>
    <w:unhideWhenUsed/>
    <w:rsid w:val="0032094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2094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2218">
      <w:bodyDiv w:val="1"/>
      <w:marLeft w:val="0"/>
      <w:marRight w:val="0"/>
      <w:marTop w:val="0"/>
      <w:marBottom w:val="0"/>
      <w:divBdr>
        <w:top w:val="none" w:sz="0" w:space="0" w:color="auto"/>
        <w:left w:val="none" w:sz="0" w:space="0" w:color="auto"/>
        <w:bottom w:val="none" w:sz="0" w:space="0" w:color="auto"/>
        <w:right w:val="none" w:sz="0" w:space="0" w:color="auto"/>
      </w:divBdr>
    </w:div>
    <w:div w:id="811753441">
      <w:bodyDiv w:val="1"/>
      <w:marLeft w:val="0"/>
      <w:marRight w:val="0"/>
      <w:marTop w:val="0"/>
      <w:marBottom w:val="0"/>
      <w:divBdr>
        <w:top w:val="none" w:sz="0" w:space="0" w:color="auto"/>
        <w:left w:val="none" w:sz="0" w:space="0" w:color="auto"/>
        <w:bottom w:val="none" w:sz="0" w:space="0" w:color="auto"/>
        <w:right w:val="none" w:sz="0" w:space="0" w:color="auto"/>
      </w:divBdr>
    </w:div>
    <w:div w:id="1242519680">
      <w:bodyDiv w:val="1"/>
      <w:marLeft w:val="0"/>
      <w:marRight w:val="0"/>
      <w:marTop w:val="0"/>
      <w:marBottom w:val="0"/>
      <w:divBdr>
        <w:top w:val="none" w:sz="0" w:space="0" w:color="auto"/>
        <w:left w:val="none" w:sz="0" w:space="0" w:color="auto"/>
        <w:bottom w:val="none" w:sz="0" w:space="0" w:color="auto"/>
        <w:right w:val="none" w:sz="0" w:space="0" w:color="auto"/>
      </w:divBdr>
    </w:div>
    <w:div w:id="1918904915">
      <w:bodyDiv w:val="1"/>
      <w:marLeft w:val="0"/>
      <w:marRight w:val="0"/>
      <w:marTop w:val="0"/>
      <w:marBottom w:val="0"/>
      <w:divBdr>
        <w:top w:val="none" w:sz="0" w:space="0" w:color="auto"/>
        <w:left w:val="none" w:sz="0" w:space="0" w:color="auto"/>
        <w:bottom w:val="none" w:sz="0" w:space="0" w:color="auto"/>
        <w:right w:val="none" w:sz="0" w:space="0" w:color="auto"/>
      </w:divBdr>
    </w:div>
    <w:div w:id="1952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7AE9-EC62-416D-826F-3467030F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30</TotalTime>
  <Pages>18</Pages>
  <Words>5181</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35335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Royer, Veronique</cp:lastModifiedBy>
  <cp:revision>10</cp:revision>
  <cp:lastPrinted>2000-07-18T08:55:00Z</cp:lastPrinted>
  <dcterms:created xsi:type="dcterms:W3CDTF">2020-09-08T06:31:00Z</dcterms:created>
  <dcterms:modified xsi:type="dcterms:W3CDTF">2020-09-08T07:14:00Z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