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2627F2" w14:paraId="77BA860D" w14:textId="77777777">
        <w:trPr>
          <w:cantSplit/>
        </w:trPr>
        <w:tc>
          <w:tcPr>
            <w:tcW w:w="6912" w:type="dxa"/>
          </w:tcPr>
          <w:p w14:paraId="4EEA865B" w14:textId="77777777" w:rsidR="00093EEB" w:rsidRPr="002627F2" w:rsidRDefault="00D92832" w:rsidP="00D92832">
            <w:pPr>
              <w:spacing w:before="240"/>
              <w:rPr>
                <w:szCs w:val="24"/>
              </w:rPr>
            </w:pPr>
            <w:bookmarkStart w:id="0" w:name="dbluepink" w:colFirst="0" w:colLast="0"/>
            <w:r w:rsidRPr="002627F2">
              <w:rPr>
                <w:b/>
                <w:bCs/>
                <w:position w:val="6"/>
                <w:sz w:val="30"/>
                <w:szCs w:val="30"/>
              </w:rPr>
              <w:t xml:space="preserve">Grupo de Expertos sobre el Reglamento de las </w:t>
            </w:r>
            <w:r w:rsidRPr="002627F2">
              <w:rPr>
                <w:b/>
                <w:bCs/>
                <w:position w:val="6"/>
                <w:sz w:val="30"/>
                <w:szCs w:val="30"/>
              </w:rPr>
              <w:br/>
              <w:t>Telecomunicaciones Internacionales (GE-RTI)</w:t>
            </w:r>
          </w:p>
        </w:tc>
        <w:tc>
          <w:tcPr>
            <w:tcW w:w="3261" w:type="dxa"/>
          </w:tcPr>
          <w:p w14:paraId="16312DE6" w14:textId="77777777" w:rsidR="00093EEB" w:rsidRPr="002627F2" w:rsidRDefault="00012E27" w:rsidP="00C85B97">
            <w:pPr>
              <w:spacing w:before="0"/>
              <w:rPr>
                <w:szCs w:val="24"/>
              </w:rPr>
            </w:pPr>
            <w:bookmarkStart w:id="1" w:name="ditulogo"/>
            <w:bookmarkEnd w:id="1"/>
            <w:r w:rsidRPr="002627F2">
              <w:drawing>
                <wp:inline distT="0" distB="0" distL="0" distR="0" wp14:anchorId="48CECCDA" wp14:editId="4095A575">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9D0C5D" w:rsidRPr="002627F2" w14:paraId="56254A47" w14:textId="77777777">
        <w:trPr>
          <w:cantSplit/>
          <w:trHeight w:val="20"/>
        </w:trPr>
        <w:tc>
          <w:tcPr>
            <w:tcW w:w="10173" w:type="dxa"/>
            <w:gridSpan w:val="2"/>
            <w:tcBorders>
              <w:bottom w:val="single" w:sz="12" w:space="0" w:color="auto"/>
            </w:tcBorders>
          </w:tcPr>
          <w:p w14:paraId="49B59516" w14:textId="77777777" w:rsidR="009D0C5D" w:rsidRPr="002627F2" w:rsidRDefault="009D0C5D" w:rsidP="009D0C5D">
            <w:pPr>
              <w:spacing w:before="0"/>
              <w:rPr>
                <w:b/>
                <w:bCs/>
                <w:szCs w:val="24"/>
              </w:rPr>
            </w:pPr>
            <w:r w:rsidRPr="002627F2">
              <w:rPr>
                <w:rFonts w:eastAsia="Calibri" w:cs="Calibri"/>
                <w:b/>
                <w:color w:val="000000"/>
                <w:szCs w:val="24"/>
              </w:rPr>
              <w:t xml:space="preserve">Tercera reunión </w:t>
            </w:r>
            <w:r w:rsidRPr="002627F2">
              <w:rPr>
                <w:b/>
                <w:bCs/>
              </w:rPr>
              <w:t>– Reunión virtual, 17-18 de septiembre de 2020</w:t>
            </w:r>
          </w:p>
        </w:tc>
      </w:tr>
      <w:tr w:rsidR="00093EEB" w:rsidRPr="002627F2" w14:paraId="19836F2A" w14:textId="77777777">
        <w:trPr>
          <w:cantSplit/>
          <w:trHeight w:val="20"/>
        </w:trPr>
        <w:tc>
          <w:tcPr>
            <w:tcW w:w="6912" w:type="dxa"/>
            <w:tcBorders>
              <w:top w:val="single" w:sz="12" w:space="0" w:color="auto"/>
            </w:tcBorders>
          </w:tcPr>
          <w:p w14:paraId="6F9F6519" w14:textId="77777777" w:rsidR="00093EEB" w:rsidRPr="002627F2"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50F67215" w14:textId="77777777" w:rsidR="00093EEB" w:rsidRPr="002627F2" w:rsidRDefault="00093EEB">
            <w:pPr>
              <w:spacing w:before="0"/>
              <w:rPr>
                <w:b/>
                <w:bCs/>
                <w:szCs w:val="24"/>
              </w:rPr>
            </w:pPr>
          </w:p>
        </w:tc>
      </w:tr>
      <w:tr w:rsidR="00093EEB" w:rsidRPr="002627F2" w14:paraId="08B3DA5C" w14:textId="77777777">
        <w:trPr>
          <w:cantSplit/>
          <w:trHeight w:val="20"/>
        </w:trPr>
        <w:tc>
          <w:tcPr>
            <w:tcW w:w="6912" w:type="dxa"/>
            <w:shd w:val="clear" w:color="auto" w:fill="auto"/>
          </w:tcPr>
          <w:p w14:paraId="624C686F" w14:textId="77777777" w:rsidR="00093EEB" w:rsidRPr="002627F2" w:rsidRDefault="00093EEB">
            <w:pPr>
              <w:tabs>
                <w:tab w:val="clear" w:pos="2268"/>
                <w:tab w:val="left" w:pos="1560"/>
                <w:tab w:val="left" w:pos="2269"/>
                <w:tab w:val="left" w:pos="3544"/>
                <w:tab w:val="left" w:pos="3969"/>
              </w:tabs>
              <w:spacing w:before="0" w:line="240" w:lineRule="atLeast"/>
              <w:rPr>
                <w:rFonts w:cs="Times"/>
                <w:b/>
                <w:szCs w:val="24"/>
              </w:rPr>
            </w:pPr>
            <w:bookmarkStart w:id="2" w:name="dnum" w:colFirst="1" w:colLast="1"/>
            <w:bookmarkStart w:id="3" w:name="dmeeting" w:colFirst="0" w:colLast="0"/>
          </w:p>
        </w:tc>
        <w:tc>
          <w:tcPr>
            <w:tcW w:w="3261" w:type="dxa"/>
          </w:tcPr>
          <w:p w14:paraId="284F63C9" w14:textId="3129D4DF" w:rsidR="00093EEB" w:rsidRPr="002627F2" w:rsidRDefault="00093EEB" w:rsidP="001F60AD">
            <w:pPr>
              <w:spacing w:before="0"/>
              <w:rPr>
                <w:b/>
                <w:bCs/>
                <w:szCs w:val="24"/>
              </w:rPr>
            </w:pPr>
            <w:r w:rsidRPr="002627F2">
              <w:rPr>
                <w:b/>
                <w:bCs/>
                <w:szCs w:val="24"/>
              </w:rPr>
              <w:t xml:space="preserve">Documento </w:t>
            </w:r>
            <w:r w:rsidR="00D92832" w:rsidRPr="002627F2">
              <w:rPr>
                <w:rFonts w:asciiTheme="minorHAnsi" w:hAnsiTheme="minorHAnsi" w:cs="Times New Roman Bold"/>
                <w:b/>
                <w:spacing w:val="-4"/>
              </w:rPr>
              <w:t>EG-ITRs-</w:t>
            </w:r>
            <w:r w:rsidR="009D0C5D" w:rsidRPr="002627F2">
              <w:rPr>
                <w:rFonts w:asciiTheme="minorHAnsi" w:hAnsiTheme="minorHAnsi" w:cs="Times New Roman Bold"/>
                <w:b/>
                <w:spacing w:val="-4"/>
              </w:rPr>
              <w:t>3</w:t>
            </w:r>
            <w:r w:rsidR="00D92832" w:rsidRPr="002627F2">
              <w:rPr>
                <w:rFonts w:asciiTheme="minorHAnsi" w:hAnsiTheme="minorHAnsi" w:cs="Times New Roman Bold"/>
                <w:b/>
                <w:spacing w:val="-4"/>
              </w:rPr>
              <w:t>/</w:t>
            </w:r>
            <w:r w:rsidR="00B63428" w:rsidRPr="002627F2">
              <w:rPr>
                <w:rFonts w:asciiTheme="minorHAnsi" w:hAnsiTheme="minorHAnsi" w:cs="Times New Roman Bold"/>
                <w:b/>
                <w:spacing w:val="-4"/>
              </w:rPr>
              <w:t>7</w:t>
            </w:r>
            <w:r w:rsidR="00D92832" w:rsidRPr="002627F2">
              <w:rPr>
                <w:rFonts w:asciiTheme="minorHAnsi" w:hAnsiTheme="minorHAnsi" w:cs="Times New Roman Bold"/>
                <w:b/>
                <w:spacing w:val="-4"/>
              </w:rPr>
              <w:t>-S</w:t>
            </w:r>
          </w:p>
        </w:tc>
      </w:tr>
      <w:tr w:rsidR="00093EEB" w:rsidRPr="002627F2" w14:paraId="64DAE0DA" w14:textId="77777777">
        <w:trPr>
          <w:cantSplit/>
          <w:trHeight w:val="20"/>
        </w:trPr>
        <w:tc>
          <w:tcPr>
            <w:tcW w:w="6912" w:type="dxa"/>
            <w:shd w:val="clear" w:color="auto" w:fill="auto"/>
          </w:tcPr>
          <w:p w14:paraId="76CCA1B5" w14:textId="77777777" w:rsidR="00093EEB" w:rsidRPr="002627F2" w:rsidRDefault="00093EEB">
            <w:pPr>
              <w:shd w:val="solid" w:color="FFFFFF" w:fill="FFFFFF"/>
              <w:spacing w:before="0"/>
              <w:rPr>
                <w:smallCaps/>
                <w:szCs w:val="24"/>
              </w:rPr>
            </w:pPr>
            <w:bookmarkStart w:id="4" w:name="ddate" w:colFirst="1" w:colLast="1"/>
            <w:bookmarkEnd w:id="2"/>
            <w:bookmarkEnd w:id="3"/>
          </w:p>
        </w:tc>
        <w:tc>
          <w:tcPr>
            <w:tcW w:w="3261" w:type="dxa"/>
          </w:tcPr>
          <w:p w14:paraId="236495FD" w14:textId="14965777" w:rsidR="00093EEB" w:rsidRPr="002627F2" w:rsidRDefault="00B63428" w:rsidP="001F60AD">
            <w:pPr>
              <w:spacing w:before="0"/>
              <w:rPr>
                <w:b/>
                <w:bCs/>
                <w:szCs w:val="24"/>
              </w:rPr>
            </w:pPr>
            <w:r w:rsidRPr="002627F2">
              <w:rPr>
                <w:b/>
                <w:bCs/>
                <w:szCs w:val="24"/>
              </w:rPr>
              <w:t>3</w:t>
            </w:r>
            <w:r w:rsidR="0077252D" w:rsidRPr="002627F2">
              <w:rPr>
                <w:b/>
                <w:bCs/>
                <w:szCs w:val="24"/>
              </w:rPr>
              <w:t xml:space="preserve"> </w:t>
            </w:r>
            <w:r w:rsidR="00D92832" w:rsidRPr="002627F2">
              <w:rPr>
                <w:b/>
                <w:bCs/>
                <w:szCs w:val="24"/>
              </w:rPr>
              <w:t xml:space="preserve">de </w:t>
            </w:r>
            <w:r w:rsidRPr="002627F2">
              <w:rPr>
                <w:b/>
                <w:bCs/>
                <w:szCs w:val="24"/>
              </w:rPr>
              <w:t>septiembre</w:t>
            </w:r>
            <w:r w:rsidR="00093EEB" w:rsidRPr="002627F2">
              <w:rPr>
                <w:b/>
                <w:bCs/>
                <w:szCs w:val="24"/>
              </w:rPr>
              <w:t xml:space="preserve"> de 20</w:t>
            </w:r>
            <w:r w:rsidR="00C85B97" w:rsidRPr="002627F2">
              <w:rPr>
                <w:b/>
                <w:bCs/>
                <w:szCs w:val="24"/>
              </w:rPr>
              <w:t>20</w:t>
            </w:r>
          </w:p>
        </w:tc>
      </w:tr>
      <w:tr w:rsidR="00093EEB" w:rsidRPr="002627F2" w14:paraId="2FE968CF" w14:textId="77777777">
        <w:trPr>
          <w:cantSplit/>
          <w:trHeight w:val="20"/>
        </w:trPr>
        <w:tc>
          <w:tcPr>
            <w:tcW w:w="6912" w:type="dxa"/>
            <w:shd w:val="clear" w:color="auto" w:fill="auto"/>
          </w:tcPr>
          <w:p w14:paraId="3BF0F226" w14:textId="77777777" w:rsidR="00093EEB" w:rsidRPr="002627F2" w:rsidRDefault="00093EEB">
            <w:pPr>
              <w:shd w:val="solid" w:color="FFFFFF" w:fill="FFFFFF"/>
              <w:spacing w:before="0"/>
              <w:rPr>
                <w:smallCaps/>
                <w:szCs w:val="24"/>
              </w:rPr>
            </w:pPr>
            <w:bookmarkStart w:id="5" w:name="dorlang" w:colFirst="1" w:colLast="1"/>
            <w:bookmarkEnd w:id="4"/>
          </w:p>
        </w:tc>
        <w:tc>
          <w:tcPr>
            <w:tcW w:w="3261" w:type="dxa"/>
          </w:tcPr>
          <w:p w14:paraId="25866550" w14:textId="77777777" w:rsidR="00093EEB" w:rsidRPr="002627F2" w:rsidRDefault="00093EEB" w:rsidP="00093EEB">
            <w:pPr>
              <w:spacing w:before="0"/>
              <w:rPr>
                <w:b/>
                <w:bCs/>
                <w:szCs w:val="24"/>
              </w:rPr>
            </w:pPr>
            <w:r w:rsidRPr="002627F2">
              <w:rPr>
                <w:b/>
                <w:bCs/>
                <w:szCs w:val="24"/>
              </w:rPr>
              <w:t>Original: inglés</w:t>
            </w:r>
          </w:p>
        </w:tc>
      </w:tr>
      <w:tr w:rsidR="00093EEB" w:rsidRPr="002627F2" w14:paraId="01B923A0" w14:textId="77777777">
        <w:trPr>
          <w:cantSplit/>
        </w:trPr>
        <w:tc>
          <w:tcPr>
            <w:tcW w:w="10173" w:type="dxa"/>
            <w:gridSpan w:val="2"/>
          </w:tcPr>
          <w:p w14:paraId="28669043" w14:textId="6D59FE84" w:rsidR="00093EEB" w:rsidRPr="002627F2" w:rsidRDefault="007536C2">
            <w:pPr>
              <w:pStyle w:val="Source"/>
            </w:pPr>
            <w:bookmarkStart w:id="6" w:name="dsource" w:colFirst="0" w:colLast="0"/>
            <w:bookmarkEnd w:id="0"/>
            <w:bookmarkEnd w:id="5"/>
            <w:r w:rsidRPr="002627F2">
              <w:t>Egipto (República Árabe de)</w:t>
            </w:r>
          </w:p>
        </w:tc>
      </w:tr>
      <w:tr w:rsidR="00093EEB" w:rsidRPr="002627F2" w14:paraId="0D4D1129" w14:textId="77777777">
        <w:trPr>
          <w:cantSplit/>
        </w:trPr>
        <w:tc>
          <w:tcPr>
            <w:tcW w:w="10173" w:type="dxa"/>
            <w:gridSpan w:val="2"/>
          </w:tcPr>
          <w:p w14:paraId="369856F7" w14:textId="2290D22A" w:rsidR="00093EEB" w:rsidRPr="002627F2" w:rsidRDefault="003335EC">
            <w:pPr>
              <w:pStyle w:val="Title1"/>
            </w:pPr>
            <w:bookmarkStart w:id="7" w:name="lt_pId011"/>
            <w:bookmarkStart w:id="8" w:name="dtitle1" w:colFirst="0" w:colLast="0"/>
            <w:bookmarkEnd w:id="6"/>
            <w:r w:rsidRPr="002627F2">
              <w:t xml:space="preserve">examen disposición por disposición de los artículos 5, 6, 7 y 8 </w:t>
            </w:r>
            <w:r w:rsidR="002D18B1" w:rsidRPr="002627F2">
              <w:br/>
            </w:r>
            <w:r w:rsidRPr="002627F2">
              <w:t>y del apéndice 1 del rti</w:t>
            </w:r>
            <w:bookmarkEnd w:id="7"/>
          </w:p>
        </w:tc>
      </w:tr>
    </w:tbl>
    <w:bookmarkEnd w:id="8"/>
    <w:p w14:paraId="60980AB0" w14:textId="0647CD13" w:rsidR="00726872" w:rsidRPr="002627F2" w:rsidRDefault="003335EC" w:rsidP="007536C2">
      <w:pPr>
        <w:pStyle w:val="Normalaftertitle"/>
      </w:pPr>
      <w:r w:rsidRPr="002627F2">
        <w:t xml:space="preserve">Egipto se complace en enviar sus puntos de vista respecto de las disposiciones del preámbulo, de los </w:t>
      </w:r>
      <w:r w:rsidR="002D18B1" w:rsidRPr="002627F2">
        <w:t xml:space="preserve">Artículos </w:t>
      </w:r>
      <w:r w:rsidRPr="002627F2">
        <w:t>5, 6, 7 y 8 y del Apéndice 1 del RTI.</w:t>
      </w:r>
    </w:p>
    <w:p w14:paraId="43FB6746" w14:textId="77777777" w:rsidR="007536C2" w:rsidRPr="002627F2" w:rsidRDefault="007536C2" w:rsidP="007536C2"/>
    <w:p w14:paraId="6B2C5D32" w14:textId="77777777" w:rsidR="007536C2" w:rsidRPr="002627F2" w:rsidRDefault="007536C2" w:rsidP="007536C2">
      <w:pPr>
        <w:sectPr w:rsidR="007536C2" w:rsidRPr="002627F2" w:rsidSect="006710F6">
          <w:headerReference w:type="default" r:id="rId8"/>
          <w:footerReference w:type="default" r:id="rId9"/>
          <w:footerReference w:type="first" r:id="rId10"/>
          <w:pgSz w:w="11907" w:h="16834"/>
          <w:pgMar w:top="1418" w:right="1134" w:bottom="1418" w:left="1134" w:header="720" w:footer="720" w:gutter="0"/>
          <w:paperSrc w:first="15" w:other="15"/>
          <w:cols w:space="720"/>
          <w:titlePg/>
        </w:sectPr>
      </w:pPr>
    </w:p>
    <w:tbl>
      <w:tblPr>
        <w:tblStyle w:val="TableGrid"/>
        <w:tblW w:w="14459" w:type="dxa"/>
        <w:jc w:val="center"/>
        <w:tblLayout w:type="fixed"/>
        <w:tblLook w:val="04A0" w:firstRow="1" w:lastRow="0" w:firstColumn="1" w:lastColumn="0" w:noHBand="0" w:noVBand="1"/>
      </w:tblPr>
      <w:tblGrid>
        <w:gridCol w:w="2102"/>
        <w:gridCol w:w="3087"/>
        <w:gridCol w:w="3087"/>
        <w:gridCol w:w="2209"/>
        <w:gridCol w:w="1984"/>
        <w:gridCol w:w="1990"/>
      </w:tblGrid>
      <w:tr w:rsidR="00746C37" w:rsidRPr="002627F2" w14:paraId="53E85B79" w14:textId="77777777" w:rsidTr="001D440E">
        <w:trPr>
          <w:tblHeader/>
          <w:jc w:val="center"/>
        </w:trPr>
        <w:tc>
          <w:tcPr>
            <w:tcW w:w="2102" w:type="dxa"/>
            <w:vAlign w:val="center"/>
          </w:tcPr>
          <w:p w14:paraId="7BEB49B6" w14:textId="7D3C025E" w:rsidR="00746C37" w:rsidRPr="002627F2" w:rsidRDefault="00746C37" w:rsidP="00130A31">
            <w:pPr>
              <w:pStyle w:val="Tablehead"/>
              <w:rPr>
                <w:highlight w:val="yellow"/>
              </w:rPr>
            </w:pPr>
            <w:r w:rsidRPr="002627F2">
              <w:lastRenderedPageBreak/>
              <w:t>Artículo de 2012</w:t>
            </w:r>
          </w:p>
        </w:tc>
        <w:tc>
          <w:tcPr>
            <w:tcW w:w="3087" w:type="dxa"/>
            <w:vAlign w:val="center"/>
          </w:tcPr>
          <w:p w14:paraId="6C4C88B0" w14:textId="16F573A8" w:rsidR="00746C37" w:rsidRPr="002627F2" w:rsidRDefault="00746C37" w:rsidP="00130A31">
            <w:pPr>
              <w:pStyle w:val="Tablehead"/>
            </w:pPr>
            <w:r w:rsidRPr="002627F2">
              <w:t>Párrafo y disposición</w:t>
            </w:r>
          </w:p>
        </w:tc>
        <w:tc>
          <w:tcPr>
            <w:tcW w:w="3087" w:type="dxa"/>
            <w:vAlign w:val="center"/>
          </w:tcPr>
          <w:p w14:paraId="4F24AF0A" w14:textId="1F87BD00" w:rsidR="00746C37" w:rsidRPr="002627F2" w:rsidRDefault="00746C37" w:rsidP="00130A31">
            <w:pPr>
              <w:pStyle w:val="Tablehead"/>
            </w:pPr>
            <w:r w:rsidRPr="002627F2">
              <w:t xml:space="preserve">Párrafo y disposición </w:t>
            </w:r>
            <w:r w:rsidRPr="002627F2">
              <w:br/>
              <w:t>conexos de 1988</w:t>
            </w:r>
          </w:p>
        </w:tc>
        <w:tc>
          <w:tcPr>
            <w:tcW w:w="2209" w:type="dxa"/>
            <w:vAlign w:val="center"/>
          </w:tcPr>
          <w:p w14:paraId="4D5BEA13" w14:textId="4F10E778" w:rsidR="00746C37" w:rsidRPr="002627F2" w:rsidRDefault="00746C37" w:rsidP="00130A31">
            <w:pPr>
              <w:pStyle w:val="Tablehead"/>
            </w:pPr>
            <w:r w:rsidRPr="002627F2">
              <w:t xml:space="preserve">Aplicabilidad </w:t>
            </w:r>
            <w:r w:rsidRPr="002627F2">
              <w:br/>
              <w:t xml:space="preserve">para fomentar </w:t>
            </w:r>
            <w:r w:rsidRPr="002627F2">
              <w:br/>
              <w:t xml:space="preserve">la prestación y el desarrollo de redes </w:t>
            </w:r>
            <w:r w:rsidRPr="002627F2">
              <w:br/>
              <w:t>y servicios</w:t>
            </w:r>
          </w:p>
        </w:tc>
        <w:tc>
          <w:tcPr>
            <w:tcW w:w="1984" w:type="dxa"/>
            <w:vAlign w:val="center"/>
          </w:tcPr>
          <w:p w14:paraId="5A2FB3C4" w14:textId="746849D5" w:rsidR="00746C37" w:rsidRPr="002627F2" w:rsidRDefault="00746C37" w:rsidP="00130A31">
            <w:pPr>
              <w:pStyle w:val="Tablehead"/>
            </w:pPr>
            <w:r w:rsidRPr="002627F2">
              <w:t>Flexibilidad para adaptarse a las nuevas tendencias y a los problemas emergentes</w:t>
            </w:r>
          </w:p>
        </w:tc>
        <w:tc>
          <w:tcPr>
            <w:tcW w:w="1990" w:type="dxa"/>
            <w:vAlign w:val="center"/>
          </w:tcPr>
          <w:p w14:paraId="73105060" w14:textId="7FEED7F1" w:rsidR="00746C37" w:rsidRPr="002627F2" w:rsidRDefault="00746C37" w:rsidP="00130A31">
            <w:pPr>
              <w:pStyle w:val="Tablehead"/>
            </w:pPr>
            <w:r w:rsidRPr="002627F2">
              <w:t>Resumen de los resultados</w:t>
            </w:r>
          </w:p>
        </w:tc>
      </w:tr>
      <w:tr w:rsidR="00D560E8" w:rsidRPr="002627F2" w14:paraId="59F30DCE" w14:textId="77777777" w:rsidTr="001D440E">
        <w:trPr>
          <w:jc w:val="center"/>
        </w:trPr>
        <w:tc>
          <w:tcPr>
            <w:tcW w:w="2102" w:type="dxa"/>
            <w:vMerge w:val="restart"/>
            <w:vAlign w:val="center"/>
          </w:tcPr>
          <w:p w14:paraId="140A20AE" w14:textId="49049F35" w:rsidR="00D560E8" w:rsidRPr="002627F2" w:rsidRDefault="00D560E8" w:rsidP="00A833AE">
            <w:pPr>
              <w:pStyle w:val="Tabletext"/>
              <w:jc w:val="center"/>
              <w:rPr>
                <w:b/>
                <w:bCs/>
              </w:rPr>
            </w:pPr>
            <w:bookmarkStart w:id="9" w:name="_Hlk50115517"/>
            <w:r w:rsidRPr="002627F2">
              <w:rPr>
                <w:b/>
                <w:bCs/>
              </w:rPr>
              <w:t>5 Seguridad de la vida humana y prioridad de las telecomunicaciones</w:t>
            </w:r>
          </w:p>
        </w:tc>
        <w:tc>
          <w:tcPr>
            <w:tcW w:w="3087" w:type="dxa"/>
          </w:tcPr>
          <w:p w14:paraId="4BFE4CCB" w14:textId="464FA729" w:rsidR="00D560E8" w:rsidRPr="002627F2" w:rsidRDefault="00D560E8" w:rsidP="00130A31">
            <w:pPr>
              <w:pStyle w:val="Tabletext"/>
              <w:rPr>
                <w:rFonts w:asciiTheme="majorBidi" w:hAnsiTheme="majorBidi" w:cstheme="majorBidi"/>
                <w:b/>
                <w:highlight w:val="yellow"/>
              </w:rPr>
            </w:pPr>
            <w:r w:rsidRPr="002627F2">
              <w:t>5.1</w:t>
            </w:r>
            <w:r w:rsidRPr="002627F2">
              <w:tab/>
              <w:t>Las telecomunicaciones relacionadas con la seguridad de la vida humana, como las telecomunicaciones de socorro, tendrán derecho absoluto a la transmisión y gozarán, en la medida en que sea técnicamente viable, de prioridad absoluta sobre todas las demás telecomunicaciones, conforme a los artículos pertinentes de la Constitución y el Convenio y teniendo debidamente en cuenta las Recomendaciones UIT-T pertinentes.</w:t>
            </w:r>
          </w:p>
        </w:tc>
        <w:tc>
          <w:tcPr>
            <w:tcW w:w="3087" w:type="dxa"/>
          </w:tcPr>
          <w:p w14:paraId="01E2148D" w14:textId="77FF69E5" w:rsidR="00D560E8" w:rsidRPr="002627F2" w:rsidRDefault="00130A31" w:rsidP="00130A31">
            <w:pPr>
              <w:pStyle w:val="Tabletext"/>
            </w:pPr>
            <w:r w:rsidRPr="002627F2">
              <w:t>5.1</w:t>
            </w:r>
            <w:r w:rsidRPr="002627F2">
              <w:tab/>
              <w:t>Las telecomunicaciones relacionadas con la seguridad de la vida humana, como las telecomunicaciones de socorro, tendrán derecho absoluto a la transmisión y gozarán, en la medida en que sea técnicamente viable, de prioridad absoluta sobre todas las demás telecomunicaciones, conforme a los artículos pertinentes del Convenio y teniendo debidamente en cuenta las Recomendaciones pertinentes del CCITT.</w:t>
            </w:r>
          </w:p>
        </w:tc>
        <w:tc>
          <w:tcPr>
            <w:tcW w:w="2209" w:type="dxa"/>
          </w:tcPr>
          <w:p w14:paraId="593B036B" w14:textId="6F6F748C" w:rsidR="00D560E8" w:rsidRPr="002627F2" w:rsidRDefault="00C476DC" w:rsidP="00A833AE">
            <w:pPr>
              <w:pStyle w:val="Tabletext"/>
              <w:rPr>
                <w:b/>
                <w:bCs/>
              </w:rPr>
            </w:pPr>
            <w:r w:rsidRPr="002627F2">
              <w:rPr>
                <w:b/>
                <w:bCs/>
              </w:rPr>
              <w:t>Esta disposición es</w:t>
            </w:r>
            <w:r w:rsidR="00A833AE" w:rsidRPr="002627F2">
              <w:rPr>
                <w:b/>
                <w:bCs/>
              </w:rPr>
              <w:t> </w:t>
            </w:r>
            <w:r w:rsidRPr="002627F2">
              <w:rPr>
                <w:b/>
                <w:bCs/>
              </w:rPr>
              <w:t>aplicable</w:t>
            </w:r>
            <w:r w:rsidR="00A833AE" w:rsidRPr="002627F2">
              <w:rPr>
                <w:b/>
                <w:bCs/>
              </w:rPr>
              <w:t>.</w:t>
            </w:r>
          </w:p>
        </w:tc>
        <w:tc>
          <w:tcPr>
            <w:tcW w:w="1984" w:type="dxa"/>
          </w:tcPr>
          <w:p w14:paraId="47FF016E" w14:textId="17D52039" w:rsidR="00D560E8" w:rsidRPr="002627F2" w:rsidRDefault="00A833AE" w:rsidP="00A833AE">
            <w:pPr>
              <w:pStyle w:val="Tabletext"/>
              <w:rPr>
                <w:b/>
                <w:bCs/>
              </w:rPr>
            </w:pPr>
            <w:r w:rsidRPr="002627F2">
              <w:rPr>
                <w:b/>
                <w:bCs/>
              </w:rPr>
              <w:t>El texto puede ser más flexible si nos referimos a las Recomendaciones de la UIT en lugar de a las Recomendaciones del UIT-T.</w:t>
            </w:r>
          </w:p>
        </w:tc>
        <w:tc>
          <w:tcPr>
            <w:tcW w:w="1990" w:type="dxa"/>
          </w:tcPr>
          <w:p w14:paraId="1CE6B679" w14:textId="2D42231C" w:rsidR="00D560E8" w:rsidRPr="002627F2" w:rsidRDefault="003335EC" w:rsidP="00A833AE">
            <w:pPr>
              <w:pStyle w:val="Tabletext"/>
              <w:rPr>
                <w:b/>
                <w:bCs/>
              </w:rPr>
            </w:pPr>
            <w:bookmarkStart w:id="10" w:name="lt_pId028"/>
            <w:r w:rsidRPr="002627F2">
              <w:rPr>
                <w:b/>
                <w:bCs/>
              </w:rPr>
              <w:t xml:space="preserve">Referencia a las Recomendaciones de la UIT en </w:t>
            </w:r>
            <w:r w:rsidR="00D560E8" w:rsidRPr="002627F2">
              <w:rPr>
                <w:b/>
                <w:bCs/>
              </w:rPr>
              <w:t>general</w:t>
            </w:r>
            <w:bookmarkEnd w:id="10"/>
            <w:r w:rsidR="00A833AE" w:rsidRPr="002627F2">
              <w:rPr>
                <w:b/>
                <w:bCs/>
              </w:rPr>
              <w:t>.</w:t>
            </w:r>
          </w:p>
        </w:tc>
      </w:tr>
      <w:bookmarkEnd w:id="9"/>
      <w:tr w:rsidR="00D560E8" w:rsidRPr="002627F2" w14:paraId="6F1FE19F" w14:textId="77777777" w:rsidTr="001D440E">
        <w:trPr>
          <w:jc w:val="center"/>
        </w:trPr>
        <w:tc>
          <w:tcPr>
            <w:tcW w:w="2102" w:type="dxa"/>
            <w:vMerge/>
            <w:vAlign w:val="center"/>
          </w:tcPr>
          <w:p w14:paraId="5C658D79" w14:textId="77777777" w:rsidR="00D560E8" w:rsidRPr="002627F2" w:rsidRDefault="00D560E8" w:rsidP="00130A31">
            <w:pPr>
              <w:snapToGrid w:val="0"/>
              <w:spacing w:before="360" w:after="120"/>
              <w:jc w:val="center"/>
              <w:rPr>
                <w:rFonts w:asciiTheme="majorBidi" w:hAnsiTheme="majorBidi" w:cstheme="majorBidi"/>
                <w:b/>
              </w:rPr>
            </w:pPr>
          </w:p>
        </w:tc>
        <w:tc>
          <w:tcPr>
            <w:tcW w:w="3087" w:type="dxa"/>
            <w:vAlign w:val="center"/>
          </w:tcPr>
          <w:p w14:paraId="4785FC24" w14:textId="49C098CD" w:rsidR="00D560E8" w:rsidRPr="002627F2" w:rsidRDefault="00D560E8" w:rsidP="00130A31">
            <w:pPr>
              <w:pStyle w:val="Tabletext"/>
            </w:pPr>
            <w:r w:rsidRPr="002627F2">
              <w:t>5.2</w:t>
            </w:r>
            <w:r w:rsidRPr="002627F2">
              <w:tab/>
              <w:t>Las telecomunicaciones de Estado, incluidas las relativas a la aplicación de ciertas disposiciones de la Carta de las Naciones Unidas, gozarán, en la medida en que sea técnicamente viable, de un derecho prioritario sobre las telecomunicaciones distintas de las mencionadas en el número</w:t>
            </w:r>
            <w:r w:rsidR="00A833AE" w:rsidRPr="002627F2">
              <w:t> 45</w:t>
            </w:r>
            <w:r w:rsidRPr="002627F2">
              <w:t xml:space="preserve"> (5.1) </w:t>
            </w:r>
            <w:r w:rsidRPr="002627F2">
              <w:rPr>
                <w:i/>
                <w:iCs/>
              </w:rPr>
              <w:t>supra</w:t>
            </w:r>
            <w:r w:rsidRPr="002627F2">
              <w:t xml:space="preserve">, conforme a las disposiciones </w:t>
            </w:r>
            <w:r w:rsidRPr="002627F2">
              <w:lastRenderedPageBreak/>
              <w:t>pertinentes de la Constitución y el Convenio y teniendo debidamente en cuenta las Recomendaciones UIT-T pertinentes.</w:t>
            </w:r>
          </w:p>
        </w:tc>
        <w:tc>
          <w:tcPr>
            <w:tcW w:w="3087" w:type="dxa"/>
            <w:vAlign w:val="center"/>
          </w:tcPr>
          <w:p w14:paraId="3F1AD5D5" w14:textId="71199B77" w:rsidR="00D560E8" w:rsidRPr="002627F2" w:rsidRDefault="00130A31" w:rsidP="00130A31">
            <w:pPr>
              <w:pStyle w:val="Tabletext"/>
            </w:pPr>
            <w:r w:rsidRPr="002627F2">
              <w:lastRenderedPageBreak/>
              <w:t>5.2</w:t>
            </w:r>
            <w:r w:rsidRPr="002627F2">
              <w:tab/>
              <w:t>Las telecomunicaciones de Estado, comprendidas las relativas a la aplicación de ciertas disposiciones de la Carta de las Naciones Unidas, gozarán, en la medida en que sea técnicamente viable, de un derecho prioritario sobre las telecomunicaciones distintas de las mencionadas en el número</w:t>
            </w:r>
            <w:r w:rsidR="00A833AE" w:rsidRPr="002627F2">
              <w:t> </w:t>
            </w:r>
            <w:r w:rsidRPr="002627F2">
              <w:t xml:space="preserve">39, conforme a las disposiciones pertinentes del </w:t>
            </w:r>
            <w:r w:rsidRPr="002627F2">
              <w:lastRenderedPageBreak/>
              <w:t>Convenio y teniendo debidamente en cuenta las Recomendaciones pertinentes del CCITT.</w:t>
            </w:r>
          </w:p>
        </w:tc>
        <w:tc>
          <w:tcPr>
            <w:tcW w:w="2209" w:type="dxa"/>
          </w:tcPr>
          <w:p w14:paraId="038A349C" w14:textId="7F67B9DC" w:rsidR="00D560E8" w:rsidRPr="002627F2" w:rsidRDefault="00C476DC" w:rsidP="00A833AE">
            <w:pPr>
              <w:pStyle w:val="Tabletext"/>
              <w:rPr>
                <w:b/>
                <w:bCs/>
              </w:rPr>
            </w:pPr>
            <w:r w:rsidRPr="002627F2">
              <w:rPr>
                <w:b/>
                <w:bCs/>
              </w:rPr>
              <w:lastRenderedPageBreak/>
              <w:t>El texto es aplicable</w:t>
            </w:r>
            <w:r w:rsidR="00A833AE" w:rsidRPr="002627F2">
              <w:rPr>
                <w:b/>
                <w:bCs/>
              </w:rPr>
              <w:t>.</w:t>
            </w:r>
          </w:p>
        </w:tc>
        <w:tc>
          <w:tcPr>
            <w:tcW w:w="1984" w:type="dxa"/>
          </w:tcPr>
          <w:p w14:paraId="6810EB2F" w14:textId="7154CDE3" w:rsidR="00D560E8" w:rsidRPr="002627F2" w:rsidRDefault="003335EC" w:rsidP="00A833AE">
            <w:pPr>
              <w:pStyle w:val="Tabletext"/>
              <w:rPr>
                <w:b/>
                <w:bCs/>
              </w:rPr>
            </w:pPr>
            <w:bookmarkStart w:id="11" w:name="lt_pId034"/>
            <w:r w:rsidRPr="002627F2">
              <w:rPr>
                <w:b/>
                <w:bCs/>
              </w:rPr>
              <w:t>El texto puede ser más flexible si nos referimos a las Recomendaciones de la UIT en lugar de a las Recomendaciones del UIT-T</w:t>
            </w:r>
            <w:bookmarkEnd w:id="11"/>
            <w:r w:rsidR="00A833AE" w:rsidRPr="002627F2">
              <w:rPr>
                <w:b/>
                <w:bCs/>
              </w:rPr>
              <w:t>.</w:t>
            </w:r>
          </w:p>
        </w:tc>
        <w:tc>
          <w:tcPr>
            <w:tcW w:w="1990" w:type="dxa"/>
          </w:tcPr>
          <w:p w14:paraId="6C1B51D9" w14:textId="5D6B7DE4" w:rsidR="00D560E8" w:rsidRPr="002627F2" w:rsidRDefault="003335EC" w:rsidP="00A833AE">
            <w:pPr>
              <w:pStyle w:val="Tabletext"/>
              <w:rPr>
                <w:b/>
                <w:bCs/>
              </w:rPr>
            </w:pPr>
            <w:r w:rsidRPr="002627F2">
              <w:rPr>
                <w:b/>
                <w:bCs/>
              </w:rPr>
              <w:t>Referencia a las Recomendaciones de la UIT en general</w:t>
            </w:r>
            <w:r w:rsidR="00A833AE" w:rsidRPr="002627F2">
              <w:rPr>
                <w:b/>
                <w:bCs/>
              </w:rPr>
              <w:t>.</w:t>
            </w:r>
          </w:p>
        </w:tc>
      </w:tr>
      <w:tr w:rsidR="00D560E8" w:rsidRPr="002627F2" w14:paraId="5ABD23E4" w14:textId="77777777" w:rsidTr="001D440E">
        <w:trPr>
          <w:jc w:val="center"/>
        </w:trPr>
        <w:tc>
          <w:tcPr>
            <w:tcW w:w="2102" w:type="dxa"/>
            <w:vMerge/>
            <w:vAlign w:val="center"/>
          </w:tcPr>
          <w:p w14:paraId="351F9144" w14:textId="77777777" w:rsidR="00D560E8" w:rsidRPr="002627F2" w:rsidRDefault="00D560E8" w:rsidP="00130A31">
            <w:pPr>
              <w:snapToGrid w:val="0"/>
              <w:spacing w:before="360" w:after="120"/>
              <w:jc w:val="center"/>
              <w:rPr>
                <w:rFonts w:asciiTheme="majorBidi" w:hAnsiTheme="majorBidi" w:cstheme="majorBidi"/>
                <w:b/>
              </w:rPr>
            </w:pPr>
          </w:p>
        </w:tc>
        <w:tc>
          <w:tcPr>
            <w:tcW w:w="3087" w:type="dxa"/>
          </w:tcPr>
          <w:p w14:paraId="1714A4F6" w14:textId="1CD8D685" w:rsidR="00D560E8" w:rsidRPr="002627F2" w:rsidRDefault="00D560E8" w:rsidP="00130A31">
            <w:pPr>
              <w:pStyle w:val="Tabletext"/>
            </w:pPr>
            <w:r w:rsidRPr="002627F2">
              <w:t>5.3</w:t>
            </w:r>
            <w:r w:rsidRPr="002627F2">
              <w:tab/>
              <w:t>Las disposiciones que definen el orden de prioridad de cualquier otro servicio de telecomunicaciones se encuentran en las Recomendaciones UIT-T pertinentes.</w:t>
            </w:r>
          </w:p>
        </w:tc>
        <w:tc>
          <w:tcPr>
            <w:tcW w:w="3087" w:type="dxa"/>
          </w:tcPr>
          <w:p w14:paraId="0E09413E" w14:textId="57047AB9" w:rsidR="00D560E8" w:rsidRPr="002627F2" w:rsidRDefault="00130A31" w:rsidP="00130A31">
            <w:pPr>
              <w:pStyle w:val="Tabletext"/>
              <w:rPr>
                <w:rFonts w:asciiTheme="majorBidi" w:hAnsiTheme="majorBidi" w:cstheme="majorBidi"/>
                <w:b/>
              </w:rPr>
            </w:pPr>
            <w:r w:rsidRPr="002627F2">
              <w:t>5.3</w:t>
            </w:r>
            <w:r w:rsidRPr="002627F2">
              <w:tab/>
              <w:t>El orden de prioridad de todas las demás telecomunicaciones se regirá por lo dispuesto en las Recomendaciones pertinentes del CCITT.</w:t>
            </w:r>
          </w:p>
        </w:tc>
        <w:tc>
          <w:tcPr>
            <w:tcW w:w="2209" w:type="dxa"/>
          </w:tcPr>
          <w:p w14:paraId="1418B321" w14:textId="3547CFD4" w:rsidR="00D560E8" w:rsidRPr="002627F2" w:rsidRDefault="00C476DC" w:rsidP="00A833AE">
            <w:pPr>
              <w:pStyle w:val="Tabletext"/>
              <w:rPr>
                <w:b/>
                <w:bCs/>
              </w:rPr>
            </w:pPr>
            <w:r w:rsidRPr="002627F2">
              <w:rPr>
                <w:b/>
                <w:bCs/>
              </w:rPr>
              <w:t>El texto es aplicable</w:t>
            </w:r>
            <w:r w:rsidR="00A833AE" w:rsidRPr="002627F2">
              <w:rPr>
                <w:b/>
                <w:bCs/>
              </w:rPr>
              <w:t>.</w:t>
            </w:r>
          </w:p>
        </w:tc>
        <w:tc>
          <w:tcPr>
            <w:tcW w:w="1984" w:type="dxa"/>
          </w:tcPr>
          <w:p w14:paraId="129CB708" w14:textId="5D724994" w:rsidR="00D560E8" w:rsidRPr="002627F2" w:rsidRDefault="00A833AE" w:rsidP="00A833AE">
            <w:pPr>
              <w:pStyle w:val="Tabletext"/>
              <w:rPr>
                <w:b/>
                <w:bCs/>
              </w:rPr>
            </w:pPr>
            <w:r w:rsidRPr="002627F2">
              <w:rPr>
                <w:b/>
                <w:bCs/>
              </w:rPr>
              <w:t>El texto puede ser más flexible si nos referimos a las Recomendaciones de la UIT en lugar de a las Recomendaciones del UIT-T.</w:t>
            </w:r>
          </w:p>
        </w:tc>
        <w:tc>
          <w:tcPr>
            <w:tcW w:w="1990" w:type="dxa"/>
          </w:tcPr>
          <w:p w14:paraId="212670AB" w14:textId="148D8751" w:rsidR="00D560E8" w:rsidRPr="002627F2" w:rsidRDefault="00A833AE" w:rsidP="00A833AE">
            <w:pPr>
              <w:pStyle w:val="Tabletext"/>
              <w:rPr>
                <w:b/>
                <w:bCs/>
              </w:rPr>
            </w:pPr>
            <w:r w:rsidRPr="002627F2">
              <w:rPr>
                <w:b/>
                <w:bCs/>
              </w:rPr>
              <w:t>Referencia a las Recomendaciones de la UIT en general.</w:t>
            </w:r>
          </w:p>
        </w:tc>
      </w:tr>
      <w:tr w:rsidR="00D560E8" w:rsidRPr="002627F2" w14:paraId="512FF64C" w14:textId="77777777" w:rsidTr="001D440E">
        <w:trPr>
          <w:jc w:val="center"/>
        </w:trPr>
        <w:tc>
          <w:tcPr>
            <w:tcW w:w="2102" w:type="dxa"/>
            <w:vMerge/>
            <w:vAlign w:val="center"/>
          </w:tcPr>
          <w:p w14:paraId="2516BE84" w14:textId="77777777" w:rsidR="00D560E8" w:rsidRPr="002627F2" w:rsidRDefault="00D560E8" w:rsidP="00130A31">
            <w:pPr>
              <w:snapToGrid w:val="0"/>
              <w:spacing w:before="360" w:after="120"/>
              <w:jc w:val="center"/>
              <w:rPr>
                <w:rFonts w:asciiTheme="majorBidi" w:hAnsiTheme="majorBidi" w:cstheme="majorBidi"/>
                <w:b/>
              </w:rPr>
            </w:pPr>
          </w:p>
        </w:tc>
        <w:tc>
          <w:tcPr>
            <w:tcW w:w="3087" w:type="dxa"/>
            <w:vAlign w:val="center"/>
          </w:tcPr>
          <w:p w14:paraId="7743DCFA" w14:textId="767489E9" w:rsidR="00D560E8" w:rsidRPr="002627F2" w:rsidRDefault="00D560E8" w:rsidP="00130A31">
            <w:pPr>
              <w:pStyle w:val="Tabletext"/>
            </w:pPr>
            <w:r w:rsidRPr="002627F2">
              <w:t>5.4</w:t>
            </w:r>
            <w:r w:rsidRPr="002627F2">
              <w:tab/>
              <w:t>Los Estados Miembros deben alentar a las empresas de explotación autorizadas a informar oportuna y gratuitamente a todos los usuarios, incluidos los usuarios itinerantes, del número de llamada a los servicios de emergencia.</w:t>
            </w:r>
          </w:p>
        </w:tc>
        <w:tc>
          <w:tcPr>
            <w:tcW w:w="3087" w:type="dxa"/>
          </w:tcPr>
          <w:p w14:paraId="018165B9" w14:textId="77777777" w:rsidR="00D560E8" w:rsidRPr="002627F2" w:rsidRDefault="00D560E8" w:rsidP="00A833AE">
            <w:pPr>
              <w:pStyle w:val="Tabletext"/>
              <w:jc w:val="center"/>
            </w:pPr>
            <w:bookmarkStart w:id="12" w:name="lt_pId045"/>
            <w:r w:rsidRPr="002627F2">
              <w:t>N/A</w:t>
            </w:r>
            <w:bookmarkEnd w:id="12"/>
          </w:p>
        </w:tc>
        <w:tc>
          <w:tcPr>
            <w:tcW w:w="2209" w:type="dxa"/>
          </w:tcPr>
          <w:p w14:paraId="5C282A45" w14:textId="642EE50E" w:rsidR="00D560E8" w:rsidRPr="002627F2" w:rsidRDefault="00C476DC" w:rsidP="00A833AE">
            <w:pPr>
              <w:pStyle w:val="Tabletext"/>
              <w:rPr>
                <w:b/>
                <w:bCs/>
              </w:rPr>
            </w:pPr>
            <w:r w:rsidRPr="002627F2">
              <w:rPr>
                <w:b/>
                <w:bCs/>
              </w:rPr>
              <w:t>El texto es aplicable</w:t>
            </w:r>
            <w:r w:rsidR="00A833AE" w:rsidRPr="002627F2">
              <w:rPr>
                <w:b/>
                <w:bCs/>
              </w:rPr>
              <w:t>.</w:t>
            </w:r>
          </w:p>
        </w:tc>
        <w:tc>
          <w:tcPr>
            <w:tcW w:w="1984" w:type="dxa"/>
          </w:tcPr>
          <w:p w14:paraId="0BEA7E86" w14:textId="7616474A" w:rsidR="00D560E8" w:rsidRPr="002627F2" w:rsidRDefault="00C476DC" w:rsidP="00A833AE">
            <w:pPr>
              <w:pStyle w:val="Tabletext"/>
              <w:rPr>
                <w:b/>
                <w:bCs/>
              </w:rPr>
            </w:pPr>
            <w:r w:rsidRPr="002627F2">
              <w:rPr>
                <w:b/>
                <w:bCs/>
              </w:rPr>
              <w:t>El texto es flexible</w:t>
            </w:r>
            <w:r w:rsidR="00A833AE" w:rsidRPr="002627F2">
              <w:rPr>
                <w:b/>
                <w:bCs/>
              </w:rPr>
              <w:t>.</w:t>
            </w:r>
          </w:p>
        </w:tc>
        <w:tc>
          <w:tcPr>
            <w:tcW w:w="1990" w:type="dxa"/>
          </w:tcPr>
          <w:p w14:paraId="3E04975F" w14:textId="77777777" w:rsidR="00D560E8" w:rsidRPr="002627F2" w:rsidRDefault="00D560E8" w:rsidP="00A833AE">
            <w:pPr>
              <w:pStyle w:val="Tabletext"/>
              <w:rPr>
                <w:b/>
                <w:bCs/>
              </w:rPr>
            </w:pPr>
          </w:p>
        </w:tc>
      </w:tr>
      <w:tr w:rsidR="00746C37" w:rsidRPr="002627F2" w14:paraId="74DD54FF" w14:textId="77777777" w:rsidTr="001D440E">
        <w:trPr>
          <w:jc w:val="center"/>
        </w:trPr>
        <w:tc>
          <w:tcPr>
            <w:tcW w:w="2102" w:type="dxa"/>
            <w:vAlign w:val="center"/>
          </w:tcPr>
          <w:p w14:paraId="3BF5CB52" w14:textId="6090BAF0" w:rsidR="00746C37" w:rsidRPr="002627F2" w:rsidRDefault="00746C37" w:rsidP="009106EF">
            <w:pPr>
              <w:pStyle w:val="Tabletext"/>
              <w:jc w:val="center"/>
              <w:rPr>
                <w:b/>
                <w:bCs/>
              </w:rPr>
            </w:pPr>
            <w:r w:rsidRPr="002627F2">
              <w:rPr>
                <w:b/>
                <w:bCs/>
              </w:rPr>
              <w:lastRenderedPageBreak/>
              <w:t xml:space="preserve">6 </w:t>
            </w:r>
            <w:r w:rsidR="00D560E8" w:rsidRPr="002627F2">
              <w:rPr>
                <w:b/>
                <w:bCs/>
              </w:rPr>
              <w:t>Seguridad y robustez de las redes</w:t>
            </w:r>
          </w:p>
        </w:tc>
        <w:tc>
          <w:tcPr>
            <w:tcW w:w="3087" w:type="dxa"/>
          </w:tcPr>
          <w:p w14:paraId="304B1588" w14:textId="0D883652" w:rsidR="00746C37" w:rsidRPr="002627F2" w:rsidRDefault="00D560E8" w:rsidP="00130A31">
            <w:pPr>
              <w:pStyle w:val="Tabletext"/>
              <w:keepNext/>
              <w:keepLines/>
            </w:pPr>
            <w:r w:rsidRPr="002627F2">
              <w:t>6.1</w:t>
            </w:r>
            <w:r w:rsidRPr="002627F2">
              <w:tab/>
              <w:t>Los Estados Miembros procurarán garantizar, individual y colectivamente, la seguridad y robustez de las redes de telecomunicación internacionales a fin de lograr su utilización eficaz y evitar perjuicios técnicos a las mismas, así como el desarrollo armonioso de los servicios internacionales de telecomunicación ofrecidos al público.</w:t>
            </w:r>
          </w:p>
        </w:tc>
        <w:tc>
          <w:tcPr>
            <w:tcW w:w="3087" w:type="dxa"/>
          </w:tcPr>
          <w:p w14:paraId="4B85BD26" w14:textId="77777777" w:rsidR="00746C37" w:rsidRPr="002627F2" w:rsidRDefault="00746C37" w:rsidP="00130A31">
            <w:pPr>
              <w:pStyle w:val="Tabletext"/>
              <w:keepNext/>
              <w:keepLines/>
              <w:jc w:val="center"/>
            </w:pPr>
            <w:bookmarkStart w:id="13" w:name="lt_pId052"/>
            <w:r w:rsidRPr="002627F2">
              <w:t>N/A</w:t>
            </w:r>
            <w:bookmarkEnd w:id="13"/>
          </w:p>
        </w:tc>
        <w:tc>
          <w:tcPr>
            <w:tcW w:w="2209" w:type="dxa"/>
          </w:tcPr>
          <w:p w14:paraId="64B6443A" w14:textId="170B8281" w:rsidR="00746C37" w:rsidRPr="002627F2" w:rsidRDefault="003335EC" w:rsidP="009106EF">
            <w:pPr>
              <w:pStyle w:val="Tabletext"/>
              <w:rPr>
                <w:b/>
                <w:bCs/>
              </w:rPr>
            </w:pPr>
            <w:bookmarkStart w:id="14" w:name="lt_pId053"/>
            <w:r w:rsidRPr="002627F2">
              <w:rPr>
                <w:b/>
                <w:bCs/>
              </w:rPr>
              <w:t>Con el número creciente de brechas en la seguridad de las redes que se observa hoy en día, este artículo es aplicable</w:t>
            </w:r>
            <w:bookmarkEnd w:id="14"/>
            <w:r w:rsidR="009106EF" w:rsidRPr="002627F2">
              <w:rPr>
                <w:b/>
                <w:bCs/>
              </w:rPr>
              <w:t>.</w:t>
            </w:r>
          </w:p>
        </w:tc>
        <w:tc>
          <w:tcPr>
            <w:tcW w:w="1984" w:type="dxa"/>
          </w:tcPr>
          <w:p w14:paraId="3F6454B7" w14:textId="77777777" w:rsidR="00746C37" w:rsidRPr="002627F2" w:rsidRDefault="00746C37" w:rsidP="009106EF">
            <w:pPr>
              <w:pStyle w:val="Tabletext"/>
              <w:rPr>
                <w:b/>
                <w:bCs/>
              </w:rPr>
            </w:pPr>
          </w:p>
        </w:tc>
        <w:tc>
          <w:tcPr>
            <w:tcW w:w="1990" w:type="dxa"/>
          </w:tcPr>
          <w:p w14:paraId="0712BCB0" w14:textId="77777777" w:rsidR="00746C37" w:rsidRPr="002627F2" w:rsidRDefault="00746C37" w:rsidP="009106EF">
            <w:pPr>
              <w:pStyle w:val="Tabletext"/>
              <w:rPr>
                <w:b/>
                <w:bCs/>
              </w:rPr>
            </w:pPr>
          </w:p>
        </w:tc>
      </w:tr>
      <w:tr w:rsidR="00D560E8" w:rsidRPr="002627F2" w14:paraId="63DB009A" w14:textId="77777777" w:rsidTr="001D440E">
        <w:trPr>
          <w:jc w:val="center"/>
        </w:trPr>
        <w:tc>
          <w:tcPr>
            <w:tcW w:w="2102" w:type="dxa"/>
            <w:vMerge w:val="restart"/>
            <w:vAlign w:val="center"/>
          </w:tcPr>
          <w:p w14:paraId="68F03A5F" w14:textId="3D86A91D" w:rsidR="00D560E8" w:rsidRPr="002627F2" w:rsidRDefault="00D560E8" w:rsidP="009106EF">
            <w:pPr>
              <w:pStyle w:val="Tabletext"/>
              <w:jc w:val="center"/>
              <w:rPr>
                <w:b/>
                <w:bCs/>
              </w:rPr>
            </w:pPr>
            <w:r w:rsidRPr="002627F2">
              <w:rPr>
                <w:b/>
                <w:bCs/>
              </w:rPr>
              <w:t>7 Comunicaciones electrónicas masivas no solicitadas</w:t>
            </w:r>
          </w:p>
        </w:tc>
        <w:tc>
          <w:tcPr>
            <w:tcW w:w="3087" w:type="dxa"/>
          </w:tcPr>
          <w:p w14:paraId="01A453D7" w14:textId="0FF93D22" w:rsidR="00D560E8" w:rsidRPr="002627F2" w:rsidRDefault="00D560E8" w:rsidP="00130A31">
            <w:pPr>
              <w:pStyle w:val="Tabletext"/>
            </w:pPr>
            <w:r w:rsidRPr="002627F2">
              <w:t>7.1</w:t>
            </w:r>
            <w:r w:rsidRPr="002627F2">
              <w:tab/>
              <w:t>Los Estados Miembros deben procurar tomar las medidas necesarias para evitar la propagación de comunicaciones electrónicas masivas no solicitadas y minimizar sus efectos en los servicios internacionales de telecomunicación.</w:t>
            </w:r>
          </w:p>
        </w:tc>
        <w:tc>
          <w:tcPr>
            <w:tcW w:w="3087" w:type="dxa"/>
          </w:tcPr>
          <w:p w14:paraId="18311E59" w14:textId="7AD859F9" w:rsidR="00D560E8" w:rsidRPr="002627F2" w:rsidRDefault="00130A31" w:rsidP="00130A31">
            <w:pPr>
              <w:pStyle w:val="Tabletext"/>
              <w:keepNext/>
              <w:keepLines/>
              <w:jc w:val="center"/>
            </w:pPr>
            <w:r w:rsidRPr="002627F2">
              <w:t>N/A</w:t>
            </w:r>
          </w:p>
        </w:tc>
        <w:tc>
          <w:tcPr>
            <w:tcW w:w="2209" w:type="dxa"/>
          </w:tcPr>
          <w:p w14:paraId="2F65FB80" w14:textId="62F06003" w:rsidR="00D560E8" w:rsidRPr="002627F2" w:rsidRDefault="005B5523" w:rsidP="009106EF">
            <w:pPr>
              <w:pStyle w:val="Tabletext"/>
              <w:rPr>
                <w:b/>
                <w:bCs/>
              </w:rPr>
            </w:pPr>
            <w:r w:rsidRPr="002627F2">
              <w:rPr>
                <w:b/>
                <w:bCs/>
              </w:rPr>
              <w:t>El texto es aplicable</w:t>
            </w:r>
            <w:r w:rsidR="009106EF" w:rsidRPr="002627F2">
              <w:rPr>
                <w:b/>
                <w:bCs/>
              </w:rPr>
              <w:t>.</w:t>
            </w:r>
          </w:p>
        </w:tc>
        <w:tc>
          <w:tcPr>
            <w:tcW w:w="1984" w:type="dxa"/>
          </w:tcPr>
          <w:p w14:paraId="766E2132" w14:textId="12E48C08" w:rsidR="00D560E8" w:rsidRPr="002627F2" w:rsidRDefault="003335EC" w:rsidP="009106EF">
            <w:pPr>
              <w:pStyle w:val="Tabletext"/>
              <w:rPr>
                <w:b/>
                <w:bCs/>
              </w:rPr>
            </w:pPr>
            <w:bookmarkStart w:id="15" w:name="lt_pId060"/>
            <w:r w:rsidRPr="002627F2">
              <w:rPr>
                <w:b/>
                <w:bCs/>
              </w:rPr>
              <w:t>El texto es genérico y no habla de una tecnología específica flexible</w:t>
            </w:r>
            <w:bookmarkEnd w:id="15"/>
            <w:r w:rsidR="009106EF" w:rsidRPr="002627F2">
              <w:rPr>
                <w:b/>
                <w:bCs/>
              </w:rPr>
              <w:t>.</w:t>
            </w:r>
          </w:p>
        </w:tc>
        <w:tc>
          <w:tcPr>
            <w:tcW w:w="1990" w:type="dxa"/>
          </w:tcPr>
          <w:p w14:paraId="79FC6C7D" w14:textId="77777777" w:rsidR="00D560E8" w:rsidRPr="002627F2" w:rsidRDefault="00D560E8" w:rsidP="009106EF">
            <w:pPr>
              <w:pStyle w:val="Tabletext"/>
              <w:rPr>
                <w:b/>
                <w:bCs/>
              </w:rPr>
            </w:pPr>
          </w:p>
        </w:tc>
      </w:tr>
      <w:tr w:rsidR="00D560E8" w:rsidRPr="002627F2" w14:paraId="3B3DBF36" w14:textId="77777777" w:rsidTr="001D440E">
        <w:trPr>
          <w:jc w:val="center"/>
        </w:trPr>
        <w:tc>
          <w:tcPr>
            <w:tcW w:w="2102" w:type="dxa"/>
            <w:vMerge/>
            <w:vAlign w:val="center"/>
          </w:tcPr>
          <w:p w14:paraId="63B30443" w14:textId="77777777" w:rsidR="00D560E8" w:rsidRPr="002627F2" w:rsidRDefault="00D560E8" w:rsidP="00130A31">
            <w:pPr>
              <w:snapToGrid w:val="0"/>
              <w:spacing w:before="360" w:after="120"/>
              <w:jc w:val="center"/>
              <w:rPr>
                <w:rFonts w:asciiTheme="majorBidi" w:hAnsiTheme="majorBidi" w:cstheme="majorBidi"/>
                <w:b/>
              </w:rPr>
            </w:pPr>
          </w:p>
        </w:tc>
        <w:tc>
          <w:tcPr>
            <w:tcW w:w="3087" w:type="dxa"/>
          </w:tcPr>
          <w:p w14:paraId="65B762E4" w14:textId="5A143C57" w:rsidR="00D560E8" w:rsidRPr="002627F2" w:rsidRDefault="00D560E8" w:rsidP="00130A31">
            <w:pPr>
              <w:pStyle w:val="Tabletext"/>
            </w:pPr>
            <w:r w:rsidRPr="002627F2">
              <w:t>7.2</w:t>
            </w:r>
            <w:r w:rsidRPr="002627F2">
              <w:tab/>
              <w:t>Se alienta a los Estados Miembros a cooperar en ese sentido.</w:t>
            </w:r>
          </w:p>
        </w:tc>
        <w:tc>
          <w:tcPr>
            <w:tcW w:w="3087" w:type="dxa"/>
          </w:tcPr>
          <w:p w14:paraId="4759BBE4" w14:textId="07F180CE" w:rsidR="00D560E8" w:rsidRPr="002627F2" w:rsidRDefault="00130A31" w:rsidP="00130A31">
            <w:pPr>
              <w:pStyle w:val="Tabletext"/>
              <w:keepNext/>
              <w:keepLines/>
              <w:jc w:val="center"/>
            </w:pPr>
            <w:r w:rsidRPr="002627F2">
              <w:t>N/A</w:t>
            </w:r>
          </w:p>
        </w:tc>
        <w:tc>
          <w:tcPr>
            <w:tcW w:w="2209" w:type="dxa"/>
          </w:tcPr>
          <w:p w14:paraId="5889E55B" w14:textId="3AA03911" w:rsidR="00D560E8" w:rsidRPr="002627F2" w:rsidRDefault="005B5523" w:rsidP="009106EF">
            <w:pPr>
              <w:pStyle w:val="Tabletext"/>
              <w:rPr>
                <w:b/>
                <w:bCs/>
              </w:rPr>
            </w:pPr>
            <w:r w:rsidRPr="002627F2">
              <w:rPr>
                <w:b/>
                <w:bCs/>
              </w:rPr>
              <w:t>El texto es aplicable</w:t>
            </w:r>
            <w:r w:rsidR="009106EF" w:rsidRPr="002627F2">
              <w:rPr>
                <w:b/>
                <w:bCs/>
              </w:rPr>
              <w:t>.</w:t>
            </w:r>
          </w:p>
        </w:tc>
        <w:tc>
          <w:tcPr>
            <w:tcW w:w="1984" w:type="dxa"/>
          </w:tcPr>
          <w:p w14:paraId="3D30B17F" w14:textId="64DCCD18" w:rsidR="00D560E8" w:rsidRPr="002627F2" w:rsidRDefault="003335EC" w:rsidP="009106EF">
            <w:pPr>
              <w:pStyle w:val="Tabletext"/>
              <w:rPr>
                <w:b/>
                <w:bCs/>
              </w:rPr>
            </w:pPr>
            <w:r w:rsidRPr="002627F2">
              <w:rPr>
                <w:b/>
                <w:bCs/>
              </w:rPr>
              <w:t>No se requiere flexibilidad</w:t>
            </w:r>
            <w:r w:rsidR="009106EF" w:rsidRPr="002627F2">
              <w:rPr>
                <w:b/>
                <w:bCs/>
              </w:rPr>
              <w:t>.</w:t>
            </w:r>
          </w:p>
        </w:tc>
        <w:tc>
          <w:tcPr>
            <w:tcW w:w="1990" w:type="dxa"/>
          </w:tcPr>
          <w:p w14:paraId="10161C06" w14:textId="77777777" w:rsidR="00D560E8" w:rsidRPr="002627F2" w:rsidRDefault="00D560E8" w:rsidP="009106EF">
            <w:pPr>
              <w:pStyle w:val="Tabletext"/>
              <w:rPr>
                <w:b/>
                <w:bCs/>
              </w:rPr>
            </w:pPr>
          </w:p>
        </w:tc>
      </w:tr>
      <w:tr w:rsidR="00D560E8" w:rsidRPr="002627F2" w14:paraId="39028EB1" w14:textId="77777777" w:rsidTr="001D440E">
        <w:trPr>
          <w:jc w:val="center"/>
        </w:trPr>
        <w:tc>
          <w:tcPr>
            <w:tcW w:w="2102" w:type="dxa"/>
            <w:vMerge w:val="restart"/>
            <w:vAlign w:val="center"/>
          </w:tcPr>
          <w:p w14:paraId="4ADD5AD3" w14:textId="303DCCB0" w:rsidR="00D560E8" w:rsidRPr="002627F2" w:rsidRDefault="00D560E8" w:rsidP="009106EF">
            <w:pPr>
              <w:pStyle w:val="Tabletext"/>
              <w:jc w:val="center"/>
              <w:rPr>
                <w:b/>
                <w:bCs/>
              </w:rPr>
            </w:pPr>
            <w:r w:rsidRPr="002627F2">
              <w:rPr>
                <w:b/>
                <w:bCs/>
              </w:rPr>
              <w:lastRenderedPageBreak/>
              <w:t>8 Tasación y contabilidad</w:t>
            </w:r>
          </w:p>
        </w:tc>
        <w:tc>
          <w:tcPr>
            <w:tcW w:w="3087" w:type="dxa"/>
          </w:tcPr>
          <w:p w14:paraId="28F2332F" w14:textId="4DE24EA8" w:rsidR="00D560E8" w:rsidRPr="002627F2" w:rsidRDefault="00D560E8" w:rsidP="00130A31">
            <w:pPr>
              <w:pStyle w:val="Tabletext"/>
              <w:rPr>
                <w:b/>
                <w:bCs/>
              </w:rPr>
            </w:pPr>
            <w:r w:rsidRPr="002627F2">
              <w:rPr>
                <w:b/>
                <w:bCs/>
              </w:rPr>
              <w:t>8.1</w:t>
            </w:r>
            <w:r w:rsidRPr="002627F2">
              <w:rPr>
                <w:b/>
                <w:bCs/>
              </w:rPr>
              <w:tab/>
              <w:t>Acuerdos relativos a las telecomunicaciones internacionales</w:t>
            </w:r>
          </w:p>
        </w:tc>
        <w:tc>
          <w:tcPr>
            <w:tcW w:w="3087" w:type="dxa"/>
          </w:tcPr>
          <w:p w14:paraId="6EA26671" w14:textId="77777777" w:rsidR="00D560E8" w:rsidRPr="002627F2" w:rsidRDefault="00D560E8" w:rsidP="009106EF">
            <w:pPr>
              <w:pStyle w:val="Tabletext"/>
              <w:keepNext/>
              <w:keepLines/>
              <w:jc w:val="center"/>
            </w:pPr>
          </w:p>
        </w:tc>
        <w:tc>
          <w:tcPr>
            <w:tcW w:w="2209" w:type="dxa"/>
          </w:tcPr>
          <w:p w14:paraId="6740EB1E" w14:textId="77777777" w:rsidR="00D560E8" w:rsidRPr="002627F2" w:rsidRDefault="00D560E8" w:rsidP="009106EF">
            <w:pPr>
              <w:pStyle w:val="Tabletext"/>
              <w:rPr>
                <w:b/>
                <w:bCs/>
              </w:rPr>
            </w:pPr>
          </w:p>
        </w:tc>
        <w:tc>
          <w:tcPr>
            <w:tcW w:w="1984" w:type="dxa"/>
          </w:tcPr>
          <w:p w14:paraId="4088D7A8" w14:textId="77777777" w:rsidR="00D560E8" w:rsidRPr="002627F2" w:rsidRDefault="00D560E8" w:rsidP="009106EF">
            <w:pPr>
              <w:pStyle w:val="Tabletext"/>
              <w:rPr>
                <w:b/>
                <w:bCs/>
              </w:rPr>
            </w:pPr>
          </w:p>
        </w:tc>
        <w:tc>
          <w:tcPr>
            <w:tcW w:w="1990" w:type="dxa"/>
          </w:tcPr>
          <w:p w14:paraId="5CC6283D" w14:textId="77777777" w:rsidR="00D560E8" w:rsidRPr="002627F2" w:rsidRDefault="00D560E8" w:rsidP="009106EF">
            <w:pPr>
              <w:pStyle w:val="Tabletext"/>
              <w:rPr>
                <w:b/>
                <w:bCs/>
              </w:rPr>
            </w:pPr>
          </w:p>
        </w:tc>
      </w:tr>
      <w:tr w:rsidR="00D560E8" w:rsidRPr="002627F2" w14:paraId="6655FEC0" w14:textId="77777777" w:rsidTr="001D440E">
        <w:trPr>
          <w:jc w:val="center"/>
        </w:trPr>
        <w:tc>
          <w:tcPr>
            <w:tcW w:w="2102" w:type="dxa"/>
            <w:vMerge/>
            <w:vAlign w:val="center"/>
          </w:tcPr>
          <w:p w14:paraId="3228F0AC" w14:textId="77777777" w:rsidR="00D560E8" w:rsidRPr="002627F2" w:rsidRDefault="00D560E8" w:rsidP="00130A31">
            <w:pPr>
              <w:snapToGrid w:val="0"/>
              <w:spacing w:before="360" w:after="120"/>
              <w:jc w:val="center"/>
              <w:rPr>
                <w:rFonts w:asciiTheme="majorBidi" w:hAnsiTheme="majorBidi" w:cstheme="majorBidi"/>
                <w:b/>
              </w:rPr>
            </w:pPr>
          </w:p>
        </w:tc>
        <w:tc>
          <w:tcPr>
            <w:tcW w:w="3087" w:type="dxa"/>
            <w:vAlign w:val="center"/>
          </w:tcPr>
          <w:p w14:paraId="5C7E311F" w14:textId="1EDA180A" w:rsidR="00D560E8" w:rsidRPr="002627F2" w:rsidRDefault="00D560E8" w:rsidP="00130A31">
            <w:pPr>
              <w:pStyle w:val="Tabletext"/>
            </w:pPr>
            <w:r w:rsidRPr="002627F2">
              <w:t>8.1.1</w:t>
            </w:r>
            <w:r w:rsidRPr="002627F2">
              <w:tab/>
              <w:t>De acuerdo con la legislación nacional aplicable, los términos y condiciones de los acuerdos de prestación de servicios internacionales de telecomunicación podrán establecerse mediante acuerdos comerciales o en virtud de los principios relativos a las tasas de distribución establecidos de conformidad con la reglamentación nacional.</w:t>
            </w:r>
          </w:p>
        </w:tc>
        <w:tc>
          <w:tcPr>
            <w:tcW w:w="3087" w:type="dxa"/>
          </w:tcPr>
          <w:p w14:paraId="702F4B80" w14:textId="77777777" w:rsidR="00D560E8" w:rsidRPr="002627F2" w:rsidRDefault="00D560E8" w:rsidP="009106EF">
            <w:pPr>
              <w:pStyle w:val="Tabletext"/>
              <w:keepNext/>
              <w:keepLines/>
              <w:jc w:val="center"/>
            </w:pPr>
          </w:p>
        </w:tc>
        <w:tc>
          <w:tcPr>
            <w:tcW w:w="2209" w:type="dxa"/>
          </w:tcPr>
          <w:p w14:paraId="61705426" w14:textId="33BBBE32" w:rsidR="00D560E8" w:rsidRPr="002627F2" w:rsidRDefault="005B5523" w:rsidP="009106EF">
            <w:pPr>
              <w:pStyle w:val="Tabletext"/>
              <w:rPr>
                <w:b/>
                <w:bCs/>
              </w:rPr>
            </w:pPr>
            <w:r w:rsidRPr="002627F2">
              <w:rPr>
                <w:b/>
                <w:bCs/>
              </w:rPr>
              <w:t>El texto es aplicable</w:t>
            </w:r>
            <w:r w:rsidR="009106EF" w:rsidRPr="002627F2">
              <w:rPr>
                <w:b/>
                <w:bCs/>
              </w:rPr>
              <w:t>.</w:t>
            </w:r>
          </w:p>
        </w:tc>
        <w:tc>
          <w:tcPr>
            <w:tcW w:w="1984" w:type="dxa"/>
          </w:tcPr>
          <w:p w14:paraId="2D593050" w14:textId="447C4799" w:rsidR="00D560E8" w:rsidRPr="002627F2" w:rsidRDefault="005B5523" w:rsidP="009106EF">
            <w:pPr>
              <w:pStyle w:val="Tabletext"/>
              <w:rPr>
                <w:b/>
                <w:bCs/>
              </w:rPr>
            </w:pPr>
            <w:r w:rsidRPr="002627F2">
              <w:rPr>
                <w:b/>
                <w:bCs/>
              </w:rPr>
              <w:t>El texto es flexible</w:t>
            </w:r>
            <w:r w:rsidR="009106EF" w:rsidRPr="002627F2">
              <w:rPr>
                <w:b/>
                <w:bCs/>
              </w:rPr>
              <w:t>.</w:t>
            </w:r>
          </w:p>
        </w:tc>
        <w:tc>
          <w:tcPr>
            <w:tcW w:w="1990" w:type="dxa"/>
          </w:tcPr>
          <w:p w14:paraId="519F463A" w14:textId="6ED3A4B3" w:rsidR="00D560E8" w:rsidRPr="002627F2" w:rsidRDefault="005B5523" w:rsidP="009106EF">
            <w:pPr>
              <w:pStyle w:val="Tabletext"/>
              <w:rPr>
                <w:b/>
                <w:bCs/>
              </w:rPr>
            </w:pPr>
            <w:r w:rsidRPr="002627F2">
              <w:rPr>
                <w:b/>
                <w:bCs/>
              </w:rPr>
              <w:t>Mantener el texto sin cambios</w:t>
            </w:r>
            <w:r w:rsidR="009106EF" w:rsidRPr="002627F2">
              <w:rPr>
                <w:b/>
                <w:bCs/>
              </w:rPr>
              <w:t>.</w:t>
            </w:r>
          </w:p>
        </w:tc>
      </w:tr>
      <w:tr w:rsidR="005B5523" w:rsidRPr="002627F2" w14:paraId="609E9A87" w14:textId="77777777" w:rsidTr="001D440E">
        <w:trPr>
          <w:trHeight w:val="1975"/>
          <w:jc w:val="center"/>
        </w:trPr>
        <w:tc>
          <w:tcPr>
            <w:tcW w:w="2102" w:type="dxa"/>
            <w:vMerge/>
            <w:tcBorders>
              <w:bottom w:val="single" w:sz="4" w:space="0" w:color="auto"/>
            </w:tcBorders>
            <w:vAlign w:val="center"/>
          </w:tcPr>
          <w:p w14:paraId="0C1B0A3C" w14:textId="77777777" w:rsidR="005B5523" w:rsidRPr="002627F2" w:rsidRDefault="005B5523" w:rsidP="005B5523">
            <w:pPr>
              <w:snapToGrid w:val="0"/>
              <w:spacing w:before="360" w:after="120"/>
              <w:jc w:val="center"/>
              <w:rPr>
                <w:rFonts w:asciiTheme="majorBidi" w:hAnsiTheme="majorBidi" w:cstheme="majorBidi"/>
                <w:b/>
              </w:rPr>
            </w:pPr>
          </w:p>
        </w:tc>
        <w:tc>
          <w:tcPr>
            <w:tcW w:w="3087" w:type="dxa"/>
          </w:tcPr>
          <w:p w14:paraId="324BE2B4" w14:textId="7561E632" w:rsidR="005B5523" w:rsidRPr="002627F2" w:rsidRDefault="005B5523" w:rsidP="005B5523">
            <w:pPr>
              <w:pStyle w:val="Tabletext"/>
              <w:rPr>
                <w:bCs/>
                <w:highlight w:val="yellow"/>
              </w:rPr>
            </w:pPr>
            <w:r w:rsidRPr="002627F2">
              <w:t>8.1.2</w:t>
            </w:r>
            <w:r w:rsidRPr="002627F2">
              <w:tab/>
              <w:t>Los Estados Miembros procurarán alentar la inversión en redes de telecomunicaciones internacionales y promover precios al por mayor competitivos para el tráfico transportado sobre dichas redes de telecomunicación.</w:t>
            </w:r>
          </w:p>
        </w:tc>
        <w:tc>
          <w:tcPr>
            <w:tcW w:w="3087" w:type="dxa"/>
          </w:tcPr>
          <w:p w14:paraId="2444E36B" w14:textId="4372D980" w:rsidR="005B5523" w:rsidRPr="002627F2" w:rsidRDefault="005B5523" w:rsidP="005B5523">
            <w:pPr>
              <w:pStyle w:val="Tabletext"/>
              <w:keepNext/>
              <w:keepLines/>
              <w:jc w:val="center"/>
            </w:pPr>
            <w:r w:rsidRPr="002627F2">
              <w:t>N/A</w:t>
            </w:r>
          </w:p>
        </w:tc>
        <w:tc>
          <w:tcPr>
            <w:tcW w:w="2209" w:type="dxa"/>
          </w:tcPr>
          <w:p w14:paraId="01D5330D" w14:textId="2E79A8ED" w:rsidR="005B5523" w:rsidRPr="002627F2" w:rsidRDefault="005B5523" w:rsidP="009106EF">
            <w:pPr>
              <w:pStyle w:val="Tabletext"/>
              <w:rPr>
                <w:b/>
                <w:bCs/>
              </w:rPr>
            </w:pPr>
            <w:r w:rsidRPr="002627F2">
              <w:rPr>
                <w:b/>
                <w:bCs/>
              </w:rPr>
              <w:t>El texto es aplicable</w:t>
            </w:r>
            <w:r w:rsidR="009106EF" w:rsidRPr="002627F2">
              <w:rPr>
                <w:b/>
                <w:bCs/>
              </w:rPr>
              <w:t>.</w:t>
            </w:r>
          </w:p>
        </w:tc>
        <w:tc>
          <w:tcPr>
            <w:tcW w:w="1984" w:type="dxa"/>
          </w:tcPr>
          <w:p w14:paraId="6B142F85" w14:textId="0C5266B1" w:rsidR="005B5523" w:rsidRPr="002627F2" w:rsidRDefault="005B5523" w:rsidP="009106EF">
            <w:pPr>
              <w:pStyle w:val="Tabletext"/>
              <w:rPr>
                <w:b/>
                <w:bCs/>
              </w:rPr>
            </w:pPr>
            <w:r w:rsidRPr="002627F2">
              <w:rPr>
                <w:b/>
                <w:bCs/>
              </w:rPr>
              <w:t>El texto es flexible</w:t>
            </w:r>
            <w:r w:rsidR="009106EF" w:rsidRPr="002627F2">
              <w:rPr>
                <w:b/>
                <w:bCs/>
              </w:rPr>
              <w:t>.</w:t>
            </w:r>
          </w:p>
        </w:tc>
        <w:tc>
          <w:tcPr>
            <w:tcW w:w="1990" w:type="dxa"/>
          </w:tcPr>
          <w:p w14:paraId="006FEB32" w14:textId="503A4F92" w:rsidR="005B5523" w:rsidRPr="002627F2" w:rsidRDefault="005B5523" w:rsidP="009106EF">
            <w:pPr>
              <w:pStyle w:val="Tabletext"/>
              <w:rPr>
                <w:b/>
                <w:bCs/>
              </w:rPr>
            </w:pPr>
            <w:r w:rsidRPr="002627F2">
              <w:rPr>
                <w:b/>
                <w:bCs/>
              </w:rPr>
              <w:t>Mantener el texto sin cambios</w:t>
            </w:r>
            <w:r w:rsidR="009106EF" w:rsidRPr="002627F2">
              <w:rPr>
                <w:b/>
                <w:bCs/>
              </w:rPr>
              <w:t>.</w:t>
            </w:r>
          </w:p>
        </w:tc>
      </w:tr>
      <w:tr w:rsidR="00281527" w:rsidRPr="002627F2" w14:paraId="601D0EB4" w14:textId="77777777" w:rsidTr="001D440E">
        <w:trPr>
          <w:trHeight w:val="617"/>
          <w:jc w:val="center"/>
        </w:trPr>
        <w:tc>
          <w:tcPr>
            <w:tcW w:w="2102" w:type="dxa"/>
            <w:vMerge w:val="restart"/>
            <w:tcBorders>
              <w:top w:val="single" w:sz="4" w:space="0" w:color="auto"/>
            </w:tcBorders>
            <w:vAlign w:val="center"/>
          </w:tcPr>
          <w:p w14:paraId="242431B6" w14:textId="77777777" w:rsidR="00281527" w:rsidRPr="002627F2" w:rsidRDefault="00281527" w:rsidP="009106EF">
            <w:pPr>
              <w:keepNext/>
              <w:keepLines/>
              <w:snapToGrid w:val="0"/>
              <w:spacing w:before="360" w:after="120"/>
              <w:jc w:val="center"/>
              <w:rPr>
                <w:rFonts w:asciiTheme="majorBidi" w:hAnsiTheme="majorBidi" w:cstheme="majorBidi"/>
                <w:b/>
              </w:rPr>
            </w:pPr>
          </w:p>
        </w:tc>
        <w:tc>
          <w:tcPr>
            <w:tcW w:w="3087" w:type="dxa"/>
          </w:tcPr>
          <w:p w14:paraId="1B93E371" w14:textId="4D5E52AC" w:rsidR="00281527" w:rsidRPr="002627F2" w:rsidRDefault="00281527" w:rsidP="009106EF">
            <w:pPr>
              <w:pStyle w:val="Tabletext"/>
              <w:keepNext/>
              <w:keepLines/>
              <w:rPr>
                <w:b/>
                <w:bCs/>
                <w:i/>
                <w:iCs/>
              </w:rPr>
            </w:pPr>
            <w:r w:rsidRPr="002627F2">
              <w:rPr>
                <w:b/>
                <w:bCs/>
              </w:rPr>
              <w:t>8.2</w:t>
            </w:r>
            <w:r w:rsidRPr="002627F2">
              <w:rPr>
                <w:b/>
                <w:bCs/>
              </w:rPr>
              <w:tab/>
              <w:t>Principios relativos a las tasas de distribución</w:t>
            </w:r>
          </w:p>
        </w:tc>
        <w:tc>
          <w:tcPr>
            <w:tcW w:w="3087" w:type="dxa"/>
          </w:tcPr>
          <w:p w14:paraId="1389351A" w14:textId="77777777" w:rsidR="00281527" w:rsidRPr="002627F2" w:rsidRDefault="00281527" w:rsidP="009106EF">
            <w:pPr>
              <w:pStyle w:val="Tabletext"/>
              <w:keepNext/>
              <w:keepLines/>
              <w:jc w:val="center"/>
            </w:pPr>
          </w:p>
        </w:tc>
        <w:tc>
          <w:tcPr>
            <w:tcW w:w="2209" w:type="dxa"/>
          </w:tcPr>
          <w:p w14:paraId="11C6F220" w14:textId="77777777" w:rsidR="00281527" w:rsidRPr="002627F2" w:rsidRDefault="00281527" w:rsidP="009106EF">
            <w:pPr>
              <w:pStyle w:val="Tabletext"/>
              <w:keepNext/>
              <w:keepLines/>
              <w:rPr>
                <w:b/>
                <w:bCs/>
              </w:rPr>
            </w:pPr>
          </w:p>
        </w:tc>
        <w:tc>
          <w:tcPr>
            <w:tcW w:w="1984" w:type="dxa"/>
          </w:tcPr>
          <w:p w14:paraId="18437AA3" w14:textId="77777777" w:rsidR="00281527" w:rsidRPr="002627F2" w:rsidRDefault="00281527" w:rsidP="009106EF">
            <w:pPr>
              <w:pStyle w:val="Tabletext"/>
              <w:keepNext/>
              <w:keepLines/>
              <w:rPr>
                <w:b/>
                <w:bCs/>
              </w:rPr>
            </w:pPr>
          </w:p>
        </w:tc>
        <w:tc>
          <w:tcPr>
            <w:tcW w:w="1990" w:type="dxa"/>
          </w:tcPr>
          <w:p w14:paraId="6FC47DDA" w14:textId="77777777" w:rsidR="00281527" w:rsidRPr="002627F2" w:rsidRDefault="00281527" w:rsidP="009106EF">
            <w:pPr>
              <w:pStyle w:val="Tabletext"/>
              <w:keepNext/>
              <w:keepLines/>
              <w:rPr>
                <w:b/>
                <w:bCs/>
              </w:rPr>
            </w:pPr>
          </w:p>
        </w:tc>
      </w:tr>
      <w:tr w:rsidR="000F144F" w:rsidRPr="002627F2" w14:paraId="79135C57" w14:textId="77777777" w:rsidTr="001D440E">
        <w:trPr>
          <w:trHeight w:val="350"/>
          <w:jc w:val="center"/>
        </w:trPr>
        <w:tc>
          <w:tcPr>
            <w:tcW w:w="2102" w:type="dxa"/>
            <w:vMerge/>
            <w:tcBorders>
              <w:top w:val="single" w:sz="4" w:space="0" w:color="auto"/>
            </w:tcBorders>
            <w:vAlign w:val="center"/>
          </w:tcPr>
          <w:p w14:paraId="4DC942C3" w14:textId="77777777" w:rsidR="000F144F" w:rsidRPr="002627F2" w:rsidRDefault="000F144F" w:rsidP="009106EF">
            <w:pPr>
              <w:keepNext/>
              <w:keepLines/>
              <w:snapToGrid w:val="0"/>
              <w:spacing w:before="360" w:after="120"/>
              <w:jc w:val="center"/>
              <w:rPr>
                <w:rFonts w:asciiTheme="majorBidi" w:hAnsiTheme="majorBidi" w:cstheme="majorBidi"/>
                <w:b/>
              </w:rPr>
            </w:pPr>
          </w:p>
        </w:tc>
        <w:tc>
          <w:tcPr>
            <w:tcW w:w="3087" w:type="dxa"/>
          </w:tcPr>
          <w:p w14:paraId="3D131B97" w14:textId="327854EA" w:rsidR="000F144F" w:rsidRPr="002627F2" w:rsidRDefault="000F144F" w:rsidP="009106EF">
            <w:pPr>
              <w:pStyle w:val="Tabletext"/>
              <w:keepNext/>
              <w:keepLines/>
              <w:rPr>
                <w:b/>
                <w:bCs/>
              </w:rPr>
            </w:pPr>
            <w:r w:rsidRPr="002627F2">
              <w:rPr>
                <w:b/>
                <w:bCs/>
                <w:i/>
                <w:iCs/>
              </w:rPr>
              <w:t>Términos y condiciones</w:t>
            </w:r>
          </w:p>
        </w:tc>
        <w:tc>
          <w:tcPr>
            <w:tcW w:w="3087" w:type="dxa"/>
          </w:tcPr>
          <w:p w14:paraId="21164726" w14:textId="77777777" w:rsidR="000F144F" w:rsidRPr="002627F2" w:rsidRDefault="000F144F" w:rsidP="009106EF">
            <w:pPr>
              <w:pStyle w:val="Tabletext"/>
              <w:keepNext/>
              <w:keepLines/>
              <w:jc w:val="center"/>
            </w:pPr>
          </w:p>
        </w:tc>
        <w:tc>
          <w:tcPr>
            <w:tcW w:w="2209" w:type="dxa"/>
          </w:tcPr>
          <w:p w14:paraId="6EB447BB" w14:textId="77777777" w:rsidR="000F144F" w:rsidRPr="002627F2" w:rsidRDefault="000F144F" w:rsidP="009106EF">
            <w:pPr>
              <w:pStyle w:val="Tabletext"/>
              <w:keepNext/>
              <w:keepLines/>
              <w:rPr>
                <w:b/>
                <w:bCs/>
              </w:rPr>
            </w:pPr>
          </w:p>
        </w:tc>
        <w:tc>
          <w:tcPr>
            <w:tcW w:w="1984" w:type="dxa"/>
          </w:tcPr>
          <w:p w14:paraId="1530C35A" w14:textId="77777777" w:rsidR="000F144F" w:rsidRPr="002627F2" w:rsidRDefault="000F144F" w:rsidP="009106EF">
            <w:pPr>
              <w:pStyle w:val="Tabletext"/>
              <w:keepNext/>
              <w:keepLines/>
              <w:rPr>
                <w:b/>
                <w:bCs/>
              </w:rPr>
            </w:pPr>
          </w:p>
        </w:tc>
        <w:tc>
          <w:tcPr>
            <w:tcW w:w="1990" w:type="dxa"/>
          </w:tcPr>
          <w:p w14:paraId="0AC31543" w14:textId="77777777" w:rsidR="000F144F" w:rsidRPr="002627F2" w:rsidRDefault="000F144F" w:rsidP="009106EF">
            <w:pPr>
              <w:pStyle w:val="Tabletext"/>
              <w:keepNext/>
              <w:keepLines/>
              <w:rPr>
                <w:b/>
                <w:bCs/>
              </w:rPr>
            </w:pPr>
          </w:p>
        </w:tc>
      </w:tr>
      <w:tr w:rsidR="00281527" w:rsidRPr="002627F2" w14:paraId="44AAA028" w14:textId="77777777" w:rsidTr="001D440E">
        <w:trPr>
          <w:trHeight w:val="4256"/>
          <w:jc w:val="center"/>
        </w:trPr>
        <w:tc>
          <w:tcPr>
            <w:tcW w:w="2102" w:type="dxa"/>
            <w:vMerge/>
            <w:vAlign w:val="center"/>
          </w:tcPr>
          <w:p w14:paraId="7655FB93" w14:textId="77777777" w:rsidR="00281527" w:rsidRPr="002627F2" w:rsidRDefault="00281527" w:rsidP="009106EF">
            <w:pPr>
              <w:keepNext/>
              <w:keepLines/>
              <w:snapToGrid w:val="0"/>
              <w:spacing w:before="360" w:after="120"/>
              <w:jc w:val="center"/>
              <w:rPr>
                <w:rFonts w:asciiTheme="majorBidi" w:hAnsiTheme="majorBidi" w:cstheme="majorBidi"/>
                <w:b/>
              </w:rPr>
            </w:pPr>
          </w:p>
        </w:tc>
        <w:tc>
          <w:tcPr>
            <w:tcW w:w="3087" w:type="dxa"/>
          </w:tcPr>
          <w:p w14:paraId="5BA121D9" w14:textId="58109244" w:rsidR="00281527" w:rsidRPr="002627F2" w:rsidRDefault="00281527" w:rsidP="009106EF">
            <w:pPr>
              <w:pStyle w:val="Tabletext"/>
              <w:keepNext/>
              <w:keepLines/>
            </w:pPr>
            <w:r w:rsidRPr="002627F2">
              <w:t>8.2.1</w:t>
            </w:r>
            <w:r w:rsidRPr="002627F2">
              <w:tab/>
              <w:t>Las disposiciones siguientes podrán ser de aplicación cuando los términos y condiciones de los acuerdos relativos a los servicios internacionales de telecomunicación se establezcan en virtud de los principios de las tasas de distribución, de conformidad con la reglamentación nacional. Dichas disposiciones no son de aplicación a los acuerdos establecidos mediante acuerdos comerciales.</w:t>
            </w:r>
          </w:p>
        </w:tc>
        <w:tc>
          <w:tcPr>
            <w:tcW w:w="3087" w:type="dxa"/>
          </w:tcPr>
          <w:p w14:paraId="4F9C6DF4" w14:textId="4C081C8D" w:rsidR="00281527" w:rsidRPr="002627F2" w:rsidRDefault="00281527" w:rsidP="009106EF">
            <w:pPr>
              <w:pStyle w:val="Tabletext"/>
              <w:keepNext/>
              <w:keepLines/>
              <w:jc w:val="center"/>
            </w:pPr>
            <w:r w:rsidRPr="002627F2">
              <w:t>N/A</w:t>
            </w:r>
          </w:p>
        </w:tc>
        <w:tc>
          <w:tcPr>
            <w:tcW w:w="2209" w:type="dxa"/>
          </w:tcPr>
          <w:p w14:paraId="3F33079A" w14:textId="6F33FAA5" w:rsidR="00281527" w:rsidRPr="002627F2" w:rsidRDefault="00281527" w:rsidP="009106EF">
            <w:pPr>
              <w:pStyle w:val="Tabletext"/>
              <w:rPr>
                <w:b/>
                <w:bCs/>
              </w:rPr>
            </w:pPr>
            <w:r w:rsidRPr="002627F2">
              <w:rPr>
                <w:b/>
                <w:bCs/>
              </w:rPr>
              <w:t>El texto es aplicable.</w:t>
            </w:r>
          </w:p>
        </w:tc>
        <w:tc>
          <w:tcPr>
            <w:tcW w:w="1984" w:type="dxa"/>
          </w:tcPr>
          <w:p w14:paraId="23B7703F" w14:textId="38237B49" w:rsidR="00281527" w:rsidRPr="002627F2" w:rsidRDefault="00281527" w:rsidP="009106EF">
            <w:pPr>
              <w:pStyle w:val="Tabletext"/>
              <w:rPr>
                <w:b/>
                <w:bCs/>
              </w:rPr>
            </w:pPr>
            <w:r w:rsidRPr="002627F2">
              <w:rPr>
                <w:b/>
                <w:bCs/>
              </w:rPr>
              <w:t>El texto es flexible.</w:t>
            </w:r>
          </w:p>
        </w:tc>
        <w:tc>
          <w:tcPr>
            <w:tcW w:w="1990" w:type="dxa"/>
          </w:tcPr>
          <w:p w14:paraId="4F59D76F" w14:textId="443D765D" w:rsidR="00281527" w:rsidRPr="002627F2" w:rsidRDefault="00281527" w:rsidP="009106EF">
            <w:pPr>
              <w:pStyle w:val="Tabletext"/>
              <w:rPr>
                <w:b/>
                <w:bCs/>
              </w:rPr>
            </w:pPr>
            <w:r w:rsidRPr="002627F2">
              <w:rPr>
                <w:b/>
                <w:bCs/>
              </w:rPr>
              <w:t>Mantener el texto sin cambios.</w:t>
            </w:r>
          </w:p>
        </w:tc>
      </w:tr>
      <w:tr w:rsidR="00281527" w:rsidRPr="002627F2" w14:paraId="17965C9E" w14:textId="77777777" w:rsidTr="001D440E">
        <w:trPr>
          <w:jc w:val="center"/>
        </w:trPr>
        <w:tc>
          <w:tcPr>
            <w:tcW w:w="2102" w:type="dxa"/>
            <w:vMerge/>
            <w:vAlign w:val="center"/>
          </w:tcPr>
          <w:p w14:paraId="149E950B" w14:textId="77777777" w:rsidR="00281527" w:rsidRPr="002627F2" w:rsidRDefault="00281527" w:rsidP="00130A31">
            <w:pPr>
              <w:snapToGrid w:val="0"/>
              <w:spacing w:before="360" w:after="120"/>
              <w:jc w:val="center"/>
              <w:rPr>
                <w:rFonts w:asciiTheme="majorBidi" w:hAnsiTheme="majorBidi" w:cstheme="majorBidi"/>
                <w:b/>
              </w:rPr>
            </w:pPr>
          </w:p>
        </w:tc>
        <w:tc>
          <w:tcPr>
            <w:tcW w:w="3087" w:type="dxa"/>
          </w:tcPr>
          <w:p w14:paraId="22C8826B" w14:textId="5200D8D6" w:rsidR="00281527" w:rsidRPr="002627F2" w:rsidRDefault="00281527" w:rsidP="00CD3C84">
            <w:pPr>
              <w:pStyle w:val="Tabletext"/>
              <w:keepNext/>
              <w:keepLines/>
            </w:pPr>
            <w:r w:rsidRPr="002627F2">
              <w:t>8.2.2</w:t>
            </w:r>
            <w:r w:rsidRPr="002627F2">
              <w:tab/>
              <w:t>Para cada servicio correspondiente en una relación dada, las empresas de explotación autorizadas establecerán y revisarán por acuerdo mutuo las tasas de distribución aplicables entre ellas de conformidad con las disposiciones del Apéndice 1, habida cuenta de las Recomendaciones UIT-T pertinentes.</w:t>
            </w:r>
          </w:p>
        </w:tc>
        <w:tc>
          <w:tcPr>
            <w:tcW w:w="3087" w:type="dxa"/>
          </w:tcPr>
          <w:p w14:paraId="0E16E34B" w14:textId="04A0D76F" w:rsidR="00281527" w:rsidRPr="002627F2" w:rsidRDefault="00281527" w:rsidP="00CD3C84">
            <w:pPr>
              <w:pStyle w:val="Tabletext"/>
              <w:keepNext/>
              <w:keepLines/>
            </w:pPr>
            <w:r w:rsidRPr="002627F2">
              <w:t>6.1.1</w:t>
            </w:r>
            <w:r w:rsidRPr="002627F2">
              <w:tab/>
              <w:t>Cada administración* establecerá, de conformidad con la legislación nacional aplicable, las tasas que ha de percibir de sus clientes. La fijación del nivel de estas tasas es un asunto de índole nacional; sin embargo, al establecerlas, las administraciones* procurarán que no haya una disimetría demasiado grande entre las tasas de percepción aplicables en los dos sentidos de una misma relación.</w:t>
            </w:r>
          </w:p>
        </w:tc>
        <w:tc>
          <w:tcPr>
            <w:tcW w:w="2209" w:type="dxa"/>
          </w:tcPr>
          <w:p w14:paraId="1F1A5D76" w14:textId="7965E667" w:rsidR="00281527" w:rsidRPr="002627F2" w:rsidRDefault="00281527" w:rsidP="00CD3C84">
            <w:pPr>
              <w:pStyle w:val="Tabletext"/>
              <w:keepNext/>
              <w:keepLines/>
              <w:rPr>
                <w:b/>
                <w:bCs/>
              </w:rPr>
            </w:pPr>
            <w:bookmarkStart w:id="16" w:name="lt_pId098"/>
            <w:r w:rsidRPr="002627F2">
              <w:rPr>
                <w:b/>
                <w:bCs/>
              </w:rPr>
              <w:t xml:space="preserve">Aplicable dado que algunos países aún utilizan el sistema de tasas </w:t>
            </w:r>
            <w:bookmarkEnd w:id="16"/>
            <w:r w:rsidRPr="002627F2">
              <w:rPr>
                <w:b/>
                <w:bCs/>
              </w:rPr>
              <w:t>de distribución.</w:t>
            </w:r>
          </w:p>
        </w:tc>
        <w:tc>
          <w:tcPr>
            <w:tcW w:w="1984" w:type="dxa"/>
          </w:tcPr>
          <w:p w14:paraId="51803319" w14:textId="6680A8A1" w:rsidR="00281527" w:rsidRPr="002627F2" w:rsidRDefault="00281527" w:rsidP="00CD3C84">
            <w:pPr>
              <w:pStyle w:val="Tabletext"/>
              <w:keepNext/>
              <w:keepLines/>
              <w:rPr>
                <w:b/>
                <w:bCs/>
              </w:rPr>
            </w:pPr>
            <w:r w:rsidRPr="002627F2">
              <w:rPr>
                <w:b/>
                <w:bCs/>
              </w:rPr>
              <w:t>El texto es flexible.</w:t>
            </w:r>
          </w:p>
        </w:tc>
        <w:tc>
          <w:tcPr>
            <w:tcW w:w="1990" w:type="dxa"/>
          </w:tcPr>
          <w:p w14:paraId="3E352341" w14:textId="70D222B2" w:rsidR="00281527" w:rsidRPr="002627F2" w:rsidRDefault="00281527" w:rsidP="00CD3C84">
            <w:pPr>
              <w:pStyle w:val="Tabletext"/>
              <w:keepNext/>
              <w:keepLines/>
              <w:rPr>
                <w:b/>
                <w:bCs/>
              </w:rPr>
            </w:pPr>
            <w:bookmarkStart w:id="17" w:name="lt_pId100"/>
            <w:r w:rsidRPr="002627F2">
              <w:rPr>
                <w:b/>
                <w:bCs/>
              </w:rPr>
              <w:t xml:space="preserve">Aunque el uso del sistema de tasas de distribución entre los Estados Miembros es limitado, sigue utilizándose en algunos países y, por tanto, es importante mantener una referencia al sistema de tasas de distribución en el RTI, ya que se trata del único documento legal que clarifica la liquidación de cuentas aplicando dicho sistema. No obstante, sugerimos </w:t>
            </w:r>
            <w:bookmarkStart w:id="18" w:name="lt_pId101"/>
            <w:bookmarkEnd w:id="17"/>
            <w:r w:rsidRPr="002627F2">
              <w:rPr>
                <w:b/>
                <w:bCs/>
              </w:rPr>
              <w:t>que dé su opinión el Asesor Jurídico.</w:t>
            </w:r>
            <w:bookmarkEnd w:id="18"/>
          </w:p>
        </w:tc>
      </w:tr>
      <w:tr w:rsidR="00281527" w:rsidRPr="002627F2" w14:paraId="6A82F9A0" w14:textId="77777777" w:rsidTr="001D440E">
        <w:trPr>
          <w:jc w:val="center"/>
        </w:trPr>
        <w:tc>
          <w:tcPr>
            <w:tcW w:w="2102" w:type="dxa"/>
            <w:vMerge/>
            <w:vAlign w:val="center"/>
          </w:tcPr>
          <w:p w14:paraId="7E6BD15E" w14:textId="77777777" w:rsidR="00281527" w:rsidRPr="002627F2" w:rsidRDefault="00281527" w:rsidP="00130A31">
            <w:pPr>
              <w:snapToGrid w:val="0"/>
              <w:spacing w:before="360" w:after="120"/>
              <w:jc w:val="center"/>
              <w:rPr>
                <w:rFonts w:asciiTheme="majorBidi" w:hAnsiTheme="majorBidi" w:cstheme="majorBidi"/>
                <w:b/>
              </w:rPr>
            </w:pPr>
          </w:p>
        </w:tc>
        <w:tc>
          <w:tcPr>
            <w:tcW w:w="3087" w:type="dxa"/>
          </w:tcPr>
          <w:p w14:paraId="425A9A57" w14:textId="7951E0D2" w:rsidR="00281527" w:rsidRPr="002627F2" w:rsidRDefault="00281527" w:rsidP="00CD3C84">
            <w:pPr>
              <w:pStyle w:val="Tabletext"/>
              <w:keepNext/>
              <w:keepLines/>
            </w:pPr>
            <w:r w:rsidRPr="002627F2">
              <w:t>8.2.3</w:t>
            </w:r>
            <w:r w:rsidRPr="002627F2">
              <w:tab/>
              <w:t>A menos que se acuerde otra cosa, las partes que participen en la prestación de servicios internacionales de telecomunicación lo harán de conformidad con las disposiciones pertinentes según se establece en los Apéndices 1 y 2.</w:t>
            </w:r>
          </w:p>
        </w:tc>
        <w:tc>
          <w:tcPr>
            <w:tcW w:w="3087" w:type="dxa"/>
          </w:tcPr>
          <w:p w14:paraId="2C03FF7F" w14:textId="34CF0716" w:rsidR="00281527" w:rsidRPr="002627F2" w:rsidRDefault="00281527" w:rsidP="00CD3C84">
            <w:pPr>
              <w:pStyle w:val="Tabletext"/>
              <w:keepNext/>
              <w:keepLines/>
            </w:pPr>
            <w:r w:rsidRPr="002627F2">
              <w:t>6.4.1</w:t>
            </w:r>
            <w:r w:rsidRPr="002627F2">
              <w:tab/>
              <w:t>A menos que se acuerde otra cosa, las administraciones deberán aplicar las disposiciones pertinentes que figuran en los Apéndices 1 y 2.</w:t>
            </w:r>
          </w:p>
        </w:tc>
        <w:tc>
          <w:tcPr>
            <w:tcW w:w="2209" w:type="dxa"/>
          </w:tcPr>
          <w:p w14:paraId="306D6F2C" w14:textId="49BB3F4C" w:rsidR="00281527" w:rsidRPr="002627F2" w:rsidRDefault="00281527" w:rsidP="00CD3C84">
            <w:pPr>
              <w:pStyle w:val="Tabletext"/>
              <w:keepNext/>
              <w:keepLines/>
              <w:rPr>
                <w:b/>
                <w:bCs/>
              </w:rPr>
            </w:pPr>
            <w:r w:rsidRPr="002627F2">
              <w:rPr>
                <w:b/>
                <w:bCs/>
              </w:rPr>
              <w:t>El texto es aplicable.</w:t>
            </w:r>
          </w:p>
        </w:tc>
        <w:tc>
          <w:tcPr>
            <w:tcW w:w="1984" w:type="dxa"/>
          </w:tcPr>
          <w:p w14:paraId="714EC220" w14:textId="5E16678B" w:rsidR="00281527" w:rsidRPr="002627F2" w:rsidRDefault="00281527" w:rsidP="00CD3C84">
            <w:pPr>
              <w:pStyle w:val="Tabletext"/>
              <w:keepNext/>
              <w:keepLines/>
              <w:rPr>
                <w:b/>
                <w:bCs/>
              </w:rPr>
            </w:pPr>
            <w:bookmarkStart w:id="19" w:name="lt_pId108"/>
            <w:r w:rsidRPr="002627F2">
              <w:rPr>
                <w:b/>
                <w:bCs/>
              </w:rPr>
              <w:t>Flexible (afirma "A menos que se acuerde otra cosa")</w:t>
            </w:r>
            <w:bookmarkEnd w:id="19"/>
            <w:r w:rsidRPr="002627F2">
              <w:rPr>
                <w:b/>
                <w:bCs/>
              </w:rPr>
              <w:t>.</w:t>
            </w:r>
          </w:p>
        </w:tc>
        <w:tc>
          <w:tcPr>
            <w:tcW w:w="1990" w:type="dxa"/>
          </w:tcPr>
          <w:p w14:paraId="757A28FA" w14:textId="1C8F2793" w:rsidR="00281527" w:rsidRPr="002627F2" w:rsidRDefault="00281527" w:rsidP="00CD3C84">
            <w:pPr>
              <w:pStyle w:val="Tabletext"/>
              <w:keepNext/>
              <w:keepLines/>
              <w:rPr>
                <w:b/>
                <w:bCs/>
              </w:rPr>
            </w:pPr>
            <w:r w:rsidRPr="002627F2">
              <w:rPr>
                <w:b/>
                <w:bCs/>
              </w:rPr>
              <w:t>Mantener el texto sin cambios.</w:t>
            </w:r>
          </w:p>
        </w:tc>
      </w:tr>
      <w:tr w:rsidR="00281527" w:rsidRPr="002627F2" w14:paraId="49531FB6" w14:textId="77777777" w:rsidTr="001D440E">
        <w:trPr>
          <w:jc w:val="center"/>
        </w:trPr>
        <w:tc>
          <w:tcPr>
            <w:tcW w:w="2102" w:type="dxa"/>
            <w:vMerge/>
            <w:vAlign w:val="center"/>
          </w:tcPr>
          <w:p w14:paraId="3DAF643D" w14:textId="77777777" w:rsidR="00281527" w:rsidRPr="002627F2" w:rsidRDefault="00281527" w:rsidP="00130A31">
            <w:pPr>
              <w:snapToGrid w:val="0"/>
              <w:spacing w:before="360" w:after="120"/>
              <w:jc w:val="center"/>
              <w:rPr>
                <w:rFonts w:asciiTheme="majorBidi" w:hAnsiTheme="majorBidi" w:cstheme="majorBidi"/>
                <w:b/>
              </w:rPr>
            </w:pPr>
          </w:p>
        </w:tc>
        <w:tc>
          <w:tcPr>
            <w:tcW w:w="3087" w:type="dxa"/>
          </w:tcPr>
          <w:p w14:paraId="27EDDDD2" w14:textId="77777777" w:rsidR="00281527" w:rsidRPr="002627F2" w:rsidRDefault="00281527" w:rsidP="00130A31">
            <w:pPr>
              <w:pStyle w:val="Tabletext"/>
            </w:pPr>
            <w:r w:rsidRPr="002627F2">
              <w:t>8.2.4</w:t>
            </w:r>
            <w:r w:rsidRPr="002627F2">
              <w:tab/>
              <w:t>En defecto de acuerdos particulares entre empresas de explotación autorizadas, la unidad monetaria empleada para fijar las tasas de distribución aplicables a los servicios internacionales de telecomunicación y para el establecimiento de las cuentas internacionales será:</w:t>
            </w:r>
          </w:p>
          <w:p w14:paraId="6B6391C2" w14:textId="77777777" w:rsidR="00281527" w:rsidRPr="002627F2" w:rsidRDefault="00281527" w:rsidP="00130A31">
            <w:pPr>
              <w:pStyle w:val="Tabletext"/>
              <w:tabs>
                <w:tab w:val="left" w:pos="426"/>
              </w:tabs>
              <w:ind w:left="426" w:hanging="426"/>
            </w:pPr>
            <w:r w:rsidRPr="002627F2">
              <w:t>–</w:t>
            </w:r>
            <w:r w:rsidRPr="002627F2">
              <w:tab/>
              <w:t>la unidad monetaria del Fondo Monetario Internacional (FMI), actualmente el Derecho Especial de Giro (DEG), definida por esta organización;</w:t>
            </w:r>
          </w:p>
          <w:p w14:paraId="31DC7BAA" w14:textId="1E6D7C68" w:rsidR="00281527" w:rsidRPr="002627F2" w:rsidRDefault="00281527" w:rsidP="00CD3C84">
            <w:pPr>
              <w:pStyle w:val="Tabletext"/>
              <w:keepNext/>
              <w:keepLines/>
              <w:tabs>
                <w:tab w:val="left" w:pos="426"/>
              </w:tabs>
              <w:ind w:left="425" w:hanging="425"/>
            </w:pPr>
            <w:r w:rsidRPr="002627F2">
              <w:lastRenderedPageBreak/>
              <w:t>–</w:t>
            </w:r>
            <w:r w:rsidRPr="002627F2">
              <w:tab/>
              <w:t>o divisas libremente convertibles u otras unidades monetarias acordadas entre las empresas de explotación autorizadas.</w:t>
            </w:r>
          </w:p>
        </w:tc>
        <w:tc>
          <w:tcPr>
            <w:tcW w:w="3087" w:type="dxa"/>
          </w:tcPr>
          <w:p w14:paraId="65A400A1" w14:textId="7937B644" w:rsidR="00281527" w:rsidRPr="002627F2" w:rsidRDefault="00281527" w:rsidP="00311028">
            <w:pPr>
              <w:pStyle w:val="Tabletext"/>
            </w:pPr>
            <w:r w:rsidRPr="002627F2">
              <w:lastRenderedPageBreak/>
              <w:t>6.3.1</w:t>
            </w:r>
            <w:r w:rsidRPr="002627F2">
              <w:tab/>
              <w:t>En defecto de arreglos particulares entre las administraciones*, la unidad monetaria empleada para fijar las tasas de distribución aplicables a los servicios internacionales de telecomunicación y para el establecimiento de las cuentas internacionales será:</w:t>
            </w:r>
          </w:p>
          <w:p w14:paraId="5FB8FB60" w14:textId="77777777" w:rsidR="00281527" w:rsidRPr="002627F2" w:rsidRDefault="00281527" w:rsidP="00311028">
            <w:pPr>
              <w:pStyle w:val="Tabletext"/>
              <w:tabs>
                <w:tab w:val="left" w:pos="462"/>
              </w:tabs>
              <w:ind w:left="462" w:hanging="462"/>
            </w:pPr>
            <w:r w:rsidRPr="002627F2">
              <w:t>–</w:t>
            </w:r>
            <w:r w:rsidRPr="002627F2">
              <w:tab/>
              <w:t>la unidad monetaria del Fondo Monetario Internacional (FMI), actualmente el Derecho Especial de Giro (DEG), definida por esta organización;</w:t>
            </w:r>
          </w:p>
          <w:p w14:paraId="09D0AE0C" w14:textId="56907860" w:rsidR="00281527" w:rsidRPr="002627F2" w:rsidRDefault="00281527" w:rsidP="00311028">
            <w:pPr>
              <w:pStyle w:val="Tabletext"/>
              <w:tabs>
                <w:tab w:val="left" w:pos="462"/>
              </w:tabs>
              <w:ind w:left="462" w:hanging="462"/>
            </w:pPr>
            <w:r w:rsidRPr="002627F2">
              <w:lastRenderedPageBreak/>
              <w:t>–</w:t>
            </w:r>
            <w:r w:rsidRPr="002627F2">
              <w:tab/>
              <w:t>o el franco oro, que equivale a 1/3,061 DEG.</w:t>
            </w:r>
          </w:p>
        </w:tc>
        <w:tc>
          <w:tcPr>
            <w:tcW w:w="2209" w:type="dxa"/>
          </w:tcPr>
          <w:p w14:paraId="25B1C439" w14:textId="6F42D118" w:rsidR="00281527" w:rsidRPr="002627F2" w:rsidRDefault="00281527" w:rsidP="00CD3C84">
            <w:pPr>
              <w:pStyle w:val="Tabletext"/>
              <w:keepNext/>
              <w:keepLines/>
              <w:rPr>
                <w:b/>
                <w:bCs/>
              </w:rPr>
            </w:pPr>
            <w:bookmarkStart w:id="20" w:name="lt_pId123"/>
            <w:r w:rsidRPr="002627F2">
              <w:rPr>
                <w:b/>
                <w:bCs/>
              </w:rPr>
              <w:lastRenderedPageBreak/>
              <w:t>Aplicable, el franco oro se ha suprimido y es obsoleto</w:t>
            </w:r>
            <w:bookmarkEnd w:id="20"/>
            <w:r w:rsidRPr="002627F2">
              <w:rPr>
                <w:b/>
                <w:bCs/>
              </w:rPr>
              <w:t>.</w:t>
            </w:r>
          </w:p>
        </w:tc>
        <w:tc>
          <w:tcPr>
            <w:tcW w:w="1984" w:type="dxa"/>
          </w:tcPr>
          <w:p w14:paraId="2FC18B96" w14:textId="715C85FF" w:rsidR="00281527" w:rsidRPr="002627F2" w:rsidRDefault="00281527" w:rsidP="00CD3C84">
            <w:pPr>
              <w:pStyle w:val="Tabletext"/>
              <w:keepNext/>
              <w:keepLines/>
              <w:rPr>
                <w:b/>
                <w:bCs/>
              </w:rPr>
            </w:pPr>
            <w:bookmarkStart w:id="21" w:name="lt_pId124"/>
            <w:r w:rsidRPr="002627F2">
              <w:rPr>
                <w:b/>
                <w:bCs/>
              </w:rPr>
              <w:t xml:space="preserve">No </w:t>
            </w:r>
            <w:bookmarkEnd w:id="21"/>
            <w:r w:rsidRPr="002627F2">
              <w:rPr>
                <w:b/>
                <w:bCs/>
              </w:rPr>
              <w:t>se requiere flexibilidad.</w:t>
            </w:r>
          </w:p>
        </w:tc>
        <w:tc>
          <w:tcPr>
            <w:tcW w:w="1990" w:type="dxa"/>
          </w:tcPr>
          <w:p w14:paraId="2F14BAE8" w14:textId="77777777" w:rsidR="00281527" w:rsidRPr="002627F2" w:rsidRDefault="00281527" w:rsidP="00CD3C84">
            <w:pPr>
              <w:pStyle w:val="Tabletext"/>
              <w:keepNext/>
              <w:keepLines/>
              <w:rPr>
                <w:b/>
                <w:bCs/>
              </w:rPr>
            </w:pPr>
          </w:p>
        </w:tc>
      </w:tr>
      <w:tr w:rsidR="00281527" w:rsidRPr="002627F2" w14:paraId="174B6091" w14:textId="77777777" w:rsidTr="001D440E">
        <w:trPr>
          <w:trHeight w:val="337"/>
          <w:jc w:val="center"/>
        </w:trPr>
        <w:tc>
          <w:tcPr>
            <w:tcW w:w="2102" w:type="dxa"/>
            <w:vMerge/>
            <w:vAlign w:val="center"/>
          </w:tcPr>
          <w:p w14:paraId="14F46342" w14:textId="77777777" w:rsidR="00281527" w:rsidRPr="002627F2" w:rsidRDefault="00281527" w:rsidP="005B5523">
            <w:pPr>
              <w:snapToGrid w:val="0"/>
              <w:spacing w:before="360" w:after="120"/>
              <w:jc w:val="center"/>
              <w:rPr>
                <w:rFonts w:asciiTheme="majorBidi" w:hAnsiTheme="majorBidi" w:cstheme="majorBidi"/>
                <w:b/>
              </w:rPr>
            </w:pPr>
          </w:p>
        </w:tc>
        <w:tc>
          <w:tcPr>
            <w:tcW w:w="3087" w:type="dxa"/>
          </w:tcPr>
          <w:p w14:paraId="0DA9C7CE" w14:textId="55118A28" w:rsidR="00281527" w:rsidRPr="002627F2" w:rsidRDefault="00281527" w:rsidP="00DC6C2E">
            <w:pPr>
              <w:pStyle w:val="Tabletext"/>
              <w:keepNext/>
              <w:keepLines/>
            </w:pPr>
            <w:r w:rsidRPr="002627F2">
              <w:rPr>
                <w:b/>
                <w:bCs/>
                <w:i/>
                <w:iCs/>
              </w:rPr>
              <w:t>Tasas de percepción</w:t>
            </w:r>
          </w:p>
        </w:tc>
        <w:tc>
          <w:tcPr>
            <w:tcW w:w="3087" w:type="dxa"/>
          </w:tcPr>
          <w:p w14:paraId="43ACF356" w14:textId="16E2AFDB" w:rsidR="00281527" w:rsidRPr="002627F2" w:rsidRDefault="00281527" w:rsidP="00DC6C2E">
            <w:pPr>
              <w:pStyle w:val="Tabletext"/>
              <w:jc w:val="center"/>
            </w:pPr>
          </w:p>
        </w:tc>
        <w:tc>
          <w:tcPr>
            <w:tcW w:w="2209" w:type="dxa"/>
            <w:vAlign w:val="center"/>
          </w:tcPr>
          <w:p w14:paraId="5D001311" w14:textId="6B7B2A84" w:rsidR="00281527" w:rsidRPr="002627F2" w:rsidRDefault="00281527" w:rsidP="00DC6C2E">
            <w:pPr>
              <w:pStyle w:val="Tabletext"/>
              <w:keepNext/>
              <w:keepLines/>
              <w:rPr>
                <w:b/>
                <w:bCs/>
              </w:rPr>
            </w:pPr>
          </w:p>
        </w:tc>
        <w:tc>
          <w:tcPr>
            <w:tcW w:w="1984" w:type="dxa"/>
            <w:vAlign w:val="center"/>
          </w:tcPr>
          <w:p w14:paraId="66E8516F" w14:textId="0515A3F2" w:rsidR="00281527" w:rsidRPr="002627F2" w:rsidRDefault="00281527" w:rsidP="00DC6C2E">
            <w:pPr>
              <w:pStyle w:val="Tabletext"/>
              <w:keepNext/>
              <w:keepLines/>
              <w:rPr>
                <w:b/>
                <w:bCs/>
              </w:rPr>
            </w:pPr>
          </w:p>
        </w:tc>
        <w:tc>
          <w:tcPr>
            <w:tcW w:w="1990" w:type="dxa"/>
            <w:vAlign w:val="center"/>
          </w:tcPr>
          <w:p w14:paraId="7988FC7E" w14:textId="4346A8CF" w:rsidR="00281527" w:rsidRPr="002627F2" w:rsidRDefault="00281527" w:rsidP="00DC6C2E">
            <w:pPr>
              <w:pStyle w:val="Tabletext"/>
              <w:keepNext/>
              <w:keepLines/>
              <w:rPr>
                <w:b/>
                <w:bCs/>
              </w:rPr>
            </w:pPr>
          </w:p>
        </w:tc>
      </w:tr>
      <w:tr w:rsidR="00281527" w:rsidRPr="002627F2" w14:paraId="71BE6826" w14:textId="77777777" w:rsidTr="001D440E">
        <w:trPr>
          <w:trHeight w:val="368"/>
          <w:jc w:val="center"/>
        </w:trPr>
        <w:tc>
          <w:tcPr>
            <w:tcW w:w="2102" w:type="dxa"/>
            <w:vMerge/>
            <w:vAlign w:val="center"/>
          </w:tcPr>
          <w:p w14:paraId="29DF4120" w14:textId="77777777" w:rsidR="00281527" w:rsidRPr="002627F2" w:rsidRDefault="00281527" w:rsidP="005B5523">
            <w:pPr>
              <w:snapToGrid w:val="0"/>
              <w:spacing w:before="360" w:after="120"/>
              <w:jc w:val="center"/>
              <w:rPr>
                <w:rFonts w:asciiTheme="majorBidi" w:hAnsiTheme="majorBidi" w:cstheme="majorBidi"/>
                <w:b/>
              </w:rPr>
            </w:pPr>
          </w:p>
        </w:tc>
        <w:tc>
          <w:tcPr>
            <w:tcW w:w="3087" w:type="dxa"/>
          </w:tcPr>
          <w:p w14:paraId="74D221A4" w14:textId="57D30271" w:rsidR="00281527" w:rsidRPr="002627F2" w:rsidRDefault="00281527" w:rsidP="005B5523">
            <w:pPr>
              <w:pStyle w:val="Tabletext"/>
            </w:pPr>
            <w:r w:rsidRPr="002627F2">
              <w:t>8.2.5</w:t>
            </w:r>
            <w:r w:rsidRPr="002627F2">
              <w:tab/>
              <w:t>En principio, las tasas que se imponen a los clientes por una misma prestación deberán ser idénticas en una relación determinada, cualquiera que sea la ruta internacional utilizada para esa comunicación. Los Estados Miembros deben evitar que en el establecimiento de dichas tasas exista una asimetría entre las tasas aplicables en cada sentido de una misma relación.</w:t>
            </w:r>
          </w:p>
        </w:tc>
        <w:tc>
          <w:tcPr>
            <w:tcW w:w="3087" w:type="dxa"/>
          </w:tcPr>
          <w:p w14:paraId="767C2940" w14:textId="77777777" w:rsidR="00281527" w:rsidRPr="002627F2" w:rsidRDefault="00281527" w:rsidP="005B5523">
            <w:pPr>
              <w:pStyle w:val="Tabletext"/>
            </w:pPr>
            <w:r w:rsidRPr="002627F2">
              <w:t>6.1.1</w:t>
            </w:r>
            <w:r w:rsidRPr="002627F2">
              <w:tab/>
              <w:t>Cada administración establecerá, de conformidad con la legislación nacional aplicable, las tasas que ha de percibir de sus clientes. La fijación del nivel de estas tasas es un asunto de índole nacional; sin embargo, al establecerlas, las administraciones procurarán que no haya una disimetría demasiado grande entre las tasas de percepción aplicables en los dos sentidos de una misma relación.</w:t>
            </w:r>
          </w:p>
          <w:p w14:paraId="3C61998C" w14:textId="144785BF" w:rsidR="00281527" w:rsidRPr="002627F2" w:rsidRDefault="00281527" w:rsidP="00DC6C2E">
            <w:pPr>
              <w:pStyle w:val="Tabletext"/>
              <w:keepNext/>
              <w:keepLines/>
            </w:pPr>
            <w:r w:rsidRPr="002627F2">
              <w:lastRenderedPageBreak/>
              <w:t>6.1.2</w:t>
            </w:r>
            <w:r w:rsidRPr="002627F2">
              <w:tab/>
              <w:t>En principio, la tasa que una administración ha de percibir de los clientes por una misma prestación deberá ser idéntica en una relación determinada, cualquiera que sea la ruta elegida por esta administración.</w:t>
            </w:r>
          </w:p>
        </w:tc>
        <w:tc>
          <w:tcPr>
            <w:tcW w:w="2209" w:type="dxa"/>
          </w:tcPr>
          <w:p w14:paraId="074C6B33" w14:textId="7315DE24" w:rsidR="00281527" w:rsidRPr="002627F2" w:rsidRDefault="00281527" w:rsidP="00DC6C2E">
            <w:pPr>
              <w:pStyle w:val="Tabletext"/>
              <w:keepNext/>
              <w:keepLines/>
              <w:rPr>
                <w:b/>
                <w:bCs/>
              </w:rPr>
            </w:pPr>
            <w:bookmarkStart w:id="22" w:name="lt_pId137"/>
            <w:r w:rsidRPr="002627F2">
              <w:rPr>
                <w:b/>
                <w:bCs/>
              </w:rPr>
              <w:lastRenderedPageBreak/>
              <w:t xml:space="preserve">Aplicable – </w:t>
            </w:r>
            <w:bookmarkEnd w:id="22"/>
            <w:r w:rsidRPr="002627F2">
              <w:rPr>
                <w:b/>
                <w:bCs/>
              </w:rPr>
              <w:t>únicamente al sistema de distribución.</w:t>
            </w:r>
          </w:p>
        </w:tc>
        <w:tc>
          <w:tcPr>
            <w:tcW w:w="1984" w:type="dxa"/>
          </w:tcPr>
          <w:p w14:paraId="19B9471E" w14:textId="28F812B3" w:rsidR="00281527" w:rsidRPr="002627F2" w:rsidRDefault="00281527" w:rsidP="00DC6C2E">
            <w:pPr>
              <w:pStyle w:val="Tabletext"/>
              <w:keepNext/>
              <w:keepLines/>
              <w:rPr>
                <w:b/>
                <w:bCs/>
              </w:rPr>
            </w:pPr>
            <w:r w:rsidRPr="002627F2">
              <w:rPr>
                <w:b/>
                <w:bCs/>
              </w:rPr>
              <w:t>El texto es flexible.</w:t>
            </w:r>
          </w:p>
        </w:tc>
        <w:tc>
          <w:tcPr>
            <w:tcW w:w="1990" w:type="dxa"/>
          </w:tcPr>
          <w:p w14:paraId="73E9F73A" w14:textId="4FF22E2D" w:rsidR="00281527" w:rsidRPr="002627F2" w:rsidRDefault="00281527" w:rsidP="00DC6C2E">
            <w:pPr>
              <w:pStyle w:val="Tabletext"/>
              <w:keepNext/>
              <w:keepLines/>
              <w:rPr>
                <w:b/>
                <w:bCs/>
              </w:rPr>
            </w:pPr>
            <w:r w:rsidRPr="002627F2">
              <w:rPr>
                <w:b/>
                <w:bCs/>
              </w:rPr>
              <w:t>Mantener el texto sin cambios.</w:t>
            </w:r>
          </w:p>
        </w:tc>
      </w:tr>
      <w:tr w:rsidR="00281527" w:rsidRPr="002627F2" w14:paraId="039015D5" w14:textId="77777777" w:rsidTr="001D440E">
        <w:trPr>
          <w:jc w:val="center"/>
        </w:trPr>
        <w:tc>
          <w:tcPr>
            <w:tcW w:w="2102" w:type="dxa"/>
            <w:vMerge/>
            <w:vAlign w:val="center"/>
          </w:tcPr>
          <w:p w14:paraId="5278989F" w14:textId="77777777" w:rsidR="00281527" w:rsidRPr="002627F2" w:rsidRDefault="00281527" w:rsidP="00130A31">
            <w:pPr>
              <w:snapToGrid w:val="0"/>
              <w:spacing w:before="360" w:after="120"/>
              <w:jc w:val="center"/>
              <w:rPr>
                <w:rFonts w:asciiTheme="majorBidi" w:hAnsiTheme="majorBidi" w:cstheme="majorBidi"/>
                <w:b/>
              </w:rPr>
            </w:pPr>
          </w:p>
        </w:tc>
        <w:tc>
          <w:tcPr>
            <w:tcW w:w="3087" w:type="dxa"/>
          </w:tcPr>
          <w:p w14:paraId="7783FFD3" w14:textId="20EA1D85" w:rsidR="00281527" w:rsidRPr="002627F2" w:rsidRDefault="00281527" w:rsidP="00130A31">
            <w:pPr>
              <w:pStyle w:val="Tabletext"/>
              <w:rPr>
                <w:b/>
                <w:bCs/>
              </w:rPr>
            </w:pPr>
            <w:r w:rsidRPr="002627F2">
              <w:rPr>
                <w:b/>
                <w:bCs/>
              </w:rPr>
              <w:t>8.3</w:t>
            </w:r>
            <w:r w:rsidRPr="002627F2">
              <w:rPr>
                <w:b/>
                <w:bCs/>
              </w:rPr>
              <w:tab/>
              <w:t>Fiscalidad</w:t>
            </w:r>
          </w:p>
        </w:tc>
        <w:tc>
          <w:tcPr>
            <w:tcW w:w="3087" w:type="dxa"/>
            <w:vAlign w:val="center"/>
          </w:tcPr>
          <w:p w14:paraId="1DFA295B" w14:textId="77777777" w:rsidR="00281527" w:rsidRPr="002627F2" w:rsidRDefault="00281527" w:rsidP="00DC6C2E">
            <w:pPr>
              <w:pStyle w:val="Tabletext"/>
              <w:jc w:val="center"/>
            </w:pPr>
          </w:p>
        </w:tc>
        <w:tc>
          <w:tcPr>
            <w:tcW w:w="2209" w:type="dxa"/>
            <w:vAlign w:val="center"/>
          </w:tcPr>
          <w:p w14:paraId="21114A86" w14:textId="77777777" w:rsidR="00281527" w:rsidRPr="002627F2" w:rsidRDefault="00281527" w:rsidP="00DC6C2E">
            <w:pPr>
              <w:pStyle w:val="Tabletext"/>
              <w:keepNext/>
              <w:keepLines/>
              <w:rPr>
                <w:b/>
                <w:bCs/>
              </w:rPr>
            </w:pPr>
          </w:p>
        </w:tc>
        <w:tc>
          <w:tcPr>
            <w:tcW w:w="1984" w:type="dxa"/>
            <w:vAlign w:val="center"/>
          </w:tcPr>
          <w:p w14:paraId="2F64AE94" w14:textId="77777777" w:rsidR="00281527" w:rsidRPr="002627F2" w:rsidRDefault="00281527" w:rsidP="00DC6C2E">
            <w:pPr>
              <w:pStyle w:val="Tabletext"/>
              <w:keepNext/>
              <w:keepLines/>
              <w:rPr>
                <w:b/>
                <w:bCs/>
              </w:rPr>
            </w:pPr>
          </w:p>
        </w:tc>
        <w:tc>
          <w:tcPr>
            <w:tcW w:w="1990" w:type="dxa"/>
            <w:vAlign w:val="center"/>
          </w:tcPr>
          <w:p w14:paraId="448A2A93" w14:textId="77777777" w:rsidR="00281527" w:rsidRPr="002627F2" w:rsidRDefault="00281527" w:rsidP="00DC6C2E">
            <w:pPr>
              <w:pStyle w:val="Tabletext"/>
              <w:keepNext/>
              <w:keepLines/>
              <w:rPr>
                <w:b/>
                <w:bCs/>
              </w:rPr>
            </w:pPr>
          </w:p>
        </w:tc>
      </w:tr>
      <w:tr w:rsidR="00281527" w:rsidRPr="002627F2" w14:paraId="005A526F" w14:textId="77777777" w:rsidTr="001D440E">
        <w:trPr>
          <w:trHeight w:val="3880"/>
          <w:jc w:val="center"/>
        </w:trPr>
        <w:tc>
          <w:tcPr>
            <w:tcW w:w="2102" w:type="dxa"/>
            <w:vMerge/>
            <w:vAlign w:val="center"/>
          </w:tcPr>
          <w:p w14:paraId="41C458A4" w14:textId="77777777" w:rsidR="00281527" w:rsidRPr="002627F2" w:rsidRDefault="00281527" w:rsidP="005B5523">
            <w:pPr>
              <w:snapToGrid w:val="0"/>
              <w:spacing w:before="360" w:after="120"/>
              <w:jc w:val="center"/>
              <w:rPr>
                <w:rFonts w:asciiTheme="majorBidi" w:hAnsiTheme="majorBidi" w:cstheme="majorBidi"/>
                <w:b/>
              </w:rPr>
            </w:pPr>
          </w:p>
        </w:tc>
        <w:tc>
          <w:tcPr>
            <w:tcW w:w="3087" w:type="dxa"/>
            <w:tcBorders>
              <w:bottom w:val="nil"/>
            </w:tcBorders>
          </w:tcPr>
          <w:p w14:paraId="07F216C1" w14:textId="5F8F4F9C" w:rsidR="00281527" w:rsidRPr="002627F2" w:rsidRDefault="00281527" w:rsidP="005B5523">
            <w:pPr>
              <w:pStyle w:val="Tabletext"/>
            </w:pPr>
            <w:r w:rsidRPr="002627F2">
              <w:t>8.3.1</w:t>
            </w:r>
            <w:r w:rsidRPr="002627F2">
              <w:tab/>
              <w:t>Cuando en la legislación nacional de un país se prevea la aplicación de un impuesto sobre la tasa de percepción por los servicios internacionales de telecomunicación, ese impuesto sólo se recaudará normalmente por los servicios internacionales de telecomunicación facturados a los clientes de ese país, a menos que se concierten otros acuerdos para hacer frente a circunstancias especiales.</w:t>
            </w:r>
          </w:p>
        </w:tc>
        <w:tc>
          <w:tcPr>
            <w:tcW w:w="3087" w:type="dxa"/>
            <w:tcBorders>
              <w:bottom w:val="nil"/>
            </w:tcBorders>
          </w:tcPr>
          <w:p w14:paraId="6D5F9532" w14:textId="3736A373" w:rsidR="00281527" w:rsidRPr="002627F2" w:rsidRDefault="00281527" w:rsidP="005B5523">
            <w:pPr>
              <w:pStyle w:val="Tabletext"/>
            </w:pPr>
            <w:r w:rsidRPr="002627F2">
              <w:t>6.1.3</w:t>
            </w:r>
            <w:r w:rsidRPr="002627F2">
              <w:tab/>
              <w:t>Cuando en la legislación nacional de un país se prevea la aplicación de una tasa fiscal sobre la tasa de percepción por los servicios internacionales de telecomunicación, esa tasa fiscal sólo se percibirá normalmente por los servicios internacionales de telecomunicación facturados a los clientes de ese país, a menos que se concierten otros arreglos para hacer frente a circunstancias especiales.</w:t>
            </w:r>
          </w:p>
        </w:tc>
        <w:tc>
          <w:tcPr>
            <w:tcW w:w="2209" w:type="dxa"/>
            <w:tcBorders>
              <w:bottom w:val="nil"/>
            </w:tcBorders>
          </w:tcPr>
          <w:p w14:paraId="06EB8A04" w14:textId="33187285" w:rsidR="00281527" w:rsidRPr="002627F2" w:rsidRDefault="00281527" w:rsidP="00DC6C2E">
            <w:pPr>
              <w:pStyle w:val="Tabletext"/>
              <w:keepNext/>
              <w:keepLines/>
              <w:rPr>
                <w:b/>
                <w:bCs/>
              </w:rPr>
            </w:pPr>
            <w:bookmarkStart w:id="23" w:name="lt_pId146"/>
            <w:r w:rsidRPr="002627F2">
              <w:rPr>
                <w:b/>
                <w:bCs/>
              </w:rPr>
              <w:t>El texto es aplicable y resulta importante para evitar la doble imposición.</w:t>
            </w:r>
            <w:bookmarkEnd w:id="23"/>
          </w:p>
        </w:tc>
        <w:tc>
          <w:tcPr>
            <w:tcW w:w="1984" w:type="dxa"/>
            <w:tcBorders>
              <w:bottom w:val="nil"/>
            </w:tcBorders>
          </w:tcPr>
          <w:p w14:paraId="151A6FD5" w14:textId="4BEE2A10" w:rsidR="00281527" w:rsidRPr="002627F2" w:rsidRDefault="00281527" w:rsidP="00DC6C2E">
            <w:pPr>
              <w:pStyle w:val="Tabletext"/>
              <w:keepNext/>
              <w:keepLines/>
              <w:rPr>
                <w:b/>
                <w:bCs/>
              </w:rPr>
            </w:pPr>
            <w:r w:rsidRPr="002627F2">
              <w:rPr>
                <w:b/>
                <w:bCs/>
              </w:rPr>
              <w:t>El texto es flexible.</w:t>
            </w:r>
          </w:p>
        </w:tc>
        <w:tc>
          <w:tcPr>
            <w:tcW w:w="1990" w:type="dxa"/>
            <w:tcBorders>
              <w:bottom w:val="nil"/>
            </w:tcBorders>
          </w:tcPr>
          <w:p w14:paraId="3240F095" w14:textId="0AD0882D" w:rsidR="00281527" w:rsidRPr="002627F2" w:rsidRDefault="00281527" w:rsidP="00DC6C2E">
            <w:pPr>
              <w:pStyle w:val="Tabletext"/>
              <w:keepNext/>
              <w:keepLines/>
              <w:rPr>
                <w:b/>
                <w:bCs/>
              </w:rPr>
            </w:pPr>
            <w:r w:rsidRPr="002627F2">
              <w:rPr>
                <w:b/>
                <w:bCs/>
              </w:rPr>
              <w:t>Mantener el texto sin cambios.</w:t>
            </w:r>
          </w:p>
        </w:tc>
      </w:tr>
      <w:tr w:rsidR="000F144F" w:rsidRPr="002627F2" w14:paraId="14D92B31" w14:textId="77777777" w:rsidTr="001D440E">
        <w:trPr>
          <w:jc w:val="center"/>
        </w:trPr>
        <w:tc>
          <w:tcPr>
            <w:tcW w:w="2102" w:type="dxa"/>
            <w:vMerge/>
            <w:vAlign w:val="center"/>
          </w:tcPr>
          <w:p w14:paraId="0CDCDE80" w14:textId="77777777" w:rsidR="000F144F" w:rsidRPr="002627F2" w:rsidRDefault="000F144F" w:rsidP="00130A31">
            <w:pPr>
              <w:snapToGrid w:val="0"/>
              <w:spacing w:before="360" w:after="120"/>
              <w:jc w:val="center"/>
              <w:rPr>
                <w:rFonts w:asciiTheme="majorBidi" w:hAnsiTheme="majorBidi" w:cstheme="majorBidi"/>
                <w:b/>
              </w:rPr>
            </w:pPr>
          </w:p>
        </w:tc>
        <w:tc>
          <w:tcPr>
            <w:tcW w:w="3087" w:type="dxa"/>
            <w:tcBorders>
              <w:top w:val="nil"/>
              <w:bottom w:val="nil"/>
            </w:tcBorders>
          </w:tcPr>
          <w:p w14:paraId="10507CE4" w14:textId="789A40B4" w:rsidR="000F144F" w:rsidRPr="002627F2" w:rsidRDefault="000F144F" w:rsidP="005B5523">
            <w:pPr>
              <w:pStyle w:val="Tabletext"/>
              <w:keepNext/>
              <w:keepLines/>
              <w:rPr>
                <w:b/>
                <w:bCs/>
              </w:rPr>
            </w:pPr>
          </w:p>
        </w:tc>
        <w:tc>
          <w:tcPr>
            <w:tcW w:w="3087" w:type="dxa"/>
            <w:tcBorders>
              <w:top w:val="nil"/>
              <w:bottom w:val="nil"/>
            </w:tcBorders>
          </w:tcPr>
          <w:p w14:paraId="7AD3E6A1" w14:textId="77777777" w:rsidR="000F144F" w:rsidRPr="002627F2" w:rsidRDefault="000F144F" w:rsidP="005B5523">
            <w:pPr>
              <w:pStyle w:val="Tabletext"/>
              <w:keepNext/>
              <w:keepLines/>
              <w:rPr>
                <w:b/>
                <w:bCs/>
              </w:rPr>
            </w:pPr>
          </w:p>
        </w:tc>
        <w:tc>
          <w:tcPr>
            <w:tcW w:w="2209" w:type="dxa"/>
            <w:tcBorders>
              <w:top w:val="nil"/>
              <w:bottom w:val="nil"/>
            </w:tcBorders>
          </w:tcPr>
          <w:p w14:paraId="2E43AA59" w14:textId="77777777" w:rsidR="000F144F" w:rsidRPr="002627F2" w:rsidRDefault="000F144F" w:rsidP="00281527">
            <w:pPr>
              <w:pStyle w:val="Tabletext"/>
              <w:keepNext/>
              <w:keepLines/>
              <w:rPr>
                <w:b/>
                <w:bCs/>
              </w:rPr>
            </w:pPr>
          </w:p>
        </w:tc>
        <w:tc>
          <w:tcPr>
            <w:tcW w:w="1984" w:type="dxa"/>
            <w:tcBorders>
              <w:top w:val="nil"/>
              <w:bottom w:val="nil"/>
            </w:tcBorders>
          </w:tcPr>
          <w:p w14:paraId="74EAD58C" w14:textId="77777777" w:rsidR="000F144F" w:rsidRPr="002627F2" w:rsidRDefault="000F144F" w:rsidP="00281527">
            <w:pPr>
              <w:pStyle w:val="Tabletext"/>
              <w:keepNext/>
              <w:keepLines/>
              <w:rPr>
                <w:b/>
                <w:bCs/>
              </w:rPr>
            </w:pPr>
          </w:p>
        </w:tc>
        <w:tc>
          <w:tcPr>
            <w:tcW w:w="1990" w:type="dxa"/>
            <w:tcBorders>
              <w:top w:val="nil"/>
              <w:bottom w:val="nil"/>
            </w:tcBorders>
          </w:tcPr>
          <w:p w14:paraId="700F450E" w14:textId="77777777" w:rsidR="000F144F" w:rsidRPr="002627F2" w:rsidRDefault="000F144F" w:rsidP="00281527">
            <w:pPr>
              <w:pStyle w:val="Tabletext"/>
              <w:keepNext/>
              <w:keepLines/>
              <w:rPr>
                <w:b/>
                <w:bCs/>
              </w:rPr>
            </w:pPr>
          </w:p>
        </w:tc>
      </w:tr>
      <w:tr w:rsidR="000F144F" w:rsidRPr="002627F2" w14:paraId="00A74B78" w14:textId="77777777" w:rsidTr="001D440E">
        <w:trPr>
          <w:jc w:val="center"/>
        </w:trPr>
        <w:tc>
          <w:tcPr>
            <w:tcW w:w="2102" w:type="dxa"/>
            <w:vMerge/>
            <w:vAlign w:val="center"/>
          </w:tcPr>
          <w:p w14:paraId="7366F6DB" w14:textId="77777777" w:rsidR="000F144F" w:rsidRPr="002627F2" w:rsidRDefault="000F144F" w:rsidP="00130A31">
            <w:pPr>
              <w:snapToGrid w:val="0"/>
              <w:spacing w:before="360" w:after="120"/>
              <w:jc w:val="center"/>
              <w:rPr>
                <w:rFonts w:asciiTheme="majorBidi" w:hAnsiTheme="majorBidi" w:cstheme="majorBidi"/>
                <w:b/>
              </w:rPr>
            </w:pPr>
          </w:p>
        </w:tc>
        <w:tc>
          <w:tcPr>
            <w:tcW w:w="3087" w:type="dxa"/>
            <w:tcBorders>
              <w:top w:val="nil"/>
            </w:tcBorders>
          </w:tcPr>
          <w:p w14:paraId="50192F89" w14:textId="77777777" w:rsidR="000F144F" w:rsidRPr="002627F2" w:rsidRDefault="000F144F" w:rsidP="005B5523">
            <w:pPr>
              <w:pStyle w:val="Tabletext"/>
              <w:keepNext/>
              <w:keepLines/>
            </w:pPr>
          </w:p>
        </w:tc>
        <w:tc>
          <w:tcPr>
            <w:tcW w:w="3087" w:type="dxa"/>
            <w:tcBorders>
              <w:top w:val="nil"/>
            </w:tcBorders>
          </w:tcPr>
          <w:p w14:paraId="71417DE6" w14:textId="77777777" w:rsidR="000F144F" w:rsidRPr="002627F2" w:rsidRDefault="000F144F" w:rsidP="005B5523">
            <w:pPr>
              <w:pStyle w:val="Tabletext"/>
              <w:keepNext/>
              <w:keepLines/>
              <w:rPr>
                <w:b/>
                <w:bCs/>
              </w:rPr>
            </w:pPr>
          </w:p>
        </w:tc>
        <w:tc>
          <w:tcPr>
            <w:tcW w:w="2209" w:type="dxa"/>
            <w:tcBorders>
              <w:top w:val="nil"/>
            </w:tcBorders>
          </w:tcPr>
          <w:p w14:paraId="7887C64E" w14:textId="77777777" w:rsidR="000F144F" w:rsidRPr="002627F2" w:rsidRDefault="000F144F" w:rsidP="00281527">
            <w:pPr>
              <w:pStyle w:val="Tabletext"/>
              <w:keepNext/>
              <w:keepLines/>
              <w:rPr>
                <w:b/>
                <w:bCs/>
              </w:rPr>
            </w:pPr>
          </w:p>
        </w:tc>
        <w:tc>
          <w:tcPr>
            <w:tcW w:w="1984" w:type="dxa"/>
            <w:tcBorders>
              <w:top w:val="nil"/>
            </w:tcBorders>
          </w:tcPr>
          <w:p w14:paraId="0BCF91F4" w14:textId="77777777" w:rsidR="000F144F" w:rsidRPr="002627F2" w:rsidRDefault="000F144F" w:rsidP="00281527">
            <w:pPr>
              <w:pStyle w:val="Tabletext"/>
              <w:keepNext/>
              <w:keepLines/>
              <w:rPr>
                <w:b/>
                <w:bCs/>
              </w:rPr>
            </w:pPr>
          </w:p>
        </w:tc>
        <w:tc>
          <w:tcPr>
            <w:tcW w:w="1990" w:type="dxa"/>
            <w:tcBorders>
              <w:top w:val="nil"/>
            </w:tcBorders>
          </w:tcPr>
          <w:p w14:paraId="351EFB9B" w14:textId="77777777" w:rsidR="000F144F" w:rsidRPr="002627F2" w:rsidRDefault="000F144F" w:rsidP="00281527">
            <w:pPr>
              <w:pStyle w:val="Tabletext"/>
              <w:keepNext/>
              <w:keepLines/>
              <w:rPr>
                <w:b/>
                <w:bCs/>
              </w:rPr>
            </w:pPr>
          </w:p>
        </w:tc>
      </w:tr>
      <w:tr w:rsidR="000F144F" w:rsidRPr="002627F2" w14:paraId="6C8A204E" w14:textId="77777777" w:rsidTr="001D440E">
        <w:trPr>
          <w:jc w:val="center"/>
        </w:trPr>
        <w:tc>
          <w:tcPr>
            <w:tcW w:w="2102" w:type="dxa"/>
            <w:vMerge/>
            <w:vAlign w:val="center"/>
          </w:tcPr>
          <w:p w14:paraId="7890FF6E" w14:textId="77777777" w:rsidR="000F144F" w:rsidRPr="002627F2" w:rsidRDefault="000F144F" w:rsidP="00130A31">
            <w:pPr>
              <w:snapToGrid w:val="0"/>
              <w:spacing w:before="360" w:after="120"/>
              <w:jc w:val="center"/>
              <w:rPr>
                <w:rFonts w:asciiTheme="majorBidi" w:hAnsiTheme="majorBidi" w:cstheme="majorBidi"/>
                <w:b/>
              </w:rPr>
            </w:pPr>
          </w:p>
        </w:tc>
        <w:tc>
          <w:tcPr>
            <w:tcW w:w="3087" w:type="dxa"/>
          </w:tcPr>
          <w:p w14:paraId="6DA41412" w14:textId="50B1426F" w:rsidR="000F144F" w:rsidRPr="002627F2" w:rsidRDefault="000F144F" w:rsidP="005B5523">
            <w:pPr>
              <w:pStyle w:val="Tabletext"/>
              <w:keepNext/>
              <w:keepLines/>
            </w:pPr>
            <w:r w:rsidRPr="002627F2">
              <w:rPr>
                <w:b/>
                <w:bCs/>
              </w:rPr>
              <w:t>8.4</w:t>
            </w:r>
            <w:r w:rsidRPr="002627F2">
              <w:rPr>
                <w:b/>
                <w:bCs/>
              </w:rPr>
              <w:tab/>
              <w:t>Telecomunicación de servicio</w:t>
            </w:r>
          </w:p>
        </w:tc>
        <w:tc>
          <w:tcPr>
            <w:tcW w:w="3087" w:type="dxa"/>
          </w:tcPr>
          <w:p w14:paraId="4AA2F325" w14:textId="77777777" w:rsidR="000F144F" w:rsidRPr="002627F2" w:rsidRDefault="000F144F" w:rsidP="005B5523">
            <w:pPr>
              <w:pStyle w:val="Tabletext"/>
              <w:keepNext/>
              <w:keepLines/>
              <w:rPr>
                <w:b/>
                <w:bCs/>
              </w:rPr>
            </w:pPr>
          </w:p>
        </w:tc>
        <w:tc>
          <w:tcPr>
            <w:tcW w:w="2209" w:type="dxa"/>
          </w:tcPr>
          <w:p w14:paraId="6856AEFA" w14:textId="77777777" w:rsidR="000F144F" w:rsidRPr="002627F2" w:rsidRDefault="000F144F" w:rsidP="00281527">
            <w:pPr>
              <w:pStyle w:val="Tabletext"/>
              <w:keepNext/>
              <w:keepLines/>
              <w:rPr>
                <w:b/>
                <w:bCs/>
              </w:rPr>
            </w:pPr>
          </w:p>
        </w:tc>
        <w:tc>
          <w:tcPr>
            <w:tcW w:w="1984" w:type="dxa"/>
          </w:tcPr>
          <w:p w14:paraId="6083932C" w14:textId="77777777" w:rsidR="000F144F" w:rsidRPr="002627F2" w:rsidRDefault="000F144F" w:rsidP="00281527">
            <w:pPr>
              <w:pStyle w:val="Tabletext"/>
              <w:keepNext/>
              <w:keepLines/>
              <w:rPr>
                <w:b/>
                <w:bCs/>
              </w:rPr>
            </w:pPr>
          </w:p>
        </w:tc>
        <w:tc>
          <w:tcPr>
            <w:tcW w:w="1990" w:type="dxa"/>
          </w:tcPr>
          <w:p w14:paraId="32B1DD78" w14:textId="77777777" w:rsidR="000F144F" w:rsidRPr="002627F2" w:rsidRDefault="000F144F" w:rsidP="00281527">
            <w:pPr>
              <w:pStyle w:val="Tabletext"/>
              <w:keepNext/>
              <w:keepLines/>
              <w:rPr>
                <w:b/>
                <w:bCs/>
              </w:rPr>
            </w:pPr>
          </w:p>
        </w:tc>
      </w:tr>
      <w:tr w:rsidR="00281527" w:rsidRPr="002627F2" w14:paraId="442D2DF7" w14:textId="77777777" w:rsidTr="001D440E">
        <w:trPr>
          <w:jc w:val="center"/>
        </w:trPr>
        <w:tc>
          <w:tcPr>
            <w:tcW w:w="2102" w:type="dxa"/>
            <w:vMerge/>
            <w:vAlign w:val="center"/>
          </w:tcPr>
          <w:p w14:paraId="4B72BD4D" w14:textId="77777777" w:rsidR="00281527" w:rsidRPr="002627F2" w:rsidRDefault="00281527" w:rsidP="00130A31">
            <w:pPr>
              <w:snapToGrid w:val="0"/>
              <w:spacing w:before="360" w:after="120"/>
              <w:jc w:val="center"/>
              <w:rPr>
                <w:rFonts w:asciiTheme="majorBidi" w:hAnsiTheme="majorBidi" w:cstheme="majorBidi"/>
                <w:b/>
              </w:rPr>
            </w:pPr>
          </w:p>
        </w:tc>
        <w:tc>
          <w:tcPr>
            <w:tcW w:w="3087" w:type="dxa"/>
          </w:tcPr>
          <w:p w14:paraId="4096985D" w14:textId="2C9AC1A0" w:rsidR="00281527" w:rsidRPr="002627F2" w:rsidRDefault="00281527" w:rsidP="005B5523">
            <w:pPr>
              <w:pStyle w:val="Tabletext"/>
              <w:keepNext/>
              <w:keepLines/>
            </w:pPr>
            <w:r w:rsidRPr="002627F2">
              <w:t>8.4.1</w:t>
            </w:r>
            <w:r w:rsidRPr="002627F2">
              <w:tab/>
              <w:t>Las empresas de explotación autorizadas podrán en principio renunciar a incluir las telecomunicaciones de servicio en la contabilidad internacional, de conformidad con las disposiciones pertinentes de la Constitución y el Convenio de la Unión Internacional de Telecomunicaciones y del presente Reglamento, y teniendo debidamente en cuenta la necesidad de establecer acuerdos recíprocos. Las empresas de explotación autorizadas pueden proporcionar dichos servicios de telecomunicación de forma gratuita.</w:t>
            </w:r>
          </w:p>
        </w:tc>
        <w:tc>
          <w:tcPr>
            <w:tcW w:w="3087" w:type="dxa"/>
          </w:tcPr>
          <w:p w14:paraId="6C600CB6" w14:textId="63F79B58" w:rsidR="00281527" w:rsidRPr="002627F2" w:rsidRDefault="00281527" w:rsidP="005B5523">
            <w:pPr>
              <w:pStyle w:val="Tabletext"/>
              <w:keepNext/>
              <w:keepLines/>
              <w:rPr>
                <w:b/>
                <w:bCs/>
              </w:rPr>
            </w:pPr>
            <w:bookmarkStart w:id="24" w:name="lt_pId154"/>
            <w:r w:rsidRPr="002627F2">
              <w:rPr>
                <w:b/>
                <w:bCs/>
              </w:rPr>
              <w:t>Apéndice 3</w:t>
            </w:r>
            <w:bookmarkEnd w:id="24"/>
          </w:p>
          <w:p w14:paraId="3BD495A8" w14:textId="42FE1144" w:rsidR="00281527" w:rsidRPr="002627F2" w:rsidRDefault="00281527" w:rsidP="000F144F">
            <w:pPr>
              <w:pStyle w:val="Tabletext"/>
              <w:keepNext/>
              <w:keepLines/>
            </w:pPr>
            <w:r w:rsidRPr="002627F2">
              <w:t>1.1</w:t>
            </w:r>
            <w:r w:rsidRPr="002627F2">
              <w:tab/>
              <w:t>Las administraciones* podrán proporcionar telecomunicaciones de servicio con exención de tasa.</w:t>
            </w:r>
          </w:p>
          <w:p w14:paraId="3456617A" w14:textId="2271F6EF" w:rsidR="00281527" w:rsidRPr="002627F2" w:rsidRDefault="00281527" w:rsidP="005B5523">
            <w:pPr>
              <w:pStyle w:val="Tabletext"/>
              <w:keepNext/>
              <w:keepLines/>
            </w:pPr>
            <w:r w:rsidRPr="002627F2">
              <w:t>1.2</w:t>
            </w:r>
            <w:r w:rsidRPr="002627F2">
              <w:tab/>
              <w:t>Las administraciones* podrán en principio renunciar a incluir las telecomunicaciones de servicio en la contabilidad internacional, de conformidad con las disposiciones pertinentes del Convenio Internacional de Telecomunicaciones y del presente Reglamento, y teniendo debidamente en cuenta la necesidad de establecer arreglos recíprocos.</w:t>
            </w:r>
          </w:p>
        </w:tc>
        <w:tc>
          <w:tcPr>
            <w:tcW w:w="2209" w:type="dxa"/>
          </w:tcPr>
          <w:p w14:paraId="70E658B6" w14:textId="6465BC69" w:rsidR="00281527" w:rsidRPr="002627F2" w:rsidRDefault="00281527" w:rsidP="00281527">
            <w:pPr>
              <w:pStyle w:val="Tabletext"/>
              <w:keepNext/>
              <w:keepLines/>
              <w:rPr>
                <w:b/>
                <w:bCs/>
              </w:rPr>
            </w:pPr>
            <w:r w:rsidRPr="002627F2">
              <w:rPr>
                <w:b/>
                <w:bCs/>
              </w:rPr>
              <w:t>El texto es aplicable.</w:t>
            </w:r>
          </w:p>
        </w:tc>
        <w:tc>
          <w:tcPr>
            <w:tcW w:w="1984" w:type="dxa"/>
          </w:tcPr>
          <w:p w14:paraId="4FE644B0" w14:textId="2DF9EAE7" w:rsidR="00281527" w:rsidRPr="002627F2" w:rsidRDefault="00281527" w:rsidP="00281527">
            <w:pPr>
              <w:pStyle w:val="Tabletext"/>
              <w:keepNext/>
              <w:keepLines/>
              <w:rPr>
                <w:b/>
                <w:bCs/>
              </w:rPr>
            </w:pPr>
            <w:r w:rsidRPr="002627F2">
              <w:rPr>
                <w:b/>
                <w:bCs/>
              </w:rPr>
              <w:t>No se requiere flexibilidad.</w:t>
            </w:r>
          </w:p>
        </w:tc>
        <w:tc>
          <w:tcPr>
            <w:tcW w:w="1990" w:type="dxa"/>
          </w:tcPr>
          <w:p w14:paraId="4FE5F678" w14:textId="773DD8A4" w:rsidR="00281527" w:rsidRPr="002627F2" w:rsidRDefault="00281527" w:rsidP="00281527">
            <w:pPr>
              <w:pStyle w:val="Tabletext"/>
              <w:keepNext/>
              <w:keepLines/>
              <w:rPr>
                <w:b/>
                <w:bCs/>
              </w:rPr>
            </w:pPr>
            <w:bookmarkStart w:id="25" w:name="lt_pId163"/>
            <w:r w:rsidRPr="002627F2">
              <w:rPr>
                <w:b/>
                <w:bCs/>
              </w:rPr>
              <w:t>Pudiera requerirse una definición de las telecomunica</w:t>
            </w:r>
            <w:r w:rsidR="001D440E" w:rsidRPr="002627F2">
              <w:rPr>
                <w:b/>
                <w:bCs/>
              </w:rPr>
              <w:t>-</w:t>
            </w:r>
            <w:r w:rsidRPr="002627F2">
              <w:rPr>
                <w:b/>
                <w:bCs/>
              </w:rPr>
              <w:t>ciones de servicio</w:t>
            </w:r>
            <w:bookmarkEnd w:id="25"/>
            <w:r w:rsidRPr="002627F2">
              <w:rPr>
                <w:b/>
                <w:bCs/>
              </w:rPr>
              <w:t>.</w:t>
            </w:r>
          </w:p>
        </w:tc>
      </w:tr>
      <w:tr w:rsidR="00281527" w:rsidRPr="002627F2" w14:paraId="70491EA7" w14:textId="77777777" w:rsidTr="001D440E">
        <w:trPr>
          <w:jc w:val="center"/>
        </w:trPr>
        <w:tc>
          <w:tcPr>
            <w:tcW w:w="2102" w:type="dxa"/>
            <w:vMerge/>
            <w:vAlign w:val="center"/>
          </w:tcPr>
          <w:p w14:paraId="14492471" w14:textId="77777777" w:rsidR="00281527" w:rsidRPr="002627F2" w:rsidRDefault="00281527" w:rsidP="00130A31">
            <w:pPr>
              <w:snapToGrid w:val="0"/>
              <w:spacing w:before="360" w:after="120"/>
              <w:jc w:val="center"/>
              <w:rPr>
                <w:rFonts w:asciiTheme="majorBidi" w:hAnsiTheme="majorBidi" w:cstheme="majorBidi"/>
                <w:b/>
              </w:rPr>
            </w:pPr>
          </w:p>
        </w:tc>
        <w:tc>
          <w:tcPr>
            <w:tcW w:w="3087" w:type="dxa"/>
          </w:tcPr>
          <w:p w14:paraId="5507B002" w14:textId="16A955DA" w:rsidR="00281527" w:rsidRPr="002627F2" w:rsidRDefault="00281527" w:rsidP="00281527">
            <w:pPr>
              <w:pStyle w:val="Tabletext"/>
              <w:keepNext/>
              <w:keepLines/>
            </w:pPr>
            <w:r w:rsidRPr="002627F2">
              <w:t>8.4.2</w:t>
            </w:r>
            <w:r w:rsidRPr="002627F2">
              <w:tab/>
              <w:t>Los principios generales de explotación, tasación y contabilidad aplicables a las telecomunicaciones de servicio deberían tener en cuenta las Recomendaciones UIT</w:t>
            </w:r>
            <w:r w:rsidRPr="002627F2">
              <w:noBreakHyphen/>
              <w:t>T pertinentes.</w:t>
            </w:r>
          </w:p>
        </w:tc>
        <w:tc>
          <w:tcPr>
            <w:tcW w:w="3087" w:type="dxa"/>
          </w:tcPr>
          <w:p w14:paraId="22F815F8" w14:textId="110C3DF1" w:rsidR="00281527" w:rsidRPr="002627F2" w:rsidRDefault="00281527" w:rsidP="00281527">
            <w:pPr>
              <w:pStyle w:val="Tabletext"/>
              <w:keepNext/>
              <w:keepLines/>
              <w:rPr>
                <w:b/>
                <w:bCs/>
              </w:rPr>
            </w:pPr>
            <w:bookmarkStart w:id="26" w:name="lt_pId166"/>
            <w:r w:rsidRPr="002627F2">
              <w:rPr>
                <w:b/>
                <w:bCs/>
              </w:rPr>
              <w:t>Apéndice 3</w:t>
            </w:r>
            <w:bookmarkEnd w:id="26"/>
          </w:p>
          <w:p w14:paraId="226F8B62" w14:textId="74274EAA" w:rsidR="00281527" w:rsidRPr="002627F2" w:rsidRDefault="00281527" w:rsidP="00281527">
            <w:pPr>
              <w:pStyle w:val="Tabletext"/>
              <w:keepNext/>
              <w:keepLines/>
              <w:tabs>
                <w:tab w:val="left" w:pos="544"/>
              </w:tabs>
              <w:rPr>
                <w:b/>
                <w:bCs/>
              </w:rPr>
            </w:pPr>
            <w:r w:rsidRPr="002627F2">
              <w:rPr>
                <w:b/>
                <w:bCs/>
              </w:rPr>
              <w:t>3</w:t>
            </w:r>
            <w:r w:rsidRPr="002627F2">
              <w:rPr>
                <w:b/>
                <w:bCs/>
              </w:rPr>
              <w:tab/>
              <w:t>Disposiciones aplicables</w:t>
            </w:r>
          </w:p>
          <w:p w14:paraId="21C772D0" w14:textId="1DB10066" w:rsidR="00281527" w:rsidRPr="002627F2" w:rsidRDefault="00281527" w:rsidP="00281527">
            <w:pPr>
              <w:pStyle w:val="Tabletext"/>
              <w:keepNext/>
              <w:keepLines/>
            </w:pPr>
            <w:r w:rsidRPr="002627F2">
              <w:t>Los principios generales de explotación, tarificación y contabilidad aplicables a las telecomunicaciones de servicio y a las telecomunicaciones privilegiadas deberían tener en cuenta las Recomendaciones pertinentes del CCITT.</w:t>
            </w:r>
          </w:p>
        </w:tc>
        <w:tc>
          <w:tcPr>
            <w:tcW w:w="2209" w:type="dxa"/>
          </w:tcPr>
          <w:p w14:paraId="7B8C571F" w14:textId="3CD698B5" w:rsidR="00281527" w:rsidRPr="002627F2" w:rsidRDefault="00281527" w:rsidP="00281527">
            <w:pPr>
              <w:pStyle w:val="Tabletext"/>
              <w:keepNext/>
              <w:keepLines/>
              <w:rPr>
                <w:b/>
                <w:bCs/>
              </w:rPr>
            </w:pPr>
            <w:r w:rsidRPr="002627F2">
              <w:rPr>
                <w:b/>
                <w:bCs/>
              </w:rPr>
              <w:t>El texto es aplicable.</w:t>
            </w:r>
          </w:p>
        </w:tc>
        <w:tc>
          <w:tcPr>
            <w:tcW w:w="1984" w:type="dxa"/>
          </w:tcPr>
          <w:p w14:paraId="51F73DFE" w14:textId="0FAD295B" w:rsidR="00281527" w:rsidRPr="002627F2" w:rsidRDefault="00281527" w:rsidP="00281527">
            <w:pPr>
              <w:pStyle w:val="Tabletext"/>
              <w:keepNext/>
              <w:keepLines/>
              <w:rPr>
                <w:b/>
                <w:bCs/>
              </w:rPr>
            </w:pPr>
            <w:r w:rsidRPr="002627F2">
              <w:rPr>
                <w:b/>
                <w:bCs/>
              </w:rPr>
              <w:t>No se requiere flexibilidad.</w:t>
            </w:r>
          </w:p>
        </w:tc>
        <w:tc>
          <w:tcPr>
            <w:tcW w:w="1990" w:type="dxa"/>
          </w:tcPr>
          <w:p w14:paraId="15120B53" w14:textId="77777777" w:rsidR="00281527" w:rsidRPr="002627F2" w:rsidRDefault="00281527" w:rsidP="00281527">
            <w:pPr>
              <w:pStyle w:val="Tabletext"/>
              <w:keepNext/>
              <w:keepLines/>
              <w:rPr>
                <w:b/>
                <w:bCs/>
              </w:rPr>
            </w:pPr>
          </w:p>
        </w:tc>
      </w:tr>
      <w:tr w:rsidR="00281527" w:rsidRPr="002627F2" w14:paraId="794729AB" w14:textId="77777777" w:rsidTr="001D440E">
        <w:trPr>
          <w:jc w:val="center"/>
        </w:trPr>
        <w:tc>
          <w:tcPr>
            <w:tcW w:w="2102" w:type="dxa"/>
            <w:vMerge/>
            <w:vAlign w:val="center"/>
          </w:tcPr>
          <w:p w14:paraId="4029F304" w14:textId="77777777" w:rsidR="00281527" w:rsidRPr="002627F2" w:rsidRDefault="00281527" w:rsidP="00130A31">
            <w:pPr>
              <w:snapToGrid w:val="0"/>
              <w:spacing w:before="360" w:after="120"/>
              <w:jc w:val="center"/>
              <w:rPr>
                <w:rFonts w:asciiTheme="majorBidi" w:hAnsiTheme="majorBidi" w:cstheme="majorBidi"/>
                <w:b/>
              </w:rPr>
            </w:pPr>
          </w:p>
        </w:tc>
        <w:tc>
          <w:tcPr>
            <w:tcW w:w="3087" w:type="dxa"/>
            <w:vAlign w:val="center"/>
          </w:tcPr>
          <w:p w14:paraId="245CAE28" w14:textId="3BA2A7BF" w:rsidR="00281527" w:rsidRPr="002627F2" w:rsidRDefault="00281527" w:rsidP="00130A31">
            <w:pPr>
              <w:pStyle w:val="Tabletext"/>
              <w:rPr>
                <w:b/>
                <w:bCs/>
              </w:rPr>
            </w:pPr>
            <w:bookmarkStart w:id="27" w:name="lt_pId172"/>
            <w:r w:rsidRPr="002627F2">
              <w:rPr>
                <w:b/>
                <w:bCs/>
              </w:rPr>
              <w:t>Apéndice 1 – Disposiciones generales relativas a la contabilidad</w:t>
            </w:r>
            <w:bookmarkEnd w:id="27"/>
          </w:p>
        </w:tc>
        <w:tc>
          <w:tcPr>
            <w:tcW w:w="3087" w:type="dxa"/>
            <w:vAlign w:val="center"/>
          </w:tcPr>
          <w:p w14:paraId="1291F5DF" w14:textId="77777777" w:rsidR="00281527" w:rsidRPr="002627F2" w:rsidRDefault="00281527" w:rsidP="00130A31">
            <w:pPr>
              <w:snapToGrid w:val="0"/>
              <w:spacing w:before="360" w:after="120"/>
              <w:jc w:val="center"/>
              <w:rPr>
                <w:rFonts w:asciiTheme="majorBidi" w:hAnsiTheme="majorBidi" w:cstheme="majorBidi"/>
                <w:b/>
              </w:rPr>
            </w:pPr>
          </w:p>
        </w:tc>
        <w:tc>
          <w:tcPr>
            <w:tcW w:w="2209" w:type="dxa"/>
            <w:vAlign w:val="center"/>
          </w:tcPr>
          <w:p w14:paraId="04922E7A" w14:textId="77777777" w:rsidR="00281527" w:rsidRPr="002627F2" w:rsidRDefault="00281527" w:rsidP="00130A31">
            <w:pPr>
              <w:pStyle w:val="Tabletext"/>
              <w:jc w:val="center"/>
            </w:pPr>
          </w:p>
        </w:tc>
        <w:tc>
          <w:tcPr>
            <w:tcW w:w="1984" w:type="dxa"/>
            <w:vAlign w:val="center"/>
          </w:tcPr>
          <w:p w14:paraId="770DB637" w14:textId="77777777" w:rsidR="00281527" w:rsidRPr="002627F2" w:rsidRDefault="00281527" w:rsidP="00130A31">
            <w:pPr>
              <w:pStyle w:val="Tabletext"/>
              <w:jc w:val="center"/>
            </w:pPr>
          </w:p>
        </w:tc>
        <w:tc>
          <w:tcPr>
            <w:tcW w:w="1990" w:type="dxa"/>
            <w:vAlign w:val="center"/>
          </w:tcPr>
          <w:p w14:paraId="64144926" w14:textId="77777777" w:rsidR="00281527" w:rsidRPr="002627F2" w:rsidRDefault="00281527" w:rsidP="00130A31">
            <w:pPr>
              <w:pStyle w:val="Tabletext"/>
              <w:jc w:val="center"/>
            </w:pPr>
          </w:p>
        </w:tc>
      </w:tr>
      <w:tr w:rsidR="00281527" w:rsidRPr="002627F2" w14:paraId="56F2EB45" w14:textId="77777777" w:rsidTr="001D440E">
        <w:trPr>
          <w:jc w:val="center"/>
        </w:trPr>
        <w:tc>
          <w:tcPr>
            <w:tcW w:w="2102" w:type="dxa"/>
            <w:vMerge/>
            <w:vAlign w:val="center"/>
          </w:tcPr>
          <w:p w14:paraId="3A16706B" w14:textId="77777777" w:rsidR="00281527" w:rsidRPr="002627F2" w:rsidRDefault="00281527" w:rsidP="00130A31">
            <w:pPr>
              <w:snapToGrid w:val="0"/>
              <w:spacing w:before="360" w:after="120"/>
              <w:jc w:val="center"/>
              <w:rPr>
                <w:rFonts w:asciiTheme="majorBidi" w:hAnsiTheme="majorBidi" w:cstheme="majorBidi"/>
                <w:b/>
              </w:rPr>
            </w:pPr>
          </w:p>
        </w:tc>
        <w:tc>
          <w:tcPr>
            <w:tcW w:w="3087" w:type="dxa"/>
          </w:tcPr>
          <w:p w14:paraId="7B211A8B" w14:textId="2CF30976" w:rsidR="00281527" w:rsidRPr="002627F2" w:rsidRDefault="00281527" w:rsidP="00130A31">
            <w:pPr>
              <w:pStyle w:val="Tabletext"/>
            </w:pPr>
            <w:r w:rsidRPr="002627F2">
              <w:t>1.1</w:t>
            </w:r>
            <w:r w:rsidRPr="002627F2">
              <w:tab/>
              <w:t xml:space="preserve">Para cada servicio correspondiente en una relación dada, los Estados Miembros procurarán velar por que las empresas de explotación autorizadas establezcan y revisen por acuerdo mutuo las tasas de distribución aplicables entre ellas, teniendo en cuenta las Recomendaciones UIT-T y la evolución de los costos que ocasione la prestación de ese servicio de telecomunicación, y </w:t>
            </w:r>
            <w:r w:rsidRPr="002627F2">
              <w:lastRenderedPageBreak/>
              <w:t>las distribuyan en partes alícuotas terminales pagaderas a las empresas de explotación autorizadas de los países terminales y, cuando proceda, en partes alícuotas de tránsito pagaderas a las empresas de explotación autorizadas de los países de tránsito.</w:t>
            </w:r>
          </w:p>
        </w:tc>
        <w:tc>
          <w:tcPr>
            <w:tcW w:w="3087" w:type="dxa"/>
          </w:tcPr>
          <w:p w14:paraId="7EF0D495" w14:textId="3A808D25" w:rsidR="00281527" w:rsidRPr="002627F2" w:rsidRDefault="00281527" w:rsidP="00311028">
            <w:pPr>
              <w:pStyle w:val="Tabletext"/>
            </w:pPr>
            <w:r w:rsidRPr="002627F2">
              <w:lastRenderedPageBreak/>
              <w:t>1.1</w:t>
            </w:r>
            <w:r w:rsidRPr="002627F2">
              <w:tab/>
              <w:t>Para cada servicio admitido en una relación dada, las administraciones</w:t>
            </w:r>
            <w:r w:rsidR="00F951E8" w:rsidRPr="002627F2">
              <w:t>*</w:t>
            </w:r>
            <w:r w:rsidRPr="002627F2">
              <w:t xml:space="preserve"> fijarán y revisarán por acuerdo mutuo las tasas de distribución aplicables entre ellas, de conformidad con las Recomendaciones del CCITT y en función de la evolución de los gastos que ocasione la prestación de ese servicio de telecomunicación, y las distribuirán en partes alícuotas terminales pagaderas a las </w:t>
            </w:r>
            <w:r w:rsidRPr="002627F2">
              <w:lastRenderedPageBreak/>
              <w:t>administraciones</w:t>
            </w:r>
            <w:r w:rsidR="00F951E8" w:rsidRPr="002627F2">
              <w:t>*</w:t>
            </w:r>
            <w:r w:rsidRPr="002627F2">
              <w:t xml:space="preserve"> de los países terminales y, cuando proceda, en partes alícuotas de tránsito pagaderas a las administraciones</w:t>
            </w:r>
            <w:r w:rsidR="00F951E8" w:rsidRPr="002627F2">
              <w:t>*</w:t>
            </w:r>
            <w:r w:rsidRPr="002627F2">
              <w:t xml:space="preserve"> de los países de tránsito.</w:t>
            </w:r>
          </w:p>
        </w:tc>
        <w:tc>
          <w:tcPr>
            <w:tcW w:w="2209" w:type="dxa"/>
          </w:tcPr>
          <w:p w14:paraId="78184BD1" w14:textId="2710A156" w:rsidR="00281527" w:rsidRPr="002627F2" w:rsidRDefault="00281527" w:rsidP="00281527">
            <w:pPr>
              <w:pStyle w:val="Tabletext"/>
              <w:rPr>
                <w:b/>
                <w:bCs/>
              </w:rPr>
            </w:pPr>
            <w:bookmarkStart w:id="28" w:name="lt_pId180"/>
            <w:r w:rsidRPr="002627F2">
              <w:rPr>
                <w:b/>
                <w:bCs/>
              </w:rPr>
              <w:lastRenderedPageBreak/>
              <w:t>Aunque la utilización del sistema de tasas de distribución es limitada, sigue siendo aplicable en algunos países.</w:t>
            </w:r>
            <w:bookmarkEnd w:id="28"/>
          </w:p>
        </w:tc>
        <w:tc>
          <w:tcPr>
            <w:tcW w:w="1984" w:type="dxa"/>
          </w:tcPr>
          <w:p w14:paraId="57217C26" w14:textId="64EC82BB" w:rsidR="00281527" w:rsidRPr="002627F2" w:rsidRDefault="00281527" w:rsidP="00281527">
            <w:pPr>
              <w:pStyle w:val="Tabletext"/>
              <w:rPr>
                <w:b/>
                <w:bCs/>
              </w:rPr>
            </w:pPr>
            <w:bookmarkStart w:id="29" w:name="lt_pId181"/>
            <w:r w:rsidRPr="002627F2">
              <w:rPr>
                <w:b/>
                <w:bCs/>
              </w:rPr>
              <w:t>Específica para el sistema de tasas de distribución</w:t>
            </w:r>
            <w:bookmarkEnd w:id="29"/>
            <w:r w:rsidRPr="002627F2">
              <w:rPr>
                <w:b/>
                <w:bCs/>
              </w:rPr>
              <w:t>.</w:t>
            </w:r>
          </w:p>
        </w:tc>
        <w:tc>
          <w:tcPr>
            <w:tcW w:w="1990" w:type="dxa"/>
          </w:tcPr>
          <w:p w14:paraId="3AA494F2" w14:textId="6EBD2FA7" w:rsidR="00281527" w:rsidRPr="002627F2" w:rsidRDefault="00281527" w:rsidP="00281527">
            <w:pPr>
              <w:pStyle w:val="Tabletext"/>
              <w:rPr>
                <w:b/>
                <w:bCs/>
              </w:rPr>
            </w:pPr>
            <w:r w:rsidRPr="002627F2">
              <w:rPr>
                <w:b/>
                <w:bCs/>
              </w:rPr>
              <w:t xml:space="preserve">Aunque el uso del sistema de tasas de distribución entre los Estados Miembros es limitado, sigue utilizándose en algunos países y, por tanto, es importante mantener una referencia al sistema de tasas de distribución en </w:t>
            </w:r>
            <w:r w:rsidRPr="002627F2">
              <w:rPr>
                <w:b/>
                <w:bCs/>
              </w:rPr>
              <w:lastRenderedPageBreak/>
              <w:t>el RTI, ya que se trata del único documento legal que clarifica la liquidación de cuentas aplicando dicho sistema. No obstante, sugerimos que dé su opinión el Asesor Jurídico.</w:t>
            </w:r>
          </w:p>
        </w:tc>
      </w:tr>
      <w:tr w:rsidR="00281527" w:rsidRPr="002627F2" w14:paraId="2ADC9722" w14:textId="77777777" w:rsidTr="001D440E">
        <w:trPr>
          <w:jc w:val="center"/>
        </w:trPr>
        <w:tc>
          <w:tcPr>
            <w:tcW w:w="2102" w:type="dxa"/>
            <w:vMerge/>
            <w:vAlign w:val="center"/>
          </w:tcPr>
          <w:p w14:paraId="40388A5C" w14:textId="77777777" w:rsidR="00281527" w:rsidRPr="002627F2" w:rsidRDefault="00281527" w:rsidP="00130A31">
            <w:pPr>
              <w:snapToGrid w:val="0"/>
              <w:spacing w:before="360" w:after="120"/>
              <w:jc w:val="center"/>
              <w:rPr>
                <w:rFonts w:asciiTheme="majorBidi" w:hAnsiTheme="majorBidi" w:cstheme="majorBidi"/>
                <w:b/>
              </w:rPr>
            </w:pPr>
          </w:p>
        </w:tc>
        <w:tc>
          <w:tcPr>
            <w:tcW w:w="3087" w:type="dxa"/>
          </w:tcPr>
          <w:p w14:paraId="5420D286" w14:textId="6B698E26" w:rsidR="00281527" w:rsidRPr="002627F2" w:rsidRDefault="00281527" w:rsidP="00130A31">
            <w:pPr>
              <w:pStyle w:val="Tabletext"/>
            </w:pPr>
            <w:r w:rsidRPr="002627F2">
              <w:t>1.2</w:t>
            </w:r>
            <w:r w:rsidRPr="002627F2">
              <w:tab/>
              <w:t>En las relaciones de tráfico en las que sea posible tomar como base los estudios sobre costos efectuados por el UIT-T, la tasa de distribución se podrá también determinar con arreglo al siguiente método:</w:t>
            </w:r>
          </w:p>
          <w:p w14:paraId="0A393620" w14:textId="238170DD" w:rsidR="00281527" w:rsidRPr="002627F2" w:rsidRDefault="00281527" w:rsidP="00130A31">
            <w:pPr>
              <w:pStyle w:val="Tabletext"/>
              <w:tabs>
                <w:tab w:val="left" w:pos="568"/>
              </w:tabs>
              <w:ind w:left="568" w:hanging="568"/>
            </w:pPr>
            <w:r w:rsidRPr="002627F2">
              <w:rPr>
                <w:i/>
                <w:iCs/>
              </w:rPr>
              <w:t>a)</w:t>
            </w:r>
            <w:r w:rsidRPr="002627F2">
              <w:tab/>
              <w:t>las empresas de explotación autorizadas establecerán y revisarán sus partes alícuotas terminales y de tránsito teniendo en cuenta las Recomendaciones UIT</w:t>
            </w:r>
            <w:r w:rsidR="00F951E8" w:rsidRPr="002627F2">
              <w:noBreakHyphen/>
            </w:r>
            <w:r w:rsidRPr="002627F2">
              <w:t>T;</w:t>
            </w:r>
          </w:p>
          <w:p w14:paraId="16E9E1CD" w14:textId="7B4553F5" w:rsidR="00281527" w:rsidRPr="002627F2" w:rsidRDefault="00281527" w:rsidP="00F951E8">
            <w:pPr>
              <w:pStyle w:val="Tabletext"/>
              <w:keepNext/>
              <w:keepLines/>
              <w:tabs>
                <w:tab w:val="left" w:pos="568"/>
              </w:tabs>
              <w:ind w:left="567" w:hanging="567"/>
            </w:pPr>
            <w:r w:rsidRPr="002627F2">
              <w:rPr>
                <w:i/>
                <w:iCs/>
              </w:rPr>
              <w:lastRenderedPageBreak/>
              <w:t>b)</w:t>
            </w:r>
            <w:r w:rsidRPr="002627F2">
              <w:tab/>
              <w:t>la tasa de distribución será la suma de las partes alícuotas terminales y de las partes alícuotas de tránsito, si las hubiere.</w:t>
            </w:r>
          </w:p>
        </w:tc>
        <w:tc>
          <w:tcPr>
            <w:tcW w:w="3087" w:type="dxa"/>
          </w:tcPr>
          <w:p w14:paraId="258837B6" w14:textId="45500188" w:rsidR="00281527" w:rsidRPr="002627F2" w:rsidRDefault="00281527" w:rsidP="00311028">
            <w:pPr>
              <w:pStyle w:val="Tabletext"/>
            </w:pPr>
            <w:r w:rsidRPr="002627F2">
              <w:lastRenderedPageBreak/>
              <w:t>1.2</w:t>
            </w:r>
            <w:r w:rsidRPr="002627F2">
              <w:tab/>
              <w:t>En las relaciones de tráfico en las que sea posible tomar como base los estudios sobre costes efectuados por el CCITT, la tasa de distribución se podrá también determinar con arreglo al siguiente método:</w:t>
            </w:r>
          </w:p>
          <w:p w14:paraId="75CE0A78" w14:textId="4CD1B1B6" w:rsidR="00281527" w:rsidRPr="002627F2" w:rsidRDefault="00281527" w:rsidP="00311028">
            <w:pPr>
              <w:pStyle w:val="Tabletext"/>
              <w:tabs>
                <w:tab w:val="left" w:pos="568"/>
              </w:tabs>
              <w:ind w:left="568" w:hanging="568"/>
            </w:pPr>
            <w:r w:rsidRPr="002627F2">
              <w:rPr>
                <w:i/>
                <w:iCs/>
              </w:rPr>
              <w:t>a)</w:t>
            </w:r>
            <w:r w:rsidRPr="002627F2">
              <w:tab/>
              <w:t>las administraciones</w:t>
            </w:r>
            <w:r w:rsidR="00F951E8" w:rsidRPr="002627F2">
              <w:t>*</w:t>
            </w:r>
            <w:r w:rsidRPr="002627F2">
              <w:t xml:space="preserve"> establecerán y revisarán sus partes alícuotas terminales y de tránsito teniendo en cuenta las Recomendaciones del</w:t>
            </w:r>
            <w:r w:rsidR="00F951E8" w:rsidRPr="002627F2">
              <w:t> </w:t>
            </w:r>
            <w:r w:rsidRPr="002627F2">
              <w:t>CCITT;</w:t>
            </w:r>
          </w:p>
          <w:p w14:paraId="1FD69872" w14:textId="262805A0" w:rsidR="00281527" w:rsidRPr="002627F2" w:rsidRDefault="00281527" w:rsidP="00F951E8">
            <w:pPr>
              <w:pStyle w:val="Tabletext"/>
              <w:keepNext/>
              <w:keepLines/>
              <w:tabs>
                <w:tab w:val="left" w:pos="568"/>
              </w:tabs>
              <w:ind w:left="567" w:hanging="567"/>
            </w:pPr>
            <w:r w:rsidRPr="002627F2">
              <w:rPr>
                <w:i/>
                <w:iCs/>
              </w:rPr>
              <w:lastRenderedPageBreak/>
              <w:t>b)</w:t>
            </w:r>
            <w:r w:rsidRPr="002627F2">
              <w:tab/>
              <w:t>la tasa de distribución será la suma de las partes alícuotas terminales y de las partes alícuotas de tránsito, si las hubiere.</w:t>
            </w:r>
          </w:p>
        </w:tc>
        <w:tc>
          <w:tcPr>
            <w:tcW w:w="2209" w:type="dxa"/>
          </w:tcPr>
          <w:p w14:paraId="06A2FD99" w14:textId="3AA784BD" w:rsidR="00281527" w:rsidRPr="002627F2" w:rsidRDefault="00281527" w:rsidP="00F951E8">
            <w:pPr>
              <w:pStyle w:val="Tabletext"/>
              <w:rPr>
                <w:b/>
                <w:bCs/>
              </w:rPr>
            </w:pPr>
            <w:r w:rsidRPr="002627F2">
              <w:rPr>
                <w:b/>
                <w:bCs/>
              </w:rPr>
              <w:lastRenderedPageBreak/>
              <w:t>El texto es aplicable</w:t>
            </w:r>
            <w:r w:rsidR="00F951E8" w:rsidRPr="002627F2">
              <w:rPr>
                <w:b/>
                <w:bCs/>
              </w:rPr>
              <w:t>.</w:t>
            </w:r>
          </w:p>
        </w:tc>
        <w:tc>
          <w:tcPr>
            <w:tcW w:w="1984" w:type="dxa"/>
          </w:tcPr>
          <w:p w14:paraId="35E78231" w14:textId="479C1124" w:rsidR="00281527" w:rsidRPr="002627F2" w:rsidRDefault="00281527" w:rsidP="00F951E8">
            <w:pPr>
              <w:pStyle w:val="Tabletext"/>
              <w:rPr>
                <w:b/>
                <w:bCs/>
              </w:rPr>
            </w:pPr>
            <w:r w:rsidRPr="002627F2">
              <w:rPr>
                <w:b/>
                <w:bCs/>
              </w:rPr>
              <w:t>Específica para el sistema de tasas de distribución</w:t>
            </w:r>
            <w:r w:rsidR="00F951E8" w:rsidRPr="002627F2">
              <w:rPr>
                <w:b/>
                <w:bCs/>
              </w:rPr>
              <w:t>.</w:t>
            </w:r>
          </w:p>
        </w:tc>
        <w:tc>
          <w:tcPr>
            <w:tcW w:w="1990" w:type="dxa"/>
          </w:tcPr>
          <w:p w14:paraId="0D7A60B4" w14:textId="77777777" w:rsidR="00281527" w:rsidRPr="002627F2" w:rsidRDefault="00281527" w:rsidP="00F951E8">
            <w:pPr>
              <w:pStyle w:val="Tabletext"/>
              <w:rPr>
                <w:b/>
                <w:bCs/>
              </w:rPr>
            </w:pPr>
          </w:p>
        </w:tc>
      </w:tr>
      <w:tr w:rsidR="00281527" w:rsidRPr="002627F2" w14:paraId="6F4C2C28" w14:textId="77777777" w:rsidTr="001D440E">
        <w:trPr>
          <w:jc w:val="center"/>
        </w:trPr>
        <w:tc>
          <w:tcPr>
            <w:tcW w:w="2102" w:type="dxa"/>
            <w:vMerge/>
            <w:vAlign w:val="center"/>
          </w:tcPr>
          <w:p w14:paraId="6B9EC09A" w14:textId="77777777" w:rsidR="00281527" w:rsidRPr="002627F2" w:rsidRDefault="00281527" w:rsidP="005B5523">
            <w:pPr>
              <w:keepNext/>
              <w:keepLines/>
              <w:snapToGrid w:val="0"/>
              <w:spacing w:before="360" w:after="120"/>
              <w:jc w:val="center"/>
              <w:rPr>
                <w:rFonts w:asciiTheme="majorBidi" w:hAnsiTheme="majorBidi" w:cstheme="majorBidi"/>
                <w:b/>
              </w:rPr>
            </w:pPr>
          </w:p>
        </w:tc>
        <w:tc>
          <w:tcPr>
            <w:tcW w:w="3087" w:type="dxa"/>
          </w:tcPr>
          <w:p w14:paraId="444FB833" w14:textId="65C23235" w:rsidR="00281527" w:rsidRPr="002627F2" w:rsidRDefault="00281527" w:rsidP="005B5523">
            <w:pPr>
              <w:pStyle w:val="Tabletext"/>
              <w:keepNext/>
              <w:keepLines/>
            </w:pPr>
            <w:r w:rsidRPr="002627F2">
              <w:t>1.3</w:t>
            </w:r>
            <w:r w:rsidRPr="002627F2">
              <w:tab/>
              <w:t xml:space="preserve">Cuando una o varias empresas de explotación autorizadas hayan adquirido, por remuneración a tanto alzado o por cualquier otro medio, el derecho a utilizar una parte de los circuitos y/o de las instalaciones de otra empresa de explotación autorizada, tendrán derecho a establecer, de conformidad con lo dispuesto en los § 1.1 y 1.2 </w:t>
            </w:r>
            <w:r w:rsidRPr="002627F2">
              <w:rPr>
                <w:i/>
                <w:iCs/>
              </w:rPr>
              <w:t>supra</w:t>
            </w:r>
            <w:r w:rsidRPr="002627F2">
              <w:t>, su parte alícuota por la utilización de esta parte del enlace.</w:t>
            </w:r>
          </w:p>
        </w:tc>
        <w:tc>
          <w:tcPr>
            <w:tcW w:w="3087" w:type="dxa"/>
          </w:tcPr>
          <w:p w14:paraId="41E9A33C" w14:textId="18F28C1D" w:rsidR="00281527" w:rsidRPr="002627F2" w:rsidRDefault="00281527" w:rsidP="005B5523">
            <w:pPr>
              <w:pStyle w:val="Tabletext"/>
              <w:keepNext/>
              <w:keepLines/>
            </w:pPr>
            <w:r w:rsidRPr="002627F2">
              <w:t>1.3</w:t>
            </w:r>
            <w:r w:rsidRPr="002627F2">
              <w:tab/>
              <w:t>Cuando una o varias administraciones</w:t>
            </w:r>
            <w:r w:rsidR="00F951E8" w:rsidRPr="002627F2">
              <w:t>*</w:t>
            </w:r>
            <w:r w:rsidRPr="002627F2">
              <w:t xml:space="preserve"> hayan adquirido, por remuneración a tanto alzado o por cualquier otro medio, el derecho a utilizar una parte de los circuitos o de las instalaciones de otra administración</w:t>
            </w:r>
            <w:r w:rsidR="00F951E8" w:rsidRPr="002627F2">
              <w:t>*</w:t>
            </w:r>
            <w:r w:rsidRPr="002627F2">
              <w:t xml:space="preserve">, tendrán derecho a establecer, de conformidad con lo dispuesto en los § 1.1 y 1.2 </w:t>
            </w:r>
            <w:r w:rsidRPr="002627F2">
              <w:rPr>
                <w:i/>
                <w:iCs/>
              </w:rPr>
              <w:t>supra</w:t>
            </w:r>
            <w:r w:rsidRPr="002627F2">
              <w:t>, su parte alícuota por la utilización de esta parte del enlace.</w:t>
            </w:r>
          </w:p>
        </w:tc>
        <w:tc>
          <w:tcPr>
            <w:tcW w:w="2209" w:type="dxa"/>
          </w:tcPr>
          <w:p w14:paraId="3B28087E" w14:textId="2E78C0CA" w:rsidR="00281527" w:rsidRPr="002627F2" w:rsidRDefault="00281527" w:rsidP="00F951E8">
            <w:pPr>
              <w:pStyle w:val="Tabletext"/>
              <w:rPr>
                <w:b/>
                <w:bCs/>
              </w:rPr>
            </w:pPr>
            <w:r w:rsidRPr="002627F2">
              <w:rPr>
                <w:b/>
                <w:bCs/>
              </w:rPr>
              <w:t>El texto es aplicable</w:t>
            </w:r>
            <w:r w:rsidR="00F951E8" w:rsidRPr="002627F2">
              <w:rPr>
                <w:b/>
                <w:bCs/>
              </w:rPr>
              <w:t>.</w:t>
            </w:r>
          </w:p>
        </w:tc>
        <w:tc>
          <w:tcPr>
            <w:tcW w:w="1984" w:type="dxa"/>
          </w:tcPr>
          <w:p w14:paraId="09DA9F7F" w14:textId="6988BE8D" w:rsidR="00281527" w:rsidRPr="002627F2" w:rsidRDefault="00281527" w:rsidP="00F951E8">
            <w:pPr>
              <w:pStyle w:val="Tabletext"/>
              <w:rPr>
                <w:b/>
                <w:bCs/>
              </w:rPr>
            </w:pPr>
            <w:r w:rsidRPr="002627F2">
              <w:rPr>
                <w:b/>
                <w:bCs/>
              </w:rPr>
              <w:t>El texto es flexible</w:t>
            </w:r>
            <w:r w:rsidR="00F951E8" w:rsidRPr="002627F2">
              <w:rPr>
                <w:b/>
                <w:bCs/>
              </w:rPr>
              <w:t>.</w:t>
            </w:r>
          </w:p>
        </w:tc>
        <w:tc>
          <w:tcPr>
            <w:tcW w:w="1990" w:type="dxa"/>
          </w:tcPr>
          <w:p w14:paraId="232576D2" w14:textId="77777777" w:rsidR="00281527" w:rsidRPr="002627F2" w:rsidRDefault="00281527" w:rsidP="00F951E8">
            <w:pPr>
              <w:pStyle w:val="Tabletext"/>
              <w:rPr>
                <w:b/>
                <w:bCs/>
              </w:rPr>
            </w:pPr>
          </w:p>
        </w:tc>
      </w:tr>
      <w:tr w:rsidR="00281527" w:rsidRPr="002627F2" w14:paraId="12E52E69" w14:textId="77777777" w:rsidTr="001D440E">
        <w:trPr>
          <w:jc w:val="center"/>
        </w:trPr>
        <w:tc>
          <w:tcPr>
            <w:tcW w:w="2102" w:type="dxa"/>
            <w:vMerge/>
            <w:vAlign w:val="center"/>
          </w:tcPr>
          <w:p w14:paraId="5846DA83" w14:textId="77777777" w:rsidR="00281527" w:rsidRPr="002627F2" w:rsidRDefault="00281527" w:rsidP="005B5523">
            <w:pPr>
              <w:snapToGrid w:val="0"/>
              <w:spacing w:before="360" w:after="120"/>
              <w:jc w:val="center"/>
              <w:rPr>
                <w:rFonts w:asciiTheme="majorBidi" w:hAnsiTheme="majorBidi" w:cstheme="majorBidi"/>
                <w:b/>
              </w:rPr>
            </w:pPr>
          </w:p>
        </w:tc>
        <w:tc>
          <w:tcPr>
            <w:tcW w:w="3087" w:type="dxa"/>
          </w:tcPr>
          <w:p w14:paraId="10AD395F" w14:textId="0D5FFC26" w:rsidR="00281527" w:rsidRPr="002627F2" w:rsidRDefault="00281527" w:rsidP="00F951E8">
            <w:pPr>
              <w:pStyle w:val="Tabletext"/>
              <w:keepNext/>
              <w:keepLines/>
            </w:pPr>
            <w:r w:rsidRPr="002627F2">
              <w:t>1.4</w:t>
            </w:r>
            <w:r w:rsidRPr="002627F2">
              <w:tab/>
              <w:t>En caso de que varias empresas de explotación autorizadas hayan acordado una o más rutas internacionales, si la empresa de explotación autorizada de origen desvía unilateralmente el tráfico por una ruta internacional que no haya sido convenida con la empresa de explotación autorizada de destino, las partes alícuotas terminales pagaderas a la empresa de explotación autorizada de destino serán las que se adeudarían si el tráfico se hubiese encaminado por la ruta primaria acordada, corriendo por cuenta de la empresa de explotación autorizada de origen los gastos de tránsito, a menos que la empresa de explotación autorizada de destino esté dispuesta a aceptar una parte alícuota diferente.</w:t>
            </w:r>
          </w:p>
        </w:tc>
        <w:tc>
          <w:tcPr>
            <w:tcW w:w="3087" w:type="dxa"/>
          </w:tcPr>
          <w:p w14:paraId="77CB35B7" w14:textId="45B44D75" w:rsidR="00281527" w:rsidRPr="002627F2" w:rsidRDefault="00281527" w:rsidP="00F951E8">
            <w:pPr>
              <w:pStyle w:val="Tabletext"/>
              <w:keepNext/>
              <w:keepLines/>
            </w:pPr>
            <w:r w:rsidRPr="002627F2">
              <w:t>1.4</w:t>
            </w:r>
            <w:r w:rsidRPr="002627F2">
              <w:tab/>
              <w:t>En caso de que varias administraciones</w:t>
            </w:r>
            <w:r w:rsidR="00F951E8" w:rsidRPr="002627F2">
              <w:t>*</w:t>
            </w:r>
            <w:r w:rsidRPr="002627F2">
              <w:t xml:space="preserve"> hayan acordado una o más rutas, si la administración</w:t>
            </w:r>
            <w:r w:rsidR="00F951E8" w:rsidRPr="002627F2">
              <w:t>*</w:t>
            </w:r>
            <w:r w:rsidRPr="002627F2">
              <w:t xml:space="preserve"> de origen desvía unilateralmente el tráfico por una ruta que no haya sido convenida con la administración de destino, las partes alícuotas terminales pagaderas a la administración</w:t>
            </w:r>
            <w:r w:rsidR="00F951E8" w:rsidRPr="002627F2">
              <w:t>*</w:t>
            </w:r>
            <w:r w:rsidRPr="002627F2">
              <w:t xml:space="preserve"> de destino serán las que se adeudarían si el tráfico se hubiese encaminado por la ruta primaria que ha sido objeto de un acuerdo, corriendo por cuenta de la administración</w:t>
            </w:r>
            <w:r w:rsidR="00F951E8" w:rsidRPr="002627F2">
              <w:t>*</w:t>
            </w:r>
            <w:r w:rsidRPr="002627F2">
              <w:t xml:space="preserve"> de origen los gastos de tránsito, a menos que la administración</w:t>
            </w:r>
            <w:r w:rsidR="00F951E8" w:rsidRPr="002627F2">
              <w:t>*</w:t>
            </w:r>
            <w:r w:rsidRPr="002627F2">
              <w:t xml:space="preserve"> de destino esté dispuesta a aceptar una parte alícuota diferente.</w:t>
            </w:r>
          </w:p>
        </w:tc>
        <w:tc>
          <w:tcPr>
            <w:tcW w:w="2209" w:type="dxa"/>
          </w:tcPr>
          <w:p w14:paraId="49D89AA7" w14:textId="1AAD08F0" w:rsidR="00281527" w:rsidRPr="002627F2" w:rsidRDefault="00281527" w:rsidP="00F951E8">
            <w:pPr>
              <w:pStyle w:val="Tabletext"/>
              <w:keepNext/>
              <w:keepLines/>
              <w:rPr>
                <w:b/>
                <w:bCs/>
              </w:rPr>
            </w:pPr>
            <w:r w:rsidRPr="002627F2">
              <w:rPr>
                <w:b/>
                <w:bCs/>
              </w:rPr>
              <w:t>El texto es aplicable</w:t>
            </w:r>
            <w:r w:rsidR="001D440E" w:rsidRPr="002627F2">
              <w:rPr>
                <w:b/>
                <w:bCs/>
              </w:rPr>
              <w:t>.</w:t>
            </w:r>
          </w:p>
        </w:tc>
        <w:tc>
          <w:tcPr>
            <w:tcW w:w="1984" w:type="dxa"/>
          </w:tcPr>
          <w:p w14:paraId="15B1C52C" w14:textId="7B3C8E50" w:rsidR="00281527" w:rsidRPr="002627F2" w:rsidRDefault="00281527" w:rsidP="00F951E8">
            <w:pPr>
              <w:pStyle w:val="Tabletext"/>
              <w:keepNext/>
              <w:keepLines/>
              <w:rPr>
                <w:b/>
                <w:bCs/>
              </w:rPr>
            </w:pPr>
            <w:r w:rsidRPr="002627F2">
              <w:rPr>
                <w:b/>
                <w:bCs/>
              </w:rPr>
              <w:t>Específica para el sistema de tasas de distribución</w:t>
            </w:r>
            <w:r w:rsidR="001D440E" w:rsidRPr="002627F2">
              <w:rPr>
                <w:b/>
                <w:bCs/>
              </w:rPr>
              <w:t>.</w:t>
            </w:r>
          </w:p>
        </w:tc>
        <w:tc>
          <w:tcPr>
            <w:tcW w:w="1990" w:type="dxa"/>
          </w:tcPr>
          <w:p w14:paraId="5FE5EDEB" w14:textId="77777777" w:rsidR="00281527" w:rsidRPr="002627F2" w:rsidRDefault="00281527" w:rsidP="00F951E8">
            <w:pPr>
              <w:pStyle w:val="Tabletext"/>
              <w:keepNext/>
              <w:keepLines/>
              <w:rPr>
                <w:b/>
                <w:bCs/>
              </w:rPr>
            </w:pPr>
          </w:p>
        </w:tc>
      </w:tr>
      <w:tr w:rsidR="00281527" w:rsidRPr="002627F2" w14:paraId="7F4667F7" w14:textId="77777777" w:rsidTr="001D440E">
        <w:trPr>
          <w:jc w:val="center"/>
        </w:trPr>
        <w:tc>
          <w:tcPr>
            <w:tcW w:w="2102" w:type="dxa"/>
            <w:vMerge/>
            <w:vAlign w:val="center"/>
          </w:tcPr>
          <w:p w14:paraId="7D32240B" w14:textId="77777777" w:rsidR="00281527" w:rsidRPr="002627F2" w:rsidRDefault="00281527" w:rsidP="00130A31">
            <w:pPr>
              <w:snapToGrid w:val="0"/>
              <w:spacing w:before="360" w:after="120"/>
              <w:jc w:val="center"/>
              <w:rPr>
                <w:rFonts w:asciiTheme="majorBidi" w:hAnsiTheme="majorBidi" w:cstheme="majorBidi"/>
                <w:b/>
              </w:rPr>
            </w:pPr>
          </w:p>
        </w:tc>
        <w:tc>
          <w:tcPr>
            <w:tcW w:w="3087" w:type="dxa"/>
          </w:tcPr>
          <w:p w14:paraId="079DB927" w14:textId="1C6B8F0B" w:rsidR="00281527" w:rsidRPr="002627F2" w:rsidRDefault="00281527" w:rsidP="00130A31">
            <w:pPr>
              <w:pStyle w:val="Tabletext"/>
            </w:pPr>
            <w:r w:rsidRPr="002627F2">
              <w:t>1.5</w:t>
            </w:r>
            <w:r w:rsidRPr="002627F2">
              <w:tab/>
              <w:t>Cuando el tráfico sea encaminado por un punto de tránsito sin autorización o acuerdo sobre el importe de la parte alícuota de tránsito, la empresa de explotación autorizada de tránsito tendrá derecho a establecer el importe de la parte alícuota de tránsito que se ha de incluir en las cuentas internacionales.</w:t>
            </w:r>
          </w:p>
        </w:tc>
        <w:tc>
          <w:tcPr>
            <w:tcW w:w="3087" w:type="dxa"/>
          </w:tcPr>
          <w:p w14:paraId="26597B52" w14:textId="5E99A43F" w:rsidR="00281527" w:rsidRPr="002627F2" w:rsidRDefault="00281527" w:rsidP="00311028">
            <w:pPr>
              <w:pStyle w:val="Tabletext"/>
            </w:pPr>
            <w:r w:rsidRPr="002627F2">
              <w:t>1.5</w:t>
            </w:r>
            <w:r w:rsidRPr="002627F2">
              <w:tab/>
              <w:t>Cuando el tráfico sea encaminado por un centro de tránsito sin autorización o acuerdo sobre el importe de la parte alícuota de tránsito, la administración</w:t>
            </w:r>
            <w:r w:rsidR="00F951E8" w:rsidRPr="002627F2">
              <w:t>*</w:t>
            </w:r>
            <w:r w:rsidRPr="002627F2">
              <w:t xml:space="preserve"> de tránsito tendrá derecho a establecer el importe de la parte alícuota de tránsito que se ha de incluir en las cuentas internacionales.</w:t>
            </w:r>
          </w:p>
        </w:tc>
        <w:tc>
          <w:tcPr>
            <w:tcW w:w="2209" w:type="dxa"/>
          </w:tcPr>
          <w:p w14:paraId="51DCBDA6" w14:textId="248FE869" w:rsidR="00281527" w:rsidRPr="002627F2" w:rsidRDefault="00281527" w:rsidP="00F951E8">
            <w:pPr>
              <w:pStyle w:val="Tabletext"/>
              <w:keepNext/>
              <w:keepLines/>
              <w:rPr>
                <w:b/>
                <w:bCs/>
              </w:rPr>
            </w:pPr>
            <w:r w:rsidRPr="002627F2">
              <w:rPr>
                <w:b/>
                <w:bCs/>
              </w:rPr>
              <w:t>El texto es aplicable</w:t>
            </w:r>
            <w:r w:rsidR="00F951E8" w:rsidRPr="002627F2">
              <w:rPr>
                <w:b/>
                <w:bCs/>
              </w:rPr>
              <w:t>.</w:t>
            </w:r>
          </w:p>
        </w:tc>
        <w:tc>
          <w:tcPr>
            <w:tcW w:w="1984" w:type="dxa"/>
          </w:tcPr>
          <w:p w14:paraId="1C646060" w14:textId="3FD3D8AA" w:rsidR="00281527" w:rsidRPr="002627F2" w:rsidRDefault="00281527" w:rsidP="00F951E8">
            <w:pPr>
              <w:pStyle w:val="Tabletext"/>
              <w:keepNext/>
              <w:keepLines/>
              <w:rPr>
                <w:b/>
                <w:bCs/>
              </w:rPr>
            </w:pPr>
            <w:r w:rsidRPr="002627F2">
              <w:rPr>
                <w:b/>
                <w:bCs/>
              </w:rPr>
              <w:t>Específica para el sistema de tasas de distribución</w:t>
            </w:r>
            <w:r w:rsidR="00F951E8" w:rsidRPr="002627F2">
              <w:rPr>
                <w:b/>
                <w:bCs/>
              </w:rPr>
              <w:t>.</w:t>
            </w:r>
          </w:p>
        </w:tc>
        <w:tc>
          <w:tcPr>
            <w:tcW w:w="1990" w:type="dxa"/>
          </w:tcPr>
          <w:p w14:paraId="51D1F8E6" w14:textId="77777777" w:rsidR="00281527" w:rsidRPr="002627F2" w:rsidRDefault="00281527" w:rsidP="00F951E8">
            <w:pPr>
              <w:pStyle w:val="Tabletext"/>
              <w:keepNext/>
              <w:keepLines/>
              <w:rPr>
                <w:b/>
                <w:bCs/>
              </w:rPr>
            </w:pPr>
          </w:p>
        </w:tc>
      </w:tr>
      <w:tr w:rsidR="00281527" w:rsidRPr="002627F2" w14:paraId="53F0029F" w14:textId="77777777" w:rsidTr="001D440E">
        <w:trPr>
          <w:jc w:val="center"/>
        </w:trPr>
        <w:tc>
          <w:tcPr>
            <w:tcW w:w="2102" w:type="dxa"/>
            <w:vMerge/>
            <w:vAlign w:val="center"/>
          </w:tcPr>
          <w:p w14:paraId="4B0F7BD2" w14:textId="77777777" w:rsidR="00281527" w:rsidRPr="002627F2" w:rsidRDefault="00281527" w:rsidP="00130A31">
            <w:pPr>
              <w:snapToGrid w:val="0"/>
              <w:spacing w:before="360" w:after="120"/>
              <w:jc w:val="center"/>
              <w:rPr>
                <w:rFonts w:asciiTheme="majorBidi" w:hAnsiTheme="majorBidi" w:cstheme="majorBidi"/>
                <w:b/>
              </w:rPr>
            </w:pPr>
          </w:p>
        </w:tc>
        <w:tc>
          <w:tcPr>
            <w:tcW w:w="3087" w:type="dxa"/>
            <w:tcBorders>
              <w:bottom w:val="nil"/>
            </w:tcBorders>
          </w:tcPr>
          <w:p w14:paraId="307C1E98" w14:textId="72140EF7" w:rsidR="00281527" w:rsidRPr="002627F2" w:rsidRDefault="00281527" w:rsidP="005B5523">
            <w:pPr>
              <w:pStyle w:val="Tabletext"/>
              <w:keepNext/>
              <w:keepLines/>
            </w:pPr>
            <w:r w:rsidRPr="002627F2">
              <w:t>1.6</w:t>
            </w:r>
            <w:r w:rsidRPr="002627F2">
              <w:tab/>
              <w:t>Cuando una empresa de explotación autorizada esté sujeta a un impuesto o una tasa fiscal sobre las partes alícuotas de distribución u otras remuneraciones que le correspondan, no deberá a su vez deducir tal impuesto o tasa fiscal de las otras empresas de explotación autorizadas.</w:t>
            </w:r>
          </w:p>
        </w:tc>
        <w:tc>
          <w:tcPr>
            <w:tcW w:w="3087" w:type="dxa"/>
            <w:tcBorders>
              <w:bottom w:val="nil"/>
            </w:tcBorders>
          </w:tcPr>
          <w:p w14:paraId="524D0C7D" w14:textId="65784E1C" w:rsidR="00281527" w:rsidRPr="002627F2" w:rsidRDefault="00281527" w:rsidP="005B5523">
            <w:pPr>
              <w:pStyle w:val="Tabletext"/>
              <w:keepNext/>
              <w:keepLines/>
            </w:pPr>
            <w:r w:rsidRPr="002627F2">
              <w:t>1.6</w:t>
            </w:r>
            <w:r w:rsidRPr="002627F2">
              <w:tab/>
              <w:t>Cuando una administración</w:t>
            </w:r>
            <w:r w:rsidR="00683C03" w:rsidRPr="002627F2">
              <w:t>*</w:t>
            </w:r>
            <w:r w:rsidRPr="002627F2">
              <w:t xml:space="preserve"> esté sujeta a un impuesto o una tasa fiscal sobre las partes alícuotas de distribución u otras remuneraciones que le correspondan, no deberá a su vez deducir tal impuesto o tasa fiscal de las otras administraciones</w:t>
            </w:r>
            <w:r w:rsidR="00683C03" w:rsidRPr="002627F2">
              <w:t>*</w:t>
            </w:r>
            <w:r w:rsidRPr="002627F2">
              <w:t>.</w:t>
            </w:r>
          </w:p>
        </w:tc>
        <w:tc>
          <w:tcPr>
            <w:tcW w:w="2209" w:type="dxa"/>
            <w:tcBorders>
              <w:bottom w:val="nil"/>
            </w:tcBorders>
          </w:tcPr>
          <w:p w14:paraId="70E4F78A" w14:textId="3D2BC767" w:rsidR="00281527" w:rsidRPr="002627F2" w:rsidRDefault="00281527" w:rsidP="00F951E8">
            <w:pPr>
              <w:pStyle w:val="Tabletext"/>
              <w:keepNext/>
              <w:keepLines/>
              <w:rPr>
                <w:b/>
                <w:bCs/>
              </w:rPr>
            </w:pPr>
            <w:r w:rsidRPr="002627F2">
              <w:rPr>
                <w:b/>
                <w:bCs/>
              </w:rPr>
              <w:t>Aplicable al sistema de tasas de distribución</w:t>
            </w:r>
            <w:r w:rsidR="00F951E8" w:rsidRPr="002627F2">
              <w:rPr>
                <w:b/>
                <w:bCs/>
              </w:rPr>
              <w:t>.</w:t>
            </w:r>
          </w:p>
        </w:tc>
        <w:tc>
          <w:tcPr>
            <w:tcW w:w="1984" w:type="dxa"/>
            <w:tcBorders>
              <w:bottom w:val="nil"/>
            </w:tcBorders>
          </w:tcPr>
          <w:p w14:paraId="1AF96B10" w14:textId="538D857F" w:rsidR="00281527" w:rsidRPr="002627F2" w:rsidRDefault="00281527" w:rsidP="00F951E8">
            <w:pPr>
              <w:pStyle w:val="Tabletext"/>
              <w:keepNext/>
              <w:keepLines/>
              <w:rPr>
                <w:b/>
                <w:bCs/>
              </w:rPr>
            </w:pPr>
            <w:r w:rsidRPr="002627F2">
              <w:rPr>
                <w:b/>
                <w:bCs/>
              </w:rPr>
              <w:t>Específica para el sistema de tasas de distribución</w:t>
            </w:r>
            <w:r w:rsidR="00F951E8" w:rsidRPr="002627F2">
              <w:rPr>
                <w:b/>
                <w:bCs/>
              </w:rPr>
              <w:t>.</w:t>
            </w:r>
          </w:p>
        </w:tc>
        <w:tc>
          <w:tcPr>
            <w:tcW w:w="1990" w:type="dxa"/>
            <w:tcBorders>
              <w:bottom w:val="nil"/>
            </w:tcBorders>
          </w:tcPr>
          <w:p w14:paraId="6D8CF716" w14:textId="77777777" w:rsidR="00281527" w:rsidRPr="002627F2" w:rsidRDefault="00281527" w:rsidP="00F951E8">
            <w:pPr>
              <w:pStyle w:val="Tabletext"/>
              <w:keepNext/>
              <w:keepLines/>
              <w:rPr>
                <w:b/>
                <w:bCs/>
              </w:rPr>
            </w:pPr>
          </w:p>
        </w:tc>
      </w:tr>
      <w:tr w:rsidR="00281527" w:rsidRPr="002627F2" w14:paraId="7D467E81" w14:textId="77777777" w:rsidTr="001D440E">
        <w:trPr>
          <w:jc w:val="center"/>
        </w:trPr>
        <w:tc>
          <w:tcPr>
            <w:tcW w:w="2102" w:type="dxa"/>
            <w:vMerge/>
            <w:vAlign w:val="center"/>
          </w:tcPr>
          <w:p w14:paraId="39A182E0" w14:textId="77777777" w:rsidR="00281527" w:rsidRPr="002627F2" w:rsidRDefault="00281527" w:rsidP="00130A31">
            <w:pPr>
              <w:snapToGrid w:val="0"/>
              <w:spacing w:before="360" w:after="120"/>
              <w:jc w:val="center"/>
              <w:rPr>
                <w:rFonts w:asciiTheme="majorBidi" w:hAnsiTheme="majorBidi" w:cstheme="majorBidi"/>
                <w:b/>
              </w:rPr>
            </w:pPr>
          </w:p>
        </w:tc>
        <w:tc>
          <w:tcPr>
            <w:tcW w:w="3087" w:type="dxa"/>
            <w:tcBorders>
              <w:top w:val="nil"/>
              <w:bottom w:val="nil"/>
            </w:tcBorders>
          </w:tcPr>
          <w:p w14:paraId="0426A18C" w14:textId="470E7C09" w:rsidR="00281527" w:rsidRPr="002627F2" w:rsidRDefault="00281527" w:rsidP="00130A31">
            <w:pPr>
              <w:pStyle w:val="Tabletext"/>
              <w:rPr>
                <w:b/>
                <w:bCs/>
              </w:rPr>
            </w:pPr>
          </w:p>
        </w:tc>
        <w:tc>
          <w:tcPr>
            <w:tcW w:w="3087" w:type="dxa"/>
            <w:tcBorders>
              <w:top w:val="nil"/>
              <w:bottom w:val="nil"/>
            </w:tcBorders>
          </w:tcPr>
          <w:p w14:paraId="591026FD" w14:textId="2AE45590" w:rsidR="00281527" w:rsidRPr="002627F2" w:rsidRDefault="00281527" w:rsidP="00311028">
            <w:pPr>
              <w:pStyle w:val="Tabletext"/>
              <w:rPr>
                <w:b/>
                <w:bCs/>
              </w:rPr>
            </w:pPr>
          </w:p>
        </w:tc>
        <w:tc>
          <w:tcPr>
            <w:tcW w:w="2209" w:type="dxa"/>
            <w:tcBorders>
              <w:top w:val="nil"/>
              <w:bottom w:val="nil"/>
            </w:tcBorders>
          </w:tcPr>
          <w:p w14:paraId="5BB49B6A" w14:textId="77777777" w:rsidR="00281527" w:rsidRPr="002627F2" w:rsidRDefault="00281527" w:rsidP="00F951E8">
            <w:pPr>
              <w:pStyle w:val="Tabletext"/>
              <w:keepNext/>
              <w:keepLines/>
              <w:rPr>
                <w:b/>
                <w:bCs/>
              </w:rPr>
            </w:pPr>
          </w:p>
        </w:tc>
        <w:tc>
          <w:tcPr>
            <w:tcW w:w="1984" w:type="dxa"/>
            <w:tcBorders>
              <w:top w:val="nil"/>
              <w:bottom w:val="nil"/>
            </w:tcBorders>
          </w:tcPr>
          <w:p w14:paraId="3ABB13BD" w14:textId="77777777" w:rsidR="00281527" w:rsidRPr="002627F2" w:rsidRDefault="00281527" w:rsidP="00F951E8">
            <w:pPr>
              <w:pStyle w:val="Tabletext"/>
              <w:keepNext/>
              <w:keepLines/>
              <w:rPr>
                <w:b/>
                <w:bCs/>
              </w:rPr>
            </w:pPr>
          </w:p>
        </w:tc>
        <w:tc>
          <w:tcPr>
            <w:tcW w:w="1990" w:type="dxa"/>
            <w:tcBorders>
              <w:top w:val="nil"/>
              <w:bottom w:val="nil"/>
            </w:tcBorders>
          </w:tcPr>
          <w:p w14:paraId="35F11885" w14:textId="77777777" w:rsidR="00281527" w:rsidRPr="002627F2" w:rsidRDefault="00281527" w:rsidP="00F951E8">
            <w:pPr>
              <w:pStyle w:val="Tabletext"/>
              <w:keepNext/>
              <w:keepLines/>
              <w:rPr>
                <w:b/>
                <w:bCs/>
              </w:rPr>
            </w:pPr>
          </w:p>
        </w:tc>
      </w:tr>
      <w:tr w:rsidR="0069717A" w:rsidRPr="002627F2" w14:paraId="5E4BFFCE" w14:textId="77777777" w:rsidTr="001D440E">
        <w:trPr>
          <w:jc w:val="center"/>
        </w:trPr>
        <w:tc>
          <w:tcPr>
            <w:tcW w:w="2102" w:type="dxa"/>
            <w:vMerge/>
            <w:vAlign w:val="center"/>
          </w:tcPr>
          <w:p w14:paraId="4135C609" w14:textId="77777777" w:rsidR="0069717A" w:rsidRPr="002627F2" w:rsidRDefault="0069717A" w:rsidP="00130A31">
            <w:pPr>
              <w:snapToGrid w:val="0"/>
              <w:spacing w:before="360" w:after="120"/>
              <w:jc w:val="center"/>
              <w:rPr>
                <w:rFonts w:asciiTheme="majorBidi" w:hAnsiTheme="majorBidi" w:cstheme="majorBidi"/>
                <w:b/>
              </w:rPr>
            </w:pPr>
          </w:p>
        </w:tc>
        <w:tc>
          <w:tcPr>
            <w:tcW w:w="3087" w:type="dxa"/>
            <w:tcBorders>
              <w:top w:val="nil"/>
              <w:bottom w:val="nil"/>
            </w:tcBorders>
            <w:vAlign w:val="center"/>
          </w:tcPr>
          <w:p w14:paraId="46FB2ED2" w14:textId="77777777" w:rsidR="0069717A" w:rsidRPr="002627F2" w:rsidRDefault="0069717A" w:rsidP="000F144F">
            <w:pPr>
              <w:pStyle w:val="Tabletext"/>
              <w:keepNext/>
              <w:keepLines/>
            </w:pPr>
          </w:p>
        </w:tc>
        <w:tc>
          <w:tcPr>
            <w:tcW w:w="3087" w:type="dxa"/>
            <w:tcBorders>
              <w:top w:val="nil"/>
              <w:bottom w:val="nil"/>
            </w:tcBorders>
          </w:tcPr>
          <w:p w14:paraId="2D40092E" w14:textId="77777777" w:rsidR="0069717A" w:rsidRPr="002627F2" w:rsidRDefault="0069717A" w:rsidP="00311028">
            <w:pPr>
              <w:pStyle w:val="Tabletext"/>
            </w:pPr>
          </w:p>
        </w:tc>
        <w:tc>
          <w:tcPr>
            <w:tcW w:w="2209" w:type="dxa"/>
            <w:tcBorders>
              <w:top w:val="nil"/>
              <w:bottom w:val="nil"/>
            </w:tcBorders>
          </w:tcPr>
          <w:p w14:paraId="0CACE9DA" w14:textId="77777777" w:rsidR="0069717A" w:rsidRPr="002627F2" w:rsidRDefault="0069717A" w:rsidP="00F951E8">
            <w:pPr>
              <w:pStyle w:val="Tabletext"/>
              <w:keepNext/>
              <w:keepLines/>
              <w:rPr>
                <w:b/>
                <w:bCs/>
              </w:rPr>
            </w:pPr>
          </w:p>
        </w:tc>
        <w:tc>
          <w:tcPr>
            <w:tcW w:w="1984" w:type="dxa"/>
            <w:tcBorders>
              <w:top w:val="nil"/>
              <w:bottom w:val="nil"/>
            </w:tcBorders>
          </w:tcPr>
          <w:p w14:paraId="60941640" w14:textId="77777777" w:rsidR="0069717A" w:rsidRPr="002627F2" w:rsidRDefault="0069717A" w:rsidP="00F951E8">
            <w:pPr>
              <w:pStyle w:val="Tabletext"/>
              <w:keepNext/>
              <w:keepLines/>
              <w:rPr>
                <w:b/>
                <w:bCs/>
              </w:rPr>
            </w:pPr>
          </w:p>
        </w:tc>
        <w:tc>
          <w:tcPr>
            <w:tcW w:w="1990" w:type="dxa"/>
            <w:tcBorders>
              <w:top w:val="nil"/>
              <w:bottom w:val="nil"/>
            </w:tcBorders>
          </w:tcPr>
          <w:p w14:paraId="2C268F16" w14:textId="77777777" w:rsidR="0069717A" w:rsidRPr="002627F2" w:rsidRDefault="0069717A" w:rsidP="00F951E8">
            <w:pPr>
              <w:pStyle w:val="Tabletext"/>
              <w:keepNext/>
              <w:keepLines/>
              <w:rPr>
                <w:b/>
                <w:bCs/>
              </w:rPr>
            </w:pPr>
          </w:p>
        </w:tc>
      </w:tr>
      <w:tr w:rsidR="0069717A" w:rsidRPr="002627F2" w14:paraId="549E1044" w14:textId="77777777" w:rsidTr="001D440E">
        <w:trPr>
          <w:jc w:val="center"/>
        </w:trPr>
        <w:tc>
          <w:tcPr>
            <w:tcW w:w="2102" w:type="dxa"/>
            <w:vMerge/>
            <w:vAlign w:val="center"/>
          </w:tcPr>
          <w:p w14:paraId="7BD0F363" w14:textId="77777777" w:rsidR="0069717A" w:rsidRPr="002627F2" w:rsidRDefault="0069717A" w:rsidP="00130A31">
            <w:pPr>
              <w:snapToGrid w:val="0"/>
              <w:spacing w:before="360" w:after="120"/>
              <w:jc w:val="center"/>
              <w:rPr>
                <w:rFonts w:asciiTheme="majorBidi" w:hAnsiTheme="majorBidi" w:cstheme="majorBidi"/>
                <w:b/>
              </w:rPr>
            </w:pPr>
          </w:p>
        </w:tc>
        <w:tc>
          <w:tcPr>
            <w:tcW w:w="3087" w:type="dxa"/>
            <w:tcBorders>
              <w:top w:val="nil"/>
              <w:bottom w:val="nil"/>
            </w:tcBorders>
            <w:vAlign w:val="center"/>
          </w:tcPr>
          <w:p w14:paraId="1A160DE2" w14:textId="1C3AA4F1" w:rsidR="0069717A" w:rsidRPr="002627F2" w:rsidRDefault="0069717A" w:rsidP="000F144F">
            <w:pPr>
              <w:pStyle w:val="Tabletext"/>
              <w:keepNext/>
              <w:keepLines/>
            </w:pPr>
          </w:p>
        </w:tc>
        <w:tc>
          <w:tcPr>
            <w:tcW w:w="3087" w:type="dxa"/>
            <w:tcBorders>
              <w:top w:val="nil"/>
              <w:bottom w:val="nil"/>
            </w:tcBorders>
          </w:tcPr>
          <w:p w14:paraId="5B1F66C0" w14:textId="5EF30DFD" w:rsidR="0069717A" w:rsidRPr="002627F2" w:rsidRDefault="0069717A" w:rsidP="00311028">
            <w:pPr>
              <w:pStyle w:val="Tabletext"/>
            </w:pPr>
          </w:p>
        </w:tc>
        <w:tc>
          <w:tcPr>
            <w:tcW w:w="2209" w:type="dxa"/>
            <w:tcBorders>
              <w:top w:val="nil"/>
              <w:bottom w:val="nil"/>
            </w:tcBorders>
          </w:tcPr>
          <w:p w14:paraId="5EB5B0CF" w14:textId="77777777" w:rsidR="0069717A" w:rsidRPr="002627F2" w:rsidRDefault="0069717A" w:rsidP="00F951E8">
            <w:pPr>
              <w:pStyle w:val="Tabletext"/>
              <w:keepNext/>
              <w:keepLines/>
              <w:rPr>
                <w:b/>
                <w:bCs/>
              </w:rPr>
            </w:pPr>
          </w:p>
        </w:tc>
        <w:tc>
          <w:tcPr>
            <w:tcW w:w="1984" w:type="dxa"/>
            <w:tcBorders>
              <w:top w:val="nil"/>
              <w:bottom w:val="nil"/>
            </w:tcBorders>
          </w:tcPr>
          <w:p w14:paraId="7B4CE5F7" w14:textId="77777777" w:rsidR="0069717A" w:rsidRPr="002627F2" w:rsidRDefault="0069717A" w:rsidP="00F951E8">
            <w:pPr>
              <w:pStyle w:val="Tabletext"/>
              <w:keepNext/>
              <w:keepLines/>
              <w:rPr>
                <w:b/>
                <w:bCs/>
              </w:rPr>
            </w:pPr>
          </w:p>
        </w:tc>
        <w:tc>
          <w:tcPr>
            <w:tcW w:w="1990" w:type="dxa"/>
            <w:tcBorders>
              <w:top w:val="nil"/>
              <w:bottom w:val="nil"/>
            </w:tcBorders>
          </w:tcPr>
          <w:p w14:paraId="501F1CBB" w14:textId="77777777" w:rsidR="0069717A" w:rsidRPr="002627F2" w:rsidRDefault="0069717A" w:rsidP="00F951E8">
            <w:pPr>
              <w:pStyle w:val="Tabletext"/>
              <w:keepNext/>
              <w:keepLines/>
              <w:rPr>
                <w:b/>
                <w:bCs/>
              </w:rPr>
            </w:pPr>
          </w:p>
        </w:tc>
      </w:tr>
      <w:tr w:rsidR="0069717A" w:rsidRPr="002627F2" w14:paraId="2BA6692B" w14:textId="77777777" w:rsidTr="001D440E">
        <w:trPr>
          <w:jc w:val="center"/>
        </w:trPr>
        <w:tc>
          <w:tcPr>
            <w:tcW w:w="2102" w:type="dxa"/>
            <w:vMerge/>
            <w:vAlign w:val="center"/>
          </w:tcPr>
          <w:p w14:paraId="1C92B5C0" w14:textId="77777777" w:rsidR="0069717A" w:rsidRPr="002627F2" w:rsidRDefault="0069717A" w:rsidP="00130A31">
            <w:pPr>
              <w:snapToGrid w:val="0"/>
              <w:spacing w:before="360" w:after="120"/>
              <w:jc w:val="center"/>
              <w:rPr>
                <w:rFonts w:asciiTheme="majorBidi" w:hAnsiTheme="majorBidi" w:cstheme="majorBidi"/>
                <w:b/>
              </w:rPr>
            </w:pPr>
          </w:p>
        </w:tc>
        <w:tc>
          <w:tcPr>
            <w:tcW w:w="3087" w:type="dxa"/>
            <w:tcBorders>
              <w:top w:val="nil"/>
            </w:tcBorders>
            <w:vAlign w:val="center"/>
          </w:tcPr>
          <w:p w14:paraId="43535832" w14:textId="381C2A88" w:rsidR="0069717A" w:rsidRPr="002627F2" w:rsidRDefault="0069717A" w:rsidP="000F144F">
            <w:pPr>
              <w:pStyle w:val="Tabletext"/>
              <w:keepNext/>
              <w:keepLines/>
            </w:pPr>
          </w:p>
        </w:tc>
        <w:tc>
          <w:tcPr>
            <w:tcW w:w="3087" w:type="dxa"/>
            <w:tcBorders>
              <w:top w:val="nil"/>
            </w:tcBorders>
          </w:tcPr>
          <w:p w14:paraId="6F6B6102" w14:textId="668B6435" w:rsidR="0069717A" w:rsidRPr="002627F2" w:rsidRDefault="0069717A" w:rsidP="00311028">
            <w:pPr>
              <w:pStyle w:val="Tabletext"/>
            </w:pPr>
          </w:p>
        </w:tc>
        <w:tc>
          <w:tcPr>
            <w:tcW w:w="2209" w:type="dxa"/>
            <w:tcBorders>
              <w:top w:val="nil"/>
            </w:tcBorders>
          </w:tcPr>
          <w:p w14:paraId="05758AAF" w14:textId="77777777" w:rsidR="0069717A" w:rsidRPr="002627F2" w:rsidRDefault="0069717A" w:rsidP="00F951E8">
            <w:pPr>
              <w:pStyle w:val="Tabletext"/>
              <w:keepNext/>
              <w:keepLines/>
              <w:rPr>
                <w:b/>
                <w:bCs/>
              </w:rPr>
            </w:pPr>
          </w:p>
        </w:tc>
        <w:tc>
          <w:tcPr>
            <w:tcW w:w="1984" w:type="dxa"/>
            <w:tcBorders>
              <w:top w:val="nil"/>
            </w:tcBorders>
          </w:tcPr>
          <w:p w14:paraId="0955FFEB" w14:textId="77777777" w:rsidR="0069717A" w:rsidRPr="002627F2" w:rsidRDefault="0069717A" w:rsidP="00F951E8">
            <w:pPr>
              <w:pStyle w:val="Tabletext"/>
              <w:keepNext/>
              <w:keepLines/>
              <w:rPr>
                <w:b/>
                <w:bCs/>
              </w:rPr>
            </w:pPr>
          </w:p>
        </w:tc>
        <w:tc>
          <w:tcPr>
            <w:tcW w:w="1990" w:type="dxa"/>
            <w:tcBorders>
              <w:top w:val="nil"/>
            </w:tcBorders>
          </w:tcPr>
          <w:p w14:paraId="43479185" w14:textId="77777777" w:rsidR="0069717A" w:rsidRPr="002627F2" w:rsidRDefault="0069717A" w:rsidP="00F951E8">
            <w:pPr>
              <w:pStyle w:val="Tabletext"/>
              <w:keepNext/>
              <w:keepLines/>
              <w:rPr>
                <w:b/>
                <w:bCs/>
              </w:rPr>
            </w:pPr>
          </w:p>
        </w:tc>
      </w:tr>
      <w:tr w:rsidR="0069717A" w:rsidRPr="002627F2" w14:paraId="1920ABC7" w14:textId="77777777" w:rsidTr="001D440E">
        <w:trPr>
          <w:jc w:val="center"/>
        </w:trPr>
        <w:tc>
          <w:tcPr>
            <w:tcW w:w="2102" w:type="dxa"/>
            <w:vMerge/>
            <w:vAlign w:val="center"/>
          </w:tcPr>
          <w:p w14:paraId="787B5A22" w14:textId="77777777" w:rsidR="0069717A" w:rsidRPr="002627F2" w:rsidRDefault="0069717A" w:rsidP="00130A31">
            <w:pPr>
              <w:snapToGrid w:val="0"/>
              <w:spacing w:before="360" w:after="120"/>
              <w:jc w:val="center"/>
              <w:rPr>
                <w:rFonts w:asciiTheme="majorBidi" w:hAnsiTheme="majorBidi" w:cstheme="majorBidi"/>
                <w:b/>
              </w:rPr>
            </w:pPr>
          </w:p>
        </w:tc>
        <w:tc>
          <w:tcPr>
            <w:tcW w:w="3087" w:type="dxa"/>
            <w:vAlign w:val="center"/>
          </w:tcPr>
          <w:p w14:paraId="2F3DC11D" w14:textId="2B987CA6" w:rsidR="0069717A" w:rsidRPr="002627F2" w:rsidRDefault="0069717A" w:rsidP="000F144F">
            <w:pPr>
              <w:pStyle w:val="Tabletext"/>
              <w:keepNext/>
              <w:keepLines/>
            </w:pPr>
            <w:r w:rsidRPr="002627F2">
              <w:rPr>
                <w:b/>
                <w:bCs/>
              </w:rPr>
              <w:t>2</w:t>
            </w:r>
            <w:r w:rsidRPr="002627F2">
              <w:rPr>
                <w:b/>
                <w:bCs/>
              </w:rPr>
              <w:tab/>
              <w:t>Establecimiento de las cuentas</w:t>
            </w:r>
          </w:p>
        </w:tc>
        <w:tc>
          <w:tcPr>
            <w:tcW w:w="3087" w:type="dxa"/>
          </w:tcPr>
          <w:p w14:paraId="6F264BA0" w14:textId="0C902D2F" w:rsidR="0069717A" w:rsidRPr="002627F2" w:rsidRDefault="0069717A" w:rsidP="00311028">
            <w:pPr>
              <w:pStyle w:val="Tabletext"/>
            </w:pPr>
            <w:r w:rsidRPr="002627F2">
              <w:rPr>
                <w:b/>
                <w:bCs/>
              </w:rPr>
              <w:t>2</w:t>
            </w:r>
            <w:r w:rsidRPr="002627F2">
              <w:rPr>
                <w:b/>
                <w:bCs/>
              </w:rPr>
              <w:tab/>
              <w:t>Establecimiento de las cuentas</w:t>
            </w:r>
          </w:p>
        </w:tc>
        <w:tc>
          <w:tcPr>
            <w:tcW w:w="2209" w:type="dxa"/>
          </w:tcPr>
          <w:p w14:paraId="2B302E04" w14:textId="77777777" w:rsidR="0069717A" w:rsidRPr="002627F2" w:rsidRDefault="0069717A" w:rsidP="00F951E8">
            <w:pPr>
              <w:pStyle w:val="Tabletext"/>
              <w:keepNext/>
              <w:keepLines/>
              <w:rPr>
                <w:b/>
                <w:bCs/>
              </w:rPr>
            </w:pPr>
          </w:p>
        </w:tc>
        <w:tc>
          <w:tcPr>
            <w:tcW w:w="1984" w:type="dxa"/>
          </w:tcPr>
          <w:p w14:paraId="726210B7" w14:textId="77777777" w:rsidR="0069717A" w:rsidRPr="002627F2" w:rsidRDefault="0069717A" w:rsidP="00F951E8">
            <w:pPr>
              <w:pStyle w:val="Tabletext"/>
              <w:keepNext/>
              <w:keepLines/>
              <w:rPr>
                <w:b/>
                <w:bCs/>
              </w:rPr>
            </w:pPr>
          </w:p>
        </w:tc>
        <w:tc>
          <w:tcPr>
            <w:tcW w:w="1990" w:type="dxa"/>
          </w:tcPr>
          <w:p w14:paraId="37281E56" w14:textId="77777777" w:rsidR="0069717A" w:rsidRPr="002627F2" w:rsidRDefault="0069717A" w:rsidP="00F951E8">
            <w:pPr>
              <w:pStyle w:val="Tabletext"/>
              <w:keepNext/>
              <w:keepLines/>
              <w:rPr>
                <w:b/>
                <w:bCs/>
              </w:rPr>
            </w:pPr>
          </w:p>
        </w:tc>
      </w:tr>
      <w:tr w:rsidR="00281527" w:rsidRPr="002627F2" w14:paraId="287715D3" w14:textId="77777777" w:rsidTr="001D440E">
        <w:trPr>
          <w:jc w:val="center"/>
        </w:trPr>
        <w:tc>
          <w:tcPr>
            <w:tcW w:w="2102" w:type="dxa"/>
            <w:vMerge/>
            <w:vAlign w:val="center"/>
          </w:tcPr>
          <w:p w14:paraId="1470130D" w14:textId="77777777" w:rsidR="00281527" w:rsidRPr="002627F2" w:rsidRDefault="00281527" w:rsidP="00130A31">
            <w:pPr>
              <w:snapToGrid w:val="0"/>
              <w:spacing w:before="360" w:after="120"/>
              <w:jc w:val="center"/>
              <w:rPr>
                <w:rFonts w:asciiTheme="majorBidi" w:hAnsiTheme="majorBidi" w:cstheme="majorBidi"/>
                <w:b/>
              </w:rPr>
            </w:pPr>
          </w:p>
        </w:tc>
        <w:tc>
          <w:tcPr>
            <w:tcW w:w="3087" w:type="dxa"/>
            <w:vAlign w:val="center"/>
          </w:tcPr>
          <w:p w14:paraId="151617EC" w14:textId="19FB12D8" w:rsidR="00281527" w:rsidRPr="002627F2" w:rsidRDefault="00281527" w:rsidP="000F144F">
            <w:pPr>
              <w:pStyle w:val="Tabletext"/>
              <w:keepNext/>
              <w:keepLines/>
            </w:pPr>
            <w:r w:rsidRPr="002627F2">
              <w:t>2.1</w:t>
            </w:r>
            <w:r w:rsidRPr="002627F2">
              <w:tab/>
              <w:t>A menos que se acuerde otra cosa, las empresas de explotación autorizadas encargadas de la percepción de las tasas establecerán y transmitirán a las empresas de explotación autorizadas interesadas una cuenta mensual con todas las sumas adeudadas.</w:t>
            </w:r>
          </w:p>
        </w:tc>
        <w:tc>
          <w:tcPr>
            <w:tcW w:w="3087" w:type="dxa"/>
          </w:tcPr>
          <w:p w14:paraId="28243A19" w14:textId="7427B6F9" w:rsidR="00281527" w:rsidRPr="002627F2" w:rsidRDefault="00281527" w:rsidP="00311028">
            <w:pPr>
              <w:pStyle w:val="Tabletext"/>
            </w:pPr>
            <w:r w:rsidRPr="002627F2">
              <w:t>2.1</w:t>
            </w:r>
            <w:r w:rsidRPr="002627F2">
              <w:tab/>
              <w:t>En defecto de acuerdo especial, la administración</w:t>
            </w:r>
            <w:r w:rsidR="00683C03" w:rsidRPr="002627F2">
              <w:t>*</w:t>
            </w:r>
            <w:r w:rsidRPr="002627F2">
              <w:t xml:space="preserve"> encargada de la percepción de las tasas establecerá y transmitirá a las administraciones</w:t>
            </w:r>
            <w:r w:rsidR="00683C03" w:rsidRPr="002627F2">
              <w:t>*</w:t>
            </w:r>
            <w:r w:rsidRPr="002627F2">
              <w:t xml:space="preserve"> interesadas una cuenta mensual con todas las sumas adeudadas.</w:t>
            </w:r>
          </w:p>
        </w:tc>
        <w:tc>
          <w:tcPr>
            <w:tcW w:w="2209" w:type="dxa"/>
          </w:tcPr>
          <w:p w14:paraId="10D588C2" w14:textId="7747331F" w:rsidR="00281527" w:rsidRPr="002627F2" w:rsidRDefault="00281527" w:rsidP="00F951E8">
            <w:pPr>
              <w:pStyle w:val="Tabletext"/>
              <w:keepNext/>
              <w:keepLines/>
              <w:rPr>
                <w:b/>
                <w:bCs/>
              </w:rPr>
            </w:pPr>
            <w:r w:rsidRPr="002627F2">
              <w:rPr>
                <w:b/>
                <w:bCs/>
              </w:rPr>
              <w:t>El texto es aplicable</w:t>
            </w:r>
            <w:r w:rsidR="00F951E8" w:rsidRPr="002627F2">
              <w:rPr>
                <w:b/>
                <w:bCs/>
              </w:rPr>
              <w:t>.</w:t>
            </w:r>
          </w:p>
        </w:tc>
        <w:tc>
          <w:tcPr>
            <w:tcW w:w="1984" w:type="dxa"/>
          </w:tcPr>
          <w:p w14:paraId="6AEC2C60" w14:textId="0181323D" w:rsidR="00281527" w:rsidRPr="002627F2" w:rsidRDefault="00281527" w:rsidP="00F951E8">
            <w:pPr>
              <w:pStyle w:val="Tabletext"/>
              <w:keepNext/>
              <w:keepLines/>
              <w:rPr>
                <w:b/>
                <w:bCs/>
              </w:rPr>
            </w:pPr>
            <w:r w:rsidRPr="002627F2">
              <w:rPr>
                <w:b/>
                <w:bCs/>
              </w:rPr>
              <w:t>Flexible ya que da cabida a acuerdos</w:t>
            </w:r>
            <w:r w:rsidR="00F951E8" w:rsidRPr="002627F2">
              <w:rPr>
                <w:b/>
                <w:bCs/>
              </w:rPr>
              <w:t>.</w:t>
            </w:r>
          </w:p>
        </w:tc>
        <w:tc>
          <w:tcPr>
            <w:tcW w:w="1990" w:type="dxa"/>
          </w:tcPr>
          <w:p w14:paraId="016F5E08" w14:textId="77777777" w:rsidR="00281527" w:rsidRPr="002627F2" w:rsidRDefault="00281527" w:rsidP="00F951E8">
            <w:pPr>
              <w:pStyle w:val="Tabletext"/>
              <w:keepNext/>
              <w:keepLines/>
              <w:rPr>
                <w:b/>
                <w:bCs/>
              </w:rPr>
            </w:pPr>
          </w:p>
        </w:tc>
      </w:tr>
      <w:tr w:rsidR="00281527" w:rsidRPr="002627F2" w14:paraId="3D52CC06" w14:textId="77777777" w:rsidTr="001D440E">
        <w:trPr>
          <w:jc w:val="center"/>
        </w:trPr>
        <w:tc>
          <w:tcPr>
            <w:tcW w:w="2102" w:type="dxa"/>
            <w:vMerge/>
            <w:vAlign w:val="center"/>
          </w:tcPr>
          <w:p w14:paraId="7B8D0CFA" w14:textId="77777777" w:rsidR="00281527" w:rsidRPr="002627F2" w:rsidRDefault="00281527" w:rsidP="00130A31">
            <w:pPr>
              <w:snapToGrid w:val="0"/>
              <w:spacing w:before="360" w:after="120"/>
              <w:jc w:val="center"/>
              <w:rPr>
                <w:rFonts w:asciiTheme="majorBidi" w:hAnsiTheme="majorBidi" w:cstheme="majorBidi"/>
                <w:b/>
              </w:rPr>
            </w:pPr>
          </w:p>
        </w:tc>
        <w:tc>
          <w:tcPr>
            <w:tcW w:w="3087" w:type="dxa"/>
            <w:vAlign w:val="center"/>
          </w:tcPr>
          <w:p w14:paraId="103BBF54" w14:textId="6D1E6AA5" w:rsidR="00281527" w:rsidRPr="002627F2" w:rsidRDefault="00281527" w:rsidP="00130A31">
            <w:pPr>
              <w:pStyle w:val="Tabletext"/>
            </w:pPr>
            <w:r w:rsidRPr="002627F2">
              <w:t>2.2</w:t>
            </w:r>
            <w:r w:rsidRPr="002627F2">
              <w:tab/>
              <w:t>Las cuentas deben enviarse en el plazo más breve posible, teniendo en cuenta las Recomendaciones UIT-T pertinentes, y, salvo en caso de fuerza mayor, antes de la expiración de un periodo de 50 días después del mes al que la cuenta se refiera, a menos que se haya acordado otra cosa.</w:t>
            </w:r>
          </w:p>
        </w:tc>
        <w:tc>
          <w:tcPr>
            <w:tcW w:w="3087" w:type="dxa"/>
          </w:tcPr>
          <w:p w14:paraId="5F27A74C" w14:textId="325E959C" w:rsidR="00281527" w:rsidRPr="002627F2" w:rsidRDefault="00281527" w:rsidP="00311028">
            <w:pPr>
              <w:pStyle w:val="Tabletext"/>
            </w:pPr>
            <w:r w:rsidRPr="002627F2">
              <w:t>2.2</w:t>
            </w:r>
            <w:r w:rsidRPr="002627F2">
              <w:tab/>
              <w:t>Las cuentas se enviarán en el plazo más breve posible y, salvo en caso de fuerza mayor, antes de la expiración del tercer mes siguiente a aquél al que la cuenta se refiera.</w:t>
            </w:r>
          </w:p>
        </w:tc>
        <w:tc>
          <w:tcPr>
            <w:tcW w:w="2209" w:type="dxa"/>
          </w:tcPr>
          <w:p w14:paraId="0F49E7C7" w14:textId="47372A15" w:rsidR="00281527" w:rsidRPr="002627F2" w:rsidRDefault="00281527" w:rsidP="00683C03">
            <w:pPr>
              <w:pStyle w:val="Tabletext"/>
              <w:keepNext/>
              <w:keepLines/>
              <w:rPr>
                <w:b/>
                <w:bCs/>
              </w:rPr>
            </w:pPr>
            <w:r w:rsidRPr="002627F2">
              <w:rPr>
                <w:b/>
                <w:bCs/>
              </w:rPr>
              <w:t>Aplicable e importante para el sistema de tasas de distribución</w:t>
            </w:r>
            <w:r w:rsidR="00683C03" w:rsidRPr="002627F2">
              <w:rPr>
                <w:b/>
                <w:bCs/>
              </w:rPr>
              <w:t>.</w:t>
            </w:r>
          </w:p>
        </w:tc>
        <w:tc>
          <w:tcPr>
            <w:tcW w:w="1984" w:type="dxa"/>
          </w:tcPr>
          <w:p w14:paraId="214D769E" w14:textId="2A564537" w:rsidR="00281527" w:rsidRPr="002627F2" w:rsidRDefault="00281527" w:rsidP="00683C03">
            <w:pPr>
              <w:pStyle w:val="Tabletext"/>
              <w:keepNext/>
              <w:keepLines/>
              <w:rPr>
                <w:b/>
                <w:bCs/>
              </w:rPr>
            </w:pPr>
            <w:r w:rsidRPr="002627F2">
              <w:rPr>
                <w:b/>
                <w:bCs/>
              </w:rPr>
              <w:t>Específica para el sistema de tasas de distribución</w:t>
            </w:r>
            <w:r w:rsidR="00683C03" w:rsidRPr="002627F2">
              <w:rPr>
                <w:b/>
                <w:bCs/>
              </w:rPr>
              <w:t>.</w:t>
            </w:r>
          </w:p>
        </w:tc>
        <w:tc>
          <w:tcPr>
            <w:tcW w:w="1990" w:type="dxa"/>
            <w:vAlign w:val="center"/>
          </w:tcPr>
          <w:p w14:paraId="33CC3D27" w14:textId="77777777" w:rsidR="00281527" w:rsidRPr="002627F2" w:rsidRDefault="00281527" w:rsidP="00683C03">
            <w:pPr>
              <w:pStyle w:val="Tabletext"/>
              <w:keepNext/>
              <w:keepLines/>
              <w:rPr>
                <w:b/>
                <w:bCs/>
              </w:rPr>
            </w:pPr>
          </w:p>
        </w:tc>
      </w:tr>
      <w:tr w:rsidR="00281527" w:rsidRPr="002627F2" w14:paraId="2212A9F4" w14:textId="77777777" w:rsidTr="00D334DE">
        <w:trPr>
          <w:jc w:val="center"/>
        </w:trPr>
        <w:tc>
          <w:tcPr>
            <w:tcW w:w="2102" w:type="dxa"/>
            <w:vMerge/>
            <w:vAlign w:val="center"/>
          </w:tcPr>
          <w:p w14:paraId="2C69C744" w14:textId="77777777" w:rsidR="00281527" w:rsidRPr="002627F2" w:rsidRDefault="00281527" w:rsidP="00130A31">
            <w:pPr>
              <w:snapToGrid w:val="0"/>
              <w:spacing w:before="360" w:after="120"/>
              <w:jc w:val="center"/>
              <w:rPr>
                <w:rFonts w:asciiTheme="majorBidi" w:hAnsiTheme="majorBidi" w:cstheme="majorBidi"/>
                <w:b/>
              </w:rPr>
            </w:pPr>
          </w:p>
        </w:tc>
        <w:tc>
          <w:tcPr>
            <w:tcW w:w="3087" w:type="dxa"/>
          </w:tcPr>
          <w:p w14:paraId="710E414F" w14:textId="24ECC0BA" w:rsidR="00281527" w:rsidRPr="002627F2" w:rsidRDefault="00281527" w:rsidP="0069717A">
            <w:pPr>
              <w:pStyle w:val="Tabletext"/>
              <w:keepNext/>
              <w:keepLines/>
            </w:pPr>
            <w:r w:rsidRPr="002627F2">
              <w:t>2.3</w:t>
            </w:r>
            <w:r w:rsidRPr="002627F2">
              <w:tab/>
              <w:t>En principio, una cuenta se considerará aceptada sin que sea necesario notificar expresamente la aceptación a la empresa de explotación autorizada que la haya presentado</w:t>
            </w:r>
            <w:r w:rsidR="00D334DE" w:rsidRPr="002627F2">
              <w:t>.</w:t>
            </w:r>
          </w:p>
        </w:tc>
        <w:tc>
          <w:tcPr>
            <w:tcW w:w="3087" w:type="dxa"/>
          </w:tcPr>
          <w:p w14:paraId="4AEC6A16" w14:textId="47D1ED15" w:rsidR="00281527" w:rsidRPr="002627F2" w:rsidRDefault="00281527" w:rsidP="0069717A">
            <w:pPr>
              <w:pStyle w:val="Tabletext"/>
              <w:keepNext/>
              <w:keepLines/>
            </w:pPr>
            <w:r w:rsidRPr="002627F2">
              <w:t>2.3</w:t>
            </w:r>
            <w:r w:rsidRPr="002627F2">
              <w:tab/>
              <w:t>En principio, una cuenta se considerará aceptada sin que sea necesario notificar expresamente la aceptación a la administración</w:t>
            </w:r>
            <w:r w:rsidR="00683C03" w:rsidRPr="002627F2">
              <w:t>*</w:t>
            </w:r>
            <w:r w:rsidRPr="002627F2">
              <w:t xml:space="preserve"> que la haya presentado.</w:t>
            </w:r>
          </w:p>
        </w:tc>
        <w:tc>
          <w:tcPr>
            <w:tcW w:w="2209" w:type="dxa"/>
          </w:tcPr>
          <w:p w14:paraId="6AAEA787" w14:textId="6D634877" w:rsidR="00281527" w:rsidRPr="002627F2" w:rsidRDefault="00281527" w:rsidP="0069717A">
            <w:pPr>
              <w:pStyle w:val="Tabletext"/>
              <w:keepNext/>
              <w:keepLines/>
              <w:rPr>
                <w:b/>
                <w:bCs/>
              </w:rPr>
            </w:pPr>
            <w:r w:rsidRPr="002627F2">
              <w:rPr>
                <w:b/>
                <w:bCs/>
              </w:rPr>
              <w:t>El texto es aplicable</w:t>
            </w:r>
            <w:r w:rsidR="00683C03" w:rsidRPr="002627F2">
              <w:rPr>
                <w:b/>
                <w:bCs/>
              </w:rPr>
              <w:t>.</w:t>
            </w:r>
          </w:p>
        </w:tc>
        <w:tc>
          <w:tcPr>
            <w:tcW w:w="1984" w:type="dxa"/>
          </w:tcPr>
          <w:p w14:paraId="495DE891" w14:textId="14DFFAD1" w:rsidR="00281527" w:rsidRPr="002627F2" w:rsidRDefault="00281527" w:rsidP="0069717A">
            <w:pPr>
              <w:pStyle w:val="Tabletext"/>
              <w:keepNext/>
              <w:keepLines/>
              <w:rPr>
                <w:b/>
                <w:bCs/>
              </w:rPr>
            </w:pPr>
            <w:r w:rsidRPr="002627F2">
              <w:rPr>
                <w:b/>
                <w:bCs/>
              </w:rPr>
              <w:t>No se requiere flexibilidad</w:t>
            </w:r>
            <w:r w:rsidR="00683C03" w:rsidRPr="002627F2">
              <w:rPr>
                <w:b/>
                <w:bCs/>
              </w:rPr>
              <w:t>.</w:t>
            </w:r>
          </w:p>
        </w:tc>
        <w:tc>
          <w:tcPr>
            <w:tcW w:w="1990" w:type="dxa"/>
          </w:tcPr>
          <w:p w14:paraId="32AFEC8D" w14:textId="77777777" w:rsidR="00281527" w:rsidRPr="002627F2" w:rsidRDefault="00281527" w:rsidP="00D334DE">
            <w:pPr>
              <w:pStyle w:val="Tabletext"/>
              <w:keepNext/>
              <w:keepLines/>
              <w:rPr>
                <w:b/>
                <w:bCs/>
              </w:rPr>
            </w:pPr>
          </w:p>
        </w:tc>
      </w:tr>
      <w:tr w:rsidR="00281527" w:rsidRPr="002627F2" w14:paraId="1D041F0F" w14:textId="77777777" w:rsidTr="00D334DE">
        <w:trPr>
          <w:jc w:val="center"/>
        </w:trPr>
        <w:tc>
          <w:tcPr>
            <w:tcW w:w="2102" w:type="dxa"/>
            <w:vMerge/>
            <w:vAlign w:val="center"/>
          </w:tcPr>
          <w:p w14:paraId="410EA91E" w14:textId="77777777" w:rsidR="00281527" w:rsidRPr="002627F2" w:rsidRDefault="00281527" w:rsidP="00130A31">
            <w:pPr>
              <w:snapToGrid w:val="0"/>
              <w:spacing w:before="360" w:after="120"/>
              <w:jc w:val="center"/>
              <w:rPr>
                <w:rFonts w:asciiTheme="majorBidi" w:hAnsiTheme="majorBidi" w:cstheme="majorBidi"/>
                <w:b/>
              </w:rPr>
            </w:pPr>
          </w:p>
        </w:tc>
        <w:tc>
          <w:tcPr>
            <w:tcW w:w="3087" w:type="dxa"/>
          </w:tcPr>
          <w:p w14:paraId="00947B6F" w14:textId="065C1B6A" w:rsidR="00281527" w:rsidRPr="002627F2" w:rsidRDefault="00281527" w:rsidP="00683C03">
            <w:pPr>
              <w:pStyle w:val="Tabletext"/>
              <w:keepNext/>
              <w:keepLines/>
            </w:pPr>
            <w:r w:rsidRPr="002627F2">
              <w:t>2.4</w:t>
            </w:r>
            <w:r w:rsidRPr="002627F2">
              <w:tab/>
              <w:t>Sin embargo, toda empresa de explotación autorizada tendrá derecho a impugnar los elementos de una cuenta durante un periodo de dos meses naturales contados a partir de la fecha de su recepción, pero sólo en la medida necesaria para reducir las diferencias hasta límites mutuamente convenidos.</w:t>
            </w:r>
          </w:p>
        </w:tc>
        <w:tc>
          <w:tcPr>
            <w:tcW w:w="3087" w:type="dxa"/>
          </w:tcPr>
          <w:p w14:paraId="26177231" w14:textId="3B86CB6C" w:rsidR="00281527" w:rsidRPr="002627F2" w:rsidRDefault="00281527" w:rsidP="00683C03">
            <w:pPr>
              <w:pStyle w:val="Tabletext"/>
              <w:keepNext/>
              <w:keepLines/>
            </w:pPr>
            <w:r w:rsidRPr="002627F2">
              <w:t>2.4</w:t>
            </w:r>
            <w:r w:rsidRPr="002627F2">
              <w:tab/>
              <w:t>Sin embargo, toda administración</w:t>
            </w:r>
            <w:r w:rsidR="00683C03" w:rsidRPr="002627F2">
              <w:t>*</w:t>
            </w:r>
            <w:r w:rsidRPr="002627F2">
              <w:t xml:space="preserve"> tendrá derecho a impugnar los elementos de una cuenta durante un periodo de dos meses contados a partir de la fecha de su recepción, pero sólo en la medida necesaria para reducir las diferencias hasta límites mutuamente convenidos.</w:t>
            </w:r>
          </w:p>
        </w:tc>
        <w:tc>
          <w:tcPr>
            <w:tcW w:w="2209" w:type="dxa"/>
          </w:tcPr>
          <w:p w14:paraId="6C84993D" w14:textId="0D197284" w:rsidR="00281527" w:rsidRPr="002627F2" w:rsidRDefault="00281527" w:rsidP="00683C03">
            <w:pPr>
              <w:pStyle w:val="Tabletext"/>
              <w:keepNext/>
              <w:keepLines/>
              <w:rPr>
                <w:b/>
                <w:bCs/>
              </w:rPr>
            </w:pPr>
            <w:r w:rsidRPr="002627F2">
              <w:rPr>
                <w:b/>
                <w:bCs/>
              </w:rPr>
              <w:t>El texto es aplicable</w:t>
            </w:r>
            <w:r w:rsidR="00683C03" w:rsidRPr="002627F2">
              <w:rPr>
                <w:b/>
                <w:bCs/>
              </w:rPr>
              <w:t>.</w:t>
            </w:r>
          </w:p>
        </w:tc>
        <w:tc>
          <w:tcPr>
            <w:tcW w:w="1984" w:type="dxa"/>
          </w:tcPr>
          <w:p w14:paraId="35F7B864" w14:textId="7B130D28" w:rsidR="00281527" w:rsidRPr="002627F2" w:rsidRDefault="00281527" w:rsidP="00683C03">
            <w:pPr>
              <w:pStyle w:val="Tabletext"/>
              <w:keepNext/>
              <w:keepLines/>
              <w:rPr>
                <w:b/>
                <w:bCs/>
              </w:rPr>
            </w:pPr>
            <w:r w:rsidRPr="002627F2">
              <w:rPr>
                <w:b/>
                <w:bCs/>
              </w:rPr>
              <w:t>Específica para esa</w:t>
            </w:r>
            <w:r w:rsidR="00D334DE" w:rsidRPr="002627F2">
              <w:rPr>
                <w:b/>
                <w:bCs/>
              </w:rPr>
              <w:t> </w:t>
            </w:r>
            <w:r w:rsidRPr="002627F2">
              <w:rPr>
                <w:b/>
                <w:bCs/>
              </w:rPr>
              <w:t>situación</w:t>
            </w:r>
            <w:r w:rsidR="00683C03" w:rsidRPr="002627F2">
              <w:rPr>
                <w:b/>
                <w:bCs/>
              </w:rPr>
              <w:t>.</w:t>
            </w:r>
          </w:p>
        </w:tc>
        <w:tc>
          <w:tcPr>
            <w:tcW w:w="1990" w:type="dxa"/>
          </w:tcPr>
          <w:p w14:paraId="7B699849" w14:textId="77777777" w:rsidR="00281527" w:rsidRPr="002627F2" w:rsidRDefault="00281527" w:rsidP="00D334DE">
            <w:pPr>
              <w:pStyle w:val="Tabletext"/>
              <w:keepNext/>
              <w:keepLines/>
              <w:rPr>
                <w:b/>
                <w:bCs/>
              </w:rPr>
            </w:pPr>
          </w:p>
        </w:tc>
      </w:tr>
      <w:tr w:rsidR="00281527" w:rsidRPr="002627F2" w14:paraId="7CEB7C16" w14:textId="77777777" w:rsidTr="00D334DE">
        <w:trPr>
          <w:jc w:val="center"/>
        </w:trPr>
        <w:tc>
          <w:tcPr>
            <w:tcW w:w="2102" w:type="dxa"/>
            <w:vMerge/>
            <w:vAlign w:val="center"/>
          </w:tcPr>
          <w:p w14:paraId="422843B6" w14:textId="77777777" w:rsidR="00281527" w:rsidRPr="002627F2" w:rsidRDefault="00281527" w:rsidP="00130A31">
            <w:pPr>
              <w:snapToGrid w:val="0"/>
              <w:spacing w:before="360" w:after="120"/>
              <w:jc w:val="center"/>
              <w:rPr>
                <w:rFonts w:asciiTheme="majorBidi" w:hAnsiTheme="majorBidi" w:cstheme="majorBidi"/>
                <w:b/>
              </w:rPr>
            </w:pPr>
          </w:p>
        </w:tc>
        <w:tc>
          <w:tcPr>
            <w:tcW w:w="3087" w:type="dxa"/>
          </w:tcPr>
          <w:p w14:paraId="16A5F8D7" w14:textId="07770FB1" w:rsidR="00281527" w:rsidRPr="002627F2" w:rsidRDefault="00281527" w:rsidP="005B5523">
            <w:pPr>
              <w:pStyle w:val="Tabletext"/>
              <w:keepNext/>
              <w:keepLines/>
            </w:pPr>
            <w:r w:rsidRPr="002627F2">
              <w:t>2.5</w:t>
            </w:r>
            <w:r w:rsidRPr="002627F2">
              <w:tab/>
              <w:t>En las relaciones para las que no exista acuerdo especial, la empresa de explotación autorizada acreedora establecerá y expedirá en el plazo más breve posible una cuenta trimestral con los saldos de las cuentas mensuales del periodo a que dicha cuenta se refiera y la transmitirá a la empresa de explotación autorizada deudora, la cual, después de su verificación, devolverá una copia en la que habrá hecho constar su aceptación.</w:t>
            </w:r>
          </w:p>
        </w:tc>
        <w:tc>
          <w:tcPr>
            <w:tcW w:w="3087" w:type="dxa"/>
          </w:tcPr>
          <w:p w14:paraId="78481689" w14:textId="7B9B92B7" w:rsidR="00281527" w:rsidRPr="002627F2" w:rsidRDefault="00281527" w:rsidP="005B5523">
            <w:pPr>
              <w:pStyle w:val="Tabletext"/>
              <w:keepNext/>
              <w:keepLines/>
            </w:pPr>
            <w:r w:rsidRPr="002627F2">
              <w:t>2.5</w:t>
            </w:r>
            <w:r w:rsidRPr="002627F2">
              <w:tab/>
              <w:t>En las relaciones para las que no exista acuerdo especial, la administración</w:t>
            </w:r>
            <w:r w:rsidR="00683C03" w:rsidRPr="002627F2">
              <w:t>*</w:t>
            </w:r>
            <w:r w:rsidRPr="002627F2">
              <w:t xml:space="preserve"> acreedora establecerá en el plazo más breve posible una cuenta trimestral con los saldos de las cuentas mensuales del periodo a que dicha cuenta se refiera y la transmitirá por duplicado a la administración</w:t>
            </w:r>
            <w:r w:rsidR="00683C03" w:rsidRPr="002627F2">
              <w:t>*</w:t>
            </w:r>
            <w:r w:rsidRPr="002627F2">
              <w:t xml:space="preserve"> deudora, la cual, después de su verificación, devolverá uno de los ejemplares en el que habrá hecho constar su aceptación.</w:t>
            </w:r>
          </w:p>
        </w:tc>
        <w:tc>
          <w:tcPr>
            <w:tcW w:w="2209" w:type="dxa"/>
          </w:tcPr>
          <w:p w14:paraId="00957C16" w14:textId="6689C448" w:rsidR="00281527" w:rsidRPr="002627F2" w:rsidRDefault="00281527" w:rsidP="00683C03">
            <w:pPr>
              <w:pStyle w:val="Tabletext"/>
              <w:keepNext/>
              <w:keepLines/>
              <w:rPr>
                <w:b/>
                <w:bCs/>
              </w:rPr>
            </w:pPr>
            <w:r w:rsidRPr="002627F2">
              <w:rPr>
                <w:b/>
                <w:bCs/>
              </w:rPr>
              <w:t>El texto es aplicable</w:t>
            </w:r>
            <w:r w:rsidR="00683C03" w:rsidRPr="002627F2">
              <w:rPr>
                <w:b/>
                <w:bCs/>
              </w:rPr>
              <w:t>.</w:t>
            </w:r>
          </w:p>
        </w:tc>
        <w:tc>
          <w:tcPr>
            <w:tcW w:w="1984" w:type="dxa"/>
          </w:tcPr>
          <w:p w14:paraId="01C60447" w14:textId="6A7DD06D" w:rsidR="00281527" w:rsidRPr="002627F2" w:rsidRDefault="00281527" w:rsidP="00683C03">
            <w:pPr>
              <w:pStyle w:val="Tabletext"/>
              <w:keepNext/>
              <w:keepLines/>
              <w:rPr>
                <w:b/>
                <w:bCs/>
              </w:rPr>
            </w:pPr>
            <w:bookmarkStart w:id="30" w:name="lt_pId271"/>
            <w:r w:rsidRPr="002627F2">
              <w:rPr>
                <w:b/>
                <w:bCs/>
              </w:rPr>
              <w:t>Flexible ya que deja margen para los acuerdos especiales</w:t>
            </w:r>
            <w:bookmarkEnd w:id="30"/>
            <w:r w:rsidR="00683C03" w:rsidRPr="002627F2">
              <w:rPr>
                <w:b/>
                <w:bCs/>
              </w:rPr>
              <w:t>.</w:t>
            </w:r>
          </w:p>
        </w:tc>
        <w:tc>
          <w:tcPr>
            <w:tcW w:w="1990" w:type="dxa"/>
          </w:tcPr>
          <w:p w14:paraId="249ED8AF" w14:textId="77777777" w:rsidR="00281527" w:rsidRPr="002627F2" w:rsidRDefault="00281527" w:rsidP="00D334DE">
            <w:pPr>
              <w:pStyle w:val="Tabletext"/>
              <w:keepNext/>
              <w:keepLines/>
            </w:pPr>
          </w:p>
        </w:tc>
      </w:tr>
      <w:tr w:rsidR="00281527" w:rsidRPr="002627F2" w14:paraId="1B9A7CA4" w14:textId="77777777" w:rsidTr="00D334DE">
        <w:trPr>
          <w:jc w:val="center"/>
        </w:trPr>
        <w:tc>
          <w:tcPr>
            <w:tcW w:w="2102" w:type="dxa"/>
            <w:vMerge/>
            <w:vAlign w:val="center"/>
          </w:tcPr>
          <w:p w14:paraId="7104469F" w14:textId="77777777" w:rsidR="00281527" w:rsidRPr="002627F2" w:rsidRDefault="00281527" w:rsidP="00130A31">
            <w:pPr>
              <w:snapToGrid w:val="0"/>
              <w:spacing w:before="360" w:after="120"/>
              <w:jc w:val="center"/>
              <w:rPr>
                <w:rFonts w:asciiTheme="majorBidi" w:hAnsiTheme="majorBidi" w:cstheme="majorBidi"/>
                <w:b/>
              </w:rPr>
            </w:pPr>
          </w:p>
        </w:tc>
        <w:tc>
          <w:tcPr>
            <w:tcW w:w="3087" w:type="dxa"/>
            <w:tcBorders>
              <w:bottom w:val="nil"/>
            </w:tcBorders>
            <w:vAlign w:val="center"/>
          </w:tcPr>
          <w:p w14:paraId="4C163646" w14:textId="27129E25" w:rsidR="00281527" w:rsidRPr="002627F2" w:rsidRDefault="00281527" w:rsidP="0069717A">
            <w:pPr>
              <w:pStyle w:val="Tabletext"/>
              <w:keepNext/>
              <w:keepLines/>
            </w:pPr>
            <w:r w:rsidRPr="002627F2">
              <w:t>2.6</w:t>
            </w:r>
            <w:r w:rsidRPr="002627F2">
              <w:tab/>
              <w:t>En las relaciones indirectas en las que una empresa de explotación autorizada de tránsito sirva de intermediario de contabilidad entre dos puntos terminales, los Estados Miembros procurarán garantizar que las empresas de explotación autorizadas incluyan los datos de contabilidad relativos al tráfico de tránsito en la correspondiente cuenta del tráfico saliente, destinada a las empresas de explotación autorizadas que la siguen en la secuencia de encaminamiento lo antes posible, una vez recibidos esos datos de la empresa de explotación autorizada de origen, de conformidad con las Recomendaciones UIT</w:t>
            </w:r>
            <w:r w:rsidR="00683C03" w:rsidRPr="002627F2">
              <w:noBreakHyphen/>
            </w:r>
            <w:r w:rsidRPr="002627F2">
              <w:t>T pertinentes.</w:t>
            </w:r>
          </w:p>
        </w:tc>
        <w:tc>
          <w:tcPr>
            <w:tcW w:w="3087" w:type="dxa"/>
            <w:tcBorders>
              <w:bottom w:val="nil"/>
            </w:tcBorders>
          </w:tcPr>
          <w:p w14:paraId="0B2D06A8" w14:textId="08E26CBC" w:rsidR="00281527" w:rsidRPr="002627F2" w:rsidRDefault="00281527" w:rsidP="0069717A">
            <w:pPr>
              <w:pStyle w:val="Tabletext"/>
              <w:keepNext/>
              <w:keepLines/>
            </w:pPr>
            <w:r w:rsidRPr="002627F2">
              <w:t>2.6</w:t>
            </w:r>
            <w:r w:rsidRPr="002627F2">
              <w:tab/>
              <w:t>En las relaciones indirectas en las que una administración</w:t>
            </w:r>
            <w:r w:rsidR="00683C03" w:rsidRPr="002627F2">
              <w:t>*</w:t>
            </w:r>
            <w:r w:rsidRPr="002627F2">
              <w:t xml:space="preserve"> de tránsito sirva de intermediario de contabilidad entre dos puntos terminales, ésta debe incluir los datos de contabilidad relativos al tránsito en la correspondiente cuenta del tráfico saliente, destinada a las administraciones</w:t>
            </w:r>
            <w:r w:rsidR="00683C03" w:rsidRPr="002627F2">
              <w:t>*</w:t>
            </w:r>
            <w:r w:rsidRPr="002627F2">
              <w:t xml:space="preserve"> que la siguen en la secuencia de encaminamiento, en el plazo más breve posible después de recibidos esos datos de la administración</w:t>
            </w:r>
            <w:r w:rsidR="00683C03" w:rsidRPr="002627F2">
              <w:t>*</w:t>
            </w:r>
            <w:r w:rsidRPr="002627F2">
              <w:t xml:space="preserve"> de origen.</w:t>
            </w:r>
          </w:p>
        </w:tc>
        <w:tc>
          <w:tcPr>
            <w:tcW w:w="2209" w:type="dxa"/>
            <w:tcBorders>
              <w:bottom w:val="nil"/>
            </w:tcBorders>
          </w:tcPr>
          <w:p w14:paraId="59650BBC" w14:textId="46F8B51A" w:rsidR="00281527" w:rsidRPr="002627F2" w:rsidRDefault="00281527" w:rsidP="0069717A">
            <w:pPr>
              <w:pStyle w:val="Tabletext"/>
              <w:keepNext/>
              <w:keepLines/>
              <w:rPr>
                <w:b/>
                <w:bCs/>
              </w:rPr>
            </w:pPr>
            <w:bookmarkStart w:id="31" w:name="lt_pId279"/>
            <w:r w:rsidRPr="002627F2">
              <w:rPr>
                <w:b/>
                <w:bCs/>
              </w:rPr>
              <w:t>Aplicable ya que se refiere a las Recomendaciones UIT-T</w:t>
            </w:r>
            <w:bookmarkEnd w:id="31"/>
            <w:r w:rsidR="00683C03" w:rsidRPr="002627F2">
              <w:rPr>
                <w:b/>
                <w:bCs/>
              </w:rPr>
              <w:t>.</w:t>
            </w:r>
          </w:p>
        </w:tc>
        <w:tc>
          <w:tcPr>
            <w:tcW w:w="1984" w:type="dxa"/>
            <w:tcBorders>
              <w:bottom w:val="nil"/>
            </w:tcBorders>
          </w:tcPr>
          <w:p w14:paraId="148007B0" w14:textId="4E488CDF" w:rsidR="00281527" w:rsidRPr="002627F2" w:rsidRDefault="00281527" w:rsidP="0069717A">
            <w:pPr>
              <w:pStyle w:val="Tabletext"/>
              <w:keepNext/>
              <w:keepLines/>
              <w:rPr>
                <w:b/>
                <w:bCs/>
              </w:rPr>
            </w:pPr>
            <w:r w:rsidRPr="002627F2">
              <w:rPr>
                <w:b/>
                <w:bCs/>
              </w:rPr>
              <w:t>No se requiere flexibilidad</w:t>
            </w:r>
            <w:r w:rsidR="00683C03" w:rsidRPr="002627F2">
              <w:rPr>
                <w:b/>
                <w:bCs/>
              </w:rPr>
              <w:t>.</w:t>
            </w:r>
          </w:p>
        </w:tc>
        <w:tc>
          <w:tcPr>
            <w:tcW w:w="1990" w:type="dxa"/>
            <w:tcBorders>
              <w:bottom w:val="nil"/>
            </w:tcBorders>
          </w:tcPr>
          <w:p w14:paraId="0EB39CFE" w14:textId="77777777" w:rsidR="00281527" w:rsidRPr="002627F2" w:rsidRDefault="00281527" w:rsidP="00D334DE">
            <w:pPr>
              <w:pStyle w:val="Tabletext"/>
              <w:keepNext/>
              <w:keepLines/>
            </w:pPr>
          </w:p>
        </w:tc>
      </w:tr>
      <w:tr w:rsidR="00281527" w:rsidRPr="002627F2" w14:paraId="549FC6EE" w14:textId="77777777" w:rsidTr="001D440E">
        <w:trPr>
          <w:jc w:val="center"/>
        </w:trPr>
        <w:tc>
          <w:tcPr>
            <w:tcW w:w="2102" w:type="dxa"/>
            <w:vMerge/>
            <w:tcBorders>
              <w:right w:val="single" w:sz="4" w:space="0" w:color="auto"/>
            </w:tcBorders>
            <w:vAlign w:val="center"/>
          </w:tcPr>
          <w:p w14:paraId="10AC542E" w14:textId="77777777" w:rsidR="00281527" w:rsidRPr="002627F2" w:rsidRDefault="00281527" w:rsidP="00130A31">
            <w:pPr>
              <w:snapToGrid w:val="0"/>
              <w:spacing w:before="360" w:after="120"/>
              <w:jc w:val="center"/>
              <w:rPr>
                <w:rFonts w:asciiTheme="majorBidi" w:hAnsiTheme="majorBidi" w:cstheme="majorBidi"/>
                <w:b/>
              </w:rPr>
            </w:pPr>
          </w:p>
        </w:tc>
        <w:tc>
          <w:tcPr>
            <w:tcW w:w="3087" w:type="dxa"/>
            <w:tcBorders>
              <w:top w:val="nil"/>
              <w:left w:val="single" w:sz="4" w:space="0" w:color="auto"/>
              <w:bottom w:val="nil"/>
              <w:right w:val="single" w:sz="4" w:space="0" w:color="auto"/>
            </w:tcBorders>
            <w:vAlign w:val="center"/>
          </w:tcPr>
          <w:p w14:paraId="3E262FD1" w14:textId="4328418D" w:rsidR="00281527" w:rsidRPr="002627F2" w:rsidRDefault="00281527" w:rsidP="00683C03">
            <w:pPr>
              <w:pStyle w:val="Tabletext"/>
              <w:keepNext/>
              <w:keepLines/>
            </w:pPr>
          </w:p>
        </w:tc>
        <w:tc>
          <w:tcPr>
            <w:tcW w:w="3087" w:type="dxa"/>
            <w:tcBorders>
              <w:top w:val="nil"/>
              <w:left w:val="single" w:sz="4" w:space="0" w:color="auto"/>
              <w:bottom w:val="nil"/>
              <w:right w:val="single" w:sz="4" w:space="0" w:color="auto"/>
            </w:tcBorders>
            <w:vAlign w:val="center"/>
          </w:tcPr>
          <w:p w14:paraId="5A054D3A" w14:textId="77777777" w:rsidR="00281527" w:rsidRPr="002627F2" w:rsidRDefault="00281527" w:rsidP="00683C03">
            <w:pPr>
              <w:pStyle w:val="Tabletext"/>
              <w:keepNext/>
              <w:keepLines/>
            </w:pPr>
          </w:p>
        </w:tc>
        <w:tc>
          <w:tcPr>
            <w:tcW w:w="2209" w:type="dxa"/>
            <w:tcBorders>
              <w:top w:val="nil"/>
              <w:left w:val="single" w:sz="4" w:space="0" w:color="auto"/>
              <w:bottom w:val="nil"/>
              <w:right w:val="single" w:sz="4" w:space="0" w:color="auto"/>
            </w:tcBorders>
            <w:vAlign w:val="center"/>
          </w:tcPr>
          <w:p w14:paraId="18707DEB" w14:textId="77777777" w:rsidR="00281527" w:rsidRPr="002627F2" w:rsidRDefault="00281527" w:rsidP="00683C03">
            <w:pPr>
              <w:pStyle w:val="Tabletext"/>
              <w:keepNext/>
              <w:keepLines/>
            </w:pPr>
          </w:p>
        </w:tc>
        <w:tc>
          <w:tcPr>
            <w:tcW w:w="1984" w:type="dxa"/>
            <w:tcBorders>
              <w:top w:val="nil"/>
              <w:left w:val="single" w:sz="4" w:space="0" w:color="auto"/>
              <w:bottom w:val="nil"/>
              <w:right w:val="single" w:sz="4" w:space="0" w:color="auto"/>
            </w:tcBorders>
            <w:vAlign w:val="center"/>
          </w:tcPr>
          <w:p w14:paraId="2E9B5DAA" w14:textId="77777777" w:rsidR="00281527" w:rsidRPr="002627F2" w:rsidRDefault="00281527" w:rsidP="00683C03">
            <w:pPr>
              <w:pStyle w:val="Tabletext"/>
              <w:keepNext/>
              <w:keepLines/>
            </w:pPr>
          </w:p>
        </w:tc>
        <w:tc>
          <w:tcPr>
            <w:tcW w:w="1990" w:type="dxa"/>
            <w:tcBorders>
              <w:top w:val="nil"/>
              <w:left w:val="single" w:sz="4" w:space="0" w:color="auto"/>
              <w:bottom w:val="nil"/>
              <w:right w:val="single" w:sz="4" w:space="0" w:color="auto"/>
            </w:tcBorders>
            <w:vAlign w:val="center"/>
          </w:tcPr>
          <w:p w14:paraId="19650C91" w14:textId="77777777" w:rsidR="00281527" w:rsidRPr="002627F2" w:rsidRDefault="00281527" w:rsidP="00683C03">
            <w:pPr>
              <w:pStyle w:val="Tabletext"/>
              <w:keepNext/>
              <w:keepLines/>
            </w:pPr>
          </w:p>
        </w:tc>
      </w:tr>
      <w:tr w:rsidR="000F144F" w:rsidRPr="002627F2" w14:paraId="0234C60E" w14:textId="77777777" w:rsidTr="001D440E">
        <w:trPr>
          <w:jc w:val="center"/>
        </w:trPr>
        <w:tc>
          <w:tcPr>
            <w:tcW w:w="2102" w:type="dxa"/>
            <w:vMerge/>
            <w:tcBorders>
              <w:right w:val="single" w:sz="4" w:space="0" w:color="auto"/>
            </w:tcBorders>
            <w:vAlign w:val="center"/>
          </w:tcPr>
          <w:p w14:paraId="056D15EB" w14:textId="77777777" w:rsidR="000F144F" w:rsidRPr="002627F2" w:rsidRDefault="000F144F" w:rsidP="00130A31">
            <w:pPr>
              <w:snapToGrid w:val="0"/>
              <w:spacing w:before="360" w:after="120"/>
              <w:jc w:val="center"/>
              <w:rPr>
                <w:rFonts w:asciiTheme="majorBidi" w:hAnsiTheme="majorBidi" w:cstheme="majorBidi"/>
                <w:b/>
              </w:rPr>
            </w:pPr>
          </w:p>
        </w:tc>
        <w:tc>
          <w:tcPr>
            <w:tcW w:w="3087" w:type="dxa"/>
            <w:tcBorders>
              <w:top w:val="nil"/>
              <w:left w:val="single" w:sz="4" w:space="0" w:color="auto"/>
              <w:bottom w:val="single" w:sz="4" w:space="0" w:color="auto"/>
              <w:right w:val="single" w:sz="4" w:space="0" w:color="auto"/>
            </w:tcBorders>
            <w:vAlign w:val="center"/>
          </w:tcPr>
          <w:p w14:paraId="44EE8A20" w14:textId="77777777" w:rsidR="000F144F" w:rsidRPr="002627F2" w:rsidRDefault="000F144F" w:rsidP="00683C03">
            <w:pPr>
              <w:pStyle w:val="Tabletext"/>
              <w:keepNext/>
              <w:keepLines/>
            </w:pPr>
          </w:p>
        </w:tc>
        <w:tc>
          <w:tcPr>
            <w:tcW w:w="3087" w:type="dxa"/>
            <w:tcBorders>
              <w:top w:val="nil"/>
              <w:left w:val="single" w:sz="4" w:space="0" w:color="auto"/>
              <w:bottom w:val="single" w:sz="4" w:space="0" w:color="auto"/>
              <w:right w:val="single" w:sz="4" w:space="0" w:color="auto"/>
            </w:tcBorders>
            <w:vAlign w:val="center"/>
          </w:tcPr>
          <w:p w14:paraId="0E35B87B" w14:textId="77777777" w:rsidR="000F144F" w:rsidRPr="002627F2" w:rsidRDefault="000F144F" w:rsidP="00683C03">
            <w:pPr>
              <w:pStyle w:val="Tabletext"/>
              <w:keepNext/>
              <w:keepLines/>
            </w:pPr>
          </w:p>
        </w:tc>
        <w:tc>
          <w:tcPr>
            <w:tcW w:w="2209" w:type="dxa"/>
            <w:tcBorders>
              <w:top w:val="nil"/>
              <w:left w:val="single" w:sz="4" w:space="0" w:color="auto"/>
              <w:bottom w:val="single" w:sz="4" w:space="0" w:color="auto"/>
              <w:right w:val="single" w:sz="4" w:space="0" w:color="auto"/>
            </w:tcBorders>
            <w:vAlign w:val="center"/>
          </w:tcPr>
          <w:p w14:paraId="3DF30BC5" w14:textId="77777777" w:rsidR="000F144F" w:rsidRPr="002627F2" w:rsidRDefault="000F144F" w:rsidP="00683C03">
            <w:pPr>
              <w:pStyle w:val="Tabletext"/>
              <w:keepNext/>
              <w:keepLines/>
            </w:pPr>
          </w:p>
        </w:tc>
        <w:tc>
          <w:tcPr>
            <w:tcW w:w="1984" w:type="dxa"/>
            <w:tcBorders>
              <w:top w:val="nil"/>
              <w:left w:val="single" w:sz="4" w:space="0" w:color="auto"/>
              <w:bottom w:val="single" w:sz="4" w:space="0" w:color="auto"/>
              <w:right w:val="single" w:sz="4" w:space="0" w:color="auto"/>
            </w:tcBorders>
            <w:vAlign w:val="center"/>
          </w:tcPr>
          <w:p w14:paraId="30174A2D" w14:textId="77777777" w:rsidR="000F144F" w:rsidRPr="002627F2" w:rsidRDefault="000F144F" w:rsidP="00683C03">
            <w:pPr>
              <w:pStyle w:val="Tabletext"/>
              <w:keepNext/>
              <w:keepLines/>
            </w:pPr>
          </w:p>
        </w:tc>
        <w:tc>
          <w:tcPr>
            <w:tcW w:w="1990" w:type="dxa"/>
            <w:tcBorders>
              <w:top w:val="nil"/>
              <w:left w:val="single" w:sz="4" w:space="0" w:color="auto"/>
              <w:bottom w:val="single" w:sz="4" w:space="0" w:color="auto"/>
              <w:right w:val="single" w:sz="4" w:space="0" w:color="auto"/>
            </w:tcBorders>
            <w:vAlign w:val="center"/>
          </w:tcPr>
          <w:p w14:paraId="08857060" w14:textId="77777777" w:rsidR="000F144F" w:rsidRPr="002627F2" w:rsidRDefault="000F144F" w:rsidP="00683C03">
            <w:pPr>
              <w:pStyle w:val="Tabletext"/>
              <w:keepNext/>
              <w:keepLines/>
            </w:pPr>
          </w:p>
        </w:tc>
      </w:tr>
      <w:tr w:rsidR="000F144F" w:rsidRPr="002627F2" w14:paraId="70A4EF62" w14:textId="77777777" w:rsidTr="001D440E">
        <w:trPr>
          <w:jc w:val="center"/>
        </w:trPr>
        <w:tc>
          <w:tcPr>
            <w:tcW w:w="2102" w:type="dxa"/>
            <w:vMerge/>
            <w:vAlign w:val="center"/>
          </w:tcPr>
          <w:p w14:paraId="7C64DC28" w14:textId="77777777" w:rsidR="000F144F" w:rsidRPr="002627F2" w:rsidRDefault="000F144F" w:rsidP="00130A31">
            <w:pPr>
              <w:snapToGrid w:val="0"/>
              <w:spacing w:before="360" w:after="120"/>
              <w:jc w:val="center"/>
              <w:rPr>
                <w:rFonts w:asciiTheme="majorBidi" w:hAnsiTheme="majorBidi" w:cstheme="majorBidi"/>
                <w:b/>
              </w:rPr>
            </w:pPr>
          </w:p>
        </w:tc>
        <w:tc>
          <w:tcPr>
            <w:tcW w:w="3087" w:type="dxa"/>
            <w:tcBorders>
              <w:top w:val="single" w:sz="4" w:space="0" w:color="auto"/>
            </w:tcBorders>
            <w:vAlign w:val="center"/>
          </w:tcPr>
          <w:p w14:paraId="445EEBDC" w14:textId="7A678EFE" w:rsidR="000F144F" w:rsidRPr="002627F2" w:rsidRDefault="000F144F" w:rsidP="00683C03">
            <w:pPr>
              <w:pStyle w:val="Tabletext"/>
              <w:keepNext/>
              <w:keepLines/>
              <w:rPr>
                <w:b/>
                <w:bCs/>
              </w:rPr>
            </w:pPr>
            <w:r w:rsidRPr="002627F2">
              <w:rPr>
                <w:b/>
                <w:bCs/>
              </w:rPr>
              <w:t>3</w:t>
            </w:r>
            <w:r w:rsidRPr="002627F2">
              <w:rPr>
                <w:b/>
                <w:bCs/>
              </w:rPr>
              <w:tab/>
              <w:t>Liquidación de los saldos de las cuentas</w:t>
            </w:r>
          </w:p>
        </w:tc>
        <w:tc>
          <w:tcPr>
            <w:tcW w:w="3087" w:type="dxa"/>
            <w:tcBorders>
              <w:top w:val="single" w:sz="4" w:space="0" w:color="auto"/>
            </w:tcBorders>
            <w:vAlign w:val="center"/>
          </w:tcPr>
          <w:p w14:paraId="088B1E2F" w14:textId="77777777" w:rsidR="000F144F" w:rsidRPr="002627F2" w:rsidRDefault="000F144F" w:rsidP="00683C03">
            <w:pPr>
              <w:pStyle w:val="Tabletext"/>
              <w:keepNext/>
              <w:keepLines/>
            </w:pPr>
          </w:p>
        </w:tc>
        <w:tc>
          <w:tcPr>
            <w:tcW w:w="2209" w:type="dxa"/>
            <w:tcBorders>
              <w:top w:val="single" w:sz="4" w:space="0" w:color="auto"/>
            </w:tcBorders>
            <w:vAlign w:val="center"/>
          </w:tcPr>
          <w:p w14:paraId="5C119A95" w14:textId="77777777" w:rsidR="000F144F" w:rsidRPr="002627F2" w:rsidRDefault="000F144F" w:rsidP="00683C03">
            <w:pPr>
              <w:pStyle w:val="Tabletext"/>
              <w:keepNext/>
              <w:keepLines/>
              <w:rPr>
                <w:b/>
                <w:bCs/>
              </w:rPr>
            </w:pPr>
          </w:p>
        </w:tc>
        <w:tc>
          <w:tcPr>
            <w:tcW w:w="1984" w:type="dxa"/>
            <w:tcBorders>
              <w:top w:val="single" w:sz="4" w:space="0" w:color="auto"/>
            </w:tcBorders>
            <w:vAlign w:val="center"/>
          </w:tcPr>
          <w:p w14:paraId="2A643819" w14:textId="77777777" w:rsidR="000F144F" w:rsidRPr="002627F2" w:rsidRDefault="000F144F" w:rsidP="00683C03">
            <w:pPr>
              <w:pStyle w:val="Tabletext"/>
              <w:keepNext/>
              <w:keepLines/>
              <w:rPr>
                <w:b/>
                <w:bCs/>
              </w:rPr>
            </w:pPr>
          </w:p>
        </w:tc>
        <w:tc>
          <w:tcPr>
            <w:tcW w:w="1990" w:type="dxa"/>
            <w:tcBorders>
              <w:top w:val="single" w:sz="4" w:space="0" w:color="auto"/>
            </w:tcBorders>
            <w:vAlign w:val="center"/>
          </w:tcPr>
          <w:p w14:paraId="61C8D51F" w14:textId="77777777" w:rsidR="000F144F" w:rsidRPr="002627F2" w:rsidRDefault="000F144F" w:rsidP="00683C03">
            <w:pPr>
              <w:pStyle w:val="Tabletext"/>
              <w:keepNext/>
              <w:keepLines/>
              <w:rPr>
                <w:b/>
                <w:bCs/>
              </w:rPr>
            </w:pPr>
          </w:p>
        </w:tc>
      </w:tr>
      <w:tr w:rsidR="00281527" w:rsidRPr="002627F2" w14:paraId="514BBFE9" w14:textId="77777777" w:rsidTr="001D440E">
        <w:trPr>
          <w:jc w:val="center"/>
        </w:trPr>
        <w:tc>
          <w:tcPr>
            <w:tcW w:w="2102" w:type="dxa"/>
            <w:vMerge/>
            <w:vAlign w:val="center"/>
          </w:tcPr>
          <w:p w14:paraId="109F7167" w14:textId="77777777" w:rsidR="00281527" w:rsidRPr="002627F2" w:rsidRDefault="00281527" w:rsidP="00130A31">
            <w:pPr>
              <w:snapToGrid w:val="0"/>
              <w:spacing w:before="360" w:after="120"/>
              <w:jc w:val="center"/>
              <w:rPr>
                <w:rFonts w:asciiTheme="majorBidi" w:hAnsiTheme="majorBidi" w:cstheme="majorBidi"/>
                <w:b/>
              </w:rPr>
            </w:pPr>
          </w:p>
        </w:tc>
        <w:tc>
          <w:tcPr>
            <w:tcW w:w="3087" w:type="dxa"/>
            <w:vAlign w:val="center"/>
          </w:tcPr>
          <w:p w14:paraId="4FCE4732" w14:textId="04284227" w:rsidR="00281527" w:rsidRPr="002627F2" w:rsidRDefault="00281527" w:rsidP="00683C03">
            <w:pPr>
              <w:pStyle w:val="Tabletext"/>
              <w:keepNext/>
              <w:keepLines/>
              <w:rPr>
                <w:b/>
                <w:bCs/>
              </w:rPr>
            </w:pPr>
            <w:r w:rsidRPr="002627F2">
              <w:rPr>
                <w:b/>
                <w:bCs/>
              </w:rPr>
              <w:t>3.1</w:t>
            </w:r>
            <w:r w:rsidRPr="002627F2">
              <w:rPr>
                <w:b/>
                <w:bCs/>
              </w:rPr>
              <w:tab/>
              <w:t>Elección de la moneda de pago</w:t>
            </w:r>
          </w:p>
        </w:tc>
        <w:tc>
          <w:tcPr>
            <w:tcW w:w="3087" w:type="dxa"/>
            <w:vAlign w:val="center"/>
          </w:tcPr>
          <w:p w14:paraId="378E2DA5" w14:textId="77777777" w:rsidR="00281527" w:rsidRPr="002627F2" w:rsidRDefault="00281527" w:rsidP="00683C03">
            <w:pPr>
              <w:pStyle w:val="Tabletext"/>
              <w:keepNext/>
              <w:keepLines/>
            </w:pPr>
          </w:p>
        </w:tc>
        <w:tc>
          <w:tcPr>
            <w:tcW w:w="2209" w:type="dxa"/>
            <w:vAlign w:val="center"/>
          </w:tcPr>
          <w:p w14:paraId="6479DCAB" w14:textId="77777777" w:rsidR="00281527" w:rsidRPr="002627F2" w:rsidRDefault="00281527" w:rsidP="00683C03">
            <w:pPr>
              <w:pStyle w:val="Tabletext"/>
              <w:keepNext/>
              <w:keepLines/>
              <w:rPr>
                <w:b/>
                <w:bCs/>
              </w:rPr>
            </w:pPr>
          </w:p>
        </w:tc>
        <w:tc>
          <w:tcPr>
            <w:tcW w:w="1984" w:type="dxa"/>
            <w:vAlign w:val="center"/>
          </w:tcPr>
          <w:p w14:paraId="32138222" w14:textId="77777777" w:rsidR="00281527" w:rsidRPr="002627F2" w:rsidRDefault="00281527" w:rsidP="00683C03">
            <w:pPr>
              <w:pStyle w:val="Tabletext"/>
              <w:keepNext/>
              <w:keepLines/>
              <w:rPr>
                <w:b/>
                <w:bCs/>
              </w:rPr>
            </w:pPr>
          </w:p>
        </w:tc>
        <w:tc>
          <w:tcPr>
            <w:tcW w:w="1990" w:type="dxa"/>
            <w:vAlign w:val="center"/>
          </w:tcPr>
          <w:p w14:paraId="31742F6A" w14:textId="77777777" w:rsidR="00281527" w:rsidRPr="002627F2" w:rsidRDefault="00281527" w:rsidP="00683C03">
            <w:pPr>
              <w:pStyle w:val="Tabletext"/>
              <w:keepNext/>
              <w:keepLines/>
              <w:rPr>
                <w:b/>
                <w:bCs/>
              </w:rPr>
            </w:pPr>
          </w:p>
        </w:tc>
      </w:tr>
      <w:tr w:rsidR="00281527" w:rsidRPr="002627F2" w14:paraId="44F3E146" w14:textId="77777777" w:rsidTr="001D440E">
        <w:trPr>
          <w:jc w:val="center"/>
        </w:trPr>
        <w:tc>
          <w:tcPr>
            <w:tcW w:w="2102" w:type="dxa"/>
            <w:vMerge/>
            <w:vAlign w:val="center"/>
          </w:tcPr>
          <w:p w14:paraId="620E35A5" w14:textId="77777777" w:rsidR="00281527" w:rsidRPr="002627F2" w:rsidRDefault="00281527" w:rsidP="00130A31">
            <w:pPr>
              <w:snapToGrid w:val="0"/>
              <w:spacing w:before="360" w:after="120"/>
              <w:jc w:val="center"/>
              <w:rPr>
                <w:rFonts w:asciiTheme="majorBidi" w:hAnsiTheme="majorBidi" w:cstheme="majorBidi"/>
                <w:b/>
              </w:rPr>
            </w:pPr>
          </w:p>
        </w:tc>
        <w:tc>
          <w:tcPr>
            <w:tcW w:w="3087" w:type="dxa"/>
            <w:vAlign w:val="center"/>
          </w:tcPr>
          <w:p w14:paraId="11984692" w14:textId="222328E7" w:rsidR="00281527" w:rsidRPr="002627F2" w:rsidRDefault="00281527" w:rsidP="00130A31">
            <w:pPr>
              <w:pStyle w:val="Tabletext"/>
            </w:pPr>
            <w:r w:rsidRPr="002627F2">
              <w:t>3.1.1</w:t>
            </w:r>
            <w:r w:rsidRPr="002627F2">
              <w:tab/>
              <w:t>El pago de los saldos de las cuentas internacionales de telecomunicación se efectuará en la moneda elegida por el acreedor, previa consulta con el deudor. En caso de desacuerdo, la elección del acreedor prevalecerá siempre sin perjuicio de lo dispuesto en el §</w:t>
            </w:r>
            <w:r w:rsidR="0069717A" w:rsidRPr="002627F2">
              <w:t> </w:t>
            </w:r>
            <w:r w:rsidRPr="002627F2">
              <w:t>3.1.2. Si el acreedor no especifica moneda, la elección corresponderá al deudor.</w:t>
            </w:r>
          </w:p>
        </w:tc>
        <w:tc>
          <w:tcPr>
            <w:tcW w:w="3087" w:type="dxa"/>
            <w:vAlign w:val="center"/>
          </w:tcPr>
          <w:p w14:paraId="12046FAD" w14:textId="6CEEE717" w:rsidR="00281527" w:rsidRPr="002627F2" w:rsidRDefault="00281527" w:rsidP="00DF21F3">
            <w:pPr>
              <w:pStyle w:val="Tabletext"/>
            </w:pPr>
            <w:r w:rsidRPr="002627F2">
              <w:t>3.1.1</w:t>
            </w:r>
            <w:r w:rsidRPr="002627F2">
              <w:tab/>
              <w:t>El pago de los saldos de las cuentas internacionales de telecomunicación se efectuará en la moneda elegida por el acreedor, previa consulta con el deudor. En caso de desacuerdo, la elección del acreedor prevalecerá siempre sin perjuicio de lo dispuesto en el §</w:t>
            </w:r>
            <w:r w:rsidR="0069717A" w:rsidRPr="002627F2">
              <w:t> </w:t>
            </w:r>
            <w:r w:rsidRPr="002627F2">
              <w:t>3.1.2. Si el acreedor no especifica moneda, la elección corresponderá al deudor.</w:t>
            </w:r>
          </w:p>
        </w:tc>
        <w:tc>
          <w:tcPr>
            <w:tcW w:w="2209" w:type="dxa"/>
          </w:tcPr>
          <w:p w14:paraId="4F3CF81E" w14:textId="7549148B" w:rsidR="00281527" w:rsidRPr="002627F2" w:rsidRDefault="00281527" w:rsidP="0069717A">
            <w:pPr>
              <w:pStyle w:val="Tabletext"/>
              <w:keepNext/>
              <w:keepLines/>
              <w:rPr>
                <w:b/>
                <w:bCs/>
              </w:rPr>
            </w:pPr>
            <w:r w:rsidRPr="002627F2">
              <w:rPr>
                <w:b/>
                <w:bCs/>
              </w:rPr>
              <w:t>El texto es aplicable</w:t>
            </w:r>
            <w:r w:rsidR="0069717A" w:rsidRPr="002627F2">
              <w:rPr>
                <w:b/>
                <w:bCs/>
              </w:rPr>
              <w:t>.</w:t>
            </w:r>
          </w:p>
        </w:tc>
        <w:tc>
          <w:tcPr>
            <w:tcW w:w="1984" w:type="dxa"/>
          </w:tcPr>
          <w:p w14:paraId="7107808B" w14:textId="71096CA9" w:rsidR="00281527" w:rsidRPr="002627F2" w:rsidRDefault="00281527" w:rsidP="0069717A">
            <w:pPr>
              <w:pStyle w:val="Tabletext"/>
              <w:keepNext/>
              <w:keepLines/>
              <w:rPr>
                <w:b/>
                <w:bCs/>
              </w:rPr>
            </w:pPr>
            <w:r w:rsidRPr="002627F2">
              <w:rPr>
                <w:b/>
                <w:bCs/>
              </w:rPr>
              <w:t>No se requiere flexibilidad</w:t>
            </w:r>
            <w:r w:rsidR="0069717A" w:rsidRPr="002627F2">
              <w:rPr>
                <w:b/>
                <w:bCs/>
              </w:rPr>
              <w:t>.</w:t>
            </w:r>
          </w:p>
        </w:tc>
        <w:tc>
          <w:tcPr>
            <w:tcW w:w="1990" w:type="dxa"/>
          </w:tcPr>
          <w:p w14:paraId="47DB590B" w14:textId="77777777" w:rsidR="00281527" w:rsidRPr="002627F2" w:rsidRDefault="00281527" w:rsidP="0069717A">
            <w:pPr>
              <w:pStyle w:val="Tabletext"/>
              <w:keepNext/>
              <w:keepLines/>
              <w:rPr>
                <w:b/>
                <w:bCs/>
              </w:rPr>
            </w:pPr>
          </w:p>
        </w:tc>
      </w:tr>
      <w:tr w:rsidR="00281527" w:rsidRPr="002627F2" w14:paraId="5C916DE6" w14:textId="77777777" w:rsidTr="001D440E">
        <w:trPr>
          <w:jc w:val="center"/>
        </w:trPr>
        <w:tc>
          <w:tcPr>
            <w:tcW w:w="2102" w:type="dxa"/>
            <w:vMerge/>
            <w:vAlign w:val="center"/>
          </w:tcPr>
          <w:p w14:paraId="5B1611F2" w14:textId="77777777" w:rsidR="00281527" w:rsidRPr="002627F2" w:rsidRDefault="00281527" w:rsidP="00130A31">
            <w:pPr>
              <w:snapToGrid w:val="0"/>
              <w:spacing w:before="360" w:after="120"/>
              <w:jc w:val="center"/>
              <w:rPr>
                <w:rFonts w:asciiTheme="majorBidi" w:hAnsiTheme="majorBidi" w:cstheme="majorBidi"/>
                <w:b/>
              </w:rPr>
            </w:pPr>
          </w:p>
        </w:tc>
        <w:tc>
          <w:tcPr>
            <w:tcW w:w="3087" w:type="dxa"/>
            <w:vAlign w:val="center"/>
          </w:tcPr>
          <w:p w14:paraId="45159570" w14:textId="39E4EB01" w:rsidR="00281527" w:rsidRPr="002627F2" w:rsidRDefault="00281527" w:rsidP="00130A31">
            <w:pPr>
              <w:pStyle w:val="Tabletext"/>
            </w:pPr>
            <w:r w:rsidRPr="002627F2">
              <w:t>3.1.2</w:t>
            </w:r>
            <w:r w:rsidRPr="002627F2">
              <w:tab/>
              <w:t>Cuando el acreedor elija una moneda cuyo valor se establezca unilateralmente o cuyo valor equivalente deba determinarse tomando como base una moneda de valor también unilateralmente establecido, el empleo de la moneda elegida deberá ser aceptable para el deudor</w:t>
            </w:r>
            <w:r w:rsidR="0069717A" w:rsidRPr="002627F2">
              <w:t>.</w:t>
            </w:r>
          </w:p>
        </w:tc>
        <w:tc>
          <w:tcPr>
            <w:tcW w:w="3087" w:type="dxa"/>
            <w:vAlign w:val="center"/>
          </w:tcPr>
          <w:p w14:paraId="352E4955" w14:textId="397AA06A" w:rsidR="00281527" w:rsidRPr="002627F2" w:rsidRDefault="00281527" w:rsidP="00DF21F3">
            <w:pPr>
              <w:pStyle w:val="Tabletext"/>
            </w:pPr>
            <w:r w:rsidRPr="002627F2">
              <w:t>3.1.2</w:t>
            </w:r>
            <w:r w:rsidRPr="002627F2">
              <w:tab/>
              <w:t>Cuando el acreedor elija una moneda cuyo valor se establezca unilateralmente o cuyo valor equivalente deba determinarse tomando como base una moneda de valor también unilateralmente establecido, el empleo de la moneda elegida deberá ser aceptable para el deudor.</w:t>
            </w:r>
          </w:p>
        </w:tc>
        <w:tc>
          <w:tcPr>
            <w:tcW w:w="2209" w:type="dxa"/>
          </w:tcPr>
          <w:p w14:paraId="4BC01E91" w14:textId="0FA615B4" w:rsidR="00281527" w:rsidRPr="002627F2" w:rsidRDefault="00281527" w:rsidP="0069717A">
            <w:pPr>
              <w:pStyle w:val="Tabletext"/>
              <w:keepNext/>
              <w:keepLines/>
              <w:rPr>
                <w:b/>
                <w:bCs/>
              </w:rPr>
            </w:pPr>
            <w:r w:rsidRPr="002627F2">
              <w:rPr>
                <w:b/>
                <w:bCs/>
              </w:rPr>
              <w:t>El texto es aplicable</w:t>
            </w:r>
            <w:r w:rsidR="0069717A" w:rsidRPr="002627F2">
              <w:rPr>
                <w:b/>
                <w:bCs/>
              </w:rPr>
              <w:t>.</w:t>
            </w:r>
          </w:p>
        </w:tc>
        <w:tc>
          <w:tcPr>
            <w:tcW w:w="1984" w:type="dxa"/>
          </w:tcPr>
          <w:p w14:paraId="24616E9A" w14:textId="719B61F2" w:rsidR="00281527" w:rsidRPr="002627F2" w:rsidRDefault="00281527" w:rsidP="0069717A">
            <w:pPr>
              <w:pStyle w:val="Tabletext"/>
              <w:keepNext/>
              <w:keepLines/>
              <w:rPr>
                <w:b/>
                <w:bCs/>
              </w:rPr>
            </w:pPr>
            <w:r w:rsidRPr="002627F2">
              <w:rPr>
                <w:b/>
                <w:bCs/>
              </w:rPr>
              <w:t>No se requiere flexibilidad</w:t>
            </w:r>
            <w:r w:rsidR="0069717A" w:rsidRPr="002627F2">
              <w:rPr>
                <w:b/>
                <w:bCs/>
              </w:rPr>
              <w:t>.</w:t>
            </w:r>
          </w:p>
        </w:tc>
        <w:tc>
          <w:tcPr>
            <w:tcW w:w="1990" w:type="dxa"/>
          </w:tcPr>
          <w:p w14:paraId="48DCE030" w14:textId="77777777" w:rsidR="00281527" w:rsidRPr="002627F2" w:rsidRDefault="00281527" w:rsidP="0069717A">
            <w:pPr>
              <w:pStyle w:val="Tabletext"/>
              <w:keepNext/>
              <w:keepLines/>
              <w:rPr>
                <w:b/>
                <w:bCs/>
              </w:rPr>
            </w:pPr>
          </w:p>
        </w:tc>
      </w:tr>
      <w:tr w:rsidR="00281527" w:rsidRPr="002627F2" w14:paraId="077B82AA" w14:textId="77777777" w:rsidTr="001D440E">
        <w:trPr>
          <w:jc w:val="center"/>
        </w:trPr>
        <w:tc>
          <w:tcPr>
            <w:tcW w:w="2102" w:type="dxa"/>
            <w:vMerge/>
            <w:vAlign w:val="center"/>
          </w:tcPr>
          <w:p w14:paraId="5231EFF0" w14:textId="77777777" w:rsidR="00281527" w:rsidRPr="002627F2" w:rsidRDefault="00281527" w:rsidP="00130A31">
            <w:pPr>
              <w:snapToGrid w:val="0"/>
              <w:spacing w:before="360" w:after="120"/>
              <w:jc w:val="center"/>
              <w:rPr>
                <w:rFonts w:asciiTheme="majorBidi" w:hAnsiTheme="majorBidi" w:cstheme="majorBidi"/>
                <w:b/>
              </w:rPr>
            </w:pPr>
          </w:p>
        </w:tc>
        <w:tc>
          <w:tcPr>
            <w:tcW w:w="3087" w:type="dxa"/>
            <w:tcBorders>
              <w:bottom w:val="nil"/>
            </w:tcBorders>
            <w:vAlign w:val="center"/>
          </w:tcPr>
          <w:p w14:paraId="60CEACCB" w14:textId="4DFFA5D2" w:rsidR="00281527" w:rsidRPr="002627F2" w:rsidRDefault="00281527" w:rsidP="00130A31">
            <w:pPr>
              <w:pStyle w:val="Tabletext"/>
            </w:pPr>
            <w:r w:rsidRPr="002627F2">
              <w:t>3.1.3</w:t>
            </w:r>
            <w:r w:rsidRPr="002627F2">
              <w:tab/>
              <w:t>Las empresas de explotación autorizadas tendrán derecho, por acuerdo mutuo y siempre que se cumplan los plazos de pago, a liquidar sus saldos de todo tipo por compensación:</w:t>
            </w:r>
          </w:p>
          <w:p w14:paraId="73C7C315" w14:textId="0E6C8CA0" w:rsidR="00281527" w:rsidRPr="002627F2" w:rsidRDefault="00281527" w:rsidP="00130A31">
            <w:pPr>
              <w:pStyle w:val="Tabletext"/>
              <w:tabs>
                <w:tab w:val="left" w:pos="426"/>
              </w:tabs>
              <w:ind w:left="426" w:hanging="426"/>
            </w:pPr>
            <w:bookmarkStart w:id="32" w:name="lt_pId303"/>
            <w:r w:rsidRPr="002627F2">
              <w:rPr>
                <w:i/>
                <w:iCs/>
              </w:rPr>
              <w:t>a)</w:t>
            </w:r>
            <w:bookmarkEnd w:id="32"/>
            <w:r w:rsidRPr="002627F2">
              <w:tab/>
            </w:r>
            <w:bookmarkStart w:id="33" w:name="lt_pId304"/>
            <w:r w:rsidRPr="002627F2">
              <w:t>de sus créditos y deudas en sus relaciones con otras empresas de explotación autorizadas;</w:t>
            </w:r>
            <w:bookmarkEnd w:id="33"/>
          </w:p>
          <w:p w14:paraId="5193E694" w14:textId="1D06E726" w:rsidR="00281527" w:rsidRPr="002627F2" w:rsidRDefault="00281527" w:rsidP="00130A31">
            <w:pPr>
              <w:pStyle w:val="Tabletext"/>
              <w:tabs>
                <w:tab w:val="left" w:pos="426"/>
              </w:tabs>
              <w:ind w:left="426" w:hanging="426"/>
            </w:pPr>
            <w:bookmarkStart w:id="34" w:name="lt_pId305"/>
            <w:r w:rsidRPr="002627F2">
              <w:rPr>
                <w:i/>
                <w:iCs/>
              </w:rPr>
              <w:t>b)</w:t>
            </w:r>
            <w:bookmarkEnd w:id="34"/>
            <w:r w:rsidRPr="002627F2">
              <w:tab/>
            </w:r>
            <w:bookmarkStart w:id="35" w:name="lt_pId306"/>
            <w:r w:rsidRPr="002627F2">
              <w:t>de cualquier otra liquidación mutuamente acordada, según proceda.</w:t>
            </w:r>
            <w:bookmarkEnd w:id="35"/>
          </w:p>
          <w:p w14:paraId="00EF3755" w14:textId="6523186A" w:rsidR="00281527" w:rsidRPr="002627F2" w:rsidRDefault="00281527" w:rsidP="00130A31">
            <w:pPr>
              <w:pStyle w:val="Tabletext"/>
            </w:pPr>
            <w:bookmarkStart w:id="36" w:name="lt_pId307"/>
            <w:r w:rsidRPr="002627F2">
              <w:t>Esta norma también se aplica en el caso de los pagos que se efectúan por conducto de organismos de pago especializados, de conformidad con los acuerdos concluidos con las empresas de explotación autorizadas.</w:t>
            </w:r>
            <w:bookmarkEnd w:id="36"/>
          </w:p>
        </w:tc>
        <w:tc>
          <w:tcPr>
            <w:tcW w:w="3087" w:type="dxa"/>
            <w:tcBorders>
              <w:bottom w:val="nil"/>
            </w:tcBorders>
          </w:tcPr>
          <w:p w14:paraId="742A5B51" w14:textId="74120342" w:rsidR="00281527" w:rsidRPr="002627F2" w:rsidRDefault="00281527" w:rsidP="00DF21F3">
            <w:pPr>
              <w:pStyle w:val="Tabletext"/>
            </w:pPr>
            <w:r w:rsidRPr="002627F2">
              <w:t>3.4.1</w:t>
            </w:r>
            <w:r w:rsidRPr="002627F2">
              <w:tab/>
              <w:t>Las administraciones</w:t>
            </w:r>
            <w:r w:rsidR="0069717A" w:rsidRPr="002627F2">
              <w:t>*</w:t>
            </w:r>
            <w:r w:rsidRPr="002627F2">
              <w:t xml:space="preserve"> podrán, por acuerdo mutuo y siempre que se cumplan los plazos de pago, liquidar sus saldos de todo tipo por compensación:</w:t>
            </w:r>
          </w:p>
          <w:p w14:paraId="2315B9CE" w14:textId="568A7135" w:rsidR="00281527" w:rsidRPr="002627F2" w:rsidRDefault="00281527" w:rsidP="00DF21F3">
            <w:pPr>
              <w:pStyle w:val="Tabletext"/>
              <w:tabs>
                <w:tab w:val="left" w:pos="426"/>
              </w:tabs>
              <w:ind w:left="426" w:hanging="426"/>
            </w:pPr>
            <w:r w:rsidRPr="002627F2">
              <w:t>–</w:t>
            </w:r>
            <w:r w:rsidRPr="002627F2">
              <w:tab/>
              <w:t>de sus créditos y deudas en sus relaciones con otras administraciones</w:t>
            </w:r>
            <w:r w:rsidR="0069717A" w:rsidRPr="002627F2">
              <w:t>*;</w:t>
            </w:r>
            <w:r w:rsidRPr="002627F2">
              <w:t xml:space="preserve"> y</w:t>
            </w:r>
          </w:p>
          <w:p w14:paraId="3ED10D12" w14:textId="49FC1F92" w:rsidR="00281527" w:rsidRPr="002627F2" w:rsidRDefault="00281527" w:rsidP="00DF21F3">
            <w:pPr>
              <w:pStyle w:val="Tabletext"/>
              <w:tabs>
                <w:tab w:val="left" w:pos="426"/>
              </w:tabs>
              <w:ind w:left="426" w:hanging="426"/>
            </w:pPr>
            <w:r w:rsidRPr="002627F2">
              <w:t>–</w:t>
            </w:r>
            <w:r w:rsidRPr="002627F2">
              <w:tab/>
              <w:t>de los créditos de los servicios postales, en su caso.</w:t>
            </w:r>
          </w:p>
        </w:tc>
        <w:tc>
          <w:tcPr>
            <w:tcW w:w="2209" w:type="dxa"/>
            <w:tcBorders>
              <w:bottom w:val="nil"/>
            </w:tcBorders>
          </w:tcPr>
          <w:p w14:paraId="74EF3B2F" w14:textId="7E4B617C" w:rsidR="00281527" w:rsidRPr="002627F2" w:rsidRDefault="00281527" w:rsidP="0069717A">
            <w:pPr>
              <w:pStyle w:val="Tabletext"/>
              <w:keepNext/>
              <w:keepLines/>
              <w:rPr>
                <w:b/>
                <w:bCs/>
              </w:rPr>
            </w:pPr>
            <w:r w:rsidRPr="002627F2">
              <w:rPr>
                <w:b/>
                <w:bCs/>
              </w:rPr>
              <w:t>El texto es aplicable</w:t>
            </w:r>
            <w:r w:rsidR="0069717A" w:rsidRPr="002627F2">
              <w:rPr>
                <w:b/>
                <w:bCs/>
              </w:rPr>
              <w:t>.</w:t>
            </w:r>
          </w:p>
        </w:tc>
        <w:tc>
          <w:tcPr>
            <w:tcW w:w="1984" w:type="dxa"/>
            <w:tcBorders>
              <w:bottom w:val="nil"/>
            </w:tcBorders>
          </w:tcPr>
          <w:p w14:paraId="18BE7D80" w14:textId="2CE7E07D" w:rsidR="00281527" w:rsidRPr="002627F2" w:rsidRDefault="00281527" w:rsidP="0069717A">
            <w:pPr>
              <w:pStyle w:val="Tabletext"/>
              <w:keepNext/>
              <w:keepLines/>
              <w:rPr>
                <w:b/>
                <w:bCs/>
              </w:rPr>
            </w:pPr>
            <w:r w:rsidRPr="002627F2">
              <w:rPr>
                <w:b/>
                <w:bCs/>
              </w:rPr>
              <w:t>No se requiere flexibilidad</w:t>
            </w:r>
            <w:r w:rsidR="0069717A" w:rsidRPr="002627F2">
              <w:rPr>
                <w:b/>
                <w:bCs/>
              </w:rPr>
              <w:t>.</w:t>
            </w:r>
          </w:p>
        </w:tc>
        <w:tc>
          <w:tcPr>
            <w:tcW w:w="1990" w:type="dxa"/>
            <w:tcBorders>
              <w:bottom w:val="nil"/>
            </w:tcBorders>
          </w:tcPr>
          <w:p w14:paraId="5EE1620D" w14:textId="77777777" w:rsidR="00281527" w:rsidRPr="002627F2" w:rsidRDefault="00281527" w:rsidP="00D334DE">
            <w:pPr>
              <w:pStyle w:val="Tabletext"/>
              <w:rPr>
                <w:b/>
                <w:bCs/>
              </w:rPr>
            </w:pPr>
          </w:p>
        </w:tc>
      </w:tr>
      <w:tr w:rsidR="00281527" w:rsidRPr="002627F2" w14:paraId="5965917E" w14:textId="77777777" w:rsidTr="001D440E">
        <w:trPr>
          <w:jc w:val="center"/>
        </w:trPr>
        <w:tc>
          <w:tcPr>
            <w:tcW w:w="2102" w:type="dxa"/>
            <w:vMerge/>
            <w:vAlign w:val="center"/>
          </w:tcPr>
          <w:p w14:paraId="2850637D" w14:textId="77777777" w:rsidR="00281527" w:rsidRPr="002627F2" w:rsidRDefault="00281527" w:rsidP="00130A31">
            <w:pPr>
              <w:snapToGrid w:val="0"/>
              <w:spacing w:before="360" w:after="120"/>
              <w:jc w:val="center"/>
              <w:rPr>
                <w:rFonts w:asciiTheme="majorBidi" w:hAnsiTheme="majorBidi" w:cstheme="majorBidi"/>
                <w:b/>
              </w:rPr>
            </w:pPr>
          </w:p>
        </w:tc>
        <w:tc>
          <w:tcPr>
            <w:tcW w:w="3087" w:type="dxa"/>
            <w:tcBorders>
              <w:top w:val="nil"/>
              <w:bottom w:val="nil"/>
            </w:tcBorders>
            <w:vAlign w:val="center"/>
          </w:tcPr>
          <w:p w14:paraId="2F0580F0" w14:textId="406AB2FB" w:rsidR="00281527" w:rsidRPr="002627F2" w:rsidRDefault="00281527" w:rsidP="0069717A">
            <w:pPr>
              <w:pStyle w:val="Tabletext"/>
              <w:keepNext/>
              <w:keepLines/>
            </w:pPr>
          </w:p>
        </w:tc>
        <w:tc>
          <w:tcPr>
            <w:tcW w:w="3087" w:type="dxa"/>
            <w:tcBorders>
              <w:top w:val="nil"/>
              <w:bottom w:val="nil"/>
            </w:tcBorders>
            <w:vAlign w:val="center"/>
          </w:tcPr>
          <w:p w14:paraId="01303874" w14:textId="77777777" w:rsidR="00281527" w:rsidRPr="002627F2" w:rsidRDefault="00281527" w:rsidP="0069717A">
            <w:pPr>
              <w:pStyle w:val="Tabletext"/>
              <w:keepNext/>
              <w:keepLines/>
            </w:pPr>
          </w:p>
        </w:tc>
        <w:tc>
          <w:tcPr>
            <w:tcW w:w="2209" w:type="dxa"/>
            <w:tcBorders>
              <w:top w:val="nil"/>
              <w:bottom w:val="nil"/>
            </w:tcBorders>
          </w:tcPr>
          <w:p w14:paraId="31F275A3" w14:textId="77777777" w:rsidR="00281527" w:rsidRPr="002627F2" w:rsidRDefault="00281527" w:rsidP="0069717A">
            <w:pPr>
              <w:pStyle w:val="Tabletext"/>
              <w:keepNext/>
              <w:keepLines/>
              <w:rPr>
                <w:b/>
                <w:bCs/>
              </w:rPr>
            </w:pPr>
          </w:p>
        </w:tc>
        <w:tc>
          <w:tcPr>
            <w:tcW w:w="1984" w:type="dxa"/>
            <w:tcBorders>
              <w:top w:val="nil"/>
              <w:bottom w:val="nil"/>
            </w:tcBorders>
          </w:tcPr>
          <w:p w14:paraId="3D97AA3C" w14:textId="77777777" w:rsidR="00281527" w:rsidRPr="002627F2" w:rsidRDefault="00281527" w:rsidP="0069717A">
            <w:pPr>
              <w:pStyle w:val="Tabletext"/>
              <w:keepNext/>
              <w:keepLines/>
              <w:rPr>
                <w:b/>
                <w:bCs/>
              </w:rPr>
            </w:pPr>
          </w:p>
        </w:tc>
        <w:tc>
          <w:tcPr>
            <w:tcW w:w="1990" w:type="dxa"/>
            <w:tcBorders>
              <w:top w:val="nil"/>
              <w:bottom w:val="nil"/>
            </w:tcBorders>
          </w:tcPr>
          <w:p w14:paraId="7E6A91BA" w14:textId="77777777" w:rsidR="00281527" w:rsidRPr="002627F2" w:rsidRDefault="00281527" w:rsidP="0069717A">
            <w:pPr>
              <w:pStyle w:val="Tabletext"/>
              <w:keepNext/>
              <w:keepLines/>
              <w:rPr>
                <w:b/>
                <w:bCs/>
              </w:rPr>
            </w:pPr>
          </w:p>
        </w:tc>
      </w:tr>
      <w:tr w:rsidR="00812DB1" w:rsidRPr="002627F2" w14:paraId="470E23D2" w14:textId="77777777" w:rsidTr="001D440E">
        <w:trPr>
          <w:jc w:val="center"/>
        </w:trPr>
        <w:tc>
          <w:tcPr>
            <w:tcW w:w="2102" w:type="dxa"/>
            <w:vMerge/>
            <w:vAlign w:val="center"/>
          </w:tcPr>
          <w:p w14:paraId="046A9896" w14:textId="77777777" w:rsidR="00812DB1" w:rsidRPr="002627F2" w:rsidRDefault="00812DB1" w:rsidP="00130A31">
            <w:pPr>
              <w:snapToGrid w:val="0"/>
              <w:spacing w:before="360" w:after="120"/>
              <w:jc w:val="center"/>
              <w:rPr>
                <w:rFonts w:asciiTheme="majorBidi" w:hAnsiTheme="majorBidi" w:cstheme="majorBidi"/>
                <w:b/>
              </w:rPr>
            </w:pPr>
          </w:p>
        </w:tc>
        <w:tc>
          <w:tcPr>
            <w:tcW w:w="3087" w:type="dxa"/>
            <w:tcBorders>
              <w:top w:val="nil"/>
              <w:bottom w:val="nil"/>
            </w:tcBorders>
          </w:tcPr>
          <w:p w14:paraId="086C7435" w14:textId="77777777" w:rsidR="00812DB1" w:rsidRPr="002627F2" w:rsidRDefault="00812DB1" w:rsidP="0069717A">
            <w:pPr>
              <w:pStyle w:val="Tabletext"/>
              <w:keepNext/>
              <w:keepLines/>
            </w:pPr>
          </w:p>
        </w:tc>
        <w:tc>
          <w:tcPr>
            <w:tcW w:w="3087" w:type="dxa"/>
            <w:tcBorders>
              <w:top w:val="nil"/>
              <w:bottom w:val="nil"/>
            </w:tcBorders>
            <w:vAlign w:val="center"/>
          </w:tcPr>
          <w:p w14:paraId="43B2D432" w14:textId="77777777" w:rsidR="00812DB1" w:rsidRPr="002627F2" w:rsidRDefault="00812DB1" w:rsidP="0069717A">
            <w:pPr>
              <w:pStyle w:val="Tabletext"/>
              <w:keepNext/>
              <w:keepLines/>
            </w:pPr>
          </w:p>
        </w:tc>
        <w:tc>
          <w:tcPr>
            <w:tcW w:w="2209" w:type="dxa"/>
            <w:tcBorders>
              <w:top w:val="nil"/>
              <w:bottom w:val="nil"/>
            </w:tcBorders>
          </w:tcPr>
          <w:p w14:paraId="3E834BD2" w14:textId="77777777" w:rsidR="00812DB1" w:rsidRPr="002627F2" w:rsidRDefault="00812DB1" w:rsidP="00812DB1">
            <w:pPr>
              <w:pStyle w:val="Tabletext"/>
              <w:keepNext/>
              <w:keepLines/>
              <w:rPr>
                <w:b/>
                <w:bCs/>
              </w:rPr>
            </w:pPr>
          </w:p>
        </w:tc>
        <w:tc>
          <w:tcPr>
            <w:tcW w:w="1984" w:type="dxa"/>
            <w:tcBorders>
              <w:top w:val="nil"/>
              <w:bottom w:val="nil"/>
            </w:tcBorders>
          </w:tcPr>
          <w:p w14:paraId="4E007FF8" w14:textId="77777777" w:rsidR="00812DB1" w:rsidRPr="002627F2" w:rsidRDefault="00812DB1" w:rsidP="00812DB1">
            <w:pPr>
              <w:pStyle w:val="Tabletext"/>
              <w:keepNext/>
              <w:keepLines/>
              <w:rPr>
                <w:b/>
                <w:bCs/>
              </w:rPr>
            </w:pPr>
          </w:p>
        </w:tc>
        <w:tc>
          <w:tcPr>
            <w:tcW w:w="1990" w:type="dxa"/>
            <w:tcBorders>
              <w:top w:val="nil"/>
              <w:bottom w:val="nil"/>
            </w:tcBorders>
          </w:tcPr>
          <w:p w14:paraId="043A2E48" w14:textId="77777777" w:rsidR="00812DB1" w:rsidRPr="002627F2" w:rsidRDefault="00812DB1" w:rsidP="00812DB1">
            <w:pPr>
              <w:pStyle w:val="Tabletext"/>
              <w:keepNext/>
              <w:keepLines/>
              <w:rPr>
                <w:b/>
                <w:bCs/>
              </w:rPr>
            </w:pPr>
          </w:p>
        </w:tc>
      </w:tr>
      <w:tr w:rsidR="00812DB1" w:rsidRPr="002627F2" w14:paraId="7DCC783E" w14:textId="77777777" w:rsidTr="001D440E">
        <w:trPr>
          <w:jc w:val="center"/>
        </w:trPr>
        <w:tc>
          <w:tcPr>
            <w:tcW w:w="2102" w:type="dxa"/>
            <w:vMerge/>
            <w:vAlign w:val="center"/>
          </w:tcPr>
          <w:p w14:paraId="01C6C542" w14:textId="77777777" w:rsidR="00812DB1" w:rsidRPr="002627F2" w:rsidRDefault="00812DB1" w:rsidP="00130A31">
            <w:pPr>
              <w:snapToGrid w:val="0"/>
              <w:spacing w:before="360" w:after="120"/>
              <w:jc w:val="center"/>
              <w:rPr>
                <w:rFonts w:asciiTheme="majorBidi" w:hAnsiTheme="majorBidi" w:cstheme="majorBidi"/>
                <w:b/>
              </w:rPr>
            </w:pPr>
          </w:p>
        </w:tc>
        <w:tc>
          <w:tcPr>
            <w:tcW w:w="3087" w:type="dxa"/>
            <w:tcBorders>
              <w:top w:val="nil"/>
              <w:bottom w:val="nil"/>
            </w:tcBorders>
          </w:tcPr>
          <w:p w14:paraId="418A20A9" w14:textId="77777777" w:rsidR="00812DB1" w:rsidRPr="002627F2" w:rsidRDefault="00812DB1" w:rsidP="0069717A">
            <w:pPr>
              <w:pStyle w:val="Tabletext"/>
              <w:keepNext/>
              <w:keepLines/>
            </w:pPr>
          </w:p>
        </w:tc>
        <w:tc>
          <w:tcPr>
            <w:tcW w:w="3087" w:type="dxa"/>
            <w:tcBorders>
              <w:top w:val="nil"/>
              <w:bottom w:val="nil"/>
            </w:tcBorders>
            <w:vAlign w:val="center"/>
          </w:tcPr>
          <w:p w14:paraId="6B13C943" w14:textId="77777777" w:rsidR="00812DB1" w:rsidRPr="002627F2" w:rsidRDefault="00812DB1" w:rsidP="0069717A">
            <w:pPr>
              <w:pStyle w:val="Tabletext"/>
              <w:keepNext/>
              <w:keepLines/>
            </w:pPr>
          </w:p>
        </w:tc>
        <w:tc>
          <w:tcPr>
            <w:tcW w:w="2209" w:type="dxa"/>
            <w:tcBorders>
              <w:top w:val="nil"/>
              <w:bottom w:val="nil"/>
            </w:tcBorders>
          </w:tcPr>
          <w:p w14:paraId="711D0653" w14:textId="77777777" w:rsidR="00812DB1" w:rsidRPr="002627F2" w:rsidRDefault="00812DB1" w:rsidP="00812DB1">
            <w:pPr>
              <w:pStyle w:val="Tabletext"/>
              <w:keepNext/>
              <w:keepLines/>
              <w:rPr>
                <w:b/>
                <w:bCs/>
              </w:rPr>
            </w:pPr>
          </w:p>
        </w:tc>
        <w:tc>
          <w:tcPr>
            <w:tcW w:w="1984" w:type="dxa"/>
            <w:tcBorders>
              <w:top w:val="nil"/>
              <w:bottom w:val="nil"/>
            </w:tcBorders>
          </w:tcPr>
          <w:p w14:paraId="01888914" w14:textId="77777777" w:rsidR="00812DB1" w:rsidRPr="002627F2" w:rsidRDefault="00812DB1" w:rsidP="00812DB1">
            <w:pPr>
              <w:pStyle w:val="Tabletext"/>
              <w:keepNext/>
              <w:keepLines/>
              <w:rPr>
                <w:b/>
                <w:bCs/>
              </w:rPr>
            </w:pPr>
          </w:p>
        </w:tc>
        <w:tc>
          <w:tcPr>
            <w:tcW w:w="1990" w:type="dxa"/>
            <w:tcBorders>
              <w:top w:val="nil"/>
              <w:bottom w:val="nil"/>
            </w:tcBorders>
          </w:tcPr>
          <w:p w14:paraId="6DFF7F88" w14:textId="77777777" w:rsidR="00812DB1" w:rsidRPr="002627F2" w:rsidRDefault="00812DB1" w:rsidP="00812DB1">
            <w:pPr>
              <w:pStyle w:val="Tabletext"/>
              <w:keepNext/>
              <w:keepLines/>
              <w:rPr>
                <w:b/>
                <w:bCs/>
              </w:rPr>
            </w:pPr>
          </w:p>
        </w:tc>
      </w:tr>
      <w:tr w:rsidR="00812DB1" w:rsidRPr="002627F2" w14:paraId="45F139EF" w14:textId="77777777" w:rsidTr="001D440E">
        <w:trPr>
          <w:jc w:val="center"/>
        </w:trPr>
        <w:tc>
          <w:tcPr>
            <w:tcW w:w="2102" w:type="dxa"/>
            <w:vMerge/>
            <w:vAlign w:val="center"/>
          </w:tcPr>
          <w:p w14:paraId="024DB312" w14:textId="77777777" w:rsidR="00812DB1" w:rsidRPr="002627F2" w:rsidRDefault="00812DB1" w:rsidP="00130A31">
            <w:pPr>
              <w:snapToGrid w:val="0"/>
              <w:spacing w:before="360" w:after="120"/>
              <w:jc w:val="center"/>
              <w:rPr>
                <w:rFonts w:asciiTheme="majorBidi" w:hAnsiTheme="majorBidi" w:cstheme="majorBidi"/>
                <w:b/>
              </w:rPr>
            </w:pPr>
          </w:p>
        </w:tc>
        <w:tc>
          <w:tcPr>
            <w:tcW w:w="3087" w:type="dxa"/>
            <w:tcBorders>
              <w:top w:val="nil"/>
            </w:tcBorders>
          </w:tcPr>
          <w:p w14:paraId="79DB704F" w14:textId="77777777" w:rsidR="00812DB1" w:rsidRPr="002627F2" w:rsidRDefault="00812DB1" w:rsidP="0069717A">
            <w:pPr>
              <w:pStyle w:val="Tabletext"/>
              <w:keepNext/>
              <w:keepLines/>
            </w:pPr>
          </w:p>
        </w:tc>
        <w:tc>
          <w:tcPr>
            <w:tcW w:w="3087" w:type="dxa"/>
            <w:tcBorders>
              <w:top w:val="nil"/>
            </w:tcBorders>
            <w:vAlign w:val="center"/>
          </w:tcPr>
          <w:p w14:paraId="72707E6F" w14:textId="77777777" w:rsidR="00812DB1" w:rsidRPr="002627F2" w:rsidRDefault="00812DB1" w:rsidP="0069717A">
            <w:pPr>
              <w:pStyle w:val="Tabletext"/>
              <w:keepNext/>
              <w:keepLines/>
            </w:pPr>
          </w:p>
        </w:tc>
        <w:tc>
          <w:tcPr>
            <w:tcW w:w="2209" w:type="dxa"/>
            <w:tcBorders>
              <w:top w:val="nil"/>
            </w:tcBorders>
          </w:tcPr>
          <w:p w14:paraId="60AF6348" w14:textId="77777777" w:rsidR="00812DB1" w:rsidRPr="002627F2" w:rsidRDefault="00812DB1" w:rsidP="00812DB1">
            <w:pPr>
              <w:pStyle w:val="Tabletext"/>
              <w:keepNext/>
              <w:keepLines/>
              <w:rPr>
                <w:b/>
                <w:bCs/>
              </w:rPr>
            </w:pPr>
          </w:p>
        </w:tc>
        <w:tc>
          <w:tcPr>
            <w:tcW w:w="1984" w:type="dxa"/>
            <w:tcBorders>
              <w:top w:val="nil"/>
            </w:tcBorders>
          </w:tcPr>
          <w:p w14:paraId="43809DD8" w14:textId="77777777" w:rsidR="00812DB1" w:rsidRPr="002627F2" w:rsidRDefault="00812DB1" w:rsidP="00812DB1">
            <w:pPr>
              <w:pStyle w:val="Tabletext"/>
              <w:keepNext/>
              <w:keepLines/>
              <w:rPr>
                <w:b/>
                <w:bCs/>
              </w:rPr>
            </w:pPr>
          </w:p>
        </w:tc>
        <w:tc>
          <w:tcPr>
            <w:tcW w:w="1990" w:type="dxa"/>
            <w:tcBorders>
              <w:top w:val="nil"/>
            </w:tcBorders>
          </w:tcPr>
          <w:p w14:paraId="38343565" w14:textId="77777777" w:rsidR="00812DB1" w:rsidRPr="002627F2" w:rsidRDefault="00812DB1" w:rsidP="00812DB1">
            <w:pPr>
              <w:pStyle w:val="Tabletext"/>
              <w:keepNext/>
              <w:keepLines/>
              <w:rPr>
                <w:b/>
                <w:bCs/>
              </w:rPr>
            </w:pPr>
          </w:p>
        </w:tc>
      </w:tr>
      <w:tr w:rsidR="00812DB1" w:rsidRPr="002627F2" w14:paraId="04AC2D63" w14:textId="77777777" w:rsidTr="001D440E">
        <w:trPr>
          <w:jc w:val="center"/>
        </w:trPr>
        <w:tc>
          <w:tcPr>
            <w:tcW w:w="2102" w:type="dxa"/>
            <w:vMerge/>
            <w:vAlign w:val="center"/>
          </w:tcPr>
          <w:p w14:paraId="2356E1FD" w14:textId="77777777" w:rsidR="00812DB1" w:rsidRPr="002627F2" w:rsidRDefault="00812DB1" w:rsidP="00130A31">
            <w:pPr>
              <w:snapToGrid w:val="0"/>
              <w:spacing w:before="360" w:after="120"/>
              <w:jc w:val="center"/>
              <w:rPr>
                <w:rFonts w:asciiTheme="majorBidi" w:hAnsiTheme="majorBidi" w:cstheme="majorBidi"/>
                <w:b/>
              </w:rPr>
            </w:pPr>
          </w:p>
        </w:tc>
        <w:tc>
          <w:tcPr>
            <w:tcW w:w="3087" w:type="dxa"/>
          </w:tcPr>
          <w:p w14:paraId="572869D2" w14:textId="5C55EBBB" w:rsidR="00812DB1" w:rsidRPr="002627F2" w:rsidRDefault="00812DB1" w:rsidP="0069717A">
            <w:pPr>
              <w:pStyle w:val="Tabletext"/>
              <w:keepNext/>
              <w:keepLines/>
              <w:rPr>
                <w:b/>
                <w:bCs/>
              </w:rPr>
            </w:pPr>
            <w:r w:rsidRPr="002627F2">
              <w:rPr>
                <w:b/>
                <w:bCs/>
              </w:rPr>
              <w:t>3.2</w:t>
            </w:r>
            <w:r w:rsidRPr="002627F2">
              <w:rPr>
                <w:b/>
                <w:bCs/>
              </w:rPr>
              <w:tab/>
              <w:t>Determinación del importe del pago</w:t>
            </w:r>
          </w:p>
        </w:tc>
        <w:tc>
          <w:tcPr>
            <w:tcW w:w="3087" w:type="dxa"/>
            <w:vAlign w:val="center"/>
          </w:tcPr>
          <w:p w14:paraId="44707EFF" w14:textId="77777777" w:rsidR="00812DB1" w:rsidRPr="002627F2" w:rsidRDefault="00812DB1" w:rsidP="0069717A">
            <w:pPr>
              <w:pStyle w:val="Tabletext"/>
              <w:keepNext/>
              <w:keepLines/>
            </w:pPr>
          </w:p>
        </w:tc>
        <w:tc>
          <w:tcPr>
            <w:tcW w:w="2209" w:type="dxa"/>
            <w:vAlign w:val="center"/>
          </w:tcPr>
          <w:p w14:paraId="2AC4D115" w14:textId="77777777" w:rsidR="00812DB1" w:rsidRPr="002627F2" w:rsidRDefault="00812DB1" w:rsidP="00812DB1">
            <w:pPr>
              <w:pStyle w:val="Tabletext"/>
              <w:keepNext/>
              <w:keepLines/>
              <w:rPr>
                <w:b/>
                <w:bCs/>
              </w:rPr>
            </w:pPr>
          </w:p>
        </w:tc>
        <w:tc>
          <w:tcPr>
            <w:tcW w:w="1984" w:type="dxa"/>
            <w:vAlign w:val="center"/>
          </w:tcPr>
          <w:p w14:paraId="5B95E14D" w14:textId="77777777" w:rsidR="00812DB1" w:rsidRPr="002627F2" w:rsidRDefault="00812DB1" w:rsidP="00812DB1">
            <w:pPr>
              <w:pStyle w:val="Tabletext"/>
              <w:keepNext/>
              <w:keepLines/>
              <w:rPr>
                <w:b/>
                <w:bCs/>
              </w:rPr>
            </w:pPr>
          </w:p>
        </w:tc>
        <w:tc>
          <w:tcPr>
            <w:tcW w:w="1990" w:type="dxa"/>
            <w:vAlign w:val="center"/>
          </w:tcPr>
          <w:p w14:paraId="1FF13C8A" w14:textId="77777777" w:rsidR="00812DB1" w:rsidRPr="002627F2" w:rsidRDefault="00812DB1" w:rsidP="00812DB1">
            <w:pPr>
              <w:pStyle w:val="Tabletext"/>
              <w:keepNext/>
              <w:keepLines/>
              <w:rPr>
                <w:b/>
                <w:bCs/>
              </w:rPr>
            </w:pPr>
          </w:p>
        </w:tc>
      </w:tr>
      <w:tr w:rsidR="00281527" w:rsidRPr="002627F2" w14:paraId="5B1CBEE7" w14:textId="77777777" w:rsidTr="001D440E">
        <w:trPr>
          <w:jc w:val="center"/>
        </w:trPr>
        <w:tc>
          <w:tcPr>
            <w:tcW w:w="2102" w:type="dxa"/>
            <w:vMerge/>
            <w:vAlign w:val="center"/>
          </w:tcPr>
          <w:p w14:paraId="288B719B" w14:textId="77777777" w:rsidR="00281527" w:rsidRPr="002627F2" w:rsidRDefault="00281527" w:rsidP="00130A31">
            <w:pPr>
              <w:snapToGrid w:val="0"/>
              <w:spacing w:before="360" w:after="120"/>
              <w:jc w:val="center"/>
              <w:rPr>
                <w:rFonts w:asciiTheme="majorBidi" w:hAnsiTheme="majorBidi" w:cstheme="majorBidi"/>
                <w:b/>
              </w:rPr>
            </w:pPr>
          </w:p>
        </w:tc>
        <w:tc>
          <w:tcPr>
            <w:tcW w:w="3087" w:type="dxa"/>
          </w:tcPr>
          <w:p w14:paraId="66AA3C05" w14:textId="3E396E69" w:rsidR="00281527" w:rsidRPr="002627F2" w:rsidRDefault="00281527" w:rsidP="0069717A">
            <w:pPr>
              <w:pStyle w:val="Tabletext"/>
              <w:keepNext/>
              <w:keepLines/>
            </w:pPr>
            <w:r w:rsidRPr="002627F2">
              <w:t>3.2.1</w:t>
            </w:r>
            <w:r w:rsidRPr="002627F2">
              <w:tab/>
              <w:t>El importe del pago en la moneda elegida, según se determina a continuación, deberá tener un valor equivalente al saldo de la cuenta.</w:t>
            </w:r>
          </w:p>
        </w:tc>
        <w:tc>
          <w:tcPr>
            <w:tcW w:w="3087" w:type="dxa"/>
            <w:vAlign w:val="center"/>
          </w:tcPr>
          <w:p w14:paraId="06C0D628" w14:textId="72CC8524" w:rsidR="00281527" w:rsidRPr="002627F2" w:rsidRDefault="00281527" w:rsidP="0069717A">
            <w:pPr>
              <w:pStyle w:val="Tabletext"/>
              <w:keepNext/>
              <w:keepLines/>
            </w:pPr>
            <w:r w:rsidRPr="002627F2">
              <w:t>3.2.1</w:t>
            </w:r>
            <w:r w:rsidRPr="002627F2">
              <w:tab/>
              <w:t>El importe del pago en la moneda elegida, según se determina a continuación, deberá tener un valor equivalente al saldo de la cuenta.</w:t>
            </w:r>
          </w:p>
        </w:tc>
        <w:tc>
          <w:tcPr>
            <w:tcW w:w="2209" w:type="dxa"/>
          </w:tcPr>
          <w:p w14:paraId="2EE47720" w14:textId="4D704406" w:rsidR="00281527" w:rsidRPr="002627F2" w:rsidRDefault="00281527" w:rsidP="00812DB1">
            <w:pPr>
              <w:pStyle w:val="Tabletext"/>
              <w:keepNext/>
              <w:keepLines/>
              <w:rPr>
                <w:b/>
                <w:bCs/>
              </w:rPr>
            </w:pPr>
            <w:r w:rsidRPr="002627F2">
              <w:rPr>
                <w:b/>
                <w:bCs/>
              </w:rPr>
              <w:t>El texto es aplicable</w:t>
            </w:r>
            <w:r w:rsidR="00812DB1" w:rsidRPr="002627F2">
              <w:rPr>
                <w:b/>
                <w:bCs/>
              </w:rPr>
              <w:t>.</w:t>
            </w:r>
          </w:p>
        </w:tc>
        <w:tc>
          <w:tcPr>
            <w:tcW w:w="1984" w:type="dxa"/>
          </w:tcPr>
          <w:p w14:paraId="0DBAE21E" w14:textId="65B4AC2D" w:rsidR="00281527" w:rsidRPr="002627F2" w:rsidRDefault="00281527" w:rsidP="00812DB1">
            <w:pPr>
              <w:pStyle w:val="Tabletext"/>
              <w:keepNext/>
              <w:keepLines/>
              <w:rPr>
                <w:b/>
                <w:bCs/>
              </w:rPr>
            </w:pPr>
            <w:r w:rsidRPr="002627F2">
              <w:rPr>
                <w:b/>
                <w:bCs/>
              </w:rPr>
              <w:t>No se requiere flexibilidad</w:t>
            </w:r>
            <w:r w:rsidR="00812DB1" w:rsidRPr="002627F2">
              <w:rPr>
                <w:b/>
                <w:bCs/>
              </w:rPr>
              <w:t>.</w:t>
            </w:r>
          </w:p>
        </w:tc>
        <w:tc>
          <w:tcPr>
            <w:tcW w:w="1990" w:type="dxa"/>
          </w:tcPr>
          <w:p w14:paraId="5581440E" w14:textId="77777777" w:rsidR="00281527" w:rsidRPr="002627F2" w:rsidRDefault="00281527" w:rsidP="00812DB1">
            <w:pPr>
              <w:pStyle w:val="Tabletext"/>
              <w:keepNext/>
              <w:keepLines/>
              <w:rPr>
                <w:b/>
                <w:bCs/>
              </w:rPr>
            </w:pPr>
          </w:p>
        </w:tc>
      </w:tr>
      <w:tr w:rsidR="00281527" w:rsidRPr="002627F2" w14:paraId="1EFBE6B0" w14:textId="77777777" w:rsidTr="001D440E">
        <w:trPr>
          <w:jc w:val="center"/>
        </w:trPr>
        <w:tc>
          <w:tcPr>
            <w:tcW w:w="2102" w:type="dxa"/>
            <w:vMerge/>
            <w:vAlign w:val="center"/>
          </w:tcPr>
          <w:p w14:paraId="78D47A62" w14:textId="77777777" w:rsidR="00281527" w:rsidRPr="002627F2" w:rsidRDefault="00281527" w:rsidP="00130A31">
            <w:pPr>
              <w:snapToGrid w:val="0"/>
              <w:spacing w:before="360" w:after="120"/>
              <w:jc w:val="center"/>
              <w:rPr>
                <w:rFonts w:asciiTheme="majorBidi" w:hAnsiTheme="majorBidi" w:cstheme="majorBidi"/>
                <w:b/>
              </w:rPr>
            </w:pPr>
          </w:p>
        </w:tc>
        <w:tc>
          <w:tcPr>
            <w:tcW w:w="3087" w:type="dxa"/>
          </w:tcPr>
          <w:p w14:paraId="50E0E730" w14:textId="24A20247" w:rsidR="00281527" w:rsidRPr="002627F2" w:rsidRDefault="00281527" w:rsidP="00130A31">
            <w:pPr>
              <w:pStyle w:val="Tabletext"/>
            </w:pPr>
            <w:r w:rsidRPr="002627F2">
              <w:t>3.2.2</w:t>
            </w:r>
            <w:r w:rsidRPr="002627F2">
              <w:tab/>
              <w:t>Si el saldo de la cuenta está expresado en la unidad monetaria del FMI, el importe en la moneda elegida vendrá determinado por el tipo de cambio vigente la víspera del pago o por el último tipo de cambio publicado por el FMI entre la unidad monetaria del FMI y la moneda elegida.</w:t>
            </w:r>
          </w:p>
        </w:tc>
        <w:tc>
          <w:tcPr>
            <w:tcW w:w="3087" w:type="dxa"/>
            <w:vAlign w:val="center"/>
          </w:tcPr>
          <w:p w14:paraId="51A8965E" w14:textId="5B3FD221" w:rsidR="00281527" w:rsidRPr="002627F2" w:rsidRDefault="00281527" w:rsidP="00DF21F3">
            <w:pPr>
              <w:pStyle w:val="Tabletext"/>
            </w:pPr>
            <w:r w:rsidRPr="002627F2">
              <w:t>3.2.2</w:t>
            </w:r>
            <w:r w:rsidRPr="002627F2">
              <w:tab/>
              <w:t>Si el saldo de la cuenta está expresado en la unidad monetaria del FMI, el importe en la moneda elegida vendrá determinado por el tipo de cambio vigente la víspera del pago o por el último tipo de cambio publicado por el FMI entre la unidad monetaria del FMI y la moneda elegida.</w:t>
            </w:r>
          </w:p>
        </w:tc>
        <w:tc>
          <w:tcPr>
            <w:tcW w:w="2209" w:type="dxa"/>
          </w:tcPr>
          <w:p w14:paraId="4B9D6705" w14:textId="66EE7969" w:rsidR="00281527" w:rsidRPr="002627F2" w:rsidRDefault="00281527" w:rsidP="00812DB1">
            <w:pPr>
              <w:pStyle w:val="Tabletext"/>
              <w:keepNext/>
              <w:keepLines/>
              <w:rPr>
                <w:b/>
                <w:bCs/>
              </w:rPr>
            </w:pPr>
            <w:r w:rsidRPr="002627F2">
              <w:rPr>
                <w:b/>
                <w:bCs/>
              </w:rPr>
              <w:t>El texto es aplicable</w:t>
            </w:r>
            <w:r w:rsidR="00812DB1" w:rsidRPr="002627F2">
              <w:rPr>
                <w:b/>
                <w:bCs/>
              </w:rPr>
              <w:t>.</w:t>
            </w:r>
          </w:p>
        </w:tc>
        <w:tc>
          <w:tcPr>
            <w:tcW w:w="1984" w:type="dxa"/>
          </w:tcPr>
          <w:p w14:paraId="7086009B" w14:textId="5F3E1DED" w:rsidR="00281527" w:rsidRPr="002627F2" w:rsidRDefault="00281527" w:rsidP="00812DB1">
            <w:pPr>
              <w:pStyle w:val="Tabletext"/>
              <w:keepNext/>
              <w:keepLines/>
              <w:rPr>
                <w:b/>
                <w:bCs/>
              </w:rPr>
            </w:pPr>
            <w:r w:rsidRPr="002627F2">
              <w:rPr>
                <w:b/>
                <w:bCs/>
              </w:rPr>
              <w:t>No se requiere flexibilidad</w:t>
            </w:r>
            <w:r w:rsidR="00812DB1" w:rsidRPr="002627F2">
              <w:rPr>
                <w:b/>
                <w:bCs/>
              </w:rPr>
              <w:t>.</w:t>
            </w:r>
          </w:p>
        </w:tc>
        <w:tc>
          <w:tcPr>
            <w:tcW w:w="1990" w:type="dxa"/>
          </w:tcPr>
          <w:p w14:paraId="5FD239AF" w14:textId="77777777" w:rsidR="00281527" w:rsidRPr="002627F2" w:rsidRDefault="00281527" w:rsidP="00812DB1">
            <w:pPr>
              <w:pStyle w:val="Tabletext"/>
              <w:keepNext/>
              <w:keepLines/>
              <w:rPr>
                <w:b/>
                <w:bCs/>
              </w:rPr>
            </w:pPr>
          </w:p>
        </w:tc>
      </w:tr>
      <w:tr w:rsidR="00281527" w:rsidRPr="002627F2" w14:paraId="6396BF85" w14:textId="77777777" w:rsidTr="001D440E">
        <w:trPr>
          <w:jc w:val="center"/>
        </w:trPr>
        <w:tc>
          <w:tcPr>
            <w:tcW w:w="2102" w:type="dxa"/>
            <w:vMerge/>
            <w:vAlign w:val="center"/>
          </w:tcPr>
          <w:p w14:paraId="40CDA7EF" w14:textId="77777777" w:rsidR="00281527" w:rsidRPr="002627F2" w:rsidRDefault="00281527" w:rsidP="00130A31">
            <w:pPr>
              <w:snapToGrid w:val="0"/>
              <w:spacing w:before="360" w:after="120"/>
              <w:jc w:val="center"/>
              <w:rPr>
                <w:rFonts w:asciiTheme="majorBidi" w:hAnsiTheme="majorBidi" w:cstheme="majorBidi"/>
                <w:b/>
              </w:rPr>
            </w:pPr>
          </w:p>
        </w:tc>
        <w:tc>
          <w:tcPr>
            <w:tcW w:w="3087" w:type="dxa"/>
          </w:tcPr>
          <w:p w14:paraId="01778798" w14:textId="3162927F" w:rsidR="00281527" w:rsidRPr="002627F2" w:rsidRDefault="00281527" w:rsidP="00204FE0">
            <w:pPr>
              <w:pStyle w:val="Tabletext"/>
              <w:keepNext/>
              <w:keepLines/>
            </w:pPr>
            <w:r w:rsidRPr="002627F2">
              <w:t>3.2.3</w:t>
            </w:r>
            <w:r w:rsidRPr="002627F2">
              <w:tab/>
              <w:t>Sin embargo, si no se ha publicado el tipo de cambio entre la unidad monetaria del FMI y la moneda elegida, el importe del saldo de la cuenta se convertirá, en primer lugar, a una moneda cuyo tipo de cambio haya publicado el FMI; a tal efecto, se aplicará el tipo de cambio vigente la víspera del pago o el último tipo de cambio publicado. El importe así obtenido se convertirá, en segundo lugar, al valor equivalente de la moneda elegida; a tal efecto, se aplicará el tipo de cambio vigente al cierre de la víspera del pago o la cotización más reciente del mercado de divisas oficial o normalmente admitido en la principal plaza financiera del país deudor.</w:t>
            </w:r>
          </w:p>
        </w:tc>
        <w:tc>
          <w:tcPr>
            <w:tcW w:w="3087" w:type="dxa"/>
          </w:tcPr>
          <w:p w14:paraId="570FED57" w14:textId="21042ECA" w:rsidR="00281527" w:rsidRPr="002627F2" w:rsidRDefault="00281527" w:rsidP="00204FE0">
            <w:pPr>
              <w:pStyle w:val="Tabletext"/>
              <w:keepNext/>
              <w:keepLines/>
            </w:pPr>
            <w:r w:rsidRPr="002627F2">
              <w:t>3.2.3</w:t>
            </w:r>
            <w:r w:rsidRPr="002627F2">
              <w:tab/>
              <w:t>Sin embargo, si no se ha publicado el tipo de cambio entre la unidad monetaria del FMI y la moneda elegida, el importe del saldo de la cuenta se convertirá, en primer lugar, a una moneda cuyo tipo de cambio haya publicado el FMI; a tal efecto, se aplicará el tipo de cambio vigente la víspera del pago o el último tipo de cambio publicado. El importe así obtenido se convertirá, en segundo lugar, al valor equivalente de la moneda elegida; a tal efecto, se aplicará el tipo de cambio vigente al cierre de la víspera del pago o la cotización más reciente del mercado oficial de divisas o del mercado normalmente admitido en la principal plaza financiera del país deudor.</w:t>
            </w:r>
          </w:p>
        </w:tc>
        <w:tc>
          <w:tcPr>
            <w:tcW w:w="2209" w:type="dxa"/>
          </w:tcPr>
          <w:p w14:paraId="19110477" w14:textId="42259CEB" w:rsidR="00281527" w:rsidRPr="002627F2" w:rsidRDefault="00281527" w:rsidP="00812DB1">
            <w:pPr>
              <w:pStyle w:val="Tabletext"/>
              <w:keepNext/>
              <w:keepLines/>
              <w:rPr>
                <w:b/>
                <w:bCs/>
              </w:rPr>
            </w:pPr>
            <w:r w:rsidRPr="002627F2">
              <w:rPr>
                <w:b/>
                <w:bCs/>
              </w:rPr>
              <w:t>El texto es aplicable</w:t>
            </w:r>
            <w:r w:rsidR="00812DB1" w:rsidRPr="002627F2">
              <w:rPr>
                <w:b/>
                <w:bCs/>
              </w:rPr>
              <w:t>.</w:t>
            </w:r>
          </w:p>
        </w:tc>
        <w:tc>
          <w:tcPr>
            <w:tcW w:w="1984" w:type="dxa"/>
          </w:tcPr>
          <w:p w14:paraId="3CE50540" w14:textId="3857B47F" w:rsidR="00281527" w:rsidRPr="002627F2" w:rsidRDefault="00D334DE" w:rsidP="00812DB1">
            <w:pPr>
              <w:pStyle w:val="Tabletext"/>
              <w:keepNext/>
              <w:keepLines/>
              <w:rPr>
                <w:b/>
                <w:bCs/>
              </w:rPr>
            </w:pPr>
            <w:r w:rsidRPr="002627F2">
              <w:rPr>
                <w:b/>
                <w:bCs/>
              </w:rPr>
              <w:t>El texto es flexible.</w:t>
            </w:r>
          </w:p>
        </w:tc>
        <w:tc>
          <w:tcPr>
            <w:tcW w:w="1990" w:type="dxa"/>
          </w:tcPr>
          <w:p w14:paraId="39072EAF" w14:textId="77777777" w:rsidR="00281527" w:rsidRPr="002627F2" w:rsidRDefault="00281527" w:rsidP="00812DB1">
            <w:pPr>
              <w:pStyle w:val="Tabletext"/>
              <w:keepNext/>
              <w:keepLines/>
              <w:rPr>
                <w:b/>
                <w:bCs/>
              </w:rPr>
            </w:pPr>
          </w:p>
        </w:tc>
      </w:tr>
      <w:tr w:rsidR="00281527" w:rsidRPr="002627F2" w14:paraId="2E35A377" w14:textId="77777777" w:rsidTr="001D440E">
        <w:trPr>
          <w:jc w:val="center"/>
        </w:trPr>
        <w:tc>
          <w:tcPr>
            <w:tcW w:w="2102" w:type="dxa"/>
            <w:vMerge/>
            <w:vAlign w:val="center"/>
          </w:tcPr>
          <w:p w14:paraId="293E4A41" w14:textId="77777777" w:rsidR="00281527" w:rsidRPr="002627F2" w:rsidRDefault="00281527" w:rsidP="00130A31">
            <w:pPr>
              <w:snapToGrid w:val="0"/>
              <w:spacing w:before="360" w:after="120"/>
              <w:jc w:val="center"/>
              <w:rPr>
                <w:rFonts w:asciiTheme="majorBidi" w:hAnsiTheme="majorBidi" w:cstheme="majorBidi"/>
                <w:b/>
              </w:rPr>
            </w:pPr>
          </w:p>
        </w:tc>
        <w:tc>
          <w:tcPr>
            <w:tcW w:w="3087" w:type="dxa"/>
            <w:tcBorders>
              <w:bottom w:val="nil"/>
            </w:tcBorders>
          </w:tcPr>
          <w:p w14:paraId="55B35988" w14:textId="3E9BE8DB" w:rsidR="00281527" w:rsidRPr="002627F2" w:rsidRDefault="00281527" w:rsidP="00812DB1">
            <w:pPr>
              <w:pStyle w:val="Tabletext"/>
              <w:keepNext/>
              <w:keepLines/>
            </w:pPr>
            <w:r w:rsidRPr="002627F2">
              <w:t>3.2.4</w:t>
            </w:r>
            <w:r w:rsidRPr="002627F2">
              <w:tab/>
              <w:t>Si, en virtud de un acuerdo particular, el saldo de la cuenta no está expresado en la unidad monetaria del FMI, las disposiciones relativas al pago deberán formar también parte de ese acuerdo particular y</w:t>
            </w:r>
          </w:p>
          <w:p w14:paraId="5C7E9FE7" w14:textId="7CE13DD7" w:rsidR="00281527" w:rsidRPr="002627F2" w:rsidRDefault="00281527" w:rsidP="00204FE0">
            <w:pPr>
              <w:pStyle w:val="Tabletext"/>
              <w:keepNext/>
              <w:keepLines/>
              <w:tabs>
                <w:tab w:val="left" w:pos="426"/>
              </w:tabs>
              <w:ind w:left="426" w:hanging="426"/>
            </w:pPr>
            <w:r w:rsidRPr="002627F2">
              <w:rPr>
                <w:b/>
              </w:rPr>
              <w:br w:type="page"/>
            </w:r>
            <w:bookmarkStart w:id="37" w:name="lt_pId342"/>
            <w:r w:rsidRPr="002627F2">
              <w:rPr>
                <w:i/>
                <w:iCs/>
              </w:rPr>
              <w:t>a)</w:t>
            </w:r>
            <w:bookmarkEnd w:id="37"/>
            <w:r w:rsidRPr="002627F2">
              <w:tab/>
              <w:t>si la moneda elegida es aquélla en que está expresado el saldo de la cuenta, el importe del pago en la moneda elegida será el importe del saldo de la cuenta;</w:t>
            </w:r>
          </w:p>
          <w:p w14:paraId="472FC47D" w14:textId="3D84E945" w:rsidR="00281527" w:rsidRPr="002627F2" w:rsidRDefault="00281527" w:rsidP="00204FE0">
            <w:pPr>
              <w:pStyle w:val="Tabletext"/>
              <w:keepNext/>
              <w:keepLines/>
              <w:tabs>
                <w:tab w:val="left" w:pos="426"/>
              </w:tabs>
              <w:ind w:left="426" w:hanging="426"/>
            </w:pPr>
            <w:bookmarkStart w:id="38" w:name="lt_pId344"/>
            <w:r w:rsidRPr="002627F2">
              <w:rPr>
                <w:i/>
                <w:iCs/>
              </w:rPr>
              <w:t>b)</w:t>
            </w:r>
            <w:bookmarkEnd w:id="38"/>
            <w:r w:rsidRPr="002627F2">
              <w:tab/>
              <w:t xml:space="preserve">si la moneda elegida para el pago no es aquélla en que está expresado el saldo, el importe se determinará convirtiendo el saldo de la cuenta en su valor equivalente en la moneda elegida, por el procedimiento descrito en el § 3.2.3 </w:t>
            </w:r>
            <w:r w:rsidRPr="002627F2">
              <w:rPr>
                <w:i/>
                <w:iCs/>
              </w:rPr>
              <w:t>supra</w:t>
            </w:r>
            <w:r w:rsidRPr="002627F2">
              <w:t>.</w:t>
            </w:r>
          </w:p>
        </w:tc>
        <w:tc>
          <w:tcPr>
            <w:tcW w:w="3087" w:type="dxa"/>
            <w:tcBorders>
              <w:bottom w:val="nil"/>
            </w:tcBorders>
          </w:tcPr>
          <w:p w14:paraId="0E91BF37" w14:textId="3FD4F8C1" w:rsidR="00281527" w:rsidRPr="002627F2" w:rsidRDefault="00281527" w:rsidP="00204FE0">
            <w:pPr>
              <w:pStyle w:val="Tabletext"/>
              <w:keepNext/>
              <w:keepLines/>
            </w:pPr>
            <w:r w:rsidRPr="002627F2">
              <w:t>3.2.5</w:t>
            </w:r>
            <w:r w:rsidRPr="002627F2">
              <w:tab/>
              <w:t>Si, en virtud de un arreglo particular, el saldo de la cuenta no está expresado en la unidad monetaria del FMI ni en francos oro, las disposiciones relativas al pago deberán formar también parte de ese arreglo particular y:</w:t>
            </w:r>
          </w:p>
          <w:p w14:paraId="08614AB8" w14:textId="5BDA1A93" w:rsidR="00281527" w:rsidRPr="002627F2" w:rsidRDefault="00281527" w:rsidP="00204FE0">
            <w:pPr>
              <w:pStyle w:val="Tabletext"/>
              <w:keepNext/>
              <w:keepLines/>
              <w:tabs>
                <w:tab w:val="left" w:pos="426"/>
              </w:tabs>
              <w:ind w:left="426" w:hanging="426"/>
            </w:pPr>
            <w:bookmarkStart w:id="39" w:name="lt_pId348"/>
            <w:r w:rsidRPr="002627F2">
              <w:rPr>
                <w:i/>
                <w:iCs/>
              </w:rPr>
              <w:t>a)</w:t>
            </w:r>
            <w:bookmarkEnd w:id="39"/>
            <w:r w:rsidRPr="002627F2">
              <w:tab/>
            </w:r>
            <w:bookmarkStart w:id="40" w:name="lt_pId349"/>
            <w:r w:rsidRPr="002627F2">
              <w:t>si la moneda elegida es aquélla en que está expresado el saldo de la cuenta, el importe del pago en la moneda elegida será el importe del saldo de la cuenta;</w:t>
            </w:r>
            <w:bookmarkEnd w:id="40"/>
          </w:p>
          <w:p w14:paraId="122377F4" w14:textId="34F355BD" w:rsidR="00281527" w:rsidRPr="002627F2" w:rsidRDefault="00281527" w:rsidP="00204FE0">
            <w:pPr>
              <w:pStyle w:val="Tabletext"/>
              <w:keepNext/>
              <w:keepLines/>
              <w:tabs>
                <w:tab w:val="left" w:pos="426"/>
              </w:tabs>
              <w:ind w:left="426" w:hanging="426"/>
            </w:pPr>
            <w:bookmarkStart w:id="41" w:name="lt_pId350"/>
            <w:r w:rsidRPr="002627F2">
              <w:rPr>
                <w:i/>
                <w:iCs/>
              </w:rPr>
              <w:t>b)</w:t>
            </w:r>
            <w:bookmarkEnd w:id="41"/>
            <w:r w:rsidRPr="002627F2">
              <w:tab/>
              <w:t>si la moneda elegida para el pago no es aquélla en que está expresado el saldo, el importe se determinará convirtiendo el saldo de la cuenta en su valor equivalente en la moneda elegida, por el procedimiento descrito en el § 3.2.3</w:t>
            </w:r>
            <w:r w:rsidR="00812DB1" w:rsidRPr="002627F2">
              <w:t>.</w:t>
            </w:r>
          </w:p>
        </w:tc>
        <w:tc>
          <w:tcPr>
            <w:tcW w:w="2209" w:type="dxa"/>
            <w:tcBorders>
              <w:bottom w:val="nil"/>
            </w:tcBorders>
          </w:tcPr>
          <w:p w14:paraId="75BD8F86" w14:textId="58E0FF4C" w:rsidR="00281527" w:rsidRPr="002627F2" w:rsidRDefault="00281527" w:rsidP="00812DB1">
            <w:pPr>
              <w:pStyle w:val="Tabletext"/>
              <w:keepNext/>
              <w:keepLines/>
              <w:rPr>
                <w:b/>
                <w:bCs/>
              </w:rPr>
            </w:pPr>
            <w:r w:rsidRPr="002627F2">
              <w:rPr>
                <w:b/>
                <w:bCs/>
              </w:rPr>
              <w:t>El texto es aplicable</w:t>
            </w:r>
            <w:r w:rsidR="00812DB1" w:rsidRPr="002627F2">
              <w:rPr>
                <w:b/>
                <w:bCs/>
              </w:rPr>
              <w:t>.</w:t>
            </w:r>
          </w:p>
        </w:tc>
        <w:tc>
          <w:tcPr>
            <w:tcW w:w="1984" w:type="dxa"/>
            <w:tcBorders>
              <w:bottom w:val="nil"/>
            </w:tcBorders>
          </w:tcPr>
          <w:p w14:paraId="0437F740" w14:textId="4AAEF4D4" w:rsidR="00281527" w:rsidRPr="002627F2" w:rsidRDefault="00281527" w:rsidP="00812DB1">
            <w:pPr>
              <w:pStyle w:val="Tabletext"/>
              <w:keepNext/>
              <w:keepLines/>
              <w:rPr>
                <w:b/>
                <w:bCs/>
              </w:rPr>
            </w:pPr>
            <w:r w:rsidRPr="002627F2">
              <w:rPr>
                <w:b/>
                <w:bCs/>
              </w:rPr>
              <w:t>No se requiere flexibilidad</w:t>
            </w:r>
            <w:r w:rsidR="00812DB1" w:rsidRPr="002627F2">
              <w:rPr>
                <w:b/>
                <w:bCs/>
              </w:rPr>
              <w:t>.</w:t>
            </w:r>
          </w:p>
        </w:tc>
        <w:tc>
          <w:tcPr>
            <w:tcW w:w="1990" w:type="dxa"/>
            <w:tcBorders>
              <w:bottom w:val="nil"/>
            </w:tcBorders>
          </w:tcPr>
          <w:p w14:paraId="7215178E" w14:textId="77777777" w:rsidR="00281527" w:rsidRPr="002627F2" w:rsidRDefault="00281527" w:rsidP="00812DB1">
            <w:pPr>
              <w:pStyle w:val="Tabletext"/>
              <w:keepNext/>
              <w:keepLines/>
              <w:rPr>
                <w:b/>
                <w:bCs/>
              </w:rPr>
            </w:pPr>
          </w:p>
        </w:tc>
      </w:tr>
      <w:tr w:rsidR="00281527" w:rsidRPr="002627F2" w14:paraId="176C427D" w14:textId="77777777" w:rsidTr="001D440E">
        <w:trPr>
          <w:jc w:val="center"/>
        </w:trPr>
        <w:tc>
          <w:tcPr>
            <w:tcW w:w="2102" w:type="dxa"/>
            <w:vMerge/>
            <w:vAlign w:val="center"/>
          </w:tcPr>
          <w:p w14:paraId="5ACCCFE4" w14:textId="77777777" w:rsidR="00281527" w:rsidRPr="002627F2" w:rsidRDefault="00281527" w:rsidP="00130A31">
            <w:pPr>
              <w:snapToGrid w:val="0"/>
              <w:spacing w:before="360" w:after="120"/>
              <w:jc w:val="center"/>
              <w:rPr>
                <w:rFonts w:asciiTheme="majorBidi" w:hAnsiTheme="majorBidi" w:cstheme="majorBidi"/>
                <w:b/>
              </w:rPr>
            </w:pPr>
          </w:p>
        </w:tc>
        <w:tc>
          <w:tcPr>
            <w:tcW w:w="3087" w:type="dxa"/>
            <w:tcBorders>
              <w:top w:val="nil"/>
              <w:bottom w:val="nil"/>
            </w:tcBorders>
            <w:vAlign w:val="center"/>
          </w:tcPr>
          <w:p w14:paraId="7E50387D" w14:textId="74261808" w:rsidR="00281527" w:rsidRPr="002627F2" w:rsidRDefault="00281527" w:rsidP="00C8120A">
            <w:pPr>
              <w:pStyle w:val="Tabletext"/>
              <w:keepNext/>
              <w:keepLines/>
              <w:tabs>
                <w:tab w:val="left" w:pos="426"/>
              </w:tabs>
              <w:ind w:left="426" w:hanging="426"/>
            </w:pPr>
          </w:p>
        </w:tc>
        <w:tc>
          <w:tcPr>
            <w:tcW w:w="3087" w:type="dxa"/>
            <w:tcBorders>
              <w:top w:val="nil"/>
              <w:bottom w:val="nil"/>
            </w:tcBorders>
            <w:vAlign w:val="center"/>
          </w:tcPr>
          <w:p w14:paraId="66940B5E" w14:textId="77777777" w:rsidR="00281527" w:rsidRPr="002627F2" w:rsidRDefault="00281527" w:rsidP="00C8120A">
            <w:pPr>
              <w:pStyle w:val="Tabletext"/>
              <w:keepNext/>
              <w:keepLines/>
              <w:tabs>
                <w:tab w:val="left" w:pos="426"/>
              </w:tabs>
              <w:ind w:left="426" w:hanging="426"/>
            </w:pPr>
          </w:p>
        </w:tc>
        <w:tc>
          <w:tcPr>
            <w:tcW w:w="2209" w:type="dxa"/>
            <w:tcBorders>
              <w:top w:val="nil"/>
              <w:bottom w:val="nil"/>
            </w:tcBorders>
            <w:vAlign w:val="center"/>
          </w:tcPr>
          <w:p w14:paraId="58850E02" w14:textId="77777777" w:rsidR="00281527" w:rsidRPr="002627F2" w:rsidRDefault="00281527" w:rsidP="00C8120A">
            <w:pPr>
              <w:pStyle w:val="Tabletext"/>
              <w:keepNext/>
              <w:keepLines/>
              <w:rPr>
                <w:b/>
                <w:bCs/>
              </w:rPr>
            </w:pPr>
          </w:p>
        </w:tc>
        <w:tc>
          <w:tcPr>
            <w:tcW w:w="1984" w:type="dxa"/>
            <w:tcBorders>
              <w:top w:val="nil"/>
              <w:bottom w:val="nil"/>
            </w:tcBorders>
            <w:vAlign w:val="center"/>
          </w:tcPr>
          <w:p w14:paraId="03773C0C" w14:textId="77777777" w:rsidR="00281527" w:rsidRPr="002627F2" w:rsidRDefault="00281527" w:rsidP="00C8120A">
            <w:pPr>
              <w:pStyle w:val="Tabletext"/>
              <w:keepNext/>
              <w:keepLines/>
              <w:rPr>
                <w:b/>
                <w:bCs/>
              </w:rPr>
            </w:pPr>
          </w:p>
        </w:tc>
        <w:tc>
          <w:tcPr>
            <w:tcW w:w="1990" w:type="dxa"/>
            <w:tcBorders>
              <w:top w:val="nil"/>
              <w:bottom w:val="nil"/>
            </w:tcBorders>
            <w:vAlign w:val="center"/>
          </w:tcPr>
          <w:p w14:paraId="10473942" w14:textId="77777777" w:rsidR="00281527" w:rsidRPr="002627F2" w:rsidRDefault="00281527" w:rsidP="00C8120A">
            <w:pPr>
              <w:pStyle w:val="Tabletext"/>
              <w:keepNext/>
              <w:keepLines/>
              <w:rPr>
                <w:b/>
                <w:bCs/>
              </w:rPr>
            </w:pPr>
          </w:p>
        </w:tc>
      </w:tr>
      <w:tr w:rsidR="00C8120A" w:rsidRPr="002627F2" w14:paraId="5E0AC808" w14:textId="77777777" w:rsidTr="001D440E">
        <w:trPr>
          <w:jc w:val="center"/>
        </w:trPr>
        <w:tc>
          <w:tcPr>
            <w:tcW w:w="2102" w:type="dxa"/>
            <w:vMerge/>
            <w:vAlign w:val="center"/>
          </w:tcPr>
          <w:p w14:paraId="0BC66D3C" w14:textId="77777777" w:rsidR="00C8120A" w:rsidRPr="002627F2" w:rsidRDefault="00C8120A" w:rsidP="00130A31">
            <w:pPr>
              <w:snapToGrid w:val="0"/>
              <w:spacing w:before="360" w:after="120"/>
              <w:jc w:val="center"/>
              <w:rPr>
                <w:rFonts w:asciiTheme="majorBidi" w:hAnsiTheme="majorBidi" w:cstheme="majorBidi"/>
                <w:b/>
              </w:rPr>
            </w:pPr>
          </w:p>
        </w:tc>
        <w:tc>
          <w:tcPr>
            <w:tcW w:w="3087" w:type="dxa"/>
            <w:tcBorders>
              <w:top w:val="nil"/>
            </w:tcBorders>
            <w:vAlign w:val="center"/>
          </w:tcPr>
          <w:p w14:paraId="56595882" w14:textId="77777777" w:rsidR="00C8120A" w:rsidRPr="002627F2" w:rsidRDefault="00C8120A" w:rsidP="00C8120A">
            <w:pPr>
              <w:pStyle w:val="Tabletext"/>
              <w:keepNext/>
              <w:keepLines/>
              <w:tabs>
                <w:tab w:val="left" w:pos="426"/>
              </w:tabs>
              <w:ind w:left="426" w:hanging="426"/>
            </w:pPr>
          </w:p>
        </w:tc>
        <w:tc>
          <w:tcPr>
            <w:tcW w:w="3087" w:type="dxa"/>
            <w:tcBorders>
              <w:top w:val="nil"/>
            </w:tcBorders>
          </w:tcPr>
          <w:p w14:paraId="3CA55888" w14:textId="77777777" w:rsidR="00C8120A" w:rsidRPr="002627F2" w:rsidRDefault="00C8120A" w:rsidP="00C8120A">
            <w:pPr>
              <w:pStyle w:val="Tabletext"/>
              <w:keepNext/>
              <w:keepLines/>
              <w:tabs>
                <w:tab w:val="left" w:pos="426"/>
              </w:tabs>
              <w:ind w:left="426" w:hanging="426"/>
            </w:pPr>
          </w:p>
        </w:tc>
        <w:tc>
          <w:tcPr>
            <w:tcW w:w="2209" w:type="dxa"/>
            <w:tcBorders>
              <w:top w:val="nil"/>
            </w:tcBorders>
            <w:vAlign w:val="center"/>
          </w:tcPr>
          <w:p w14:paraId="2E422310" w14:textId="77777777" w:rsidR="00C8120A" w:rsidRPr="002627F2" w:rsidRDefault="00C8120A" w:rsidP="00C8120A">
            <w:pPr>
              <w:pStyle w:val="Tabletext"/>
              <w:keepNext/>
              <w:keepLines/>
              <w:rPr>
                <w:b/>
                <w:bCs/>
              </w:rPr>
            </w:pPr>
          </w:p>
        </w:tc>
        <w:tc>
          <w:tcPr>
            <w:tcW w:w="1984" w:type="dxa"/>
            <w:tcBorders>
              <w:top w:val="nil"/>
            </w:tcBorders>
            <w:vAlign w:val="center"/>
          </w:tcPr>
          <w:p w14:paraId="3A47E57E" w14:textId="77777777" w:rsidR="00C8120A" w:rsidRPr="002627F2" w:rsidRDefault="00C8120A" w:rsidP="00C8120A">
            <w:pPr>
              <w:pStyle w:val="Tabletext"/>
              <w:keepNext/>
              <w:keepLines/>
              <w:rPr>
                <w:b/>
                <w:bCs/>
              </w:rPr>
            </w:pPr>
          </w:p>
        </w:tc>
        <w:tc>
          <w:tcPr>
            <w:tcW w:w="1990" w:type="dxa"/>
            <w:tcBorders>
              <w:top w:val="nil"/>
            </w:tcBorders>
            <w:vAlign w:val="center"/>
          </w:tcPr>
          <w:p w14:paraId="733BF3F4" w14:textId="77777777" w:rsidR="00C8120A" w:rsidRPr="002627F2" w:rsidRDefault="00C8120A" w:rsidP="00C8120A">
            <w:pPr>
              <w:pStyle w:val="Tabletext"/>
              <w:keepNext/>
              <w:keepLines/>
              <w:rPr>
                <w:b/>
                <w:bCs/>
              </w:rPr>
            </w:pPr>
          </w:p>
        </w:tc>
      </w:tr>
      <w:tr w:rsidR="00C8120A" w:rsidRPr="002627F2" w14:paraId="3512A378" w14:textId="77777777" w:rsidTr="001D440E">
        <w:trPr>
          <w:jc w:val="center"/>
        </w:trPr>
        <w:tc>
          <w:tcPr>
            <w:tcW w:w="2102" w:type="dxa"/>
            <w:vMerge/>
            <w:vAlign w:val="center"/>
          </w:tcPr>
          <w:p w14:paraId="412A16BF" w14:textId="77777777" w:rsidR="00C8120A" w:rsidRPr="002627F2" w:rsidRDefault="00C8120A" w:rsidP="00130A31">
            <w:pPr>
              <w:snapToGrid w:val="0"/>
              <w:spacing w:before="360" w:after="120"/>
              <w:jc w:val="center"/>
              <w:rPr>
                <w:rFonts w:asciiTheme="majorBidi" w:hAnsiTheme="majorBidi" w:cstheme="majorBidi"/>
                <w:b/>
              </w:rPr>
            </w:pPr>
          </w:p>
        </w:tc>
        <w:tc>
          <w:tcPr>
            <w:tcW w:w="3087" w:type="dxa"/>
            <w:vAlign w:val="center"/>
          </w:tcPr>
          <w:p w14:paraId="06B77744" w14:textId="7B5F3BD2" w:rsidR="00C8120A" w:rsidRPr="002627F2" w:rsidRDefault="00C8120A" w:rsidP="00204FE0">
            <w:pPr>
              <w:pStyle w:val="Tabletext"/>
              <w:keepNext/>
              <w:keepLines/>
              <w:rPr>
                <w:b/>
                <w:bCs/>
              </w:rPr>
            </w:pPr>
            <w:r w:rsidRPr="002627F2">
              <w:rPr>
                <w:b/>
                <w:bCs/>
              </w:rPr>
              <w:t>3.3</w:t>
            </w:r>
            <w:r w:rsidRPr="002627F2">
              <w:rPr>
                <w:b/>
                <w:bCs/>
              </w:rPr>
              <w:tab/>
              <w:t>Pago de los saldos</w:t>
            </w:r>
          </w:p>
        </w:tc>
        <w:tc>
          <w:tcPr>
            <w:tcW w:w="3087" w:type="dxa"/>
          </w:tcPr>
          <w:p w14:paraId="47672DA4" w14:textId="77777777" w:rsidR="00C8120A" w:rsidRPr="002627F2" w:rsidRDefault="00C8120A" w:rsidP="00204FE0">
            <w:pPr>
              <w:pStyle w:val="Tabletext"/>
              <w:keepNext/>
              <w:keepLines/>
            </w:pPr>
          </w:p>
        </w:tc>
        <w:tc>
          <w:tcPr>
            <w:tcW w:w="2209" w:type="dxa"/>
            <w:vAlign w:val="center"/>
          </w:tcPr>
          <w:p w14:paraId="5C4EC06C" w14:textId="77777777" w:rsidR="00C8120A" w:rsidRPr="002627F2" w:rsidRDefault="00C8120A" w:rsidP="00204FE0">
            <w:pPr>
              <w:pStyle w:val="Tabletext"/>
              <w:keepNext/>
              <w:keepLines/>
              <w:jc w:val="center"/>
            </w:pPr>
          </w:p>
        </w:tc>
        <w:tc>
          <w:tcPr>
            <w:tcW w:w="1984" w:type="dxa"/>
            <w:vAlign w:val="center"/>
          </w:tcPr>
          <w:p w14:paraId="5438D2E3" w14:textId="77777777" w:rsidR="00C8120A" w:rsidRPr="002627F2" w:rsidRDefault="00C8120A" w:rsidP="00204FE0">
            <w:pPr>
              <w:pStyle w:val="Tabletext"/>
              <w:keepNext/>
              <w:keepLines/>
              <w:jc w:val="center"/>
            </w:pPr>
          </w:p>
        </w:tc>
        <w:tc>
          <w:tcPr>
            <w:tcW w:w="1990" w:type="dxa"/>
            <w:vAlign w:val="center"/>
          </w:tcPr>
          <w:p w14:paraId="22FF3EA2" w14:textId="77777777" w:rsidR="00C8120A" w:rsidRPr="002627F2" w:rsidRDefault="00C8120A" w:rsidP="00204FE0">
            <w:pPr>
              <w:pStyle w:val="Tabletext"/>
              <w:keepNext/>
              <w:keepLines/>
              <w:jc w:val="center"/>
            </w:pPr>
          </w:p>
        </w:tc>
      </w:tr>
      <w:tr w:rsidR="00281527" w:rsidRPr="002627F2" w14:paraId="3E2F4E17" w14:textId="77777777" w:rsidTr="001D440E">
        <w:trPr>
          <w:jc w:val="center"/>
        </w:trPr>
        <w:tc>
          <w:tcPr>
            <w:tcW w:w="2102" w:type="dxa"/>
            <w:vMerge/>
            <w:vAlign w:val="center"/>
          </w:tcPr>
          <w:p w14:paraId="2F3F8104" w14:textId="77777777" w:rsidR="00281527" w:rsidRPr="002627F2" w:rsidRDefault="00281527" w:rsidP="00130A31">
            <w:pPr>
              <w:snapToGrid w:val="0"/>
              <w:spacing w:before="360" w:after="120"/>
              <w:jc w:val="center"/>
              <w:rPr>
                <w:rFonts w:asciiTheme="majorBidi" w:hAnsiTheme="majorBidi" w:cstheme="majorBidi"/>
                <w:b/>
              </w:rPr>
            </w:pPr>
          </w:p>
        </w:tc>
        <w:tc>
          <w:tcPr>
            <w:tcW w:w="3087" w:type="dxa"/>
            <w:vAlign w:val="center"/>
          </w:tcPr>
          <w:p w14:paraId="23FBAEE6" w14:textId="08ECBA34" w:rsidR="00281527" w:rsidRPr="002627F2" w:rsidRDefault="00281527" w:rsidP="00204FE0">
            <w:pPr>
              <w:pStyle w:val="Tabletext"/>
              <w:keepNext/>
              <w:keepLines/>
            </w:pPr>
            <w:r w:rsidRPr="002627F2">
              <w:t>3.3.1</w:t>
            </w:r>
            <w:r w:rsidRPr="002627F2">
              <w:tab/>
              <w:t>El pago de los saldos de las cuentas se efectuará lo antes posible y en todo caso en un plazo máximo de dos meses naturales contados a partir de la fecha de expedición de la cuenta por la empresa de explotación autorizada acreedora. Transcurrido este plazo, la empresa de explotación autorizada acreedora podrá exigir intereses que, en ausencia de acuerdo mutuo, podrán ascender hasta el 6% anual a contar desde el día siguiente al de la expiración de dicho plazo, a reserva de notificación previa en forma de una reclamación definitiva del pago.</w:t>
            </w:r>
          </w:p>
        </w:tc>
        <w:tc>
          <w:tcPr>
            <w:tcW w:w="3087" w:type="dxa"/>
          </w:tcPr>
          <w:p w14:paraId="627B29D6" w14:textId="5F11C23C" w:rsidR="00281527" w:rsidRPr="002627F2" w:rsidRDefault="00281527" w:rsidP="00204FE0">
            <w:pPr>
              <w:pStyle w:val="Tabletext"/>
              <w:keepNext/>
              <w:keepLines/>
            </w:pPr>
            <w:r w:rsidRPr="002627F2">
              <w:t>3.3.1</w:t>
            </w:r>
            <w:r w:rsidRPr="002627F2">
              <w:tab/>
              <w:t>El pago de los saldos de las cuentas se efectuará lo antes posible y en todo caso en un plazo máximo de dos meses contados a partir de la fecha de expedición de la cuenta por la administración</w:t>
            </w:r>
            <w:r w:rsidR="00C8120A" w:rsidRPr="002627F2">
              <w:t>*</w:t>
            </w:r>
            <w:r w:rsidRPr="002627F2">
              <w:t xml:space="preserve"> acreedora. Transcurrido este plazo, la administración</w:t>
            </w:r>
            <w:r w:rsidR="00C8120A" w:rsidRPr="002627F2">
              <w:t>*</w:t>
            </w:r>
            <w:r w:rsidRPr="002627F2">
              <w:t xml:space="preserve"> acreedora podrá exigir intereses que, en ausencia de acuerdo mutuo, podrán ascender hasta el 6% anual a contar desde el día siguiente al de la expiración de dicho plazo, a reserva de notificación previa en forma de una reclamación definitiva del pago.</w:t>
            </w:r>
          </w:p>
        </w:tc>
        <w:tc>
          <w:tcPr>
            <w:tcW w:w="2209" w:type="dxa"/>
          </w:tcPr>
          <w:p w14:paraId="2A00EB08" w14:textId="611D004C" w:rsidR="00281527" w:rsidRPr="002627F2" w:rsidRDefault="00281527" w:rsidP="00C8120A">
            <w:pPr>
              <w:pStyle w:val="Tabletext"/>
              <w:keepNext/>
              <w:keepLines/>
              <w:rPr>
                <w:b/>
                <w:bCs/>
              </w:rPr>
            </w:pPr>
            <w:r w:rsidRPr="002627F2">
              <w:rPr>
                <w:b/>
                <w:bCs/>
              </w:rPr>
              <w:t>El texto es aplicable</w:t>
            </w:r>
            <w:r w:rsidR="00C8120A" w:rsidRPr="002627F2">
              <w:rPr>
                <w:b/>
                <w:bCs/>
              </w:rPr>
              <w:t>.</w:t>
            </w:r>
          </w:p>
        </w:tc>
        <w:tc>
          <w:tcPr>
            <w:tcW w:w="1984" w:type="dxa"/>
          </w:tcPr>
          <w:p w14:paraId="00456827" w14:textId="30A15F3E" w:rsidR="00281527" w:rsidRPr="002627F2" w:rsidRDefault="00281527" w:rsidP="00C8120A">
            <w:pPr>
              <w:pStyle w:val="Tabletext"/>
              <w:keepNext/>
              <w:keepLines/>
              <w:rPr>
                <w:b/>
                <w:bCs/>
              </w:rPr>
            </w:pPr>
            <w:r w:rsidRPr="002627F2">
              <w:rPr>
                <w:b/>
                <w:bCs/>
              </w:rPr>
              <w:t>No se requiere flexibilidad</w:t>
            </w:r>
            <w:r w:rsidR="00C8120A" w:rsidRPr="002627F2">
              <w:rPr>
                <w:b/>
                <w:bCs/>
              </w:rPr>
              <w:t>.</w:t>
            </w:r>
          </w:p>
        </w:tc>
        <w:tc>
          <w:tcPr>
            <w:tcW w:w="1990" w:type="dxa"/>
          </w:tcPr>
          <w:p w14:paraId="01B95645" w14:textId="77777777" w:rsidR="00281527" w:rsidRPr="002627F2" w:rsidRDefault="00281527" w:rsidP="00C8120A">
            <w:pPr>
              <w:pStyle w:val="Tabletext"/>
              <w:keepNext/>
              <w:keepLines/>
              <w:rPr>
                <w:b/>
                <w:bCs/>
              </w:rPr>
            </w:pPr>
          </w:p>
        </w:tc>
      </w:tr>
      <w:tr w:rsidR="00281527" w:rsidRPr="002627F2" w14:paraId="3FC606EB" w14:textId="77777777" w:rsidTr="001D440E">
        <w:trPr>
          <w:jc w:val="center"/>
        </w:trPr>
        <w:tc>
          <w:tcPr>
            <w:tcW w:w="2102" w:type="dxa"/>
            <w:vMerge/>
            <w:vAlign w:val="center"/>
          </w:tcPr>
          <w:p w14:paraId="37D392F9" w14:textId="77777777" w:rsidR="00281527" w:rsidRPr="002627F2" w:rsidRDefault="00281527" w:rsidP="00130A31">
            <w:pPr>
              <w:snapToGrid w:val="0"/>
              <w:spacing w:before="360" w:after="120"/>
              <w:jc w:val="center"/>
              <w:rPr>
                <w:rFonts w:asciiTheme="majorBidi" w:hAnsiTheme="majorBidi" w:cstheme="majorBidi"/>
                <w:b/>
              </w:rPr>
            </w:pPr>
          </w:p>
        </w:tc>
        <w:tc>
          <w:tcPr>
            <w:tcW w:w="3087" w:type="dxa"/>
          </w:tcPr>
          <w:p w14:paraId="4ABA3113" w14:textId="2753744E" w:rsidR="00281527" w:rsidRPr="002627F2" w:rsidRDefault="00281527" w:rsidP="00C8120A">
            <w:pPr>
              <w:pStyle w:val="Tabletext"/>
              <w:keepNext/>
              <w:keepLines/>
            </w:pPr>
            <w:r w:rsidRPr="002627F2">
              <w:t>3.3.2</w:t>
            </w:r>
            <w:r w:rsidRPr="002627F2">
              <w:tab/>
              <w:t>El pago del saldo de la cuenta no se demorará en espera del acuerdo sobre una reclamación relativa a dicha cuenta. Los reajustes que eventualmente se convengan se incluirán en una cuenta posterior.</w:t>
            </w:r>
          </w:p>
        </w:tc>
        <w:tc>
          <w:tcPr>
            <w:tcW w:w="3087" w:type="dxa"/>
          </w:tcPr>
          <w:p w14:paraId="7583EF3F" w14:textId="0684B7AB" w:rsidR="00281527" w:rsidRPr="002627F2" w:rsidRDefault="00281527" w:rsidP="00C8120A">
            <w:pPr>
              <w:pStyle w:val="Tabletext"/>
              <w:keepNext/>
              <w:keepLines/>
            </w:pPr>
            <w:r w:rsidRPr="002627F2">
              <w:t>3.3.2</w:t>
            </w:r>
            <w:r w:rsidRPr="002627F2">
              <w:tab/>
              <w:t>El pago del saldo de la cuenta no se demorará en espera del acuerdo sobre una reclamación relativa a dicha cuenta. Los reajustes que eventualmente se convengan se incluirán en una cuenta posterior.</w:t>
            </w:r>
          </w:p>
        </w:tc>
        <w:tc>
          <w:tcPr>
            <w:tcW w:w="2209" w:type="dxa"/>
          </w:tcPr>
          <w:p w14:paraId="617E285D" w14:textId="6CA53FDA" w:rsidR="00281527" w:rsidRPr="002627F2" w:rsidRDefault="00281527" w:rsidP="00C8120A">
            <w:pPr>
              <w:pStyle w:val="Tabletext"/>
              <w:keepNext/>
              <w:keepLines/>
              <w:rPr>
                <w:b/>
                <w:bCs/>
              </w:rPr>
            </w:pPr>
            <w:r w:rsidRPr="002627F2">
              <w:rPr>
                <w:b/>
                <w:bCs/>
              </w:rPr>
              <w:t>El texto es aplicable</w:t>
            </w:r>
            <w:r w:rsidR="00C8120A" w:rsidRPr="002627F2">
              <w:rPr>
                <w:b/>
                <w:bCs/>
              </w:rPr>
              <w:t>.</w:t>
            </w:r>
          </w:p>
        </w:tc>
        <w:tc>
          <w:tcPr>
            <w:tcW w:w="1984" w:type="dxa"/>
          </w:tcPr>
          <w:p w14:paraId="3FDF67F4" w14:textId="39CF9C20" w:rsidR="00281527" w:rsidRPr="002627F2" w:rsidRDefault="00281527" w:rsidP="00C8120A">
            <w:pPr>
              <w:pStyle w:val="Tabletext"/>
              <w:keepNext/>
              <w:keepLines/>
              <w:rPr>
                <w:b/>
                <w:bCs/>
              </w:rPr>
            </w:pPr>
            <w:r w:rsidRPr="002627F2">
              <w:rPr>
                <w:b/>
                <w:bCs/>
              </w:rPr>
              <w:t>No se requiere flexibilidad</w:t>
            </w:r>
            <w:r w:rsidR="00C8120A" w:rsidRPr="002627F2">
              <w:rPr>
                <w:b/>
                <w:bCs/>
              </w:rPr>
              <w:t>.</w:t>
            </w:r>
          </w:p>
        </w:tc>
        <w:tc>
          <w:tcPr>
            <w:tcW w:w="1990" w:type="dxa"/>
          </w:tcPr>
          <w:p w14:paraId="78A3D241" w14:textId="77777777" w:rsidR="00281527" w:rsidRPr="002627F2" w:rsidRDefault="00281527" w:rsidP="00C8120A">
            <w:pPr>
              <w:pStyle w:val="Tabletext"/>
              <w:keepNext/>
              <w:keepLines/>
              <w:rPr>
                <w:b/>
                <w:bCs/>
              </w:rPr>
            </w:pPr>
          </w:p>
        </w:tc>
      </w:tr>
      <w:tr w:rsidR="00281527" w:rsidRPr="002627F2" w14:paraId="0C416DB2" w14:textId="77777777" w:rsidTr="001D440E">
        <w:trPr>
          <w:jc w:val="center"/>
        </w:trPr>
        <w:tc>
          <w:tcPr>
            <w:tcW w:w="2102" w:type="dxa"/>
            <w:vMerge/>
            <w:vAlign w:val="center"/>
          </w:tcPr>
          <w:p w14:paraId="2B04303A" w14:textId="77777777" w:rsidR="00281527" w:rsidRPr="002627F2" w:rsidRDefault="00281527" w:rsidP="00130A31">
            <w:pPr>
              <w:snapToGrid w:val="0"/>
              <w:spacing w:before="360" w:after="120"/>
              <w:jc w:val="center"/>
              <w:rPr>
                <w:rFonts w:asciiTheme="majorBidi" w:hAnsiTheme="majorBidi" w:cstheme="majorBidi"/>
                <w:b/>
              </w:rPr>
            </w:pPr>
          </w:p>
        </w:tc>
        <w:tc>
          <w:tcPr>
            <w:tcW w:w="3087" w:type="dxa"/>
          </w:tcPr>
          <w:p w14:paraId="4F1C5224" w14:textId="5B1418E2" w:rsidR="00281527" w:rsidRPr="002627F2" w:rsidRDefault="00281527" w:rsidP="00130A31">
            <w:pPr>
              <w:pStyle w:val="Tabletext"/>
            </w:pPr>
            <w:r w:rsidRPr="002627F2">
              <w:t>3.3.3</w:t>
            </w:r>
            <w:r w:rsidRPr="002627F2">
              <w:tab/>
              <w:t>El día del pago, el deudor transmitirá el importe expresado en la moneda elegida y calculado según se indica en los párrafos anteriores, por cheque bancario, transferencia o cualquier otro medio aceptable para el deudor y el acreedor. Si el acreedor no expresa preferencia, la elección corresponderá al deudor.</w:t>
            </w:r>
          </w:p>
        </w:tc>
        <w:tc>
          <w:tcPr>
            <w:tcW w:w="3087" w:type="dxa"/>
          </w:tcPr>
          <w:p w14:paraId="585261FC" w14:textId="79E14ABE" w:rsidR="00281527" w:rsidRPr="002627F2" w:rsidRDefault="00281527" w:rsidP="00DF21F3">
            <w:pPr>
              <w:pStyle w:val="Tabletext"/>
            </w:pPr>
            <w:r w:rsidRPr="002627F2">
              <w:t>3.3.3</w:t>
            </w:r>
            <w:r w:rsidRPr="002627F2">
              <w:tab/>
              <w:t>El día del pago, el deudor transmitirá el importe expresado en la moneda elegida y calculado según se indica en los párrafos anteriores, por cheque bancario, giro o cualquier otro medio aceptable para el deudor y el acreedor. Si el acreedor no expresa preferencia, la elección corresponderá al deudor.</w:t>
            </w:r>
          </w:p>
        </w:tc>
        <w:tc>
          <w:tcPr>
            <w:tcW w:w="2209" w:type="dxa"/>
          </w:tcPr>
          <w:p w14:paraId="6B85DCB5" w14:textId="73261B38" w:rsidR="00281527" w:rsidRPr="002627F2" w:rsidRDefault="00281527" w:rsidP="00C8120A">
            <w:pPr>
              <w:pStyle w:val="Tabletext"/>
              <w:keepNext/>
              <w:keepLines/>
              <w:rPr>
                <w:b/>
                <w:bCs/>
              </w:rPr>
            </w:pPr>
            <w:r w:rsidRPr="002627F2">
              <w:rPr>
                <w:b/>
                <w:bCs/>
              </w:rPr>
              <w:t>El texto es aplicable</w:t>
            </w:r>
            <w:r w:rsidR="00C8120A" w:rsidRPr="002627F2">
              <w:rPr>
                <w:b/>
                <w:bCs/>
              </w:rPr>
              <w:t>.</w:t>
            </w:r>
          </w:p>
        </w:tc>
        <w:tc>
          <w:tcPr>
            <w:tcW w:w="1984" w:type="dxa"/>
          </w:tcPr>
          <w:p w14:paraId="0970F5A2" w14:textId="4A242706" w:rsidR="00281527" w:rsidRPr="002627F2" w:rsidRDefault="00281527" w:rsidP="00C8120A">
            <w:pPr>
              <w:pStyle w:val="Tabletext"/>
              <w:keepNext/>
              <w:keepLines/>
              <w:rPr>
                <w:b/>
                <w:bCs/>
              </w:rPr>
            </w:pPr>
            <w:r w:rsidRPr="002627F2">
              <w:rPr>
                <w:b/>
                <w:bCs/>
              </w:rPr>
              <w:t>No se requiere flexibilidad</w:t>
            </w:r>
            <w:r w:rsidR="00C8120A" w:rsidRPr="002627F2">
              <w:rPr>
                <w:b/>
                <w:bCs/>
              </w:rPr>
              <w:t>.</w:t>
            </w:r>
          </w:p>
        </w:tc>
        <w:tc>
          <w:tcPr>
            <w:tcW w:w="1990" w:type="dxa"/>
          </w:tcPr>
          <w:p w14:paraId="4D8BEE4A" w14:textId="77777777" w:rsidR="00281527" w:rsidRPr="002627F2" w:rsidRDefault="00281527" w:rsidP="00C8120A">
            <w:pPr>
              <w:pStyle w:val="Tabletext"/>
              <w:keepNext/>
              <w:keepLines/>
              <w:rPr>
                <w:b/>
                <w:bCs/>
              </w:rPr>
            </w:pPr>
          </w:p>
        </w:tc>
      </w:tr>
      <w:tr w:rsidR="00281527" w:rsidRPr="002627F2" w14:paraId="2B97B43A" w14:textId="77777777" w:rsidTr="001D440E">
        <w:trPr>
          <w:jc w:val="center"/>
        </w:trPr>
        <w:tc>
          <w:tcPr>
            <w:tcW w:w="2102" w:type="dxa"/>
            <w:vMerge/>
            <w:vAlign w:val="center"/>
          </w:tcPr>
          <w:p w14:paraId="4519ECDA" w14:textId="77777777" w:rsidR="00281527" w:rsidRPr="002627F2" w:rsidRDefault="00281527" w:rsidP="00130A31">
            <w:pPr>
              <w:snapToGrid w:val="0"/>
              <w:spacing w:before="360" w:after="120"/>
              <w:jc w:val="center"/>
              <w:rPr>
                <w:rFonts w:asciiTheme="majorBidi" w:hAnsiTheme="majorBidi" w:cstheme="majorBidi"/>
                <w:b/>
              </w:rPr>
            </w:pPr>
          </w:p>
        </w:tc>
        <w:tc>
          <w:tcPr>
            <w:tcW w:w="3087" w:type="dxa"/>
          </w:tcPr>
          <w:p w14:paraId="34E8E812" w14:textId="4D6D61D6" w:rsidR="00281527" w:rsidRPr="002627F2" w:rsidRDefault="00281527" w:rsidP="00130A31">
            <w:pPr>
              <w:pStyle w:val="Tabletext"/>
            </w:pPr>
            <w:r w:rsidRPr="002627F2">
              <w:t>3.3.4</w:t>
            </w:r>
            <w:r w:rsidRPr="002627F2">
              <w:tab/>
              <w:t xml:space="preserve">Los gastos de pago (tributos, gastos de compensación, comisiones, etc.) satisfechos en el país deudor correrán por cuenta del deudor. Tales gastos satisfechos en el país acreedor, comprendidos los gastos de </w:t>
            </w:r>
            <w:r w:rsidRPr="002627F2">
              <w:lastRenderedPageBreak/>
              <w:t>pago cobrados por los bancos intermediarios en terceros países, correrán por cuenta del acreedor.</w:t>
            </w:r>
          </w:p>
        </w:tc>
        <w:tc>
          <w:tcPr>
            <w:tcW w:w="3087" w:type="dxa"/>
          </w:tcPr>
          <w:p w14:paraId="553C3892" w14:textId="0C974D9A" w:rsidR="00281527" w:rsidRPr="002627F2" w:rsidRDefault="00281527" w:rsidP="00DF21F3">
            <w:pPr>
              <w:pStyle w:val="Tabletext"/>
            </w:pPr>
            <w:r w:rsidRPr="002627F2">
              <w:lastRenderedPageBreak/>
              <w:t>3.3.4</w:t>
            </w:r>
            <w:r w:rsidRPr="002627F2">
              <w:tab/>
              <w:t xml:space="preserve">Los gastos de pago (tributos, gastos de compensación, comisiones, etc.) satisfechos en el país deudor correrán por cuenta del deudor. Tales gastos satisfechos en el país acreedor, comprendidos los gastos de </w:t>
            </w:r>
            <w:r w:rsidRPr="002627F2">
              <w:lastRenderedPageBreak/>
              <w:t>pago cobrados por los bancos intermediarios en terceros países, correrán por cuenta del acreedor.</w:t>
            </w:r>
          </w:p>
        </w:tc>
        <w:tc>
          <w:tcPr>
            <w:tcW w:w="2209" w:type="dxa"/>
          </w:tcPr>
          <w:p w14:paraId="02532EAE" w14:textId="17EF15CD" w:rsidR="00281527" w:rsidRPr="002627F2" w:rsidRDefault="00281527" w:rsidP="00C8120A">
            <w:pPr>
              <w:pStyle w:val="Tabletext"/>
              <w:keepNext/>
              <w:keepLines/>
              <w:rPr>
                <w:b/>
                <w:bCs/>
              </w:rPr>
            </w:pPr>
            <w:r w:rsidRPr="002627F2">
              <w:rPr>
                <w:b/>
                <w:bCs/>
              </w:rPr>
              <w:lastRenderedPageBreak/>
              <w:t>El texto es aplicable</w:t>
            </w:r>
            <w:r w:rsidR="00C8120A" w:rsidRPr="002627F2">
              <w:rPr>
                <w:b/>
                <w:bCs/>
              </w:rPr>
              <w:t>.</w:t>
            </w:r>
          </w:p>
        </w:tc>
        <w:tc>
          <w:tcPr>
            <w:tcW w:w="1984" w:type="dxa"/>
          </w:tcPr>
          <w:p w14:paraId="4C32836E" w14:textId="67F9EAF1" w:rsidR="00281527" w:rsidRPr="002627F2" w:rsidRDefault="00281527" w:rsidP="00C8120A">
            <w:pPr>
              <w:pStyle w:val="Tabletext"/>
              <w:keepNext/>
              <w:keepLines/>
              <w:rPr>
                <w:b/>
                <w:bCs/>
              </w:rPr>
            </w:pPr>
            <w:r w:rsidRPr="002627F2">
              <w:rPr>
                <w:b/>
                <w:bCs/>
              </w:rPr>
              <w:t>No se requiere flexibilidad</w:t>
            </w:r>
            <w:r w:rsidR="00C8120A" w:rsidRPr="002627F2">
              <w:rPr>
                <w:b/>
                <w:bCs/>
              </w:rPr>
              <w:t>.</w:t>
            </w:r>
          </w:p>
        </w:tc>
        <w:tc>
          <w:tcPr>
            <w:tcW w:w="1990" w:type="dxa"/>
          </w:tcPr>
          <w:p w14:paraId="48E8F1F9" w14:textId="77777777" w:rsidR="00281527" w:rsidRPr="002627F2" w:rsidRDefault="00281527" w:rsidP="00C8120A">
            <w:pPr>
              <w:pStyle w:val="Tabletext"/>
              <w:keepNext/>
              <w:keepLines/>
              <w:rPr>
                <w:b/>
                <w:bCs/>
              </w:rPr>
            </w:pPr>
          </w:p>
        </w:tc>
      </w:tr>
      <w:tr w:rsidR="00281527" w:rsidRPr="002627F2" w14:paraId="0B6FF8CC" w14:textId="77777777" w:rsidTr="001D440E">
        <w:trPr>
          <w:jc w:val="center"/>
        </w:trPr>
        <w:tc>
          <w:tcPr>
            <w:tcW w:w="2102" w:type="dxa"/>
            <w:vMerge/>
            <w:vAlign w:val="center"/>
          </w:tcPr>
          <w:p w14:paraId="75E9D595" w14:textId="77777777" w:rsidR="00281527" w:rsidRPr="002627F2" w:rsidRDefault="00281527" w:rsidP="00130A31">
            <w:pPr>
              <w:snapToGrid w:val="0"/>
              <w:spacing w:before="360" w:after="120"/>
              <w:jc w:val="center"/>
              <w:rPr>
                <w:rFonts w:asciiTheme="majorBidi" w:hAnsiTheme="majorBidi" w:cstheme="majorBidi"/>
                <w:b/>
              </w:rPr>
            </w:pPr>
          </w:p>
        </w:tc>
        <w:tc>
          <w:tcPr>
            <w:tcW w:w="3087" w:type="dxa"/>
            <w:vAlign w:val="center"/>
          </w:tcPr>
          <w:p w14:paraId="26B39E08" w14:textId="2E13D630" w:rsidR="00281527" w:rsidRPr="002627F2" w:rsidRDefault="00281527" w:rsidP="00204FE0">
            <w:pPr>
              <w:pStyle w:val="Tabletext"/>
              <w:keepNext/>
              <w:keepLines/>
              <w:rPr>
                <w:b/>
                <w:bCs/>
              </w:rPr>
            </w:pPr>
            <w:r w:rsidRPr="002627F2">
              <w:rPr>
                <w:b/>
                <w:bCs/>
              </w:rPr>
              <w:t>3.</w:t>
            </w:r>
            <w:r w:rsidR="00C8120A" w:rsidRPr="002627F2">
              <w:rPr>
                <w:b/>
                <w:bCs/>
              </w:rPr>
              <w:t>4</w:t>
            </w:r>
            <w:r w:rsidR="00C8120A" w:rsidRPr="002627F2">
              <w:rPr>
                <w:b/>
                <w:bCs/>
              </w:rPr>
              <w:tab/>
            </w:r>
            <w:r w:rsidRPr="002627F2">
              <w:rPr>
                <w:b/>
                <w:bCs/>
              </w:rPr>
              <w:t>Disposiciones adicionales</w:t>
            </w:r>
          </w:p>
        </w:tc>
        <w:tc>
          <w:tcPr>
            <w:tcW w:w="3087" w:type="dxa"/>
            <w:vAlign w:val="center"/>
          </w:tcPr>
          <w:p w14:paraId="53C257C5" w14:textId="77777777" w:rsidR="00281527" w:rsidRPr="002627F2" w:rsidRDefault="00281527" w:rsidP="00204FE0">
            <w:pPr>
              <w:pStyle w:val="Tabletext"/>
              <w:keepNext/>
              <w:keepLines/>
            </w:pPr>
          </w:p>
        </w:tc>
        <w:tc>
          <w:tcPr>
            <w:tcW w:w="2209" w:type="dxa"/>
          </w:tcPr>
          <w:p w14:paraId="61AE099D" w14:textId="77777777" w:rsidR="00281527" w:rsidRPr="002627F2" w:rsidRDefault="00281527" w:rsidP="00204FE0">
            <w:pPr>
              <w:pStyle w:val="Tabletext"/>
              <w:keepNext/>
              <w:keepLines/>
              <w:rPr>
                <w:b/>
                <w:bCs/>
              </w:rPr>
            </w:pPr>
          </w:p>
        </w:tc>
        <w:tc>
          <w:tcPr>
            <w:tcW w:w="1984" w:type="dxa"/>
          </w:tcPr>
          <w:p w14:paraId="6CB3BF33" w14:textId="77777777" w:rsidR="00281527" w:rsidRPr="002627F2" w:rsidRDefault="00281527" w:rsidP="00204FE0">
            <w:pPr>
              <w:pStyle w:val="Tabletext"/>
              <w:keepNext/>
              <w:keepLines/>
              <w:rPr>
                <w:b/>
                <w:bCs/>
              </w:rPr>
            </w:pPr>
          </w:p>
        </w:tc>
        <w:tc>
          <w:tcPr>
            <w:tcW w:w="1990" w:type="dxa"/>
          </w:tcPr>
          <w:p w14:paraId="46BAE856" w14:textId="77777777" w:rsidR="00281527" w:rsidRPr="002627F2" w:rsidRDefault="00281527" w:rsidP="00204FE0">
            <w:pPr>
              <w:pStyle w:val="Tabletext"/>
              <w:keepNext/>
              <w:keepLines/>
              <w:rPr>
                <w:b/>
                <w:bCs/>
              </w:rPr>
            </w:pPr>
          </w:p>
        </w:tc>
      </w:tr>
      <w:tr w:rsidR="00281527" w:rsidRPr="002627F2" w14:paraId="341E4B92" w14:textId="77777777" w:rsidTr="001D440E">
        <w:trPr>
          <w:jc w:val="center"/>
        </w:trPr>
        <w:tc>
          <w:tcPr>
            <w:tcW w:w="2102" w:type="dxa"/>
            <w:vMerge/>
            <w:vAlign w:val="center"/>
          </w:tcPr>
          <w:p w14:paraId="61A85D82" w14:textId="77777777" w:rsidR="00281527" w:rsidRPr="002627F2" w:rsidRDefault="00281527" w:rsidP="00130A31">
            <w:pPr>
              <w:snapToGrid w:val="0"/>
              <w:spacing w:before="360" w:after="120"/>
              <w:jc w:val="center"/>
              <w:rPr>
                <w:rFonts w:asciiTheme="majorBidi" w:hAnsiTheme="majorBidi" w:cstheme="majorBidi"/>
                <w:b/>
              </w:rPr>
            </w:pPr>
          </w:p>
        </w:tc>
        <w:tc>
          <w:tcPr>
            <w:tcW w:w="3087" w:type="dxa"/>
          </w:tcPr>
          <w:p w14:paraId="22C15BC2" w14:textId="291879DC" w:rsidR="00281527" w:rsidRPr="002627F2" w:rsidRDefault="00281527" w:rsidP="00204FE0">
            <w:pPr>
              <w:pStyle w:val="Tabletext"/>
              <w:keepNext/>
              <w:keepLines/>
            </w:pPr>
            <w:r w:rsidRPr="002627F2">
              <w:t>3.4.1</w:t>
            </w:r>
            <w:r w:rsidRPr="002627F2">
              <w:tab/>
              <w:t>Si, durante el periodo comprendido entre el envío del pago (transferencia bancaria, cheque, etc.) y su recepción (acreditación en cuenta, cobro del cheque, etc.) por el acreedor, se produce una variación del valor equivalente de la moneda elegida, calculado como se indica en las disposiciones del § 3.2 supra, y si la diferencia resultante de esta variación excede del 5% del valor de la suma adeudada, calculado a raíz de dicha variación, el deudor y el acreedor se repartirán la diferencia total a partes iguales.</w:t>
            </w:r>
          </w:p>
        </w:tc>
        <w:tc>
          <w:tcPr>
            <w:tcW w:w="3087" w:type="dxa"/>
          </w:tcPr>
          <w:p w14:paraId="6EE9EF53" w14:textId="7921E456" w:rsidR="00281527" w:rsidRPr="002627F2" w:rsidRDefault="00281527" w:rsidP="00204FE0">
            <w:pPr>
              <w:pStyle w:val="Tabletext"/>
              <w:keepNext/>
              <w:keepLines/>
            </w:pPr>
            <w:r w:rsidRPr="002627F2">
              <w:t>3.4.2</w:t>
            </w:r>
            <w:r w:rsidRPr="002627F2">
              <w:tab/>
              <w:t>Si, durante el periodo comprendido entre el envío del medio de pago (giro bancario, cheque, etc.) y su recepción (acreditación en cuenta, cobro del cheque, etc.) por el acreedor, se produce una variación del valor equivalente de la moneda elegida, calculado como se indica en las disposiciones del § 3.2, y si la diferencia resultante de esta variación excede del 5% del valor de la suma adeudada, calculado a raíz de dicha variación, el deudor y el acreedor se repartirán la diferencia total por partes iguales.</w:t>
            </w:r>
          </w:p>
        </w:tc>
        <w:tc>
          <w:tcPr>
            <w:tcW w:w="2209" w:type="dxa"/>
          </w:tcPr>
          <w:p w14:paraId="1F8F38CB" w14:textId="40D3CD7C" w:rsidR="00281527" w:rsidRPr="002627F2" w:rsidRDefault="00281527" w:rsidP="00C8120A">
            <w:pPr>
              <w:pStyle w:val="Tabletext"/>
              <w:keepNext/>
              <w:keepLines/>
              <w:rPr>
                <w:b/>
                <w:bCs/>
              </w:rPr>
            </w:pPr>
            <w:r w:rsidRPr="002627F2">
              <w:rPr>
                <w:b/>
                <w:bCs/>
              </w:rPr>
              <w:t>El texto es aplicable</w:t>
            </w:r>
            <w:r w:rsidR="00C8120A" w:rsidRPr="002627F2">
              <w:rPr>
                <w:b/>
                <w:bCs/>
              </w:rPr>
              <w:t>.</w:t>
            </w:r>
          </w:p>
        </w:tc>
        <w:tc>
          <w:tcPr>
            <w:tcW w:w="1984" w:type="dxa"/>
          </w:tcPr>
          <w:p w14:paraId="54827E1D" w14:textId="187EEC76" w:rsidR="00281527" w:rsidRPr="002627F2" w:rsidRDefault="00281527" w:rsidP="00C8120A">
            <w:pPr>
              <w:pStyle w:val="Tabletext"/>
              <w:keepNext/>
              <w:keepLines/>
              <w:rPr>
                <w:b/>
                <w:bCs/>
              </w:rPr>
            </w:pPr>
            <w:r w:rsidRPr="002627F2">
              <w:rPr>
                <w:b/>
                <w:bCs/>
              </w:rPr>
              <w:t>No se requiere flexibilidad</w:t>
            </w:r>
            <w:r w:rsidR="00C8120A" w:rsidRPr="002627F2">
              <w:rPr>
                <w:b/>
                <w:bCs/>
              </w:rPr>
              <w:t>.</w:t>
            </w:r>
          </w:p>
        </w:tc>
        <w:tc>
          <w:tcPr>
            <w:tcW w:w="1990" w:type="dxa"/>
          </w:tcPr>
          <w:p w14:paraId="2D2D0B7B" w14:textId="77777777" w:rsidR="00281527" w:rsidRPr="002627F2" w:rsidRDefault="00281527" w:rsidP="00C8120A">
            <w:pPr>
              <w:pStyle w:val="Tabletext"/>
              <w:keepNext/>
              <w:keepLines/>
              <w:rPr>
                <w:b/>
                <w:bCs/>
              </w:rPr>
            </w:pPr>
          </w:p>
        </w:tc>
      </w:tr>
      <w:tr w:rsidR="00281527" w:rsidRPr="002627F2" w14:paraId="3F9ECA4C" w14:textId="77777777" w:rsidTr="001D440E">
        <w:trPr>
          <w:jc w:val="center"/>
        </w:trPr>
        <w:tc>
          <w:tcPr>
            <w:tcW w:w="2102" w:type="dxa"/>
            <w:vMerge/>
            <w:vAlign w:val="center"/>
          </w:tcPr>
          <w:p w14:paraId="0945EA5F" w14:textId="77777777" w:rsidR="00281527" w:rsidRPr="002627F2" w:rsidRDefault="00281527" w:rsidP="00130A31">
            <w:pPr>
              <w:snapToGrid w:val="0"/>
              <w:spacing w:before="360" w:after="120"/>
              <w:jc w:val="center"/>
              <w:rPr>
                <w:rFonts w:asciiTheme="majorBidi" w:hAnsiTheme="majorBidi" w:cstheme="majorBidi"/>
                <w:b/>
              </w:rPr>
            </w:pPr>
          </w:p>
        </w:tc>
        <w:tc>
          <w:tcPr>
            <w:tcW w:w="3087" w:type="dxa"/>
          </w:tcPr>
          <w:p w14:paraId="70303C2A" w14:textId="1E5D8C44" w:rsidR="00281527" w:rsidRPr="002627F2" w:rsidRDefault="00281527" w:rsidP="00C8120A">
            <w:pPr>
              <w:pStyle w:val="Tabletext"/>
              <w:keepNext/>
              <w:keepLines/>
            </w:pPr>
            <w:r w:rsidRPr="002627F2">
              <w:t>3.4.2</w:t>
            </w:r>
            <w:r w:rsidRPr="002627F2">
              <w:tab/>
              <w:t>Si se produce un cambio radical en el sistema monetario internacional que haga inoperantes o inadecuadas las disposiciones contenidas en uno o en varios párrafos anteriores, las empresas de explotación autorizadas tendrán plena libertad para adoptar por vía de acuerdos mutuos, una base monetaria diferente y/o procedimientos diferentes para la liquidación de los saldos de las cuentas, en espera de la revisión de dichas disposiciones.</w:t>
            </w:r>
          </w:p>
        </w:tc>
        <w:tc>
          <w:tcPr>
            <w:tcW w:w="3087" w:type="dxa"/>
          </w:tcPr>
          <w:p w14:paraId="4290B115" w14:textId="6C28DC9A" w:rsidR="00281527" w:rsidRPr="002627F2" w:rsidRDefault="00281527" w:rsidP="00C8120A">
            <w:pPr>
              <w:pStyle w:val="Tabletext"/>
              <w:keepNext/>
              <w:keepLines/>
            </w:pPr>
            <w:r w:rsidRPr="002627F2">
              <w:t>3.4.3</w:t>
            </w:r>
            <w:r w:rsidRPr="002627F2">
              <w:tab/>
              <w:t>Si se produce un cambio radical en el sistema monetario internacional que haga inoperantes o inadecuadas las disposiciones contenidas en uno o en varios párrafos anteriores, las administraciones</w:t>
            </w:r>
            <w:r w:rsidR="00C8120A" w:rsidRPr="002627F2">
              <w:t>*</w:t>
            </w:r>
            <w:r w:rsidRPr="002627F2">
              <w:t xml:space="preserve"> tendrán plena libertad para adoptar por vía de acuerdos mutuos, una base monetaria diferente o procedimientos diferentes para la liquidación de los saldos de las cuentas, en espera de la revisión de dichas disposiciones.</w:t>
            </w:r>
          </w:p>
        </w:tc>
        <w:tc>
          <w:tcPr>
            <w:tcW w:w="2209" w:type="dxa"/>
          </w:tcPr>
          <w:p w14:paraId="43E64C8B" w14:textId="5842193F" w:rsidR="00281527" w:rsidRPr="002627F2" w:rsidRDefault="00281527" w:rsidP="00C8120A">
            <w:pPr>
              <w:pStyle w:val="Tabletext"/>
              <w:keepNext/>
              <w:keepLines/>
              <w:rPr>
                <w:b/>
                <w:bCs/>
              </w:rPr>
            </w:pPr>
            <w:r w:rsidRPr="002627F2">
              <w:rPr>
                <w:b/>
                <w:bCs/>
              </w:rPr>
              <w:t>El texto es aplicable</w:t>
            </w:r>
            <w:r w:rsidR="00C8120A" w:rsidRPr="002627F2">
              <w:rPr>
                <w:b/>
                <w:bCs/>
              </w:rPr>
              <w:t>.</w:t>
            </w:r>
          </w:p>
        </w:tc>
        <w:tc>
          <w:tcPr>
            <w:tcW w:w="1984" w:type="dxa"/>
          </w:tcPr>
          <w:p w14:paraId="75134922" w14:textId="7ACF706E" w:rsidR="00281527" w:rsidRPr="002627F2" w:rsidRDefault="00281527" w:rsidP="00C8120A">
            <w:pPr>
              <w:pStyle w:val="Tabletext"/>
              <w:keepNext/>
              <w:keepLines/>
              <w:rPr>
                <w:b/>
                <w:bCs/>
              </w:rPr>
            </w:pPr>
            <w:r w:rsidRPr="002627F2">
              <w:rPr>
                <w:b/>
                <w:bCs/>
              </w:rPr>
              <w:t>El texto es flexible</w:t>
            </w:r>
            <w:r w:rsidR="00C8120A" w:rsidRPr="002627F2">
              <w:rPr>
                <w:b/>
                <w:bCs/>
              </w:rPr>
              <w:t>.</w:t>
            </w:r>
          </w:p>
        </w:tc>
        <w:tc>
          <w:tcPr>
            <w:tcW w:w="1990" w:type="dxa"/>
          </w:tcPr>
          <w:p w14:paraId="7FE998FB" w14:textId="77777777" w:rsidR="00281527" w:rsidRPr="002627F2" w:rsidRDefault="00281527" w:rsidP="00C8120A">
            <w:pPr>
              <w:pStyle w:val="Tabletext"/>
              <w:keepNext/>
              <w:keepLines/>
              <w:rPr>
                <w:b/>
                <w:bCs/>
              </w:rPr>
            </w:pPr>
          </w:p>
        </w:tc>
      </w:tr>
    </w:tbl>
    <w:p w14:paraId="4A696435" w14:textId="77777777" w:rsidR="00D560E8" w:rsidRPr="002627F2" w:rsidRDefault="00D560E8" w:rsidP="00411C49">
      <w:pPr>
        <w:pStyle w:val="Reasons"/>
      </w:pPr>
    </w:p>
    <w:p w14:paraId="48362697" w14:textId="77777777" w:rsidR="00D560E8" w:rsidRPr="002627F2" w:rsidRDefault="00D560E8">
      <w:pPr>
        <w:jc w:val="center"/>
      </w:pPr>
      <w:r w:rsidRPr="002627F2">
        <w:t>______________</w:t>
      </w:r>
      <w:bookmarkStart w:id="42" w:name="_GoBack"/>
      <w:bookmarkEnd w:id="42"/>
    </w:p>
    <w:sectPr w:rsidR="00D560E8" w:rsidRPr="002627F2" w:rsidSect="007536C2">
      <w:headerReference w:type="first" r:id="rId11"/>
      <w:footerReference w:type="first" r:id="rId12"/>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BC5B3D" w14:textId="77777777" w:rsidR="00746C37" w:rsidRDefault="00746C37">
      <w:r>
        <w:separator/>
      </w:r>
    </w:p>
  </w:endnote>
  <w:endnote w:type="continuationSeparator" w:id="0">
    <w:p w14:paraId="7C8E9927" w14:textId="77777777" w:rsidR="00746C37" w:rsidRDefault="00746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A49AE" w14:textId="3385F1E4" w:rsidR="006E1490" w:rsidRDefault="006E1490" w:rsidP="006E1490">
    <w:pPr>
      <w:pStyle w:val="Footer"/>
      <w:rPr>
        <w:lang w:val="en-US"/>
      </w:rPr>
    </w:pPr>
    <w:r>
      <w:rPr>
        <w:lang w:val="en-US"/>
      </w:rPr>
      <w:fldChar w:fldCharType="begin"/>
    </w:r>
    <w:r>
      <w:rPr>
        <w:lang w:val="en-US"/>
      </w:rPr>
      <w:instrText xml:space="preserve"> FILENAME \p \* MERGEFORMAT </w:instrText>
    </w:r>
    <w:r>
      <w:rPr>
        <w:lang w:val="en-US"/>
      </w:rPr>
      <w:fldChar w:fldCharType="separate"/>
    </w:r>
    <w:r w:rsidR="00C43599">
      <w:rPr>
        <w:lang w:val="en-US"/>
      </w:rPr>
      <w:t>P:\ESP\SG\CONSEIL\EG-ITR\EG-ITR-3\000\007S.docx</w:t>
    </w:r>
    <w:r>
      <w:rPr>
        <w:lang w:val="en-US"/>
      </w:rPr>
      <w:fldChar w:fldCharType="end"/>
    </w:r>
    <w:r>
      <w:rPr>
        <w:lang w:val="en-US"/>
      </w:rPr>
      <w:t xml:space="preserve"> (476493)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1AAFA" w14:textId="77777777" w:rsidR="00746C37" w:rsidRDefault="00746C37">
    <w:pPr>
      <w:spacing w:after="120"/>
      <w:jc w:val="center"/>
    </w:pPr>
    <w:r>
      <w:t xml:space="preserve">• </w:t>
    </w:r>
    <w:hyperlink r:id="rId1" w:history="1">
      <w:r>
        <w:rPr>
          <w:rStyle w:val="Hyperlink"/>
        </w:rPr>
        <w:t>http://www.itu.int/council</w:t>
      </w:r>
    </w:hyperlink>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F0705" w14:textId="18F06111" w:rsidR="00746C37" w:rsidRDefault="00746C37" w:rsidP="007536C2">
    <w:pPr>
      <w:pStyle w:val="Footer"/>
      <w:rPr>
        <w:lang w:val="en-US"/>
      </w:rPr>
    </w:pPr>
    <w:r>
      <w:rPr>
        <w:lang w:val="en-US"/>
      </w:rPr>
      <w:fldChar w:fldCharType="begin"/>
    </w:r>
    <w:r>
      <w:rPr>
        <w:lang w:val="en-US"/>
      </w:rPr>
      <w:instrText xml:space="preserve"> FILENAME \p \* MERGEFORMAT </w:instrText>
    </w:r>
    <w:r>
      <w:rPr>
        <w:lang w:val="en-US"/>
      </w:rPr>
      <w:fldChar w:fldCharType="separate"/>
    </w:r>
    <w:r w:rsidR="00C43599">
      <w:rPr>
        <w:lang w:val="en-US"/>
      </w:rPr>
      <w:t>P:\ESP\SG\CONSEIL\EG-ITR\EG-ITR-3\000\007S.docx</w:t>
    </w:r>
    <w:r>
      <w:rPr>
        <w:lang w:val="en-US"/>
      </w:rPr>
      <w:fldChar w:fldCharType="end"/>
    </w:r>
    <w:r>
      <w:rPr>
        <w:lang w:val="en-US"/>
      </w:rPr>
      <w:t xml:space="preserve"> (476493)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5097D" w14:textId="77777777" w:rsidR="00746C37" w:rsidRDefault="00746C37">
      <w:r>
        <w:t>____________________</w:t>
      </w:r>
    </w:p>
  </w:footnote>
  <w:footnote w:type="continuationSeparator" w:id="0">
    <w:p w14:paraId="12F908D2" w14:textId="77777777" w:rsidR="00746C37" w:rsidRDefault="00746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B65F6" w14:textId="77777777" w:rsidR="00746C37" w:rsidRDefault="00746C37" w:rsidP="007657F0">
    <w:pPr>
      <w:pStyle w:val="Header"/>
    </w:pPr>
    <w:r>
      <w:fldChar w:fldCharType="begin"/>
    </w:r>
    <w:r>
      <w:instrText>PAGE</w:instrText>
    </w:r>
    <w:r>
      <w:fldChar w:fldCharType="separate"/>
    </w:r>
    <w:r>
      <w:rPr>
        <w:noProof/>
      </w:rPr>
      <w:t>2</w:t>
    </w:r>
    <w:r>
      <w:rPr>
        <w:noProof/>
      </w:rPr>
      <w:fldChar w:fldCharType="end"/>
    </w:r>
  </w:p>
  <w:p w14:paraId="0B53923F" w14:textId="55FEA59E" w:rsidR="00746C37" w:rsidRDefault="00746C37" w:rsidP="00746C37">
    <w:pPr>
      <w:pStyle w:val="Header"/>
      <w:spacing w:after="120"/>
    </w:pPr>
    <w:r>
      <w:rPr>
        <w:noProof/>
      </w:rPr>
      <w:t>EG-ITRs-3\7-S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E35E2" w14:textId="77777777" w:rsidR="00746C37" w:rsidRDefault="00746C37" w:rsidP="00A82AE7">
    <w:pPr>
      <w:pStyle w:val="Header"/>
    </w:pPr>
    <w:r>
      <w:fldChar w:fldCharType="begin"/>
    </w:r>
    <w:r>
      <w:instrText>PAGE</w:instrText>
    </w:r>
    <w:r>
      <w:fldChar w:fldCharType="separate"/>
    </w:r>
    <w:r>
      <w:t>3</w:t>
    </w:r>
    <w:r>
      <w:rPr>
        <w:noProof/>
      </w:rPr>
      <w:fldChar w:fldCharType="end"/>
    </w:r>
  </w:p>
  <w:p w14:paraId="1B45F7E5" w14:textId="557DFD78" w:rsidR="00746C37" w:rsidRDefault="00746C37" w:rsidP="00746C37">
    <w:pPr>
      <w:pStyle w:val="Header"/>
      <w:spacing w:after="120"/>
    </w:pPr>
    <w:r>
      <w:rPr>
        <w:noProof/>
      </w:rPr>
      <w:t>EG-ITRs-3\7-S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C7299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2189D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BE3E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744B9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D3AA9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72BD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C94EC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28E3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56872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E47AA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AAE"/>
    <w:rsid w:val="00012E27"/>
    <w:rsid w:val="0005127B"/>
    <w:rsid w:val="00093EEB"/>
    <w:rsid w:val="000B0D00"/>
    <w:rsid w:val="000B7C15"/>
    <w:rsid w:val="000D1D0F"/>
    <w:rsid w:val="000D3D6E"/>
    <w:rsid w:val="000F144F"/>
    <w:rsid w:val="000F5290"/>
    <w:rsid w:val="0010165C"/>
    <w:rsid w:val="001304D3"/>
    <w:rsid w:val="00130A31"/>
    <w:rsid w:val="00146BFB"/>
    <w:rsid w:val="001D440E"/>
    <w:rsid w:val="001F14A2"/>
    <w:rsid w:val="001F60AD"/>
    <w:rsid w:val="00204FE0"/>
    <w:rsid w:val="002364E2"/>
    <w:rsid w:val="002627F2"/>
    <w:rsid w:val="002801AA"/>
    <w:rsid w:val="00281527"/>
    <w:rsid w:val="002C4676"/>
    <w:rsid w:val="002C70B0"/>
    <w:rsid w:val="002D18B1"/>
    <w:rsid w:val="002F3CC4"/>
    <w:rsid w:val="00311028"/>
    <w:rsid w:val="003335EC"/>
    <w:rsid w:val="004F091C"/>
    <w:rsid w:val="00513630"/>
    <w:rsid w:val="005262CD"/>
    <w:rsid w:val="00560125"/>
    <w:rsid w:val="00585553"/>
    <w:rsid w:val="005B34D9"/>
    <w:rsid w:val="005B5523"/>
    <w:rsid w:val="005D0CCF"/>
    <w:rsid w:val="005F410F"/>
    <w:rsid w:val="0060149A"/>
    <w:rsid w:val="00601924"/>
    <w:rsid w:val="006447EA"/>
    <w:rsid w:val="0064731F"/>
    <w:rsid w:val="006710F6"/>
    <w:rsid w:val="0067129F"/>
    <w:rsid w:val="00677AAE"/>
    <w:rsid w:val="00683C03"/>
    <w:rsid w:val="0069717A"/>
    <w:rsid w:val="006C1B56"/>
    <w:rsid w:val="006D4761"/>
    <w:rsid w:val="006E1490"/>
    <w:rsid w:val="00726872"/>
    <w:rsid w:val="00746C37"/>
    <w:rsid w:val="007536C2"/>
    <w:rsid w:val="00760F1C"/>
    <w:rsid w:val="007657F0"/>
    <w:rsid w:val="0077252D"/>
    <w:rsid w:val="007818E6"/>
    <w:rsid w:val="00787719"/>
    <w:rsid w:val="007E3A3D"/>
    <w:rsid w:val="007E5DD3"/>
    <w:rsid w:val="007F350B"/>
    <w:rsid w:val="00812DB1"/>
    <w:rsid w:val="00820BE4"/>
    <w:rsid w:val="0082405A"/>
    <w:rsid w:val="008451E8"/>
    <w:rsid w:val="009106EF"/>
    <w:rsid w:val="00913B9C"/>
    <w:rsid w:val="00956E77"/>
    <w:rsid w:val="009D0C5D"/>
    <w:rsid w:val="009D1301"/>
    <w:rsid w:val="00A5370F"/>
    <w:rsid w:val="00A6032E"/>
    <w:rsid w:val="00A82AE7"/>
    <w:rsid w:val="00A833AE"/>
    <w:rsid w:val="00AA390C"/>
    <w:rsid w:val="00B0200A"/>
    <w:rsid w:val="00B574DB"/>
    <w:rsid w:val="00B63428"/>
    <w:rsid w:val="00B80928"/>
    <w:rsid w:val="00B826C2"/>
    <w:rsid w:val="00B8298E"/>
    <w:rsid w:val="00B92BF9"/>
    <w:rsid w:val="00BA4764"/>
    <w:rsid w:val="00BD0723"/>
    <w:rsid w:val="00BD2518"/>
    <w:rsid w:val="00BF1D1C"/>
    <w:rsid w:val="00C20C59"/>
    <w:rsid w:val="00C43599"/>
    <w:rsid w:val="00C476DC"/>
    <w:rsid w:val="00C55B1F"/>
    <w:rsid w:val="00C8120A"/>
    <w:rsid w:val="00C85B97"/>
    <w:rsid w:val="00CD3C84"/>
    <w:rsid w:val="00CF1A67"/>
    <w:rsid w:val="00D2750E"/>
    <w:rsid w:val="00D334DE"/>
    <w:rsid w:val="00D560E8"/>
    <w:rsid w:val="00D62446"/>
    <w:rsid w:val="00D92832"/>
    <w:rsid w:val="00DA4EA2"/>
    <w:rsid w:val="00DC3D3E"/>
    <w:rsid w:val="00DC6C2E"/>
    <w:rsid w:val="00DE2C90"/>
    <w:rsid w:val="00DE3B24"/>
    <w:rsid w:val="00DF21F3"/>
    <w:rsid w:val="00E06947"/>
    <w:rsid w:val="00E3592D"/>
    <w:rsid w:val="00E4445E"/>
    <w:rsid w:val="00E92DE8"/>
    <w:rsid w:val="00EB1212"/>
    <w:rsid w:val="00ED65AB"/>
    <w:rsid w:val="00F12850"/>
    <w:rsid w:val="00F33BF4"/>
    <w:rsid w:val="00F70229"/>
    <w:rsid w:val="00F7105E"/>
    <w:rsid w:val="00F75F57"/>
    <w:rsid w:val="00F82FEE"/>
    <w:rsid w:val="00F951E8"/>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F69C543"/>
  <w15:docId w15:val="{6E3CD013-D014-42D6-99C1-B2EC6C9BA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link w:val="NormalaftertitleChar"/>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link w:val="enumlev1Char"/>
    <w:qFormat/>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NormalaftertitleChar">
    <w:name w:val="Normal after title Char"/>
    <w:basedOn w:val="DefaultParagraphFont"/>
    <w:link w:val="Normalaftertitle"/>
    <w:rsid w:val="00746C37"/>
    <w:rPr>
      <w:rFonts w:ascii="Calibri" w:hAnsi="Calibri"/>
      <w:sz w:val="24"/>
      <w:lang w:val="es-ES_tradnl" w:eastAsia="en-US"/>
    </w:rPr>
  </w:style>
  <w:style w:type="character" w:customStyle="1" w:styleId="enumlev1Char">
    <w:name w:val="enumlev1 Char"/>
    <w:basedOn w:val="DefaultParagraphFont"/>
    <w:link w:val="enumlev1"/>
    <w:rsid w:val="00746C37"/>
    <w:rPr>
      <w:rFonts w:ascii="Calibri" w:hAnsi="Calibri"/>
      <w:sz w:val="24"/>
      <w:lang w:val="es-ES_tradnl" w:eastAsia="en-US"/>
    </w:rPr>
  </w:style>
  <w:style w:type="table" w:styleId="TableGrid">
    <w:name w:val="Table Grid"/>
    <w:basedOn w:val="TableNormal"/>
    <w:uiPriority w:val="39"/>
    <w:rsid w:val="00746C37"/>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def">
    <w:name w:val="Art_def"/>
    <w:basedOn w:val="DefaultParagraphFont"/>
    <w:rsid w:val="00746C37"/>
    <w:rPr>
      <w:rFonts w:asciiTheme="minorHAnsi" w:hAnsiTheme="minorHAnsi"/>
      <w:b/>
    </w:rPr>
  </w:style>
  <w:style w:type="paragraph" w:styleId="Revision">
    <w:name w:val="Revision"/>
    <w:hidden/>
    <w:uiPriority w:val="99"/>
    <w:semiHidden/>
    <w:rsid w:val="0005127B"/>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PS_EG-ITR.dotx</Template>
  <TotalTime>339</TotalTime>
  <Pages>29</Pages>
  <Words>5290</Words>
  <Characters>29098</Characters>
  <Application>Microsoft Office Word</Application>
  <DocSecurity>0</DocSecurity>
  <Lines>242</Lines>
  <Paragraphs>68</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34320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Saez Grau, Ricardo</dc:creator>
  <cp:keywords>C2010, C10</cp:keywords>
  <dc:description>Documento C17/-S  Para: _x000d_Fecha del documento: enero de 2017_x000d_Registrado por ITU51009317 a 15:32:38 el 06/04/2017</dc:description>
  <cp:lastModifiedBy>Saez Grau, Ricardo</cp:lastModifiedBy>
  <cp:revision>22</cp:revision>
  <cp:lastPrinted>2006-03-24T09:51:00Z</cp:lastPrinted>
  <dcterms:created xsi:type="dcterms:W3CDTF">2020-09-08T13:33:00Z</dcterms:created>
  <dcterms:modified xsi:type="dcterms:W3CDTF">2020-09-09T11:35:00Z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