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4125AF84" w:rsidR="00923A1B" w:rsidRPr="003737DE" w:rsidRDefault="000854C6" w:rsidP="003A4012">
            <w:pPr>
              <w:shd w:val="solid" w:color="FFFFFF" w:fill="FFFFFF"/>
              <w:spacing w:after="0"/>
              <w:rPr>
                <w:rFonts w:cs="Times"/>
                <w:b/>
              </w:rPr>
            </w:pPr>
            <w:r>
              <w:rPr>
                <w:rFonts w:cs="Times"/>
                <w:b/>
                <w:sz w:val="32"/>
                <w:szCs w:val="32"/>
              </w:rPr>
              <w:t>Expert Group on the International</w:t>
            </w:r>
            <w:r>
              <w:rPr>
                <w:rFonts w:cs="Times"/>
                <w:b/>
                <w:sz w:val="32"/>
                <w:szCs w:val="32"/>
              </w:rPr>
              <w:br/>
              <w:t>Telecommunication Regulations (EG-ITRs)</w:t>
            </w:r>
          </w:p>
        </w:tc>
        <w:tc>
          <w:tcPr>
            <w:tcW w:w="3492" w:type="dxa"/>
          </w:tcPr>
          <w:p w14:paraId="241C55DB" w14:textId="785EB79F" w:rsidR="00923A1B" w:rsidRDefault="00B36E39" w:rsidP="0025471D">
            <w:pPr>
              <w:pStyle w:val="dnum"/>
              <w:framePr w:hSpace="0" w:wrap="auto" w:vAnchor="margin" w:hAnchor="text" w:yAlign="inline"/>
              <w:spacing w:after="0"/>
            </w:pPr>
            <w:r>
              <w:rPr>
                <w:noProof/>
                <w:lang w:eastAsia="en-GB"/>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1B16088C" w:rsidR="00923A1B" w:rsidRPr="003737DE" w:rsidRDefault="00BD1E12" w:rsidP="00BD1E12">
            <w:pPr>
              <w:shd w:val="solid" w:color="FFFFFF" w:fill="FFFFFF"/>
              <w:spacing w:after="0"/>
              <w:rPr>
                <w:rFonts w:cs="Times"/>
                <w:b/>
              </w:rPr>
            </w:pPr>
            <w:r>
              <w:rPr>
                <w:b/>
                <w:bCs/>
                <w:sz w:val="24"/>
                <w:szCs w:val="40"/>
              </w:rPr>
              <w:t>Third</w:t>
            </w:r>
            <w:r w:rsidR="000854C6">
              <w:rPr>
                <w:b/>
                <w:bCs/>
                <w:sz w:val="24"/>
                <w:szCs w:val="40"/>
              </w:rPr>
              <w:t xml:space="preserve"> meeting </w:t>
            </w:r>
            <w:r w:rsidR="00B04BF2">
              <w:rPr>
                <w:b/>
                <w:bCs/>
                <w:sz w:val="24"/>
                <w:szCs w:val="40"/>
              </w:rPr>
              <w:t>–</w:t>
            </w:r>
            <w:r>
              <w:rPr>
                <w:b/>
                <w:bCs/>
                <w:sz w:val="24"/>
                <w:szCs w:val="40"/>
              </w:rPr>
              <w:t xml:space="preserve"> </w:t>
            </w:r>
            <w:r w:rsidR="00B04BF2">
              <w:rPr>
                <w:b/>
                <w:bCs/>
                <w:sz w:val="24"/>
                <w:szCs w:val="40"/>
              </w:rPr>
              <w:t>V</w:t>
            </w:r>
            <w:r>
              <w:rPr>
                <w:b/>
                <w:bCs/>
                <w:sz w:val="24"/>
                <w:szCs w:val="40"/>
              </w:rPr>
              <w:t>irtual</w:t>
            </w:r>
            <w:r w:rsidR="00B04BF2">
              <w:rPr>
                <w:b/>
                <w:bCs/>
                <w:sz w:val="24"/>
                <w:szCs w:val="40"/>
              </w:rPr>
              <w:t xml:space="preserve"> meeting</w:t>
            </w:r>
            <w:r w:rsidR="000854C6" w:rsidRPr="002238C4">
              <w:rPr>
                <w:b/>
                <w:bCs/>
                <w:sz w:val="24"/>
                <w:szCs w:val="40"/>
              </w:rPr>
              <w:t xml:space="preserve">, </w:t>
            </w:r>
            <w:r>
              <w:rPr>
                <w:b/>
                <w:bCs/>
                <w:sz w:val="24"/>
                <w:szCs w:val="40"/>
              </w:rPr>
              <w:t>17-18 September</w:t>
            </w:r>
            <w:r w:rsidR="003A4012">
              <w:rPr>
                <w:b/>
                <w:bCs/>
                <w:sz w:val="24"/>
                <w:szCs w:val="40"/>
              </w:rPr>
              <w:t xml:space="preserve"> 2020</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C03DBE"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1FF93166" w:rsidR="00923A1B" w:rsidRPr="002238C4" w:rsidRDefault="00923A1B" w:rsidP="000854C6">
            <w:pPr>
              <w:spacing w:after="0"/>
              <w:rPr>
                <w:b/>
                <w:bCs/>
                <w:sz w:val="24"/>
                <w:szCs w:val="24"/>
                <w:lang w:val="es-ES"/>
              </w:rPr>
            </w:pPr>
            <w:proofErr w:type="spellStart"/>
            <w:r w:rsidRPr="002238C4">
              <w:rPr>
                <w:b/>
                <w:bCs/>
                <w:sz w:val="24"/>
                <w:szCs w:val="24"/>
                <w:lang w:val="es-ES"/>
              </w:rPr>
              <w:t>Document</w:t>
            </w:r>
            <w:proofErr w:type="spellEnd"/>
            <w:r w:rsidRPr="002238C4">
              <w:rPr>
                <w:b/>
                <w:bCs/>
                <w:sz w:val="24"/>
                <w:szCs w:val="24"/>
                <w:lang w:val="es-ES"/>
              </w:rPr>
              <w:t xml:space="preserve"> </w:t>
            </w:r>
            <w:r w:rsidR="000854C6">
              <w:rPr>
                <w:b/>
                <w:bCs/>
                <w:sz w:val="24"/>
                <w:szCs w:val="24"/>
                <w:lang w:val="es-ES"/>
              </w:rPr>
              <w:t>EG-ITRs</w:t>
            </w:r>
            <w:r w:rsidR="003875B2">
              <w:rPr>
                <w:b/>
                <w:bCs/>
                <w:sz w:val="24"/>
                <w:szCs w:val="24"/>
                <w:lang w:val="es-ES"/>
              </w:rPr>
              <w:t>-3</w:t>
            </w:r>
            <w:r w:rsidR="000854C6">
              <w:rPr>
                <w:b/>
                <w:bCs/>
                <w:sz w:val="24"/>
                <w:szCs w:val="24"/>
                <w:lang w:val="es-ES"/>
              </w:rPr>
              <w:t>\</w:t>
            </w:r>
            <w:r w:rsidR="00B04BF2">
              <w:rPr>
                <w:b/>
                <w:bCs/>
                <w:sz w:val="24"/>
                <w:szCs w:val="24"/>
                <w:lang w:val="es-ES"/>
              </w:rPr>
              <w:t>9</w:t>
            </w:r>
            <w:r w:rsidR="000854C6">
              <w:rPr>
                <w:b/>
                <w:bCs/>
                <w:sz w:val="24"/>
                <w:szCs w:val="24"/>
                <w:lang w:val="es-ES"/>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5245A552" w:rsidR="00923A1B" w:rsidRPr="002238C4" w:rsidRDefault="00AE74B3" w:rsidP="003A4012">
            <w:pPr>
              <w:tabs>
                <w:tab w:val="left" w:pos="851"/>
              </w:tabs>
              <w:spacing w:after="0"/>
              <w:ind w:right="284"/>
              <w:rPr>
                <w:b/>
                <w:sz w:val="24"/>
                <w:szCs w:val="24"/>
              </w:rPr>
            </w:pPr>
            <w:r>
              <w:rPr>
                <w:b/>
                <w:sz w:val="24"/>
                <w:szCs w:val="24"/>
              </w:rPr>
              <w:t>3 September</w:t>
            </w:r>
            <w:r w:rsidR="000854C6">
              <w:rPr>
                <w:b/>
                <w:sz w:val="24"/>
                <w:szCs w:val="24"/>
              </w:rPr>
              <w:t xml:space="preserve"> </w:t>
            </w:r>
            <w:r w:rsidR="003A4012">
              <w:rPr>
                <w:b/>
                <w:sz w:val="24"/>
                <w:szCs w:val="24"/>
              </w:rPr>
              <w:t>2020</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54DB5F13" w:rsidR="00923A1B" w:rsidRPr="002238C4" w:rsidRDefault="003A4012" w:rsidP="00AE74B3">
            <w:pPr>
              <w:tabs>
                <w:tab w:val="left" w:pos="851"/>
              </w:tabs>
              <w:spacing w:after="0"/>
              <w:ind w:right="284"/>
              <w:rPr>
                <w:b/>
                <w:sz w:val="24"/>
                <w:szCs w:val="24"/>
              </w:rPr>
            </w:pPr>
            <w:r>
              <w:rPr>
                <w:b/>
                <w:sz w:val="24"/>
                <w:szCs w:val="24"/>
              </w:rPr>
              <w:t xml:space="preserve">Original: </w:t>
            </w:r>
            <w:r w:rsidR="00AE74B3">
              <w:rPr>
                <w:b/>
                <w:sz w:val="24"/>
                <w:szCs w:val="24"/>
              </w:rPr>
              <w:t>English</w:t>
            </w:r>
          </w:p>
        </w:tc>
      </w:tr>
      <w:tr w:rsidR="00024E14" w:rsidRPr="003737DE" w14:paraId="2CF60B2A" w14:textId="77777777" w:rsidTr="00372CD6">
        <w:trPr>
          <w:cantSplit/>
          <w:trHeight w:val="138"/>
        </w:trPr>
        <w:tc>
          <w:tcPr>
            <w:tcW w:w="9837" w:type="dxa"/>
            <w:gridSpan w:val="2"/>
          </w:tcPr>
          <w:p w14:paraId="2B7E725C" w14:textId="3D838379" w:rsidR="00024E14" w:rsidRDefault="00024E14" w:rsidP="00024E14">
            <w:pPr>
              <w:pStyle w:val="Source"/>
            </w:pPr>
            <w:r w:rsidRPr="00AC01B0">
              <w:t>United Kingdom of Great Britain and Northern Ireland</w:t>
            </w:r>
          </w:p>
        </w:tc>
      </w:tr>
      <w:tr w:rsidR="00024E14" w:rsidRPr="003737DE" w14:paraId="27824CBA" w14:textId="77777777" w:rsidTr="00372CD6">
        <w:trPr>
          <w:cantSplit/>
          <w:trHeight w:val="138"/>
        </w:trPr>
        <w:tc>
          <w:tcPr>
            <w:tcW w:w="9837" w:type="dxa"/>
            <w:gridSpan w:val="2"/>
          </w:tcPr>
          <w:p w14:paraId="11774442" w14:textId="30EC3F2B" w:rsidR="00024E14" w:rsidRDefault="00024E14" w:rsidP="00024E14">
            <w:pPr>
              <w:pStyle w:val="Title1"/>
            </w:pPr>
            <w:r w:rsidRPr="007B6230">
              <w:t>Provision-by-provision examination of the ITRs</w:t>
            </w:r>
          </w:p>
        </w:tc>
      </w:tr>
    </w:tbl>
    <w:p w14:paraId="6E39AED2" w14:textId="1410B235" w:rsidR="000854C6" w:rsidRDefault="00B362D2" w:rsidP="00B362D2">
      <w:pPr>
        <w:spacing w:before="840"/>
        <w:rPr>
          <w:sz w:val="24"/>
          <w:szCs w:val="24"/>
        </w:rPr>
      </w:pPr>
      <w:r w:rsidRPr="00B362D2">
        <w:rPr>
          <w:sz w:val="24"/>
          <w:szCs w:val="24"/>
        </w:rPr>
        <w:t xml:space="preserve">The United Kingdom is pleased to submit this contribution to the </w:t>
      </w:r>
      <w:r w:rsidR="00B67CBD">
        <w:rPr>
          <w:sz w:val="24"/>
          <w:szCs w:val="24"/>
        </w:rPr>
        <w:t>third</w:t>
      </w:r>
      <w:r w:rsidRPr="00B362D2">
        <w:rPr>
          <w:sz w:val="24"/>
          <w:szCs w:val="24"/>
        </w:rPr>
        <w:t xml:space="preserve"> meeting of the Expert Group on the ITRs. We welcome the invitation to submit contributions to support the provision-by-provision examination of the ITRs, in accordance with the Terms of Referenc</w:t>
      </w:r>
      <w:r w:rsidR="00035900">
        <w:rPr>
          <w:sz w:val="24"/>
          <w:szCs w:val="24"/>
        </w:rPr>
        <w:t xml:space="preserve">e. This contribution covers Article 5 to 8 of the </w:t>
      </w:r>
      <w:r w:rsidRPr="00B362D2">
        <w:rPr>
          <w:sz w:val="24"/>
          <w:szCs w:val="24"/>
        </w:rPr>
        <w:t>ITRs</w:t>
      </w:r>
      <w:r w:rsidR="00513440">
        <w:rPr>
          <w:sz w:val="24"/>
          <w:szCs w:val="24"/>
        </w:rPr>
        <w:t xml:space="preserve">, it does not cover </w:t>
      </w:r>
      <w:r w:rsidR="00035900">
        <w:rPr>
          <w:sz w:val="24"/>
          <w:szCs w:val="24"/>
        </w:rPr>
        <w:t xml:space="preserve">Appendix </w:t>
      </w:r>
      <w:r w:rsidR="00513440">
        <w:rPr>
          <w:sz w:val="24"/>
          <w:szCs w:val="24"/>
        </w:rPr>
        <w:t xml:space="preserve">1 to avoid duplication as our views </w:t>
      </w:r>
      <w:r w:rsidR="004E44AA">
        <w:rPr>
          <w:sz w:val="24"/>
          <w:szCs w:val="24"/>
        </w:rPr>
        <w:t xml:space="preserve">on Appendix 1 </w:t>
      </w:r>
      <w:r w:rsidR="00513440">
        <w:rPr>
          <w:sz w:val="24"/>
          <w:szCs w:val="24"/>
        </w:rPr>
        <w:t xml:space="preserve">are already reflected in the analysis of the provisions of the ITRs. </w:t>
      </w:r>
      <w:r w:rsidRPr="00B362D2">
        <w:rPr>
          <w:sz w:val="24"/>
          <w:szCs w:val="24"/>
        </w:rPr>
        <w:t>We look forward to discussing</w:t>
      </w:r>
      <w:r w:rsidR="00B67CBD">
        <w:rPr>
          <w:sz w:val="24"/>
          <w:szCs w:val="24"/>
        </w:rPr>
        <w:t xml:space="preserve"> this Examination Table at the third </w:t>
      </w:r>
      <w:r w:rsidRPr="00B362D2">
        <w:rPr>
          <w:sz w:val="24"/>
          <w:szCs w:val="24"/>
        </w:rPr>
        <w:t>meeting of the Expert Group.</w:t>
      </w:r>
    </w:p>
    <w:p w14:paraId="049AE32F" w14:textId="77777777" w:rsidR="000854C6" w:rsidRDefault="000854C6">
      <w:pPr>
        <w:spacing w:after="0" w:line="240" w:lineRule="auto"/>
        <w:rPr>
          <w:sz w:val="24"/>
          <w:szCs w:val="24"/>
        </w:rPr>
      </w:pPr>
      <w:r>
        <w:rPr>
          <w:sz w:val="24"/>
          <w:szCs w:val="24"/>
        </w:rPr>
        <w:br w:type="page"/>
      </w:r>
    </w:p>
    <w:p w14:paraId="6175CC7B" w14:textId="77777777" w:rsidR="00035900" w:rsidRDefault="00035900" w:rsidP="00AB2815">
      <w:pPr>
        <w:spacing w:before="840"/>
        <w:jc w:val="center"/>
        <w:rPr>
          <w:sz w:val="24"/>
          <w:szCs w:val="24"/>
        </w:rPr>
        <w:sectPr w:rsidR="00035900" w:rsidSect="004D1851">
          <w:headerReference w:type="default" r:id="rId12"/>
          <w:footerReference w:type="first" r:id="rId13"/>
          <w:pgSz w:w="11907" w:h="16834"/>
          <w:pgMar w:top="1418" w:right="1134" w:bottom="1418" w:left="1134" w:header="720" w:footer="720" w:gutter="0"/>
          <w:paperSrc w:first="15" w:other="15"/>
          <w:cols w:space="720"/>
          <w:titlePg/>
        </w:sectPr>
      </w:pPr>
    </w:p>
    <w:p w14:paraId="3CBDFB99" w14:textId="35E8D751" w:rsidR="00EF1E70" w:rsidRPr="004A29FF" w:rsidRDefault="00EF1E70" w:rsidP="00AB2815">
      <w:pPr>
        <w:spacing w:before="840"/>
        <w:jc w:val="center"/>
        <w:rPr>
          <w:sz w:val="24"/>
          <w:szCs w:val="24"/>
        </w:rPr>
      </w:pPr>
    </w:p>
    <w:tbl>
      <w:tblPr>
        <w:tblW w:w="15653" w:type="dxa"/>
        <w:jc w:val="center"/>
        <w:tblBorders>
          <w:top w:val="nil"/>
          <w:left w:val="nil"/>
          <w:bottom w:val="nil"/>
          <w:right w:val="nil"/>
          <w:insideH w:val="nil"/>
          <w:insideV w:val="nil"/>
        </w:tblBorders>
        <w:tblLayout w:type="fixed"/>
        <w:tblLook w:val="0600" w:firstRow="0" w:lastRow="0" w:firstColumn="0" w:lastColumn="0" w:noHBand="1" w:noVBand="1"/>
      </w:tblPr>
      <w:tblGrid>
        <w:gridCol w:w="794"/>
        <w:gridCol w:w="2985"/>
        <w:gridCol w:w="2955"/>
        <w:gridCol w:w="2973"/>
        <w:gridCol w:w="2973"/>
        <w:gridCol w:w="2973"/>
      </w:tblGrid>
      <w:tr w:rsidR="00EF1E70" w:rsidRPr="00631382" w14:paraId="5F9084F8" w14:textId="77777777" w:rsidTr="008F007F">
        <w:trPr>
          <w:trHeight w:val="96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5F69E7CF" w14:textId="77777777" w:rsidR="00EF1E70" w:rsidRPr="00631382" w:rsidRDefault="00EF1E70" w:rsidP="008F007F">
            <w:pPr>
              <w:jc w:val="center"/>
              <w:rPr>
                <w:b/>
                <w:sz w:val="20"/>
                <w:szCs w:val="20"/>
              </w:rPr>
            </w:pPr>
            <w:r w:rsidRPr="00631382">
              <w:rPr>
                <w:b/>
                <w:sz w:val="20"/>
                <w:szCs w:val="20"/>
              </w:rPr>
              <w:t>2012 Article</w:t>
            </w:r>
          </w:p>
        </w:tc>
        <w:tc>
          <w:tcPr>
            <w:tcW w:w="298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CEED81F" w14:textId="77777777" w:rsidR="00EF1E70" w:rsidRPr="00631382" w:rsidRDefault="00EF1E70" w:rsidP="008F007F">
            <w:pPr>
              <w:jc w:val="center"/>
              <w:rPr>
                <w:b/>
                <w:sz w:val="20"/>
                <w:szCs w:val="20"/>
              </w:rPr>
            </w:pPr>
            <w:r w:rsidRPr="00631382">
              <w:rPr>
                <w:b/>
                <w:sz w:val="20"/>
                <w:szCs w:val="20"/>
              </w:rPr>
              <w:t>Sub article and Provision</w:t>
            </w:r>
          </w:p>
        </w:tc>
        <w:tc>
          <w:tcPr>
            <w:tcW w:w="295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1E61AFD" w14:textId="77777777" w:rsidR="00EF1E70" w:rsidRPr="00631382" w:rsidRDefault="00EF1E70" w:rsidP="008F007F">
            <w:pPr>
              <w:jc w:val="center"/>
              <w:rPr>
                <w:b/>
                <w:sz w:val="20"/>
                <w:szCs w:val="20"/>
              </w:rPr>
            </w:pPr>
            <w:r w:rsidRPr="00631382">
              <w:rPr>
                <w:b/>
                <w:sz w:val="20"/>
                <w:szCs w:val="20"/>
              </w:rPr>
              <w:t xml:space="preserve">Related </w:t>
            </w:r>
            <w:hyperlink r:id="rId14">
              <w:r w:rsidRPr="00631382">
                <w:rPr>
                  <w:b/>
                  <w:sz w:val="20"/>
                  <w:szCs w:val="20"/>
                  <w:u w:val="single"/>
                </w:rPr>
                <w:t>1988</w:t>
              </w:r>
            </w:hyperlink>
            <w:r w:rsidRPr="00631382">
              <w:rPr>
                <w:b/>
                <w:sz w:val="20"/>
                <w:szCs w:val="20"/>
              </w:rPr>
              <w:t xml:space="preserve"> sub article and provision</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3A65452" w14:textId="77777777" w:rsidR="00EF1E70" w:rsidRPr="00631382" w:rsidRDefault="00EF1E70" w:rsidP="008F007F">
            <w:pPr>
              <w:spacing w:before="60" w:after="60"/>
              <w:jc w:val="center"/>
              <w:rPr>
                <w:b/>
                <w:sz w:val="20"/>
                <w:szCs w:val="20"/>
              </w:rPr>
            </w:pPr>
            <w:r w:rsidRPr="00631382">
              <w:rPr>
                <w:b/>
                <w:sz w:val="20"/>
                <w:szCs w:val="20"/>
              </w:rPr>
              <w:t>Applicability in fostering provision and development of networks and services</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EFDA3BB" w14:textId="77777777" w:rsidR="00EF1E70" w:rsidRPr="00631382" w:rsidRDefault="00EF1E70" w:rsidP="008F007F">
            <w:pPr>
              <w:jc w:val="center"/>
              <w:rPr>
                <w:b/>
                <w:sz w:val="20"/>
                <w:szCs w:val="20"/>
              </w:rPr>
            </w:pPr>
            <w:r w:rsidRPr="00631382">
              <w:rPr>
                <w:b/>
                <w:sz w:val="20"/>
                <w:szCs w:val="20"/>
              </w:rPr>
              <w:t>Flexibility to accommodate New trends and Emergent issues</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37F23E3" w14:textId="77777777" w:rsidR="00EF1E70" w:rsidRPr="00631382" w:rsidRDefault="00EF1E70" w:rsidP="008F007F">
            <w:pPr>
              <w:jc w:val="center"/>
              <w:rPr>
                <w:b/>
                <w:sz w:val="20"/>
                <w:szCs w:val="20"/>
              </w:rPr>
            </w:pPr>
            <w:r w:rsidRPr="00631382">
              <w:rPr>
                <w:b/>
                <w:sz w:val="20"/>
                <w:szCs w:val="20"/>
              </w:rPr>
              <w:t>Summary Outcome</w:t>
            </w:r>
          </w:p>
        </w:tc>
      </w:tr>
      <w:tr w:rsidR="00EF1E70" w:rsidRPr="00631382" w14:paraId="20F4CA8E" w14:textId="77777777" w:rsidTr="008F007F">
        <w:trPr>
          <w:trHeight w:val="106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9FF33" w14:textId="77777777" w:rsidR="00EF1E70" w:rsidRPr="00631382" w:rsidRDefault="00EF1E70" w:rsidP="008F007F">
            <w:pPr>
              <w:jc w:val="center"/>
              <w:rPr>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030F4" w14:textId="77777777" w:rsidR="00EF1E70" w:rsidRPr="00631382" w:rsidRDefault="00EF1E70" w:rsidP="008F007F">
            <w:pPr>
              <w:rPr>
                <w:b/>
                <w:sz w:val="20"/>
                <w:szCs w:val="20"/>
              </w:rPr>
            </w:pPr>
            <w:r w:rsidRPr="00631382">
              <w:rPr>
                <w:b/>
                <w:sz w:val="20"/>
                <w:szCs w:val="20"/>
              </w:rPr>
              <w:t xml:space="preserve">Safety of Life and Priority of Telecommunications </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0F2C9EC" w14:textId="77777777" w:rsidR="00EF1E70" w:rsidRPr="00631382" w:rsidRDefault="00EF1E70" w:rsidP="008F007F">
            <w:pPr>
              <w:rPr>
                <w:b/>
                <w:sz w:val="20"/>
                <w:szCs w:val="20"/>
              </w:rPr>
            </w:pPr>
            <w:r w:rsidRPr="00631382">
              <w:rPr>
                <w:b/>
                <w:sz w:val="20"/>
                <w:szCs w:val="20"/>
              </w:rPr>
              <w:t xml:space="preserve">Article 5: Safety of Life and Priority of Telecommunications </w:t>
            </w:r>
          </w:p>
          <w:p w14:paraId="4D392EF0" w14:textId="77777777" w:rsidR="00EF1E70" w:rsidRPr="00631382" w:rsidRDefault="00EF1E70" w:rsidP="008F007F">
            <w:pPr>
              <w:rPr>
                <w:b/>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5CA7C9D"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41B5B30"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8863D92" w14:textId="77777777" w:rsidR="00EF1E70" w:rsidRPr="00631382" w:rsidRDefault="00EF1E70" w:rsidP="008F007F">
            <w:pPr>
              <w:rPr>
                <w:sz w:val="20"/>
                <w:szCs w:val="20"/>
              </w:rPr>
            </w:pPr>
          </w:p>
        </w:tc>
      </w:tr>
      <w:tr w:rsidR="00EF1E70" w:rsidRPr="00631382" w14:paraId="62D609FC"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B6C1F" w14:textId="77777777" w:rsidR="00EF1E70" w:rsidRPr="00631382" w:rsidRDefault="00EF1E70" w:rsidP="008F007F">
            <w:pPr>
              <w:jc w:val="center"/>
              <w:rPr>
                <w:sz w:val="20"/>
                <w:szCs w:val="20"/>
              </w:rPr>
            </w:pPr>
            <w:r w:rsidRPr="00631382">
              <w:rPr>
                <w:sz w:val="20"/>
                <w:szCs w:val="20"/>
              </w:rPr>
              <w:t>5.1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FC67D" w14:textId="77777777" w:rsidR="00EF1E70" w:rsidRPr="00631382" w:rsidRDefault="00EF1E70" w:rsidP="008F007F">
            <w:pPr>
              <w:rPr>
                <w:sz w:val="20"/>
                <w:szCs w:val="20"/>
              </w:rPr>
            </w:pPr>
            <w:r w:rsidRPr="00631382">
              <w:rPr>
                <w:sz w:val="20"/>
                <w:szCs w:val="20"/>
              </w:rPr>
              <w:t>Safety-of-life telecommunications,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0AE9275" w14:textId="77777777" w:rsidR="00EF1E70" w:rsidRPr="00631382" w:rsidRDefault="00EF1E70" w:rsidP="008F007F">
            <w:pPr>
              <w:rPr>
                <w:sz w:val="20"/>
                <w:szCs w:val="20"/>
              </w:rPr>
            </w:pPr>
            <w:r w:rsidRPr="00631382">
              <w:rPr>
                <w:sz w:val="20"/>
                <w:szCs w:val="20"/>
              </w:rPr>
              <w:t>5.1 Safety of life telecommunications, such as distress telecommunications, shall be entitled to transmission as of right and shall, where technically practicable, have</w:t>
            </w:r>
          </w:p>
          <w:p w14:paraId="543585AB" w14:textId="77777777" w:rsidR="00EF1E70" w:rsidRPr="00631382" w:rsidRDefault="00EF1E70" w:rsidP="008F007F">
            <w:pPr>
              <w:rPr>
                <w:sz w:val="20"/>
                <w:szCs w:val="20"/>
              </w:rPr>
            </w:pPr>
            <w:r w:rsidRPr="00631382">
              <w:rPr>
                <w:sz w:val="20"/>
                <w:szCs w:val="20"/>
              </w:rPr>
              <w:t>absolute priority over all other telecommunications, in accordance with the relevant</w:t>
            </w:r>
          </w:p>
          <w:p w14:paraId="2455D1EE" w14:textId="77777777" w:rsidR="00EF1E70" w:rsidRPr="00631382" w:rsidRDefault="00EF1E70" w:rsidP="008F007F">
            <w:pPr>
              <w:rPr>
                <w:sz w:val="20"/>
                <w:szCs w:val="20"/>
              </w:rPr>
            </w:pPr>
            <w:r w:rsidRPr="00631382">
              <w:rPr>
                <w:sz w:val="20"/>
                <w:szCs w:val="20"/>
              </w:rPr>
              <w:t xml:space="preserve">Articles of the Convention and taking due account of relevant CCITT Recommendations. </w:t>
            </w:r>
          </w:p>
          <w:p w14:paraId="0B636504"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7F26FDDA" w14:textId="77777777" w:rsidR="00EF1E70" w:rsidRPr="00631382" w:rsidRDefault="00EF1E70" w:rsidP="008F007F">
            <w:pPr>
              <w:rPr>
                <w:sz w:val="20"/>
                <w:szCs w:val="20"/>
              </w:rPr>
            </w:pPr>
            <w:r w:rsidRPr="00631382">
              <w:rPr>
                <w:sz w:val="20"/>
                <w:szCs w:val="20"/>
              </w:rPr>
              <w:t xml:space="preserve">This is clearly a </w:t>
            </w:r>
            <w:proofErr w:type="gramStart"/>
            <w:r w:rsidRPr="00631382">
              <w:rPr>
                <w:sz w:val="20"/>
                <w:szCs w:val="20"/>
              </w:rPr>
              <w:t>critically  important</w:t>
            </w:r>
            <w:proofErr w:type="gramEnd"/>
            <w:r w:rsidRPr="00631382">
              <w:rPr>
                <w:sz w:val="20"/>
                <w:szCs w:val="20"/>
              </w:rPr>
              <w:t xml:space="preserve"> issue, but it is not directly relevant to fostering provision and development of networks and services. </w:t>
            </w:r>
          </w:p>
          <w:p w14:paraId="15E58544" w14:textId="77777777" w:rsidR="00EF1E70" w:rsidRPr="00631382" w:rsidRDefault="00EF1E70" w:rsidP="008F007F">
            <w:pPr>
              <w:rPr>
                <w:sz w:val="20"/>
                <w:szCs w:val="20"/>
              </w:rPr>
            </w:pPr>
          </w:p>
          <w:p w14:paraId="213638ED" w14:textId="77777777" w:rsidR="00EF1E70" w:rsidRPr="00631382" w:rsidRDefault="00EF1E70" w:rsidP="008F007F">
            <w:pPr>
              <w:rPr>
                <w:sz w:val="20"/>
                <w:szCs w:val="20"/>
              </w:rPr>
            </w:pPr>
            <w:r w:rsidRPr="00631382">
              <w:rPr>
                <w:sz w:val="20"/>
                <w:szCs w:val="20"/>
              </w:rPr>
              <w:t xml:space="preserve">Furthermore, it is already covered in Article 40 of the ITU Constitution. </w:t>
            </w:r>
          </w:p>
          <w:p w14:paraId="3832B0EB"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0BB9F287" w14:textId="77777777" w:rsidR="00EF1E70" w:rsidRPr="00631382" w:rsidRDefault="00EF1E70" w:rsidP="008F007F">
            <w:pPr>
              <w:rPr>
                <w:sz w:val="20"/>
                <w:szCs w:val="20"/>
              </w:rPr>
            </w:pPr>
            <w:r w:rsidRPr="00631382">
              <w:rPr>
                <w:sz w:val="20"/>
                <w:szCs w:val="20"/>
              </w:rPr>
              <w:t>There is a risk that the reference to ITU-T recommendations could appear to qualify the absolute priority of safety-of-life telecommunications, given that some ITU-T recommendations are redundant.</w:t>
            </w:r>
          </w:p>
          <w:p w14:paraId="7799DFA2"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5254BB3" w14:textId="77777777" w:rsidR="00EF1E70" w:rsidRPr="00631382" w:rsidRDefault="00EF1E70" w:rsidP="008F007F">
            <w:pPr>
              <w:rPr>
                <w:sz w:val="20"/>
                <w:szCs w:val="20"/>
              </w:rPr>
            </w:pPr>
          </w:p>
        </w:tc>
      </w:tr>
      <w:tr w:rsidR="00EF1E70" w:rsidRPr="00631382" w14:paraId="3ACF6731"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A0155" w14:textId="77777777" w:rsidR="00EF1E70" w:rsidRPr="00631382" w:rsidRDefault="00EF1E70" w:rsidP="008F007F">
            <w:pPr>
              <w:jc w:val="center"/>
              <w:rPr>
                <w:sz w:val="20"/>
                <w:szCs w:val="20"/>
              </w:rPr>
            </w:pPr>
            <w:r w:rsidRPr="00631382">
              <w:rPr>
                <w:sz w:val="20"/>
                <w:szCs w:val="20"/>
              </w:rPr>
              <w:lastRenderedPageBreak/>
              <w:t>5.2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1EC39" w14:textId="77777777" w:rsidR="00EF1E70" w:rsidRPr="00631382" w:rsidRDefault="00EF1E70" w:rsidP="008F007F">
            <w:pPr>
              <w:rPr>
                <w:sz w:val="20"/>
                <w:szCs w:val="20"/>
              </w:rPr>
            </w:pPr>
            <w:r w:rsidRPr="00631382">
              <w:rPr>
                <w:sz w:val="20"/>
                <w:szCs w:val="20"/>
              </w:rPr>
              <w:t>Government telecommunications, including telecommunications relative to the application of certain provisions of the United Nations Charter, shall, where technically practicable, enjoy priority over telecommunications other than those referred to in No. 45 (5.1) above, in accordance with the relevant provisions of the Constitution and the Convention and taking due account of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2703872" w14:textId="77777777" w:rsidR="00EF1E70" w:rsidRPr="00631382" w:rsidRDefault="00EF1E70" w:rsidP="008F007F">
            <w:pPr>
              <w:rPr>
                <w:sz w:val="20"/>
                <w:szCs w:val="20"/>
              </w:rPr>
            </w:pPr>
            <w:r w:rsidRPr="00631382">
              <w:rPr>
                <w:sz w:val="20"/>
                <w:szCs w:val="20"/>
              </w:rPr>
              <w:t>5.2 Government telecommunications, including telecommunications relative to</w:t>
            </w:r>
          </w:p>
          <w:p w14:paraId="06326348" w14:textId="77777777" w:rsidR="00EF1E70" w:rsidRPr="00631382" w:rsidRDefault="00EF1E70" w:rsidP="008F007F">
            <w:pPr>
              <w:rPr>
                <w:sz w:val="20"/>
                <w:szCs w:val="20"/>
              </w:rPr>
            </w:pPr>
            <w:r w:rsidRPr="00631382">
              <w:rPr>
                <w:sz w:val="20"/>
                <w:szCs w:val="20"/>
              </w:rPr>
              <w:t xml:space="preserve">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 </w:t>
            </w:r>
          </w:p>
          <w:p w14:paraId="561769EB"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B472F04" w14:textId="77777777" w:rsidR="00EF1E70" w:rsidRPr="00631382" w:rsidRDefault="00EF1E70" w:rsidP="008F007F">
            <w:pPr>
              <w:rPr>
                <w:sz w:val="20"/>
                <w:szCs w:val="20"/>
              </w:rPr>
            </w:pPr>
            <w:r w:rsidRPr="00631382">
              <w:rPr>
                <w:sz w:val="20"/>
                <w:szCs w:val="20"/>
              </w:rPr>
              <w:t xml:space="preserve">This is not relevant to fostering provision and development of networks and services. It is already covered by Article 41 of the ITU Constitution.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4E393B4" w14:textId="77777777" w:rsidR="00EF1E70" w:rsidRPr="00631382" w:rsidRDefault="00EF1E70" w:rsidP="008F007F">
            <w:pPr>
              <w:rPr>
                <w:sz w:val="20"/>
                <w:szCs w:val="20"/>
              </w:rPr>
            </w:pPr>
            <w:r w:rsidRPr="00631382">
              <w:rPr>
                <w:sz w:val="20"/>
                <w:szCs w:val="20"/>
              </w:rPr>
              <w:t xml:space="preserve">It is not clear exactly what “where technically practicable” means in a context in which technology is developing very quickly.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9A645C5" w14:textId="77777777" w:rsidR="00EF1E70" w:rsidRPr="00631382" w:rsidRDefault="00EF1E70" w:rsidP="008F007F">
            <w:pPr>
              <w:rPr>
                <w:sz w:val="20"/>
                <w:szCs w:val="20"/>
              </w:rPr>
            </w:pPr>
          </w:p>
        </w:tc>
      </w:tr>
      <w:tr w:rsidR="00EF1E70" w:rsidRPr="00631382" w14:paraId="57243696"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6875C" w14:textId="77777777" w:rsidR="00EF1E70" w:rsidRPr="00631382" w:rsidRDefault="00EF1E70" w:rsidP="008F007F">
            <w:pPr>
              <w:jc w:val="center"/>
              <w:rPr>
                <w:sz w:val="20"/>
                <w:szCs w:val="20"/>
              </w:rPr>
            </w:pPr>
            <w:r w:rsidRPr="00631382">
              <w:rPr>
                <w:sz w:val="20"/>
                <w:szCs w:val="20"/>
              </w:rPr>
              <w:t>5.3</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3B5FB" w14:textId="77777777" w:rsidR="00EF1E70" w:rsidRPr="00631382" w:rsidRDefault="00EF1E70" w:rsidP="008F007F">
            <w:pPr>
              <w:rPr>
                <w:sz w:val="20"/>
                <w:szCs w:val="20"/>
              </w:rPr>
            </w:pPr>
            <w:r w:rsidRPr="00631382">
              <w:rPr>
                <w:sz w:val="20"/>
                <w:szCs w:val="20"/>
              </w:rPr>
              <w:t>The provisions governing the priority enjoyed by any other telecommunication services are contained in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C1924B0" w14:textId="77777777" w:rsidR="00EF1E70" w:rsidRPr="00631382" w:rsidRDefault="00EF1E70" w:rsidP="008F007F">
            <w:pPr>
              <w:rPr>
                <w:sz w:val="20"/>
                <w:szCs w:val="20"/>
              </w:rPr>
            </w:pPr>
            <w:r w:rsidRPr="00631382">
              <w:rPr>
                <w:sz w:val="20"/>
                <w:szCs w:val="20"/>
              </w:rPr>
              <w:t>5.3 The provisions governing the priority enjoyed by all other telecommunications</w:t>
            </w:r>
          </w:p>
          <w:p w14:paraId="6BA17137" w14:textId="77777777" w:rsidR="00EF1E70" w:rsidRPr="00631382" w:rsidRDefault="00EF1E70" w:rsidP="008F007F">
            <w:pPr>
              <w:rPr>
                <w:sz w:val="20"/>
                <w:szCs w:val="20"/>
              </w:rPr>
            </w:pPr>
            <w:r w:rsidRPr="00631382">
              <w:rPr>
                <w:sz w:val="20"/>
                <w:szCs w:val="20"/>
              </w:rPr>
              <w:t xml:space="preserve">are contained in the relevant CCITT Recommendations.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B813FCC" w14:textId="77777777" w:rsidR="00EF1E70" w:rsidRPr="00631382" w:rsidRDefault="00EF1E70" w:rsidP="008F007F">
            <w:pPr>
              <w:rPr>
                <w:sz w:val="20"/>
                <w:szCs w:val="20"/>
              </w:rPr>
            </w:pPr>
            <w:r w:rsidRPr="00631382">
              <w:rPr>
                <w:sz w:val="20"/>
                <w:szCs w:val="20"/>
              </w:rPr>
              <w:t xml:space="preserve">It is not clear what “governing” means here because article 1.4 says that ITU-T recommendations do not have the same legal status as these Resolutions. It is not clear what are the “relevant” recommendations. This uncertainty could </w:t>
            </w:r>
            <w:proofErr w:type="spellStart"/>
            <w:r w:rsidRPr="00631382">
              <w:rPr>
                <w:sz w:val="20"/>
                <w:szCs w:val="20"/>
              </w:rPr>
              <w:t>hunder</w:t>
            </w:r>
            <w:proofErr w:type="spellEnd"/>
            <w:r w:rsidRPr="00631382">
              <w:rPr>
                <w:sz w:val="20"/>
                <w:szCs w:val="20"/>
              </w:rPr>
              <w:t xml:space="preserve"> the provision and development of networks and services.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8792F7B" w14:textId="77777777" w:rsidR="00EF1E70" w:rsidRPr="00631382" w:rsidRDefault="00EF1E70" w:rsidP="008F007F">
            <w:pPr>
              <w:rPr>
                <w:sz w:val="20"/>
                <w:szCs w:val="20"/>
              </w:rPr>
            </w:pPr>
            <w:r w:rsidRPr="00631382">
              <w:rPr>
                <w:sz w:val="20"/>
                <w:szCs w:val="20"/>
              </w:rPr>
              <w:t>There are many new ITU-T Recommendations every year. This means that there is a cache of redundant Recommendations. This provision suggests Member States should continue applying these redundant recommendations and this could affect the flexibility to accommodate new trends.</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C1F4843" w14:textId="77777777" w:rsidR="00EF1E70" w:rsidRPr="00631382" w:rsidRDefault="00EF1E70" w:rsidP="008F007F">
            <w:pPr>
              <w:rPr>
                <w:sz w:val="20"/>
                <w:szCs w:val="20"/>
              </w:rPr>
            </w:pPr>
          </w:p>
        </w:tc>
      </w:tr>
      <w:tr w:rsidR="00EF1E70" w:rsidRPr="00631382" w14:paraId="68C09204"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F0943" w14:textId="77777777" w:rsidR="00EF1E70" w:rsidRPr="00631382" w:rsidRDefault="00EF1E70" w:rsidP="008F007F">
            <w:pPr>
              <w:jc w:val="center"/>
              <w:rPr>
                <w:sz w:val="20"/>
                <w:szCs w:val="20"/>
              </w:rPr>
            </w:pPr>
            <w:r w:rsidRPr="00631382">
              <w:rPr>
                <w:sz w:val="20"/>
                <w:szCs w:val="20"/>
              </w:rPr>
              <w:t>5.4</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2310FB" w14:textId="77777777" w:rsidR="00EF1E70" w:rsidRPr="00631382" w:rsidRDefault="00EF1E70" w:rsidP="008F007F">
            <w:pPr>
              <w:rPr>
                <w:sz w:val="20"/>
                <w:szCs w:val="20"/>
              </w:rPr>
            </w:pPr>
            <w:r w:rsidRPr="00631382">
              <w:rPr>
                <w:sz w:val="20"/>
                <w:szCs w:val="20"/>
              </w:rPr>
              <w:t xml:space="preserve">Member States should encourage authorized operating agencies to inform all users, including roaming users, in good time and free of charge, of the number to </w:t>
            </w:r>
            <w:r w:rsidRPr="00631382">
              <w:rPr>
                <w:sz w:val="20"/>
                <w:szCs w:val="20"/>
              </w:rPr>
              <w:lastRenderedPageBreak/>
              <w:t>be used for calls to the emergency services.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E4F2528"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D513D4E" w14:textId="77777777" w:rsidR="00EF1E70" w:rsidRPr="00631382" w:rsidRDefault="00EF1E70" w:rsidP="008F007F">
            <w:pPr>
              <w:rPr>
                <w:sz w:val="20"/>
                <w:szCs w:val="20"/>
              </w:rPr>
            </w:pPr>
            <w:r w:rsidRPr="00631382">
              <w:rPr>
                <w:sz w:val="20"/>
                <w:szCs w:val="20"/>
              </w:rPr>
              <w:t>“Should encourage” is unenforceable.</w:t>
            </w:r>
          </w:p>
          <w:p w14:paraId="10A9C802" w14:textId="77777777" w:rsidR="00EF1E70" w:rsidRPr="00631382" w:rsidRDefault="00EF1E70" w:rsidP="008F007F">
            <w:pPr>
              <w:rPr>
                <w:sz w:val="20"/>
                <w:szCs w:val="20"/>
              </w:rPr>
            </w:pPr>
          </w:p>
          <w:p w14:paraId="5C6AB311"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046471D0" w14:textId="77777777" w:rsidR="00EF1E70" w:rsidRPr="00631382" w:rsidRDefault="00EF1E70" w:rsidP="008F007F">
            <w:pPr>
              <w:rPr>
                <w:sz w:val="20"/>
                <w:szCs w:val="20"/>
              </w:rPr>
            </w:pPr>
            <w:r w:rsidRPr="00631382">
              <w:rPr>
                <w:sz w:val="20"/>
                <w:szCs w:val="20"/>
              </w:rPr>
              <w:t xml:space="preserve">This provision is not relevant to new trends.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C6EFBDA" w14:textId="77777777" w:rsidR="00EF1E70" w:rsidRPr="00631382" w:rsidRDefault="00EF1E70" w:rsidP="008F007F">
            <w:pPr>
              <w:rPr>
                <w:sz w:val="20"/>
                <w:szCs w:val="20"/>
              </w:rPr>
            </w:pPr>
          </w:p>
        </w:tc>
      </w:tr>
      <w:tr w:rsidR="00EF1E70" w:rsidRPr="00631382" w14:paraId="41010E0E" w14:textId="77777777" w:rsidTr="008F007F">
        <w:trPr>
          <w:trHeight w:val="84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E89A8" w14:textId="77777777" w:rsidR="00EF1E70" w:rsidRPr="00631382" w:rsidRDefault="00EF1E70" w:rsidP="008F007F">
            <w:pPr>
              <w:jc w:val="center"/>
              <w:rPr>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3C294" w14:textId="77777777" w:rsidR="00EF1E70" w:rsidRPr="00631382" w:rsidRDefault="00EF1E70" w:rsidP="008F007F">
            <w:pPr>
              <w:rPr>
                <w:b/>
                <w:sz w:val="20"/>
                <w:szCs w:val="20"/>
              </w:rPr>
            </w:pPr>
            <w:r w:rsidRPr="00631382">
              <w:rPr>
                <w:b/>
                <w:sz w:val="20"/>
                <w:szCs w:val="20"/>
              </w:rPr>
              <w:t xml:space="preserve">Security and robustness of networks </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4AC8BB8" w14:textId="77777777" w:rsidR="00EF1E70" w:rsidRPr="00631382" w:rsidRDefault="00EF1E70" w:rsidP="008F007F">
            <w:pPr>
              <w:rPr>
                <w:b/>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A78F785"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DBC95D1"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6CC2700" w14:textId="77777777" w:rsidR="00EF1E70" w:rsidRPr="00631382" w:rsidRDefault="00EF1E70" w:rsidP="008F007F">
            <w:pPr>
              <w:rPr>
                <w:sz w:val="20"/>
                <w:szCs w:val="20"/>
              </w:rPr>
            </w:pPr>
          </w:p>
        </w:tc>
      </w:tr>
      <w:tr w:rsidR="00EF1E70" w:rsidRPr="00631382" w14:paraId="73D3200E"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50DDE" w14:textId="77777777" w:rsidR="00EF1E70" w:rsidRPr="00631382" w:rsidRDefault="00EF1E70" w:rsidP="008F007F">
            <w:pPr>
              <w:jc w:val="center"/>
              <w:rPr>
                <w:sz w:val="20"/>
                <w:szCs w:val="20"/>
              </w:rPr>
            </w:pPr>
            <w:r w:rsidRPr="00631382">
              <w:rPr>
                <w:sz w:val="20"/>
                <w:szCs w:val="20"/>
              </w:rPr>
              <w:t>6.1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1F53B" w14:textId="77777777" w:rsidR="00EF1E70" w:rsidRPr="00631382" w:rsidRDefault="00EF1E70" w:rsidP="008F007F">
            <w:pPr>
              <w:rPr>
                <w:sz w:val="20"/>
                <w:szCs w:val="20"/>
              </w:rPr>
            </w:pPr>
            <w:r w:rsidRPr="00631382">
              <w:rPr>
                <w:sz w:val="20"/>
                <w:szCs w:val="20"/>
              </w:rPr>
              <w:t>Member States shall individually and collectively endeavour to ensure the security and robustness of international telecommunication networks in order to achieve effective use thereof and avoidance of technical harm thereto, as well as the harmonious development of international telecommunication services offered to the public.</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DD9D4BE"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78C33DAF" w14:textId="77777777" w:rsidR="00EF1E70" w:rsidRPr="00631382" w:rsidRDefault="00EF1E70" w:rsidP="008F007F">
            <w:pPr>
              <w:rPr>
                <w:sz w:val="20"/>
                <w:szCs w:val="20"/>
              </w:rPr>
            </w:pPr>
            <w:r w:rsidRPr="00631382">
              <w:rPr>
                <w:sz w:val="20"/>
                <w:szCs w:val="20"/>
              </w:rPr>
              <w:t xml:space="preserve">“endeavour to ensure” is not legally enforceable and does not add or allow anything that member states could not already choose to do. </w:t>
            </w:r>
            <w:proofErr w:type="gramStart"/>
            <w:r w:rsidRPr="00631382">
              <w:rPr>
                <w:sz w:val="20"/>
                <w:szCs w:val="20"/>
              </w:rPr>
              <w:t>Therefore</w:t>
            </w:r>
            <w:proofErr w:type="gramEnd"/>
            <w:r w:rsidRPr="00631382">
              <w:rPr>
                <w:sz w:val="20"/>
                <w:szCs w:val="20"/>
              </w:rPr>
              <w:t xml:space="preserve"> it does not help in ‘fostering provision and development of networks and services’. </w:t>
            </w:r>
          </w:p>
          <w:p w14:paraId="75225968" w14:textId="77777777" w:rsidR="00EF1E70" w:rsidRPr="00631382" w:rsidRDefault="00EF1E70" w:rsidP="008F007F">
            <w:pPr>
              <w:rPr>
                <w:sz w:val="20"/>
                <w:szCs w:val="20"/>
              </w:rPr>
            </w:pPr>
          </w:p>
          <w:p w14:paraId="41CCEE48" w14:textId="77777777" w:rsidR="00EF1E70" w:rsidRPr="00631382" w:rsidRDefault="00EF1E70" w:rsidP="008F007F">
            <w:pPr>
              <w:rPr>
                <w:sz w:val="20"/>
                <w:szCs w:val="20"/>
              </w:rPr>
            </w:pPr>
            <w:r w:rsidRPr="00631382">
              <w:rPr>
                <w:sz w:val="20"/>
                <w:szCs w:val="20"/>
              </w:rPr>
              <w:t>It is not clear what “harmonious” means in this context. Is it referring to interoperability? Or economic sustainability? or political consensus? Or something else? This potential confusion could hinder investment.</w:t>
            </w:r>
          </w:p>
          <w:p w14:paraId="6DDE119A" w14:textId="77777777" w:rsidR="00EF1E70" w:rsidRPr="00631382" w:rsidRDefault="00EF1E70" w:rsidP="008F007F">
            <w:pPr>
              <w:rPr>
                <w:sz w:val="20"/>
                <w:szCs w:val="20"/>
              </w:rPr>
            </w:pPr>
          </w:p>
          <w:p w14:paraId="7B562BCA"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3DAE57C" w14:textId="77777777" w:rsidR="00EF1E70" w:rsidRPr="00631382" w:rsidRDefault="00EF1E70" w:rsidP="008F007F">
            <w:pPr>
              <w:rPr>
                <w:sz w:val="20"/>
                <w:szCs w:val="20"/>
              </w:rPr>
            </w:pPr>
            <w:r w:rsidRPr="00631382">
              <w:rPr>
                <w:sz w:val="20"/>
                <w:szCs w:val="20"/>
              </w:rPr>
              <w:t xml:space="preserve">“endeavour to ensure” is not legally enforceable. </w:t>
            </w:r>
          </w:p>
          <w:p w14:paraId="6FA29EAF" w14:textId="77777777" w:rsidR="00EF1E70" w:rsidRPr="00631382" w:rsidRDefault="00EF1E70" w:rsidP="008F007F">
            <w:pPr>
              <w:rPr>
                <w:sz w:val="20"/>
                <w:szCs w:val="20"/>
              </w:rPr>
            </w:pPr>
          </w:p>
          <w:p w14:paraId="4CAE9B35" w14:textId="77777777" w:rsidR="00EF1E70" w:rsidRPr="00631382" w:rsidRDefault="00EF1E70" w:rsidP="008F007F">
            <w:pPr>
              <w:rPr>
                <w:sz w:val="20"/>
                <w:szCs w:val="20"/>
              </w:rPr>
            </w:pPr>
          </w:p>
          <w:p w14:paraId="61850F00" w14:textId="77777777" w:rsidR="00EF1E70" w:rsidRPr="00631382" w:rsidRDefault="00EF1E70" w:rsidP="008F007F">
            <w:pPr>
              <w:rPr>
                <w:sz w:val="20"/>
                <w:szCs w:val="20"/>
              </w:rPr>
            </w:pPr>
          </w:p>
          <w:p w14:paraId="489D6F88"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ACC89E6" w14:textId="77777777" w:rsidR="00EF1E70" w:rsidRPr="00631382" w:rsidRDefault="00EF1E70" w:rsidP="008F007F">
            <w:pPr>
              <w:rPr>
                <w:sz w:val="20"/>
                <w:szCs w:val="20"/>
              </w:rPr>
            </w:pPr>
          </w:p>
        </w:tc>
      </w:tr>
      <w:tr w:rsidR="00EF1E70" w:rsidRPr="00631382" w14:paraId="78F694C0" w14:textId="77777777" w:rsidTr="008F007F">
        <w:trPr>
          <w:trHeight w:val="80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1C1AF" w14:textId="77777777" w:rsidR="00EF1E70" w:rsidRPr="00631382" w:rsidRDefault="00EF1E70" w:rsidP="008F007F">
            <w:pPr>
              <w:jc w:val="center"/>
              <w:rPr>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00F25" w14:textId="77777777" w:rsidR="00EF1E70" w:rsidRPr="00631382" w:rsidRDefault="00EF1E70" w:rsidP="008F007F">
            <w:pPr>
              <w:rPr>
                <w:b/>
                <w:sz w:val="20"/>
                <w:szCs w:val="20"/>
              </w:rPr>
            </w:pPr>
            <w:r w:rsidRPr="00631382">
              <w:rPr>
                <w:b/>
                <w:sz w:val="20"/>
                <w:szCs w:val="20"/>
              </w:rPr>
              <w:t>Unsolicited bulk electronic communications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D81DD99"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A1F2AA5"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8B3E3A4"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830F368" w14:textId="77777777" w:rsidR="00EF1E70" w:rsidRPr="00631382" w:rsidRDefault="00EF1E70" w:rsidP="008F007F">
            <w:pPr>
              <w:rPr>
                <w:sz w:val="20"/>
                <w:szCs w:val="20"/>
              </w:rPr>
            </w:pPr>
          </w:p>
        </w:tc>
      </w:tr>
      <w:tr w:rsidR="00EF1E70" w:rsidRPr="00631382" w14:paraId="38276E05"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57DE4" w14:textId="77777777" w:rsidR="00EF1E70" w:rsidRPr="00631382" w:rsidRDefault="00EF1E70" w:rsidP="008F007F">
            <w:pPr>
              <w:jc w:val="center"/>
              <w:rPr>
                <w:sz w:val="20"/>
                <w:szCs w:val="20"/>
              </w:rPr>
            </w:pPr>
            <w:r w:rsidRPr="00631382">
              <w:rPr>
                <w:sz w:val="20"/>
                <w:szCs w:val="20"/>
              </w:rPr>
              <w:lastRenderedPageBreak/>
              <w:t>7.1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B5C49" w14:textId="77777777" w:rsidR="00EF1E70" w:rsidRPr="00631382" w:rsidRDefault="00EF1E70" w:rsidP="008F007F">
            <w:pPr>
              <w:rPr>
                <w:sz w:val="20"/>
                <w:szCs w:val="20"/>
              </w:rPr>
            </w:pPr>
            <w:r w:rsidRPr="00631382">
              <w:rPr>
                <w:sz w:val="20"/>
                <w:szCs w:val="20"/>
              </w:rPr>
              <w:t>Member States should endeavour to take necessary measures to prevent the propagation of unsolicited bulk electronic communications and minimize its impact on international telecommunication services.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80028CD"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929F080" w14:textId="77777777" w:rsidR="00EF1E70" w:rsidRPr="00631382" w:rsidRDefault="00EF1E70" w:rsidP="008F007F">
            <w:pPr>
              <w:rPr>
                <w:sz w:val="20"/>
                <w:szCs w:val="20"/>
              </w:rPr>
            </w:pPr>
            <w:r w:rsidRPr="00631382">
              <w:rPr>
                <w:sz w:val="20"/>
                <w:szCs w:val="20"/>
              </w:rPr>
              <w:t xml:space="preserve">This provision does nothing in fostering provision and development of networks and services. At best it does nothing at all. At worst it encourages the state to add to the regulatory burden on service providers.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8FC48E6" w14:textId="77777777" w:rsidR="00EF1E70" w:rsidRPr="00631382" w:rsidRDefault="00EF1E70" w:rsidP="008F007F">
            <w:pPr>
              <w:rPr>
                <w:sz w:val="20"/>
                <w:szCs w:val="20"/>
              </w:rPr>
            </w:pPr>
            <w:r w:rsidRPr="00631382">
              <w:rPr>
                <w:sz w:val="20"/>
                <w:szCs w:val="20"/>
              </w:rPr>
              <w:t xml:space="preserve">Unsolicited bulk electronic communications is a fast moving and complex area that private sector service providers have been working with for a long time. What member states see as ‘necessary measures’ at one point in time, has the potential to be a hindrance to the private sector service providers working to tackle this issue.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18576B2" w14:textId="77777777" w:rsidR="00EF1E70" w:rsidRPr="00631382" w:rsidRDefault="00EF1E70" w:rsidP="008F007F">
            <w:pPr>
              <w:rPr>
                <w:sz w:val="20"/>
                <w:szCs w:val="20"/>
              </w:rPr>
            </w:pPr>
          </w:p>
        </w:tc>
      </w:tr>
      <w:tr w:rsidR="00EF1E70" w:rsidRPr="00631382" w14:paraId="43760439"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48A1C" w14:textId="77777777" w:rsidR="00EF1E70" w:rsidRPr="00631382" w:rsidRDefault="00EF1E70" w:rsidP="008F007F">
            <w:pPr>
              <w:jc w:val="center"/>
              <w:rPr>
                <w:sz w:val="20"/>
                <w:szCs w:val="20"/>
              </w:rPr>
            </w:pPr>
            <w:r w:rsidRPr="00631382">
              <w:rPr>
                <w:sz w:val="20"/>
                <w:szCs w:val="20"/>
              </w:rPr>
              <w:t>7.2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33B46" w14:textId="77777777" w:rsidR="00EF1E70" w:rsidRPr="00631382" w:rsidRDefault="00EF1E70" w:rsidP="008F007F">
            <w:pPr>
              <w:rPr>
                <w:sz w:val="20"/>
                <w:szCs w:val="20"/>
              </w:rPr>
            </w:pPr>
            <w:r w:rsidRPr="00631382">
              <w:rPr>
                <w:sz w:val="20"/>
                <w:szCs w:val="20"/>
              </w:rPr>
              <w:t>Member States are encouraged to cooperate in that sense.</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AA5C3DF"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4581AE1" w14:textId="77777777" w:rsidR="00EF1E70" w:rsidRPr="00631382" w:rsidRDefault="00EF1E70" w:rsidP="008F007F">
            <w:pPr>
              <w:rPr>
                <w:sz w:val="20"/>
                <w:szCs w:val="20"/>
              </w:rPr>
            </w:pPr>
            <w:r w:rsidRPr="00631382">
              <w:rPr>
                <w:sz w:val="20"/>
                <w:szCs w:val="20"/>
              </w:rPr>
              <w:t xml:space="preserve">This is not legally enforceable and does not add or allow anything that member states could not already choose to do.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30BED8C" w14:textId="77777777" w:rsidR="00EF1E70" w:rsidRPr="00631382" w:rsidRDefault="00EF1E70" w:rsidP="008F007F">
            <w:pPr>
              <w:rPr>
                <w:sz w:val="20"/>
                <w:szCs w:val="20"/>
              </w:rPr>
            </w:pPr>
            <w:r w:rsidRPr="00631382">
              <w:rPr>
                <w:sz w:val="20"/>
                <w:szCs w:val="20"/>
              </w:rPr>
              <w:t xml:space="preserve">This says nothing of private sector agents who will be the first responders on emerging tech issues.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BA4FC76" w14:textId="77777777" w:rsidR="00EF1E70" w:rsidRPr="00631382" w:rsidRDefault="00EF1E70" w:rsidP="008F007F">
            <w:pPr>
              <w:rPr>
                <w:sz w:val="20"/>
                <w:szCs w:val="20"/>
              </w:rPr>
            </w:pPr>
          </w:p>
        </w:tc>
      </w:tr>
      <w:tr w:rsidR="00EF1E70" w:rsidRPr="00631382" w14:paraId="2910DFEA" w14:textId="77777777" w:rsidTr="008F007F">
        <w:trPr>
          <w:trHeight w:val="64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CD1E1" w14:textId="77777777" w:rsidR="00EF1E70" w:rsidRPr="00631382" w:rsidRDefault="00EF1E70" w:rsidP="008F007F">
            <w:pPr>
              <w:jc w:val="center"/>
              <w:rPr>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C700B" w14:textId="77777777" w:rsidR="00EF1E70" w:rsidRPr="00631382" w:rsidRDefault="00EF1E70" w:rsidP="008F007F">
            <w:pPr>
              <w:rPr>
                <w:b/>
                <w:sz w:val="20"/>
                <w:szCs w:val="20"/>
              </w:rPr>
            </w:pPr>
            <w:r w:rsidRPr="00631382">
              <w:rPr>
                <w:b/>
                <w:sz w:val="20"/>
                <w:szCs w:val="20"/>
              </w:rPr>
              <w:t>Charging and accounting</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F431E87"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CF6F449"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9068D27"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B61FC17" w14:textId="77777777" w:rsidR="00EF1E70" w:rsidRPr="00631382" w:rsidRDefault="00EF1E70" w:rsidP="008F007F">
            <w:pPr>
              <w:rPr>
                <w:sz w:val="20"/>
                <w:szCs w:val="20"/>
              </w:rPr>
            </w:pPr>
          </w:p>
        </w:tc>
      </w:tr>
      <w:tr w:rsidR="00EF1E70" w:rsidRPr="00631382" w14:paraId="2F844AC5" w14:textId="77777777" w:rsidTr="008F007F">
        <w:trPr>
          <w:trHeight w:val="110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ADAAB" w14:textId="77777777" w:rsidR="00EF1E70" w:rsidRPr="00631382" w:rsidRDefault="00EF1E70" w:rsidP="008F007F">
            <w:pPr>
              <w:jc w:val="center"/>
              <w:rPr>
                <w:sz w:val="20"/>
                <w:szCs w:val="20"/>
              </w:rPr>
            </w:pPr>
            <w:r w:rsidRPr="00631382">
              <w:rPr>
                <w:sz w:val="20"/>
                <w:szCs w:val="20"/>
              </w:rPr>
              <w:t>8.1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3909D" w14:textId="77777777" w:rsidR="00EF1E70" w:rsidRPr="00631382" w:rsidRDefault="00EF1E70" w:rsidP="008F007F">
            <w:pPr>
              <w:rPr>
                <w:b/>
                <w:sz w:val="20"/>
                <w:szCs w:val="20"/>
              </w:rPr>
            </w:pPr>
            <w:r w:rsidRPr="00631382">
              <w:rPr>
                <w:b/>
                <w:sz w:val="20"/>
                <w:szCs w:val="20"/>
              </w:rPr>
              <w:t>International telecommunication arrangements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5DF9D3F"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EA034ED"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31B6D66"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E409AED" w14:textId="77777777" w:rsidR="00EF1E70" w:rsidRPr="00631382" w:rsidRDefault="00EF1E70" w:rsidP="008F007F">
            <w:pPr>
              <w:rPr>
                <w:sz w:val="20"/>
                <w:szCs w:val="20"/>
              </w:rPr>
            </w:pPr>
          </w:p>
        </w:tc>
      </w:tr>
      <w:tr w:rsidR="00EF1E70" w:rsidRPr="00631382" w14:paraId="4070BFD4"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524C9" w14:textId="77777777" w:rsidR="00EF1E70" w:rsidRPr="00631382" w:rsidRDefault="00EF1E70" w:rsidP="008F007F">
            <w:pPr>
              <w:jc w:val="center"/>
              <w:rPr>
                <w:sz w:val="20"/>
                <w:szCs w:val="20"/>
              </w:rPr>
            </w:pPr>
            <w:r w:rsidRPr="00631382">
              <w:rPr>
                <w:sz w:val="20"/>
                <w:szCs w:val="20"/>
              </w:rPr>
              <w:t>8.1.1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0F5DA" w14:textId="77777777" w:rsidR="00EF1E70" w:rsidRPr="00631382" w:rsidRDefault="00EF1E70" w:rsidP="008F007F">
            <w:pPr>
              <w:rPr>
                <w:sz w:val="20"/>
                <w:szCs w:val="20"/>
              </w:rPr>
            </w:pPr>
            <w:r w:rsidRPr="00631382">
              <w:rPr>
                <w:sz w:val="20"/>
                <w:szCs w:val="20"/>
              </w:rPr>
              <w:t xml:space="preserve">Subject to applicable national law, the terms and conditions for international telecommunication service arrangements may be established through commercial agreements or through accounting-rate principles </w:t>
            </w:r>
            <w:r w:rsidRPr="00631382">
              <w:rPr>
                <w:sz w:val="20"/>
                <w:szCs w:val="20"/>
              </w:rPr>
              <w:lastRenderedPageBreak/>
              <w:t>established pursuant to national regulation.</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174AD4C"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42920CA" w14:textId="77777777" w:rsidR="00EF1E70" w:rsidRPr="00631382" w:rsidRDefault="00EF1E70" w:rsidP="008F007F">
            <w:pPr>
              <w:rPr>
                <w:sz w:val="20"/>
                <w:szCs w:val="20"/>
              </w:rPr>
            </w:pPr>
            <w:r w:rsidRPr="00631382">
              <w:rPr>
                <w:sz w:val="20"/>
                <w:szCs w:val="20"/>
              </w:rPr>
              <w:t xml:space="preserve">This provision does not necessarily add any further obligations than what is already in the member state’s domestic laws so cannot be said to foster the provision and development of networks and services.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8DBB99A" w14:textId="77777777" w:rsidR="00EF1E70" w:rsidRPr="00631382" w:rsidRDefault="00EF1E70" w:rsidP="008F007F">
            <w:pPr>
              <w:rPr>
                <w:sz w:val="20"/>
                <w:szCs w:val="20"/>
              </w:rPr>
            </w:pPr>
            <w:r w:rsidRPr="00631382">
              <w:rPr>
                <w:sz w:val="20"/>
                <w:szCs w:val="20"/>
              </w:rPr>
              <w:t xml:space="preserve">It is conceivable that in the future as international telecommunication service arrangements develop, they may be established through ways other than ‘commercial agreements or through accounting-rate </w:t>
            </w:r>
            <w:r w:rsidRPr="00631382">
              <w:rPr>
                <w:sz w:val="20"/>
                <w:szCs w:val="20"/>
              </w:rPr>
              <w:lastRenderedPageBreak/>
              <w:t xml:space="preserve">principles’. This limits that possibility.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06C2914" w14:textId="77777777" w:rsidR="00EF1E70" w:rsidRPr="00631382" w:rsidRDefault="00EF1E70" w:rsidP="008F007F">
            <w:pPr>
              <w:rPr>
                <w:sz w:val="20"/>
                <w:szCs w:val="20"/>
              </w:rPr>
            </w:pPr>
          </w:p>
        </w:tc>
      </w:tr>
      <w:tr w:rsidR="00EF1E70" w:rsidRPr="00631382" w14:paraId="603AA911"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C0082" w14:textId="77777777" w:rsidR="00EF1E70" w:rsidRPr="00631382" w:rsidRDefault="00EF1E70" w:rsidP="008F007F">
            <w:pPr>
              <w:jc w:val="center"/>
              <w:rPr>
                <w:sz w:val="20"/>
                <w:szCs w:val="20"/>
              </w:rPr>
            </w:pPr>
            <w:r w:rsidRPr="00631382">
              <w:rPr>
                <w:sz w:val="20"/>
                <w:szCs w:val="20"/>
              </w:rPr>
              <w:t>8.1.2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2C428E" w14:textId="77777777" w:rsidR="00EF1E70" w:rsidRPr="00631382" w:rsidRDefault="00EF1E70" w:rsidP="008F007F">
            <w:pPr>
              <w:rPr>
                <w:sz w:val="20"/>
                <w:szCs w:val="20"/>
              </w:rPr>
            </w:pPr>
            <w:r w:rsidRPr="00631382">
              <w:rPr>
                <w:sz w:val="20"/>
                <w:szCs w:val="20"/>
              </w:rPr>
              <w:t>Member States shall endeavour to encourage investments in international telecommunication networks and promote competitive wholesale pricing for traffic carried on such telecommunication networks.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D023ECA"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A2FB94E" w14:textId="77777777" w:rsidR="00EF1E70" w:rsidRPr="00631382" w:rsidRDefault="00EF1E70" w:rsidP="008F007F">
            <w:pPr>
              <w:rPr>
                <w:sz w:val="20"/>
                <w:szCs w:val="20"/>
              </w:rPr>
            </w:pPr>
            <w:r w:rsidRPr="00631382">
              <w:rPr>
                <w:sz w:val="20"/>
                <w:szCs w:val="20"/>
              </w:rPr>
              <w:t xml:space="preserve">“Member States shall endeavour to encourage investments” makes this provision unenforceable. </w:t>
            </w:r>
          </w:p>
          <w:p w14:paraId="63E4AACB" w14:textId="77777777" w:rsidR="00EF1E70" w:rsidRPr="00631382" w:rsidRDefault="00EF1E70" w:rsidP="008F007F">
            <w:pPr>
              <w:rPr>
                <w:sz w:val="20"/>
                <w:szCs w:val="20"/>
              </w:rPr>
            </w:pPr>
          </w:p>
          <w:p w14:paraId="56791632" w14:textId="77777777" w:rsidR="00EF1E70" w:rsidRPr="00631382" w:rsidRDefault="00EF1E70" w:rsidP="008F007F">
            <w:pPr>
              <w:rPr>
                <w:sz w:val="20"/>
                <w:szCs w:val="20"/>
              </w:rPr>
            </w:pPr>
            <w:r w:rsidRPr="00631382">
              <w:rPr>
                <w:sz w:val="20"/>
                <w:szCs w:val="20"/>
              </w:rPr>
              <w:t xml:space="preserve">In any case, all Member States are aware that investments in international telecommunication networks are beneficial regardless of it being in this treaty.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E555DF1" w14:textId="77777777" w:rsidR="00EF1E70" w:rsidRPr="00631382" w:rsidRDefault="00EF1E70" w:rsidP="008F007F">
            <w:pPr>
              <w:rPr>
                <w:sz w:val="20"/>
                <w:szCs w:val="20"/>
              </w:rPr>
            </w:pPr>
            <w:r w:rsidRPr="00631382">
              <w:rPr>
                <w:sz w:val="20"/>
                <w:szCs w:val="20"/>
              </w:rPr>
              <w:t xml:space="preserve">This is not directly relevant, although there is perhaps a risk that by focusing on investment in international telecommunication networks, other emerging areas will be neglected.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C01E854" w14:textId="77777777" w:rsidR="00EF1E70" w:rsidRPr="00631382" w:rsidRDefault="00EF1E70" w:rsidP="008F007F">
            <w:pPr>
              <w:rPr>
                <w:sz w:val="20"/>
                <w:szCs w:val="20"/>
              </w:rPr>
            </w:pPr>
          </w:p>
        </w:tc>
      </w:tr>
      <w:tr w:rsidR="00EF1E70" w:rsidRPr="00631382" w14:paraId="4DA7958F" w14:textId="77777777" w:rsidTr="008F007F">
        <w:trPr>
          <w:trHeight w:val="60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4E71D" w14:textId="77777777" w:rsidR="00EF1E70" w:rsidRPr="00631382" w:rsidRDefault="00EF1E70" w:rsidP="008F007F">
            <w:pPr>
              <w:jc w:val="center"/>
              <w:rPr>
                <w:sz w:val="20"/>
                <w:szCs w:val="20"/>
              </w:rPr>
            </w:pPr>
            <w:r w:rsidRPr="00631382">
              <w:rPr>
                <w:sz w:val="20"/>
                <w:szCs w:val="20"/>
              </w:rPr>
              <w:t>8.2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319A1" w14:textId="77777777" w:rsidR="00EF1E70" w:rsidRPr="00631382" w:rsidRDefault="00EF1E70" w:rsidP="008F007F">
            <w:pPr>
              <w:rPr>
                <w:b/>
                <w:sz w:val="20"/>
                <w:szCs w:val="20"/>
              </w:rPr>
            </w:pPr>
            <w:r w:rsidRPr="00631382">
              <w:rPr>
                <w:b/>
                <w:sz w:val="20"/>
                <w:szCs w:val="20"/>
              </w:rPr>
              <w:t>Accounting-rate principles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D8B0404" w14:textId="77777777" w:rsidR="00EF1E70" w:rsidRPr="00631382" w:rsidRDefault="00EF1E70" w:rsidP="008F007F">
            <w:pPr>
              <w:rPr>
                <w:b/>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925CEB7"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A782456"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E16D99F" w14:textId="77777777" w:rsidR="00EF1E70" w:rsidRPr="00631382" w:rsidRDefault="00EF1E70" w:rsidP="008F007F">
            <w:pPr>
              <w:rPr>
                <w:sz w:val="20"/>
                <w:szCs w:val="20"/>
              </w:rPr>
            </w:pPr>
          </w:p>
        </w:tc>
      </w:tr>
      <w:tr w:rsidR="00EF1E70" w:rsidRPr="00631382" w14:paraId="0F794F96" w14:textId="77777777" w:rsidTr="008F007F">
        <w:trPr>
          <w:trHeight w:val="60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215EE6" w14:textId="77777777" w:rsidR="00EF1E70" w:rsidRPr="00631382" w:rsidRDefault="00EF1E70" w:rsidP="008F007F">
            <w:pPr>
              <w:jc w:val="center"/>
              <w:rPr>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27020" w14:textId="77777777" w:rsidR="00EF1E70" w:rsidRPr="00631382" w:rsidRDefault="00EF1E70" w:rsidP="008F007F">
            <w:pPr>
              <w:rPr>
                <w:b/>
                <w:sz w:val="20"/>
                <w:szCs w:val="20"/>
              </w:rPr>
            </w:pPr>
            <w:r w:rsidRPr="00631382">
              <w:rPr>
                <w:b/>
                <w:sz w:val="20"/>
                <w:szCs w:val="20"/>
              </w:rPr>
              <w:t>Terms and conditions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7D45BE8" w14:textId="77777777" w:rsidR="00EF1E70" w:rsidRPr="00631382" w:rsidRDefault="00EF1E70" w:rsidP="008F007F">
            <w:pPr>
              <w:rPr>
                <w:b/>
                <w:sz w:val="20"/>
                <w:szCs w:val="20"/>
              </w:rPr>
            </w:pPr>
            <w:r w:rsidRPr="00631382">
              <w:rPr>
                <w:b/>
                <w:sz w:val="20"/>
                <w:szCs w:val="20"/>
              </w:rPr>
              <w:t xml:space="preserve">Article 6: Charging and Accounting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8D6BCC9"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11514E8"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0CFD05E" w14:textId="77777777" w:rsidR="00EF1E70" w:rsidRPr="00631382" w:rsidRDefault="00EF1E70" w:rsidP="008F007F">
            <w:pPr>
              <w:rPr>
                <w:sz w:val="20"/>
                <w:szCs w:val="20"/>
              </w:rPr>
            </w:pPr>
          </w:p>
        </w:tc>
      </w:tr>
      <w:tr w:rsidR="00EF1E70" w:rsidRPr="00631382" w14:paraId="24AF79FD"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EF221" w14:textId="77777777" w:rsidR="00EF1E70" w:rsidRPr="00631382" w:rsidRDefault="00EF1E70" w:rsidP="008F007F">
            <w:pPr>
              <w:jc w:val="center"/>
              <w:rPr>
                <w:sz w:val="20"/>
                <w:szCs w:val="20"/>
              </w:rPr>
            </w:pPr>
            <w:r w:rsidRPr="00631382">
              <w:rPr>
                <w:sz w:val="20"/>
                <w:szCs w:val="20"/>
              </w:rPr>
              <w:t>8.2.1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B9E26" w14:textId="77777777" w:rsidR="00EF1E70" w:rsidRPr="00631382" w:rsidRDefault="00EF1E70" w:rsidP="008F007F">
            <w:pPr>
              <w:rPr>
                <w:sz w:val="20"/>
                <w:szCs w:val="20"/>
              </w:rPr>
            </w:pPr>
            <w:r w:rsidRPr="00631382">
              <w:rPr>
                <w:sz w:val="20"/>
                <w:szCs w:val="20"/>
              </w:rPr>
              <w:t xml:space="preserve">The following provisions may apply where the terms and conditions of international telecommunication service arrangements are established through accounting-rate principles, established pursuant to national regulation. These provisions do not apply to </w:t>
            </w:r>
            <w:r w:rsidRPr="00631382">
              <w:rPr>
                <w:sz w:val="20"/>
                <w:szCs w:val="20"/>
              </w:rPr>
              <w:lastRenderedPageBreak/>
              <w:t>arrangements established through commercial agreements.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67F008F"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1451EE1" w14:textId="77777777" w:rsidR="00EF1E70" w:rsidRPr="00631382" w:rsidRDefault="00EF1E70" w:rsidP="008F007F">
            <w:pPr>
              <w:rPr>
                <w:sz w:val="20"/>
                <w:szCs w:val="20"/>
              </w:rPr>
            </w:pPr>
            <w:r w:rsidRPr="00631382">
              <w:rPr>
                <w:sz w:val="20"/>
                <w:szCs w:val="20"/>
              </w:rPr>
              <w:t xml:space="preserve">This is unenforceable. “The following provisions may apply” is very weak language so it is unlikely that it can help in the development of networks. </w:t>
            </w:r>
          </w:p>
          <w:p w14:paraId="73BE68AA" w14:textId="77777777" w:rsidR="00EF1E70" w:rsidRPr="00631382" w:rsidRDefault="00EF1E70" w:rsidP="008F007F">
            <w:pPr>
              <w:rPr>
                <w:sz w:val="20"/>
                <w:szCs w:val="20"/>
              </w:rPr>
            </w:pPr>
          </w:p>
          <w:p w14:paraId="6AC2342C" w14:textId="77777777" w:rsidR="00EF1E70" w:rsidRPr="00631382" w:rsidRDefault="00EF1E70" w:rsidP="008F007F">
            <w:pPr>
              <w:rPr>
                <w:sz w:val="20"/>
                <w:szCs w:val="20"/>
              </w:rPr>
            </w:pPr>
            <w:r w:rsidRPr="00631382">
              <w:rPr>
                <w:sz w:val="20"/>
                <w:szCs w:val="20"/>
              </w:rPr>
              <w:t xml:space="preserve">It is not clear that this is required since almost all international </w:t>
            </w:r>
            <w:r w:rsidRPr="00631382">
              <w:rPr>
                <w:sz w:val="20"/>
                <w:szCs w:val="20"/>
              </w:rPr>
              <w:lastRenderedPageBreak/>
              <w:t xml:space="preserve">telecommunications are settled through commercial agreements.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75863E9" w14:textId="77777777" w:rsidR="00EF1E70" w:rsidRPr="00631382" w:rsidRDefault="00EF1E70" w:rsidP="008F007F">
            <w:pPr>
              <w:rPr>
                <w:sz w:val="20"/>
                <w:szCs w:val="20"/>
              </w:rPr>
            </w:pPr>
            <w:r w:rsidRPr="00631382">
              <w:rPr>
                <w:sz w:val="20"/>
                <w:szCs w:val="20"/>
              </w:rPr>
              <w:lastRenderedPageBreak/>
              <w:t xml:space="preserve">Arrangements are increasingly done through commercial </w:t>
            </w:r>
            <w:proofErr w:type="gramStart"/>
            <w:r w:rsidRPr="00631382">
              <w:rPr>
                <w:sz w:val="20"/>
                <w:szCs w:val="20"/>
              </w:rPr>
              <w:t>agreements</w:t>
            </w:r>
            <w:proofErr w:type="gramEnd"/>
            <w:r w:rsidRPr="00631382">
              <w:rPr>
                <w:sz w:val="20"/>
                <w:szCs w:val="20"/>
              </w:rPr>
              <w:t xml:space="preserve"> but this provision does not address this. This will diminish its ability to address emerging issues.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4FDB903" w14:textId="77777777" w:rsidR="00EF1E70" w:rsidRPr="00631382" w:rsidRDefault="00EF1E70" w:rsidP="008F007F">
            <w:pPr>
              <w:rPr>
                <w:sz w:val="20"/>
                <w:szCs w:val="20"/>
              </w:rPr>
            </w:pPr>
          </w:p>
        </w:tc>
      </w:tr>
      <w:tr w:rsidR="00EF1E70" w:rsidRPr="00631382" w14:paraId="447AF410"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7A6D7" w14:textId="77777777" w:rsidR="00EF1E70" w:rsidRPr="00631382" w:rsidRDefault="00EF1E70" w:rsidP="008F007F">
            <w:pPr>
              <w:jc w:val="center"/>
              <w:rPr>
                <w:sz w:val="20"/>
                <w:szCs w:val="20"/>
              </w:rPr>
            </w:pPr>
            <w:r w:rsidRPr="00631382">
              <w:rPr>
                <w:sz w:val="20"/>
                <w:szCs w:val="20"/>
              </w:rPr>
              <w:t>8.2.2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86E55" w14:textId="77777777" w:rsidR="00EF1E70" w:rsidRPr="00631382" w:rsidRDefault="00EF1E70" w:rsidP="008F007F">
            <w:pPr>
              <w:rPr>
                <w:sz w:val="20"/>
                <w:szCs w:val="20"/>
              </w:rPr>
            </w:pPr>
            <w:r w:rsidRPr="00631382">
              <w:rPr>
                <w:sz w:val="20"/>
                <w:szCs w:val="20"/>
              </w:rPr>
              <w:t>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CAD7FD5" w14:textId="77777777" w:rsidR="00EF1E70" w:rsidRPr="00631382" w:rsidRDefault="00EF1E70" w:rsidP="008F007F">
            <w:pPr>
              <w:rPr>
                <w:sz w:val="20"/>
                <w:szCs w:val="20"/>
              </w:rPr>
            </w:pPr>
            <w:r w:rsidRPr="00631382">
              <w:rPr>
                <w:sz w:val="20"/>
                <w:szCs w:val="20"/>
              </w:rPr>
              <w:t>6.2 Accounting rates</w:t>
            </w:r>
          </w:p>
          <w:p w14:paraId="770DD6C2" w14:textId="77777777" w:rsidR="00EF1E70" w:rsidRPr="00631382" w:rsidRDefault="00EF1E70" w:rsidP="008F007F">
            <w:pPr>
              <w:rPr>
                <w:sz w:val="20"/>
                <w:szCs w:val="20"/>
              </w:rPr>
            </w:pPr>
            <w:r w:rsidRPr="00631382">
              <w:rPr>
                <w:sz w:val="20"/>
                <w:szCs w:val="20"/>
              </w:rPr>
              <w:t>6.2.1 For each applicable service in a given relation, administrations* shall by</w:t>
            </w:r>
          </w:p>
          <w:p w14:paraId="68F4BC25" w14:textId="77777777" w:rsidR="00EF1E70" w:rsidRPr="00631382" w:rsidRDefault="00EF1E70" w:rsidP="008F007F">
            <w:pPr>
              <w:rPr>
                <w:sz w:val="20"/>
                <w:szCs w:val="20"/>
              </w:rPr>
            </w:pPr>
            <w:r w:rsidRPr="00631382">
              <w:rPr>
                <w:sz w:val="20"/>
                <w:szCs w:val="20"/>
              </w:rPr>
              <w:t>mutual agreement establish and revise accounting rates to be applied between them, in</w:t>
            </w:r>
          </w:p>
          <w:p w14:paraId="0FE2D865" w14:textId="77777777" w:rsidR="00EF1E70" w:rsidRPr="00631382" w:rsidRDefault="00EF1E70" w:rsidP="008F007F">
            <w:pPr>
              <w:rPr>
                <w:sz w:val="20"/>
                <w:szCs w:val="20"/>
              </w:rPr>
            </w:pPr>
            <w:r w:rsidRPr="00631382">
              <w:rPr>
                <w:sz w:val="20"/>
                <w:szCs w:val="20"/>
              </w:rPr>
              <w:t>accordance with the provisions of Appendix 1 and taking into account relevant</w:t>
            </w:r>
          </w:p>
          <w:p w14:paraId="0C946553" w14:textId="77777777" w:rsidR="00EF1E70" w:rsidRPr="00631382" w:rsidRDefault="00EF1E70" w:rsidP="008F007F">
            <w:pPr>
              <w:rPr>
                <w:sz w:val="20"/>
                <w:szCs w:val="20"/>
              </w:rPr>
            </w:pPr>
            <w:r w:rsidRPr="00631382">
              <w:rPr>
                <w:sz w:val="20"/>
                <w:szCs w:val="20"/>
              </w:rPr>
              <w:t xml:space="preserve">CCITT Recommendations and relevant cost trends.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3FFD155" w14:textId="77777777" w:rsidR="00EF1E70" w:rsidRPr="00631382" w:rsidRDefault="00EF1E70" w:rsidP="008F007F">
            <w:pPr>
              <w:rPr>
                <w:sz w:val="20"/>
                <w:szCs w:val="20"/>
              </w:rPr>
            </w:pPr>
            <w:r w:rsidRPr="00631382">
              <w:rPr>
                <w:sz w:val="20"/>
                <w:szCs w:val="20"/>
              </w:rPr>
              <w:t>Operating agencies do this on a commercial basis and it is largely irrelevant to the provision and development of networks and services.</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80E7BD9" w14:textId="77777777" w:rsidR="00EF1E70" w:rsidRPr="00631382" w:rsidRDefault="00EF1E70" w:rsidP="008F007F">
            <w:pPr>
              <w:rPr>
                <w:sz w:val="20"/>
                <w:szCs w:val="20"/>
              </w:rPr>
            </w:pPr>
            <w:r w:rsidRPr="00631382">
              <w:rPr>
                <w:sz w:val="20"/>
                <w:szCs w:val="20"/>
              </w:rPr>
              <w:t xml:space="preserve">In the modern telecommunications environment, operating agencies do this on a commercial basis, where necessary. </w:t>
            </w:r>
          </w:p>
          <w:p w14:paraId="5EB22918" w14:textId="77777777" w:rsidR="00EF1E70" w:rsidRPr="00631382" w:rsidRDefault="00EF1E70" w:rsidP="008F007F">
            <w:pPr>
              <w:rPr>
                <w:sz w:val="20"/>
                <w:szCs w:val="20"/>
              </w:rPr>
            </w:pPr>
          </w:p>
          <w:p w14:paraId="73DF61E5" w14:textId="77777777" w:rsidR="00EF1E70" w:rsidRPr="00631382" w:rsidRDefault="00EF1E70" w:rsidP="008F007F">
            <w:pPr>
              <w:rPr>
                <w:sz w:val="20"/>
                <w:szCs w:val="20"/>
              </w:rPr>
            </w:pPr>
            <w:r w:rsidRPr="00631382">
              <w:rPr>
                <w:sz w:val="20"/>
                <w:szCs w:val="20"/>
              </w:rPr>
              <w:t>Requiring operating agencies to establish and revise accounting rates could hinder innovation.</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BBB88C6" w14:textId="77777777" w:rsidR="00EF1E70" w:rsidRPr="00631382" w:rsidRDefault="00EF1E70" w:rsidP="008F007F">
            <w:pPr>
              <w:rPr>
                <w:sz w:val="20"/>
                <w:szCs w:val="20"/>
              </w:rPr>
            </w:pPr>
          </w:p>
        </w:tc>
      </w:tr>
      <w:tr w:rsidR="00EF1E70" w:rsidRPr="00631382" w14:paraId="1CD040C2"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1E560" w14:textId="77777777" w:rsidR="00EF1E70" w:rsidRPr="00631382" w:rsidRDefault="00EF1E70" w:rsidP="008F007F">
            <w:pPr>
              <w:jc w:val="center"/>
              <w:rPr>
                <w:sz w:val="20"/>
                <w:szCs w:val="20"/>
              </w:rPr>
            </w:pPr>
            <w:r w:rsidRPr="00631382">
              <w:rPr>
                <w:sz w:val="20"/>
                <w:szCs w:val="20"/>
              </w:rPr>
              <w:t>8.2.3</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96C5D" w14:textId="77777777" w:rsidR="00EF1E70" w:rsidRPr="00631382" w:rsidRDefault="00EF1E70" w:rsidP="008F007F">
            <w:pPr>
              <w:rPr>
                <w:sz w:val="20"/>
                <w:szCs w:val="20"/>
              </w:rPr>
            </w:pPr>
            <w:r w:rsidRPr="00631382">
              <w:rPr>
                <w:sz w:val="20"/>
                <w:szCs w:val="20"/>
              </w:rPr>
              <w:t>Unless otherwise agreed, parties engaged in the provision of international telecommunication services shall follow the relevant provisions as set out in Appendices 1 and 2.</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0BF197C"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E415A87" w14:textId="77777777" w:rsidR="00EF1E70" w:rsidRPr="00631382" w:rsidRDefault="00EF1E70" w:rsidP="008F007F">
            <w:pPr>
              <w:rPr>
                <w:sz w:val="20"/>
                <w:szCs w:val="20"/>
              </w:rPr>
            </w:pPr>
            <w:r w:rsidRPr="00631382">
              <w:rPr>
                <w:sz w:val="20"/>
                <w:szCs w:val="20"/>
              </w:rPr>
              <w:t>Operating agencies do this on a commercial basis and it is largely irrelevant to the provision and development of networks and services.</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C3AB486" w14:textId="77777777" w:rsidR="00EF1E70" w:rsidRPr="00631382" w:rsidRDefault="00EF1E70" w:rsidP="008F007F">
            <w:pPr>
              <w:rPr>
                <w:sz w:val="20"/>
                <w:szCs w:val="20"/>
              </w:rPr>
            </w:pPr>
            <w:r w:rsidRPr="00631382">
              <w:rPr>
                <w:sz w:val="20"/>
                <w:szCs w:val="20"/>
              </w:rPr>
              <w:t>In the modern telecommunications environment, operating agencies do this on a commercial basis, where necessary.</w:t>
            </w:r>
          </w:p>
          <w:p w14:paraId="232C68ED" w14:textId="77777777" w:rsidR="00EF1E70" w:rsidRPr="00631382" w:rsidRDefault="00EF1E70" w:rsidP="008F007F">
            <w:pPr>
              <w:rPr>
                <w:sz w:val="20"/>
                <w:szCs w:val="20"/>
              </w:rPr>
            </w:pPr>
          </w:p>
          <w:p w14:paraId="79C20377" w14:textId="77777777" w:rsidR="00EF1E70" w:rsidRPr="00631382" w:rsidRDefault="00EF1E70" w:rsidP="008F007F">
            <w:pPr>
              <w:rPr>
                <w:sz w:val="20"/>
                <w:szCs w:val="20"/>
              </w:rPr>
            </w:pPr>
            <w:r w:rsidRPr="00631382">
              <w:rPr>
                <w:sz w:val="20"/>
                <w:szCs w:val="20"/>
              </w:rPr>
              <w:t xml:space="preserve">This provision might hinder innovation.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30BF55A" w14:textId="77777777" w:rsidR="00EF1E70" w:rsidRPr="00631382" w:rsidRDefault="00EF1E70" w:rsidP="008F007F">
            <w:pPr>
              <w:rPr>
                <w:sz w:val="20"/>
                <w:szCs w:val="20"/>
              </w:rPr>
            </w:pPr>
          </w:p>
        </w:tc>
      </w:tr>
      <w:tr w:rsidR="00EF1E70" w:rsidRPr="00631382" w14:paraId="43F84107"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11BC1" w14:textId="77777777" w:rsidR="00EF1E70" w:rsidRPr="00631382" w:rsidRDefault="00EF1E70" w:rsidP="008F007F">
            <w:pPr>
              <w:jc w:val="center"/>
              <w:rPr>
                <w:sz w:val="20"/>
                <w:szCs w:val="20"/>
              </w:rPr>
            </w:pPr>
            <w:r w:rsidRPr="00631382">
              <w:rPr>
                <w:sz w:val="20"/>
                <w:szCs w:val="20"/>
              </w:rPr>
              <w:lastRenderedPageBreak/>
              <w:t>8.2.4</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A2ADAE" w14:textId="77777777" w:rsidR="00EF1E70" w:rsidRPr="00631382" w:rsidRDefault="00EF1E70" w:rsidP="008F007F">
            <w:pPr>
              <w:rPr>
                <w:sz w:val="20"/>
                <w:szCs w:val="20"/>
              </w:rPr>
            </w:pPr>
            <w:r w:rsidRPr="00631382">
              <w:rPr>
                <w:sz w:val="20"/>
                <w:szCs w:val="20"/>
              </w:rPr>
              <w:t>In the absence of special arrangements concluded between authorized operating agencies, the monetary unit to be used in the composition of accounting rates for international telecommunication services and in the establishment of international accounts shall be:</w:t>
            </w:r>
          </w:p>
          <w:p w14:paraId="51EDBBB6" w14:textId="77777777" w:rsidR="00EF1E70" w:rsidRPr="00631382" w:rsidRDefault="00EF1E70" w:rsidP="008F007F">
            <w:pPr>
              <w:rPr>
                <w:sz w:val="20"/>
                <w:szCs w:val="20"/>
              </w:rPr>
            </w:pPr>
          </w:p>
          <w:p w14:paraId="2847043E" w14:textId="77777777" w:rsidR="00EF1E70" w:rsidRPr="00631382" w:rsidRDefault="00EF1E70" w:rsidP="00EF1E70">
            <w:pPr>
              <w:numPr>
                <w:ilvl w:val="0"/>
                <w:numId w:val="21"/>
              </w:numPr>
              <w:spacing w:after="0" w:line="276" w:lineRule="auto"/>
              <w:rPr>
                <w:sz w:val="20"/>
                <w:szCs w:val="20"/>
              </w:rPr>
            </w:pPr>
            <w:r w:rsidRPr="00631382">
              <w:rPr>
                <w:sz w:val="20"/>
                <w:szCs w:val="20"/>
              </w:rPr>
              <w:t>either the monetary unit of the International Monetary Fund (IMF), currently the Special Drawing Right (SDR), as defined by that organization;</w:t>
            </w:r>
          </w:p>
          <w:p w14:paraId="477A912B" w14:textId="77777777" w:rsidR="00EF1E70" w:rsidRPr="00631382" w:rsidRDefault="00EF1E70" w:rsidP="00EF1E70">
            <w:pPr>
              <w:numPr>
                <w:ilvl w:val="0"/>
                <w:numId w:val="21"/>
              </w:numPr>
              <w:spacing w:after="0" w:line="276" w:lineRule="auto"/>
              <w:rPr>
                <w:sz w:val="20"/>
                <w:szCs w:val="20"/>
              </w:rPr>
            </w:pPr>
            <w:r w:rsidRPr="00631382">
              <w:rPr>
                <w:sz w:val="20"/>
                <w:szCs w:val="20"/>
              </w:rPr>
              <w:t>or freely convertible currencies or other monetary unit agreed between the authorized operating agencies.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42005DF" w14:textId="77777777" w:rsidR="00EF1E70" w:rsidRPr="00631382" w:rsidRDefault="00EF1E70" w:rsidP="008F007F">
            <w:pPr>
              <w:rPr>
                <w:sz w:val="20"/>
                <w:szCs w:val="20"/>
              </w:rPr>
            </w:pPr>
            <w:r w:rsidRPr="00631382">
              <w:rPr>
                <w:sz w:val="20"/>
                <w:szCs w:val="20"/>
              </w:rPr>
              <w:t>6.3 Monetary unit</w:t>
            </w:r>
          </w:p>
          <w:p w14:paraId="1B8E2164" w14:textId="77777777" w:rsidR="00EF1E70" w:rsidRPr="00631382" w:rsidRDefault="00EF1E70" w:rsidP="008F007F">
            <w:pPr>
              <w:rPr>
                <w:sz w:val="20"/>
                <w:szCs w:val="20"/>
              </w:rPr>
            </w:pPr>
          </w:p>
          <w:p w14:paraId="36A3C9F4" w14:textId="77777777" w:rsidR="00EF1E70" w:rsidRPr="00631382" w:rsidRDefault="00EF1E70" w:rsidP="008F007F">
            <w:pPr>
              <w:rPr>
                <w:sz w:val="20"/>
                <w:szCs w:val="20"/>
              </w:rPr>
            </w:pPr>
            <w:r w:rsidRPr="00631382">
              <w:rPr>
                <w:sz w:val="20"/>
                <w:szCs w:val="20"/>
              </w:rPr>
              <w:t xml:space="preserve"> 6.3.1 In the absence of special arrangements concluded between administrations*,</w:t>
            </w:r>
          </w:p>
          <w:p w14:paraId="44875A33" w14:textId="77777777" w:rsidR="00EF1E70" w:rsidRPr="00631382" w:rsidRDefault="00EF1E70" w:rsidP="008F007F">
            <w:pPr>
              <w:rPr>
                <w:sz w:val="20"/>
                <w:szCs w:val="20"/>
              </w:rPr>
            </w:pPr>
            <w:r w:rsidRPr="00631382">
              <w:rPr>
                <w:sz w:val="20"/>
                <w:szCs w:val="20"/>
              </w:rPr>
              <w:t>the monetary unit to be used in the composition of accounting rates for international</w:t>
            </w:r>
          </w:p>
          <w:p w14:paraId="179C3816" w14:textId="77777777" w:rsidR="00EF1E70" w:rsidRPr="00631382" w:rsidRDefault="00EF1E70" w:rsidP="008F007F">
            <w:pPr>
              <w:rPr>
                <w:sz w:val="20"/>
                <w:szCs w:val="20"/>
              </w:rPr>
            </w:pPr>
            <w:r w:rsidRPr="00631382">
              <w:rPr>
                <w:sz w:val="20"/>
                <w:szCs w:val="20"/>
              </w:rPr>
              <w:t>telecommunication services and in the establishment of international accounts shall</w:t>
            </w:r>
          </w:p>
          <w:p w14:paraId="5F206A80" w14:textId="77777777" w:rsidR="00EF1E70" w:rsidRPr="00631382" w:rsidRDefault="00EF1E70" w:rsidP="008F007F">
            <w:pPr>
              <w:rPr>
                <w:sz w:val="20"/>
                <w:szCs w:val="20"/>
              </w:rPr>
            </w:pPr>
            <w:r w:rsidRPr="00631382">
              <w:rPr>
                <w:sz w:val="20"/>
                <w:szCs w:val="20"/>
              </w:rPr>
              <w:t>be:</w:t>
            </w:r>
          </w:p>
          <w:p w14:paraId="79A2876A" w14:textId="77777777" w:rsidR="00EF1E70" w:rsidRPr="00631382" w:rsidRDefault="00EF1E70" w:rsidP="008F007F">
            <w:pPr>
              <w:rPr>
                <w:sz w:val="20"/>
                <w:szCs w:val="20"/>
              </w:rPr>
            </w:pPr>
            <w:r w:rsidRPr="00631382">
              <w:rPr>
                <w:sz w:val="20"/>
                <w:szCs w:val="20"/>
              </w:rPr>
              <w:t>- either the monetary unit of the International Monetary Fund (IMF), currently the Special Drawing Right (SDR), as defined by that organization;</w:t>
            </w:r>
          </w:p>
          <w:p w14:paraId="6B31E252" w14:textId="77777777" w:rsidR="00EF1E70" w:rsidRPr="00631382" w:rsidRDefault="00EF1E70" w:rsidP="008F007F">
            <w:pPr>
              <w:rPr>
                <w:sz w:val="20"/>
                <w:szCs w:val="20"/>
              </w:rPr>
            </w:pPr>
            <w:r w:rsidRPr="00631382">
              <w:rPr>
                <w:sz w:val="20"/>
                <w:szCs w:val="20"/>
              </w:rPr>
              <w:t xml:space="preserve">- or the gold franc, equivalent to 1/3.061 SDR. </w:t>
            </w:r>
          </w:p>
          <w:p w14:paraId="73C44485" w14:textId="77777777" w:rsidR="00EF1E70" w:rsidRPr="00631382" w:rsidRDefault="00EF1E70" w:rsidP="008F007F">
            <w:pPr>
              <w:rPr>
                <w:sz w:val="20"/>
                <w:szCs w:val="20"/>
              </w:rPr>
            </w:pPr>
          </w:p>
          <w:p w14:paraId="4B858F56" w14:textId="77777777" w:rsidR="00EF1E70" w:rsidRPr="00631382" w:rsidRDefault="00EF1E70" w:rsidP="008F007F">
            <w:pPr>
              <w:rPr>
                <w:sz w:val="20"/>
                <w:szCs w:val="20"/>
              </w:rPr>
            </w:pPr>
            <w:r w:rsidRPr="00631382">
              <w:rPr>
                <w:sz w:val="20"/>
                <w:szCs w:val="20"/>
              </w:rPr>
              <w:t xml:space="preserve">6.3.2 In accordance with relevant provisions of the International Telecommunication Convention, this provision shall not affect the possibility open to administrations* of establishing bilateral arrangements for mutually acceptable coefficients </w:t>
            </w:r>
            <w:r w:rsidRPr="00631382">
              <w:rPr>
                <w:sz w:val="20"/>
                <w:szCs w:val="20"/>
              </w:rPr>
              <w:lastRenderedPageBreak/>
              <w:t>between the monetary unit of the IMF and the gold franc.</w:t>
            </w:r>
          </w:p>
          <w:p w14:paraId="5DD8BB2B"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E915429" w14:textId="77777777" w:rsidR="00EF1E70" w:rsidRPr="00631382" w:rsidRDefault="00EF1E70" w:rsidP="008F007F">
            <w:pPr>
              <w:rPr>
                <w:sz w:val="20"/>
                <w:szCs w:val="20"/>
              </w:rPr>
            </w:pPr>
            <w:r w:rsidRPr="00631382">
              <w:rPr>
                <w:sz w:val="20"/>
                <w:szCs w:val="20"/>
              </w:rPr>
              <w:lastRenderedPageBreak/>
              <w:t>Operating agencies do this on a commercial basis and it is largely irrelevant to the provision and development of networks and services.</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856862F" w14:textId="77777777" w:rsidR="00EF1E70" w:rsidRPr="00631382" w:rsidRDefault="00EF1E70" w:rsidP="008F007F">
            <w:pPr>
              <w:rPr>
                <w:sz w:val="20"/>
                <w:szCs w:val="20"/>
              </w:rPr>
            </w:pPr>
            <w:r w:rsidRPr="00631382">
              <w:rPr>
                <w:sz w:val="20"/>
                <w:szCs w:val="20"/>
              </w:rPr>
              <w:t>In the modern telecommunications environment, operating agencies do this on a commercial basis, where necessary.</w:t>
            </w:r>
          </w:p>
          <w:p w14:paraId="7A667204" w14:textId="77777777" w:rsidR="00EF1E70" w:rsidRPr="00631382" w:rsidRDefault="00EF1E70" w:rsidP="008F007F">
            <w:pPr>
              <w:rPr>
                <w:sz w:val="20"/>
                <w:szCs w:val="20"/>
              </w:rPr>
            </w:pPr>
          </w:p>
          <w:p w14:paraId="47310574" w14:textId="77777777" w:rsidR="00EF1E70" w:rsidRPr="00631382" w:rsidRDefault="00EF1E70" w:rsidP="008F007F">
            <w:pPr>
              <w:rPr>
                <w:sz w:val="20"/>
                <w:szCs w:val="20"/>
              </w:rPr>
            </w:pPr>
            <w:r w:rsidRPr="00631382">
              <w:rPr>
                <w:sz w:val="20"/>
                <w:szCs w:val="20"/>
              </w:rPr>
              <w:t xml:space="preserve">This provision might hinder innovation.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EAB12AD" w14:textId="77777777" w:rsidR="00EF1E70" w:rsidRPr="00631382" w:rsidRDefault="00EF1E70" w:rsidP="008F007F">
            <w:pPr>
              <w:rPr>
                <w:sz w:val="20"/>
                <w:szCs w:val="20"/>
              </w:rPr>
            </w:pPr>
          </w:p>
        </w:tc>
      </w:tr>
      <w:tr w:rsidR="00EF1E70" w:rsidRPr="00631382" w14:paraId="29A7C8BE"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7CA4" w14:textId="77777777" w:rsidR="00EF1E70" w:rsidRPr="00631382" w:rsidRDefault="00EF1E70" w:rsidP="008F007F">
            <w:pPr>
              <w:jc w:val="center"/>
              <w:rPr>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163EA" w14:textId="77777777" w:rsidR="00EF1E70" w:rsidRPr="00631382" w:rsidRDefault="00EF1E70" w:rsidP="008F007F">
            <w:pPr>
              <w:rPr>
                <w:sz w:val="20"/>
                <w:szCs w:val="20"/>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8D2D4A9" w14:textId="77777777" w:rsidR="00EF1E70" w:rsidRPr="00631382" w:rsidRDefault="00EF1E70" w:rsidP="008F007F">
            <w:pPr>
              <w:rPr>
                <w:sz w:val="20"/>
                <w:szCs w:val="20"/>
              </w:rPr>
            </w:pPr>
            <w:r w:rsidRPr="00631382">
              <w:rPr>
                <w:sz w:val="20"/>
                <w:szCs w:val="20"/>
              </w:rPr>
              <w:t>6.4 Establishment of accounts and settlement of balances of account</w:t>
            </w:r>
          </w:p>
          <w:p w14:paraId="0B352A45" w14:textId="77777777" w:rsidR="00EF1E70" w:rsidRPr="00631382" w:rsidRDefault="00EF1E70" w:rsidP="008F007F">
            <w:pPr>
              <w:rPr>
                <w:sz w:val="20"/>
                <w:szCs w:val="20"/>
              </w:rPr>
            </w:pPr>
          </w:p>
          <w:p w14:paraId="11A34880" w14:textId="77777777" w:rsidR="00EF1E70" w:rsidRPr="00631382" w:rsidRDefault="00EF1E70" w:rsidP="008F007F">
            <w:pPr>
              <w:rPr>
                <w:sz w:val="20"/>
                <w:szCs w:val="20"/>
              </w:rPr>
            </w:pPr>
            <w:r w:rsidRPr="00631382">
              <w:rPr>
                <w:sz w:val="20"/>
                <w:szCs w:val="20"/>
              </w:rPr>
              <w:t>6.4.1 Unless otherwise agreed, administrations* shall follow the relevant provisions</w:t>
            </w:r>
          </w:p>
          <w:p w14:paraId="40210927" w14:textId="77777777" w:rsidR="00EF1E70" w:rsidRPr="00631382" w:rsidRDefault="00EF1E70" w:rsidP="008F007F">
            <w:pPr>
              <w:rPr>
                <w:sz w:val="20"/>
                <w:szCs w:val="20"/>
              </w:rPr>
            </w:pPr>
            <w:r w:rsidRPr="00631382">
              <w:rPr>
                <w:sz w:val="20"/>
                <w:szCs w:val="20"/>
              </w:rPr>
              <w:t xml:space="preserve">as set out in Appendices 1 and 2.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4E68EEEA" w14:textId="77777777" w:rsidR="00EF1E70" w:rsidRPr="00631382" w:rsidRDefault="00EF1E70" w:rsidP="008F007F">
            <w:pPr>
              <w:rPr>
                <w:sz w:val="20"/>
                <w:szCs w:val="20"/>
              </w:rPr>
            </w:pPr>
            <w:r w:rsidRPr="00631382">
              <w:rPr>
                <w:sz w:val="20"/>
                <w:szCs w:val="20"/>
              </w:rPr>
              <w:t>NA - not present in 2012 ITRs</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2AA2675E" w14:textId="77777777" w:rsidR="00EF1E70" w:rsidRPr="00631382" w:rsidRDefault="00EF1E70" w:rsidP="008F007F">
            <w:pPr>
              <w:rPr>
                <w:sz w:val="20"/>
                <w:szCs w:val="20"/>
              </w:rPr>
            </w:pPr>
            <w:r w:rsidRPr="00631382">
              <w:rPr>
                <w:sz w:val="20"/>
                <w:szCs w:val="20"/>
              </w:rPr>
              <w:t>NA - not present in 2012 ITRs</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3644B41" w14:textId="77777777" w:rsidR="00EF1E70" w:rsidRPr="00631382" w:rsidRDefault="00EF1E70" w:rsidP="008F007F">
            <w:pPr>
              <w:rPr>
                <w:sz w:val="20"/>
                <w:szCs w:val="20"/>
              </w:rPr>
            </w:pPr>
          </w:p>
        </w:tc>
      </w:tr>
      <w:tr w:rsidR="00EF1E70" w:rsidRPr="00631382" w14:paraId="6C7C262E"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CE97B" w14:textId="77777777" w:rsidR="00EF1E70" w:rsidRPr="00631382" w:rsidRDefault="00EF1E70" w:rsidP="008F007F">
            <w:pPr>
              <w:jc w:val="center"/>
              <w:rPr>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5DFF5" w14:textId="77777777" w:rsidR="00EF1E70" w:rsidRPr="00631382" w:rsidRDefault="00EF1E70" w:rsidP="008F007F">
            <w:pPr>
              <w:rPr>
                <w:sz w:val="20"/>
                <w:szCs w:val="20"/>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C0DB6C3" w14:textId="77777777" w:rsidR="00EF1E70" w:rsidRPr="00631382" w:rsidRDefault="00EF1E70" w:rsidP="008F007F">
            <w:pPr>
              <w:rPr>
                <w:sz w:val="20"/>
                <w:szCs w:val="20"/>
              </w:rPr>
            </w:pPr>
            <w:r w:rsidRPr="00631382">
              <w:rPr>
                <w:sz w:val="20"/>
                <w:szCs w:val="20"/>
              </w:rPr>
              <w:t>6.5 Service and privilege telecommunications</w:t>
            </w:r>
          </w:p>
          <w:p w14:paraId="55291AE0" w14:textId="77777777" w:rsidR="00EF1E70" w:rsidRPr="00631382" w:rsidRDefault="00EF1E70" w:rsidP="008F007F">
            <w:pPr>
              <w:rPr>
                <w:sz w:val="20"/>
                <w:szCs w:val="20"/>
              </w:rPr>
            </w:pPr>
          </w:p>
          <w:p w14:paraId="24F8DA85" w14:textId="77777777" w:rsidR="00EF1E70" w:rsidRPr="00631382" w:rsidRDefault="00EF1E70" w:rsidP="008F007F">
            <w:pPr>
              <w:rPr>
                <w:sz w:val="20"/>
                <w:szCs w:val="20"/>
              </w:rPr>
            </w:pPr>
            <w:r w:rsidRPr="00631382">
              <w:rPr>
                <w:sz w:val="20"/>
                <w:szCs w:val="20"/>
              </w:rPr>
              <w:t xml:space="preserve">6.5.1 Administrations* shall follow the relevant provisions as set out in Appendix 3. </w:t>
            </w:r>
          </w:p>
          <w:p w14:paraId="79E3DD4E"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5ADF3FF" w14:textId="77777777" w:rsidR="00EF1E70" w:rsidRPr="00631382" w:rsidRDefault="00EF1E70" w:rsidP="008F007F">
            <w:pPr>
              <w:rPr>
                <w:sz w:val="20"/>
                <w:szCs w:val="20"/>
              </w:rPr>
            </w:pPr>
            <w:r w:rsidRPr="00631382">
              <w:rPr>
                <w:sz w:val="20"/>
                <w:szCs w:val="20"/>
              </w:rPr>
              <w:t>NA - not present in 2012 ITRs</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6D763E72" w14:textId="77777777" w:rsidR="00EF1E70" w:rsidRPr="00631382" w:rsidRDefault="00EF1E70" w:rsidP="008F007F">
            <w:pPr>
              <w:rPr>
                <w:sz w:val="20"/>
                <w:szCs w:val="20"/>
              </w:rPr>
            </w:pPr>
            <w:r w:rsidRPr="00631382">
              <w:rPr>
                <w:sz w:val="20"/>
                <w:szCs w:val="20"/>
              </w:rPr>
              <w:t>NA - not present in 2012 ITRs</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C46A02F" w14:textId="77777777" w:rsidR="00EF1E70" w:rsidRPr="00631382" w:rsidRDefault="00EF1E70" w:rsidP="008F007F">
            <w:pPr>
              <w:rPr>
                <w:sz w:val="20"/>
                <w:szCs w:val="20"/>
              </w:rPr>
            </w:pPr>
          </w:p>
        </w:tc>
      </w:tr>
      <w:tr w:rsidR="00EF1E70" w:rsidRPr="00631382" w14:paraId="62FAB7AF"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19D55" w14:textId="77777777" w:rsidR="00EF1E70" w:rsidRPr="00631382" w:rsidRDefault="00EF1E70" w:rsidP="008F007F">
            <w:pPr>
              <w:jc w:val="center"/>
              <w:rPr>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DB201" w14:textId="77777777" w:rsidR="00EF1E70" w:rsidRPr="00631382" w:rsidRDefault="00EF1E70" w:rsidP="008F007F">
            <w:pPr>
              <w:rPr>
                <w:sz w:val="20"/>
                <w:szCs w:val="20"/>
              </w:rPr>
            </w:pPr>
            <w:r w:rsidRPr="00631382">
              <w:rPr>
                <w:sz w:val="20"/>
                <w:szCs w:val="20"/>
              </w:rPr>
              <w:t>Collection charges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3F2880A" w14:textId="77777777" w:rsidR="00EF1E70" w:rsidRPr="00631382" w:rsidRDefault="00EF1E70" w:rsidP="008F007F">
            <w:pPr>
              <w:rPr>
                <w:sz w:val="20"/>
                <w:szCs w:val="20"/>
              </w:rPr>
            </w:pPr>
            <w:r w:rsidRPr="00631382">
              <w:rPr>
                <w:sz w:val="20"/>
                <w:szCs w:val="20"/>
              </w:rPr>
              <w:t xml:space="preserve">6.1 Collection charges </w:t>
            </w:r>
          </w:p>
          <w:p w14:paraId="0A59998A" w14:textId="77777777" w:rsidR="00EF1E70" w:rsidRPr="00631382" w:rsidRDefault="00EF1E70" w:rsidP="008F007F">
            <w:pPr>
              <w:rPr>
                <w:sz w:val="20"/>
                <w:szCs w:val="20"/>
              </w:rPr>
            </w:pPr>
          </w:p>
          <w:p w14:paraId="2A63F590" w14:textId="77777777" w:rsidR="00EF1E70" w:rsidRPr="00631382" w:rsidRDefault="00EF1E70" w:rsidP="008F007F">
            <w:pPr>
              <w:rPr>
                <w:sz w:val="20"/>
                <w:szCs w:val="20"/>
              </w:rPr>
            </w:pPr>
            <w:r w:rsidRPr="00631382">
              <w:rPr>
                <w:sz w:val="20"/>
                <w:szCs w:val="20"/>
              </w:rPr>
              <w:t>6.1.1 Each administration* shall, subject to applicable national law, establish the</w:t>
            </w:r>
          </w:p>
          <w:p w14:paraId="57D05227" w14:textId="77777777" w:rsidR="00EF1E70" w:rsidRPr="00631382" w:rsidRDefault="00EF1E70" w:rsidP="008F007F">
            <w:pPr>
              <w:rPr>
                <w:sz w:val="20"/>
                <w:szCs w:val="20"/>
              </w:rPr>
            </w:pPr>
            <w:r w:rsidRPr="00631382">
              <w:rPr>
                <w:sz w:val="20"/>
                <w:szCs w:val="20"/>
              </w:rPr>
              <w:lastRenderedPageBreak/>
              <w:t>charges to be collected from its customers. The level of the charges is a national matter; however, in establishing these charges, administrations* should try to avoid</w:t>
            </w:r>
          </w:p>
          <w:p w14:paraId="6DEC8EE3" w14:textId="77777777" w:rsidR="00EF1E70" w:rsidRPr="00631382" w:rsidRDefault="00EF1E70" w:rsidP="008F007F">
            <w:pPr>
              <w:rPr>
                <w:sz w:val="20"/>
                <w:szCs w:val="20"/>
              </w:rPr>
            </w:pPr>
            <w:r w:rsidRPr="00631382">
              <w:rPr>
                <w:sz w:val="20"/>
                <w:szCs w:val="20"/>
              </w:rPr>
              <w:t xml:space="preserve">too great a </w:t>
            </w:r>
            <w:proofErr w:type="spellStart"/>
            <w:r w:rsidRPr="00631382">
              <w:rPr>
                <w:sz w:val="20"/>
                <w:szCs w:val="20"/>
              </w:rPr>
              <w:t>dissymetry</w:t>
            </w:r>
            <w:proofErr w:type="spellEnd"/>
            <w:r w:rsidRPr="00631382">
              <w:rPr>
                <w:sz w:val="20"/>
                <w:szCs w:val="20"/>
              </w:rPr>
              <w:t xml:space="preserve"> between the charges applicable in each direction of the same</w:t>
            </w:r>
          </w:p>
          <w:p w14:paraId="273289CF" w14:textId="77777777" w:rsidR="00EF1E70" w:rsidRPr="00631382" w:rsidRDefault="00EF1E70" w:rsidP="008F007F">
            <w:pPr>
              <w:rPr>
                <w:sz w:val="20"/>
                <w:szCs w:val="20"/>
              </w:rPr>
            </w:pPr>
            <w:r w:rsidRPr="00631382">
              <w:rPr>
                <w:sz w:val="20"/>
                <w:szCs w:val="20"/>
              </w:rPr>
              <w:t xml:space="preserve">relation.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8DDA10A" w14:textId="77777777" w:rsidR="00EF1E70" w:rsidRPr="00631382" w:rsidRDefault="00EF1E70" w:rsidP="008F007F">
            <w:pPr>
              <w:rPr>
                <w:sz w:val="20"/>
                <w:szCs w:val="20"/>
              </w:rPr>
            </w:pPr>
            <w:r w:rsidRPr="00631382">
              <w:rPr>
                <w:sz w:val="20"/>
                <w:szCs w:val="20"/>
              </w:rPr>
              <w:lastRenderedPageBreak/>
              <w:t>NA - not present in 2012 ITRs</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4977EA7A" w14:textId="77777777" w:rsidR="00EF1E70" w:rsidRPr="00631382" w:rsidRDefault="00EF1E70" w:rsidP="008F007F">
            <w:pPr>
              <w:rPr>
                <w:sz w:val="20"/>
                <w:szCs w:val="20"/>
              </w:rPr>
            </w:pPr>
            <w:r w:rsidRPr="00631382">
              <w:rPr>
                <w:sz w:val="20"/>
                <w:szCs w:val="20"/>
              </w:rPr>
              <w:t>NA - not present in 2012 ITRs</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86B2F1A" w14:textId="77777777" w:rsidR="00EF1E70" w:rsidRPr="00631382" w:rsidRDefault="00EF1E70" w:rsidP="008F007F">
            <w:pPr>
              <w:rPr>
                <w:sz w:val="20"/>
                <w:szCs w:val="20"/>
              </w:rPr>
            </w:pPr>
          </w:p>
        </w:tc>
      </w:tr>
      <w:tr w:rsidR="00EF1E70" w:rsidRPr="00631382" w14:paraId="3FE33FF8"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59A1A" w14:textId="77777777" w:rsidR="00EF1E70" w:rsidRPr="00631382" w:rsidRDefault="00EF1E70" w:rsidP="008F007F">
            <w:pPr>
              <w:jc w:val="center"/>
              <w:rPr>
                <w:sz w:val="20"/>
                <w:szCs w:val="20"/>
              </w:rPr>
            </w:pPr>
            <w:r w:rsidRPr="00631382">
              <w:rPr>
                <w:sz w:val="20"/>
                <w:szCs w:val="20"/>
              </w:rPr>
              <w:t>8.2.5</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D5B602" w14:textId="77777777" w:rsidR="00EF1E70" w:rsidRPr="00631382" w:rsidRDefault="00EF1E70" w:rsidP="008F007F">
            <w:pPr>
              <w:rPr>
                <w:sz w:val="20"/>
                <w:szCs w:val="20"/>
              </w:rPr>
            </w:pPr>
            <w:r w:rsidRPr="00631382">
              <w:rPr>
                <w:sz w:val="20"/>
                <w:szCs w:val="20"/>
              </w:rPr>
              <w:t xml:space="preserve">The charges levied on customers for a </w:t>
            </w:r>
            <w:proofErr w:type="gramStart"/>
            <w:r w:rsidRPr="00631382">
              <w:rPr>
                <w:sz w:val="20"/>
                <w:szCs w:val="20"/>
              </w:rPr>
              <w:t>particular communication</w:t>
            </w:r>
            <w:proofErr w:type="gramEnd"/>
            <w:r w:rsidRPr="00631382">
              <w:rPr>
                <w:sz w:val="20"/>
                <w:szCs w:val="20"/>
              </w:rPr>
              <w:t xml:space="preserve"> should in principle be the same in a given relation, regardless of the international route used for that communication. In establishing these charges, Member States should try to avoid dissymmetry between the charges applicable in each direction of the same relation.</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4B4270B" w14:textId="77777777" w:rsidR="00EF1E70" w:rsidRPr="00631382" w:rsidRDefault="00EF1E70" w:rsidP="008F007F">
            <w:pPr>
              <w:rPr>
                <w:sz w:val="20"/>
                <w:szCs w:val="20"/>
              </w:rPr>
            </w:pPr>
            <w:r w:rsidRPr="00631382">
              <w:rPr>
                <w:sz w:val="20"/>
                <w:szCs w:val="20"/>
              </w:rPr>
              <w:t xml:space="preserve">6.1.2 The charge levied by an administration* on customers for a particular communication should in principle be the same in a given relation, regardless of the route chosen by that administration*. </w:t>
            </w:r>
          </w:p>
          <w:p w14:paraId="6E4AB34D" w14:textId="77777777" w:rsidR="00EF1E70" w:rsidRPr="00631382" w:rsidRDefault="00EF1E70" w:rsidP="008F007F">
            <w:pPr>
              <w:rPr>
                <w:sz w:val="20"/>
                <w:szCs w:val="20"/>
              </w:rPr>
            </w:pPr>
            <w:r w:rsidRPr="00631382">
              <w:rPr>
                <w:sz w:val="20"/>
                <w:szCs w:val="20"/>
              </w:rPr>
              <w:t>* or recognized private operating agency(</w:t>
            </w:r>
            <w:proofErr w:type="spellStart"/>
            <w:r w:rsidRPr="00631382">
              <w:rPr>
                <w:sz w:val="20"/>
                <w:szCs w:val="20"/>
              </w:rPr>
              <w:t>ies</w:t>
            </w:r>
            <w:proofErr w:type="spellEnd"/>
            <w:r w:rsidRPr="00631382">
              <w:rPr>
                <w:sz w:val="20"/>
                <w:szCs w:val="20"/>
              </w:rPr>
              <w: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2CD76CD" w14:textId="77777777" w:rsidR="00EF1E70" w:rsidRPr="00631382" w:rsidRDefault="00EF1E70" w:rsidP="008F007F">
            <w:pPr>
              <w:rPr>
                <w:sz w:val="20"/>
                <w:szCs w:val="20"/>
              </w:rPr>
            </w:pPr>
            <w:r w:rsidRPr="00631382">
              <w:rPr>
                <w:sz w:val="20"/>
                <w:szCs w:val="20"/>
              </w:rPr>
              <w:t>“In principle” and “should try” mean that this is unenforceable. In any case. Operating agencies do this on a commercial basis and it is largely irrelevant to the provision and development of networks and services.</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F536A9E" w14:textId="77777777" w:rsidR="00EF1E70" w:rsidRPr="00631382" w:rsidRDefault="00EF1E70" w:rsidP="008F007F">
            <w:pPr>
              <w:rPr>
                <w:sz w:val="20"/>
                <w:szCs w:val="20"/>
              </w:rPr>
            </w:pPr>
            <w:r w:rsidRPr="00631382">
              <w:rPr>
                <w:sz w:val="20"/>
                <w:szCs w:val="20"/>
              </w:rPr>
              <w:t>In the modern telecommunications environment, operating agencies do this on a commercial basis, where necessary.</w:t>
            </w:r>
          </w:p>
          <w:p w14:paraId="1E2E0891" w14:textId="77777777" w:rsidR="00EF1E70" w:rsidRPr="00631382" w:rsidRDefault="00EF1E70" w:rsidP="008F007F">
            <w:pPr>
              <w:rPr>
                <w:sz w:val="20"/>
                <w:szCs w:val="20"/>
              </w:rPr>
            </w:pPr>
          </w:p>
          <w:p w14:paraId="670B5BFE" w14:textId="77777777" w:rsidR="00EF1E70" w:rsidRPr="00631382" w:rsidRDefault="00EF1E70" w:rsidP="008F007F">
            <w:pPr>
              <w:rPr>
                <w:sz w:val="20"/>
                <w:szCs w:val="20"/>
              </w:rPr>
            </w:pPr>
            <w:r w:rsidRPr="00631382">
              <w:rPr>
                <w:sz w:val="20"/>
                <w:szCs w:val="20"/>
              </w:rPr>
              <w:t xml:space="preserve">This provision might hinder innovation.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9D51DC1" w14:textId="77777777" w:rsidR="00EF1E70" w:rsidRPr="00631382" w:rsidRDefault="00EF1E70" w:rsidP="008F007F">
            <w:pPr>
              <w:rPr>
                <w:sz w:val="20"/>
                <w:szCs w:val="20"/>
              </w:rPr>
            </w:pPr>
          </w:p>
        </w:tc>
      </w:tr>
      <w:tr w:rsidR="00EF1E70" w:rsidRPr="00631382" w14:paraId="26B3DAE1" w14:textId="77777777" w:rsidTr="008F007F">
        <w:trPr>
          <w:trHeight w:val="56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9D22E" w14:textId="77777777" w:rsidR="00EF1E70" w:rsidRPr="00631382" w:rsidRDefault="00EF1E70" w:rsidP="008F007F">
            <w:pPr>
              <w:jc w:val="center"/>
              <w:rPr>
                <w:sz w:val="20"/>
                <w:szCs w:val="20"/>
              </w:rPr>
            </w:pPr>
            <w:r w:rsidRPr="00631382">
              <w:rPr>
                <w:sz w:val="20"/>
                <w:szCs w:val="20"/>
              </w:rPr>
              <w:t>8.3</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0F451" w14:textId="77777777" w:rsidR="00EF1E70" w:rsidRPr="00631382" w:rsidRDefault="00EF1E70" w:rsidP="008F007F">
            <w:pPr>
              <w:rPr>
                <w:b/>
                <w:sz w:val="20"/>
                <w:szCs w:val="20"/>
              </w:rPr>
            </w:pPr>
            <w:r w:rsidRPr="00631382">
              <w:rPr>
                <w:b/>
                <w:sz w:val="20"/>
                <w:szCs w:val="20"/>
              </w:rPr>
              <w:t>Taxation</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AC9BDD1"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883AE1A"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EBAF79B"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5B9DF2E" w14:textId="77777777" w:rsidR="00EF1E70" w:rsidRPr="00631382" w:rsidRDefault="00EF1E70" w:rsidP="008F007F">
            <w:pPr>
              <w:rPr>
                <w:sz w:val="20"/>
                <w:szCs w:val="20"/>
              </w:rPr>
            </w:pPr>
          </w:p>
        </w:tc>
      </w:tr>
      <w:tr w:rsidR="00EF1E70" w:rsidRPr="00631382" w14:paraId="06D84708"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0A42E" w14:textId="77777777" w:rsidR="00EF1E70" w:rsidRPr="00631382" w:rsidRDefault="00EF1E70" w:rsidP="008F007F">
            <w:pPr>
              <w:jc w:val="center"/>
              <w:rPr>
                <w:sz w:val="20"/>
                <w:szCs w:val="20"/>
              </w:rPr>
            </w:pPr>
            <w:r w:rsidRPr="00631382">
              <w:rPr>
                <w:sz w:val="20"/>
                <w:szCs w:val="20"/>
              </w:rPr>
              <w:t>8.3.1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76CA0" w14:textId="77777777" w:rsidR="00EF1E70" w:rsidRPr="00631382" w:rsidRDefault="00EF1E70" w:rsidP="008F007F">
            <w:pPr>
              <w:rPr>
                <w:sz w:val="20"/>
                <w:szCs w:val="20"/>
              </w:rPr>
            </w:pPr>
            <w:r w:rsidRPr="00631382">
              <w:rPr>
                <w:sz w:val="20"/>
                <w:szCs w:val="20"/>
              </w:rPr>
              <w:t xml:space="preserve">Where, in accordance with the national law of a country, a fiscal tax is levied on collection charges for international telecommunication services, this tax shall normally be collected </w:t>
            </w:r>
            <w:r w:rsidRPr="00631382">
              <w:rPr>
                <w:sz w:val="20"/>
                <w:szCs w:val="20"/>
              </w:rPr>
              <w:lastRenderedPageBreak/>
              <w:t>only in respect of international services billed to customers in that country, unless other arrangements are made to meet special circumstances.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4DF0FE5" w14:textId="77777777" w:rsidR="00EF1E70" w:rsidRPr="00631382" w:rsidRDefault="00EF1E70" w:rsidP="008F007F">
            <w:pPr>
              <w:rPr>
                <w:sz w:val="20"/>
                <w:szCs w:val="20"/>
              </w:rPr>
            </w:pPr>
            <w:r w:rsidRPr="00631382">
              <w:rPr>
                <w:sz w:val="20"/>
                <w:szCs w:val="20"/>
              </w:rPr>
              <w:lastRenderedPageBreak/>
              <w:t>6.1.3 Where, in accordance with the national law of a country, a fiscal tax is levied on</w:t>
            </w:r>
          </w:p>
          <w:p w14:paraId="7C716887" w14:textId="77777777" w:rsidR="00EF1E70" w:rsidRPr="00631382" w:rsidRDefault="00EF1E70" w:rsidP="008F007F">
            <w:pPr>
              <w:rPr>
                <w:sz w:val="20"/>
                <w:szCs w:val="20"/>
              </w:rPr>
            </w:pPr>
            <w:r w:rsidRPr="00631382">
              <w:rPr>
                <w:sz w:val="20"/>
                <w:szCs w:val="20"/>
              </w:rPr>
              <w:t xml:space="preserve">collection charges for international telecommunication services, this tax shall normally be collected </w:t>
            </w:r>
            <w:r w:rsidRPr="00631382">
              <w:rPr>
                <w:sz w:val="20"/>
                <w:szCs w:val="20"/>
              </w:rPr>
              <w:lastRenderedPageBreak/>
              <w:t>only in respect of international services billed to customers in that</w:t>
            </w:r>
          </w:p>
          <w:p w14:paraId="25C406EB" w14:textId="77777777" w:rsidR="00EF1E70" w:rsidRPr="00631382" w:rsidRDefault="00EF1E70" w:rsidP="008F007F">
            <w:pPr>
              <w:rPr>
                <w:sz w:val="20"/>
                <w:szCs w:val="20"/>
              </w:rPr>
            </w:pPr>
            <w:r w:rsidRPr="00631382">
              <w:rPr>
                <w:sz w:val="20"/>
                <w:szCs w:val="20"/>
              </w:rPr>
              <w:t xml:space="preserve">country, unless other arrangements are made to meet special- circumstances.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C4A3338" w14:textId="77777777" w:rsidR="00EF1E70" w:rsidRPr="00631382" w:rsidRDefault="00EF1E70" w:rsidP="008F007F">
            <w:pPr>
              <w:rPr>
                <w:sz w:val="20"/>
                <w:szCs w:val="20"/>
              </w:rPr>
            </w:pPr>
            <w:r w:rsidRPr="00631382">
              <w:rPr>
                <w:sz w:val="20"/>
                <w:szCs w:val="20"/>
              </w:rPr>
              <w:lastRenderedPageBreak/>
              <w:t xml:space="preserve">What constitutes “special circumstances” is not defined, thus leaving regulatory uncertainty.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59BE0FA" w14:textId="77777777" w:rsidR="00EF1E70" w:rsidRPr="00631382" w:rsidRDefault="00EF1E70" w:rsidP="008F007F">
            <w:pPr>
              <w:rPr>
                <w:sz w:val="20"/>
                <w:szCs w:val="20"/>
              </w:rPr>
            </w:pPr>
            <w:r w:rsidRPr="00631382">
              <w:rPr>
                <w:sz w:val="20"/>
                <w:szCs w:val="20"/>
              </w:rPr>
              <w:t xml:space="preserve">What constitutes “special circumstances” is not defined, thus leaving regulatory uncertainty.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812DDEA" w14:textId="77777777" w:rsidR="00EF1E70" w:rsidRPr="00631382" w:rsidRDefault="00EF1E70" w:rsidP="008F007F">
            <w:pPr>
              <w:rPr>
                <w:sz w:val="20"/>
                <w:szCs w:val="20"/>
              </w:rPr>
            </w:pPr>
          </w:p>
        </w:tc>
      </w:tr>
      <w:tr w:rsidR="00EF1E70" w:rsidRPr="00631382" w14:paraId="59EE11AD" w14:textId="77777777" w:rsidTr="008F007F">
        <w:trPr>
          <w:trHeight w:val="58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9BC79" w14:textId="77777777" w:rsidR="00EF1E70" w:rsidRPr="00631382" w:rsidRDefault="00EF1E70" w:rsidP="008F007F">
            <w:pPr>
              <w:jc w:val="center"/>
              <w:rPr>
                <w:sz w:val="20"/>
                <w:szCs w:val="20"/>
              </w:rPr>
            </w:pPr>
            <w:r w:rsidRPr="00631382">
              <w:rPr>
                <w:sz w:val="20"/>
                <w:szCs w:val="20"/>
              </w:rPr>
              <w:t>8.4</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03B23" w14:textId="77777777" w:rsidR="00EF1E70" w:rsidRPr="00631382" w:rsidRDefault="00EF1E70" w:rsidP="008F007F">
            <w:pPr>
              <w:rPr>
                <w:b/>
                <w:sz w:val="20"/>
                <w:szCs w:val="20"/>
              </w:rPr>
            </w:pPr>
            <w:r w:rsidRPr="00631382">
              <w:rPr>
                <w:b/>
                <w:sz w:val="20"/>
                <w:szCs w:val="20"/>
              </w:rPr>
              <w:t>Service telecommunications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35964A4"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776A087"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CF91051"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9F3D2E3" w14:textId="77777777" w:rsidR="00EF1E70" w:rsidRPr="00631382" w:rsidRDefault="00EF1E70" w:rsidP="008F007F">
            <w:pPr>
              <w:rPr>
                <w:sz w:val="20"/>
                <w:szCs w:val="20"/>
              </w:rPr>
            </w:pPr>
          </w:p>
        </w:tc>
      </w:tr>
      <w:tr w:rsidR="00EF1E70" w:rsidRPr="00631382" w14:paraId="05E51B31"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8F111" w14:textId="77777777" w:rsidR="00EF1E70" w:rsidRPr="00631382" w:rsidRDefault="00EF1E70" w:rsidP="008F007F">
            <w:pPr>
              <w:jc w:val="center"/>
              <w:rPr>
                <w:sz w:val="20"/>
                <w:szCs w:val="20"/>
              </w:rPr>
            </w:pPr>
            <w:r w:rsidRPr="00631382">
              <w:rPr>
                <w:sz w:val="20"/>
                <w:szCs w:val="20"/>
              </w:rPr>
              <w:t>8.4.1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4DD23" w14:textId="77777777" w:rsidR="00EF1E70" w:rsidRPr="00631382" w:rsidRDefault="00EF1E70" w:rsidP="008F007F">
            <w:pPr>
              <w:rPr>
                <w:sz w:val="20"/>
                <w:szCs w:val="20"/>
              </w:rPr>
            </w:pPr>
            <w:r w:rsidRPr="00631382">
              <w:rPr>
                <w:sz w:val="20"/>
                <w:szCs w:val="20"/>
              </w:rPr>
              <w:t>Authorized operating agencies may in principle forego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39457E4" w14:textId="77777777" w:rsidR="00EF1E70" w:rsidRPr="00631382" w:rsidRDefault="00EF1E70" w:rsidP="008F007F">
            <w:pPr>
              <w:rPr>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0CFC86F2" w14:textId="77777777" w:rsidR="00EF1E70" w:rsidRPr="00631382" w:rsidRDefault="00EF1E70" w:rsidP="008F007F">
            <w:pPr>
              <w:rPr>
                <w:sz w:val="20"/>
                <w:szCs w:val="20"/>
              </w:rPr>
            </w:pPr>
            <w:r w:rsidRPr="00631382">
              <w:rPr>
                <w:sz w:val="20"/>
                <w:szCs w:val="20"/>
              </w:rPr>
              <w:t xml:space="preserve">This provision does not facilitate the development of networks and services as this is an area that is already agreed between operating agencies. It simply says that they can continue to do what they were already doing.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4ED19F78" w14:textId="77777777" w:rsidR="00EF1E70" w:rsidRPr="00631382" w:rsidRDefault="00EF1E70" w:rsidP="008F007F">
            <w:pPr>
              <w:rPr>
                <w:sz w:val="20"/>
                <w:szCs w:val="20"/>
              </w:rPr>
            </w:pPr>
            <w:r w:rsidRPr="00631382">
              <w:rPr>
                <w:sz w:val="20"/>
                <w:szCs w:val="20"/>
              </w:rPr>
              <w:t xml:space="preserve">This provision (and others) assumes that all operating agencies must be authorized, but this may not continue to be the case in the future. </w:t>
            </w:r>
          </w:p>
          <w:p w14:paraId="5ADFA937" w14:textId="77777777" w:rsidR="00EF1E70" w:rsidRPr="00631382" w:rsidRDefault="00EF1E70" w:rsidP="008F007F">
            <w:pPr>
              <w:rPr>
                <w:sz w:val="20"/>
                <w:szCs w:val="20"/>
              </w:rPr>
            </w:pPr>
          </w:p>
          <w:p w14:paraId="516B8F07" w14:textId="77777777" w:rsidR="00EF1E70" w:rsidRPr="00631382" w:rsidRDefault="00EF1E70" w:rsidP="008F007F">
            <w:pPr>
              <w:rPr>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65AD689" w14:textId="77777777" w:rsidR="00EF1E70" w:rsidRPr="00631382" w:rsidRDefault="00EF1E70" w:rsidP="008F007F">
            <w:pPr>
              <w:rPr>
                <w:sz w:val="20"/>
                <w:szCs w:val="20"/>
              </w:rPr>
            </w:pPr>
          </w:p>
        </w:tc>
      </w:tr>
      <w:tr w:rsidR="00EF1E70" w:rsidRPr="00631382" w14:paraId="07E2EEB0" w14:textId="77777777" w:rsidTr="008F007F">
        <w:trPr>
          <w:trHeight w:val="1320"/>
          <w:jc w:val="center"/>
        </w:trPr>
        <w:tc>
          <w:tcPr>
            <w:tcW w:w="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0DCF9" w14:textId="77777777" w:rsidR="00EF1E70" w:rsidRPr="00631382" w:rsidRDefault="00EF1E70" w:rsidP="008F007F">
            <w:pPr>
              <w:jc w:val="center"/>
              <w:rPr>
                <w:sz w:val="20"/>
                <w:szCs w:val="20"/>
              </w:rPr>
            </w:pPr>
            <w:r w:rsidRPr="00631382">
              <w:rPr>
                <w:sz w:val="20"/>
                <w:szCs w:val="20"/>
              </w:rPr>
              <w:t>8.4.2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3A22CF" w14:textId="77777777" w:rsidR="00EF1E70" w:rsidRPr="00631382" w:rsidRDefault="00EF1E70" w:rsidP="008F007F">
            <w:pPr>
              <w:rPr>
                <w:sz w:val="20"/>
                <w:szCs w:val="20"/>
              </w:rPr>
            </w:pPr>
            <w:r w:rsidRPr="00631382">
              <w:rPr>
                <w:sz w:val="20"/>
                <w:szCs w:val="20"/>
              </w:rPr>
              <w:t>The general operational, charging and accounting principles applicable to service telecommunications should take account of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F563DB0" w14:textId="77777777" w:rsidR="00EF1E70" w:rsidRPr="00631382" w:rsidRDefault="00EF1E70" w:rsidP="008F007F">
            <w:pPr>
              <w:rPr>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A893E48" w14:textId="77777777" w:rsidR="00EF1E70" w:rsidRPr="00631382" w:rsidRDefault="00EF1E70" w:rsidP="008F007F">
            <w:pPr>
              <w:rPr>
                <w:sz w:val="20"/>
                <w:szCs w:val="20"/>
              </w:rPr>
            </w:pPr>
            <w:r w:rsidRPr="00631382">
              <w:rPr>
                <w:sz w:val="20"/>
                <w:szCs w:val="20"/>
              </w:rPr>
              <w:t xml:space="preserve">This provision may hinder the development of networks and services as this is an area that is already agreed between operating agencies, so requiring their operations to </w:t>
            </w:r>
            <w:proofErr w:type="gramStart"/>
            <w:r w:rsidRPr="00631382">
              <w:rPr>
                <w:sz w:val="20"/>
                <w:szCs w:val="20"/>
              </w:rPr>
              <w:t>take into account</w:t>
            </w:r>
            <w:proofErr w:type="gramEnd"/>
            <w:r w:rsidRPr="00631382">
              <w:rPr>
                <w:sz w:val="20"/>
                <w:szCs w:val="20"/>
              </w:rPr>
              <w:t xml:space="preserve"> the relevant ITU-T Recommendations adds to their regulatory burden. It is also not </w:t>
            </w:r>
            <w:r w:rsidRPr="00631382">
              <w:rPr>
                <w:sz w:val="20"/>
                <w:szCs w:val="20"/>
              </w:rPr>
              <w:lastRenderedPageBreak/>
              <w:t>clear which ITU-T recommendations are “relevant”.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E275CF1" w14:textId="77777777" w:rsidR="00EF1E70" w:rsidRPr="00631382" w:rsidRDefault="00EF1E70" w:rsidP="008F007F">
            <w:pPr>
              <w:rPr>
                <w:sz w:val="20"/>
                <w:szCs w:val="20"/>
              </w:rPr>
            </w:pPr>
            <w:r w:rsidRPr="00631382">
              <w:rPr>
                <w:sz w:val="20"/>
                <w:szCs w:val="20"/>
              </w:rPr>
              <w:lastRenderedPageBreak/>
              <w:t xml:space="preserve">This is inflexible as although new Recommendations are generated to address emerging issues, it is not clear that outmoded ITU-T Recommendations may be disregarded.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7259571" w14:textId="77777777" w:rsidR="00EF1E70" w:rsidRPr="00631382" w:rsidRDefault="00EF1E70" w:rsidP="008F007F">
            <w:pPr>
              <w:rPr>
                <w:sz w:val="20"/>
                <w:szCs w:val="20"/>
              </w:rPr>
            </w:pPr>
          </w:p>
        </w:tc>
      </w:tr>
    </w:tbl>
    <w:p w14:paraId="67EB18E0" w14:textId="6A14D861" w:rsidR="00AB2815" w:rsidRPr="004A29FF" w:rsidRDefault="00AB2815" w:rsidP="00AB2815">
      <w:pPr>
        <w:spacing w:before="840"/>
        <w:jc w:val="center"/>
        <w:rPr>
          <w:sz w:val="24"/>
          <w:szCs w:val="24"/>
        </w:rPr>
      </w:pPr>
      <w:r w:rsidRPr="004A29FF">
        <w:rPr>
          <w:sz w:val="24"/>
          <w:szCs w:val="24"/>
        </w:rPr>
        <w:t>________________</w:t>
      </w:r>
    </w:p>
    <w:sectPr w:rsidR="00AB2815" w:rsidRPr="004A29FF" w:rsidSect="00035900">
      <w:headerReference w:type="first" r:id="rId15"/>
      <w:footerReference w:type="first" r:id="rId16"/>
      <w:pgSz w:w="16834" w:h="11907" w:orient="landscape" w:code="9"/>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53D6A" w14:textId="77777777" w:rsidR="009F1EDE" w:rsidRDefault="009F1EDE">
      <w:r>
        <w:separator/>
      </w:r>
    </w:p>
  </w:endnote>
  <w:endnote w:type="continuationSeparator" w:id="0">
    <w:p w14:paraId="2B7734BD" w14:textId="77777777" w:rsidR="009F1EDE" w:rsidRDefault="009F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7DE20" w14:textId="56A15A60" w:rsidR="00B04BF2" w:rsidRPr="00B04BF2" w:rsidRDefault="00B04BF2" w:rsidP="00B0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90198" w14:textId="77777777" w:rsidR="009F1EDE" w:rsidRDefault="009F1EDE">
      <w:r>
        <w:t>____________________</w:t>
      </w:r>
    </w:p>
  </w:footnote>
  <w:footnote w:type="continuationSeparator" w:id="0">
    <w:p w14:paraId="06628C0F" w14:textId="77777777" w:rsidR="009F1EDE" w:rsidRDefault="009F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970D" w14:textId="45CE7EB2" w:rsidR="00542BAB" w:rsidRDefault="00542BAB" w:rsidP="003A4012">
    <w:pPr>
      <w:pStyle w:val="Header"/>
      <w:spacing w:after="120"/>
    </w:pPr>
    <w:r>
      <w:fldChar w:fldCharType="begin"/>
    </w:r>
    <w:r>
      <w:instrText xml:space="preserve"> PAGE   \* MERGEFORMAT </w:instrText>
    </w:r>
    <w:r>
      <w:fldChar w:fldCharType="separate"/>
    </w:r>
    <w:r w:rsidR="004E44AA">
      <w:rPr>
        <w:noProof/>
      </w:rPr>
      <w:t>11</w:t>
    </w:r>
    <w:r>
      <w:rPr>
        <w:noProof/>
      </w:rPr>
      <w:fldChar w:fldCharType="end"/>
    </w:r>
    <w:r>
      <w:rPr>
        <w:noProof/>
      </w:rPr>
      <w:br/>
    </w:r>
    <w:r w:rsidR="000854C6">
      <w:rPr>
        <w:noProof/>
      </w:rPr>
      <w:t>EG-ITRs</w:t>
    </w:r>
    <w:r w:rsidR="003A4012">
      <w:rPr>
        <w:noProof/>
      </w:rPr>
      <w:t>-</w:t>
    </w:r>
    <w:r w:rsidR="00B04BF2">
      <w:rPr>
        <w:noProof/>
      </w:rPr>
      <w:t>3</w:t>
    </w:r>
    <w:r w:rsidR="000854C6">
      <w:rPr>
        <w:noProof/>
      </w:rPr>
      <w:t>\</w:t>
    </w:r>
    <w:r w:rsidR="00B04BF2">
      <w:rPr>
        <w:noProof/>
      </w:rPr>
      <w:t>9</w:t>
    </w:r>
    <w:r>
      <w:rPr>
        <w:noProof/>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73648" w14:textId="77777777" w:rsidR="00B04BF2" w:rsidRDefault="00B04BF2" w:rsidP="00B04BF2">
    <w:pPr>
      <w:pStyle w:val="Header"/>
      <w:spacing w:after="120"/>
    </w:pPr>
    <w:r>
      <w:fldChar w:fldCharType="begin"/>
    </w:r>
    <w:r>
      <w:instrText xml:space="preserve"> PAGE   \* MERGEFORMAT </w:instrText>
    </w:r>
    <w:r>
      <w:fldChar w:fldCharType="separate"/>
    </w:r>
    <w:r>
      <w:t>3</w:t>
    </w:r>
    <w:r>
      <w:rPr>
        <w:noProof/>
      </w:rPr>
      <w:fldChar w:fldCharType="end"/>
    </w:r>
    <w:r>
      <w:rPr>
        <w:noProof/>
      </w:rPr>
      <w:br/>
      <w:t>EG-ITRs-3\9-E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4C462DD"/>
    <w:multiLevelType w:val="multilevel"/>
    <w:tmpl w:val="EB408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4"/>
  </w:num>
  <w:num w:numId="5">
    <w:abstractNumId w:val="20"/>
  </w:num>
  <w:num w:numId="6">
    <w:abstractNumId w:val="12"/>
  </w:num>
  <w:num w:numId="7">
    <w:abstractNumId w:val="19"/>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24E14"/>
    <w:rsid w:val="00030247"/>
    <w:rsid w:val="0003420F"/>
    <w:rsid w:val="00035900"/>
    <w:rsid w:val="0005540C"/>
    <w:rsid w:val="00063016"/>
    <w:rsid w:val="00066DF5"/>
    <w:rsid w:val="00076AF6"/>
    <w:rsid w:val="00083635"/>
    <w:rsid w:val="000854C6"/>
    <w:rsid w:val="00085CF2"/>
    <w:rsid w:val="000915E5"/>
    <w:rsid w:val="000B1705"/>
    <w:rsid w:val="000C0529"/>
    <w:rsid w:val="000C2903"/>
    <w:rsid w:val="000C2F74"/>
    <w:rsid w:val="000C37C9"/>
    <w:rsid w:val="000D75B2"/>
    <w:rsid w:val="001121F5"/>
    <w:rsid w:val="00140CE1"/>
    <w:rsid w:val="00143690"/>
    <w:rsid w:val="00144165"/>
    <w:rsid w:val="0016020C"/>
    <w:rsid w:val="00171F42"/>
    <w:rsid w:val="0017539C"/>
    <w:rsid w:val="00175AC2"/>
    <w:rsid w:val="0017609F"/>
    <w:rsid w:val="00195328"/>
    <w:rsid w:val="001C628E"/>
    <w:rsid w:val="001E0F7B"/>
    <w:rsid w:val="001F4FF7"/>
    <w:rsid w:val="002119FD"/>
    <w:rsid w:val="002130E0"/>
    <w:rsid w:val="00221C8F"/>
    <w:rsid w:val="002238C4"/>
    <w:rsid w:val="0025471D"/>
    <w:rsid w:val="00256D0F"/>
    <w:rsid w:val="00257BDE"/>
    <w:rsid w:val="00265875"/>
    <w:rsid w:val="002667C5"/>
    <w:rsid w:val="0027303B"/>
    <w:rsid w:val="0028109B"/>
    <w:rsid w:val="00293DE5"/>
    <w:rsid w:val="00295397"/>
    <w:rsid w:val="002B1870"/>
    <w:rsid w:val="002B1F58"/>
    <w:rsid w:val="002C1C7A"/>
    <w:rsid w:val="002C5285"/>
    <w:rsid w:val="002D1E7F"/>
    <w:rsid w:val="002D494F"/>
    <w:rsid w:val="0030160F"/>
    <w:rsid w:val="0032195E"/>
    <w:rsid w:val="00322D0D"/>
    <w:rsid w:val="00326D48"/>
    <w:rsid w:val="0033276E"/>
    <w:rsid w:val="00337854"/>
    <w:rsid w:val="00337CE2"/>
    <w:rsid w:val="003439CB"/>
    <w:rsid w:val="003662CE"/>
    <w:rsid w:val="003735DF"/>
    <w:rsid w:val="0037461E"/>
    <w:rsid w:val="00375F3C"/>
    <w:rsid w:val="0038108D"/>
    <w:rsid w:val="00384DD6"/>
    <w:rsid w:val="003875B2"/>
    <w:rsid w:val="0039110F"/>
    <w:rsid w:val="003914A7"/>
    <w:rsid w:val="003942D4"/>
    <w:rsid w:val="003958A8"/>
    <w:rsid w:val="003A4012"/>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5D1C"/>
    <w:rsid w:val="004D0B58"/>
    <w:rsid w:val="004D0C40"/>
    <w:rsid w:val="004D1851"/>
    <w:rsid w:val="004D599D"/>
    <w:rsid w:val="004E2EA5"/>
    <w:rsid w:val="004E3AEB"/>
    <w:rsid w:val="004E44AA"/>
    <w:rsid w:val="00500C7D"/>
    <w:rsid w:val="00501014"/>
    <w:rsid w:val="0050223C"/>
    <w:rsid w:val="00513440"/>
    <w:rsid w:val="005243FF"/>
    <w:rsid w:val="00542AE7"/>
    <w:rsid w:val="00542BAB"/>
    <w:rsid w:val="00544CA6"/>
    <w:rsid w:val="005467AE"/>
    <w:rsid w:val="005471D2"/>
    <w:rsid w:val="00564FBC"/>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6DCC"/>
    <w:rsid w:val="006B7318"/>
    <w:rsid w:val="006D3B24"/>
    <w:rsid w:val="006D3B29"/>
    <w:rsid w:val="00733B71"/>
    <w:rsid w:val="00741793"/>
    <w:rsid w:val="0075051B"/>
    <w:rsid w:val="00763E73"/>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44BC2"/>
    <w:rsid w:val="00961B0B"/>
    <w:rsid w:val="00987D95"/>
    <w:rsid w:val="00996E42"/>
    <w:rsid w:val="009A4E24"/>
    <w:rsid w:val="009A56C8"/>
    <w:rsid w:val="009B38C3"/>
    <w:rsid w:val="009C6A0F"/>
    <w:rsid w:val="009D629C"/>
    <w:rsid w:val="009E17BD"/>
    <w:rsid w:val="009F1EDE"/>
    <w:rsid w:val="00A04CEC"/>
    <w:rsid w:val="00A27F92"/>
    <w:rsid w:val="00A30574"/>
    <w:rsid w:val="00A32257"/>
    <w:rsid w:val="00A36066"/>
    <w:rsid w:val="00A36D20"/>
    <w:rsid w:val="00A462B5"/>
    <w:rsid w:val="00A4660A"/>
    <w:rsid w:val="00A54FD8"/>
    <w:rsid w:val="00A550D1"/>
    <w:rsid w:val="00A55622"/>
    <w:rsid w:val="00A56000"/>
    <w:rsid w:val="00A620DA"/>
    <w:rsid w:val="00A83502"/>
    <w:rsid w:val="00AB2815"/>
    <w:rsid w:val="00AB393C"/>
    <w:rsid w:val="00AC393D"/>
    <w:rsid w:val="00AE74B3"/>
    <w:rsid w:val="00AF6E49"/>
    <w:rsid w:val="00B04A67"/>
    <w:rsid w:val="00B04BF2"/>
    <w:rsid w:val="00B0583C"/>
    <w:rsid w:val="00B362D2"/>
    <w:rsid w:val="00B36E39"/>
    <w:rsid w:val="00B40A81"/>
    <w:rsid w:val="00B447F3"/>
    <w:rsid w:val="00B44910"/>
    <w:rsid w:val="00B47B8F"/>
    <w:rsid w:val="00B67CBD"/>
    <w:rsid w:val="00B71F52"/>
    <w:rsid w:val="00B72267"/>
    <w:rsid w:val="00B769F8"/>
    <w:rsid w:val="00B76EB6"/>
    <w:rsid w:val="00B824C8"/>
    <w:rsid w:val="00B85905"/>
    <w:rsid w:val="00BA74C0"/>
    <w:rsid w:val="00BB1653"/>
    <w:rsid w:val="00BC251A"/>
    <w:rsid w:val="00BD032B"/>
    <w:rsid w:val="00BD1E12"/>
    <w:rsid w:val="00BD6810"/>
    <w:rsid w:val="00BE2640"/>
    <w:rsid w:val="00BE30A1"/>
    <w:rsid w:val="00BF27F0"/>
    <w:rsid w:val="00C01189"/>
    <w:rsid w:val="00C03DBE"/>
    <w:rsid w:val="00C10E06"/>
    <w:rsid w:val="00C11946"/>
    <w:rsid w:val="00C374DE"/>
    <w:rsid w:val="00C37D85"/>
    <w:rsid w:val="00C413A2"/>
    <w:rsid w:val="00C47AD4"/>
    <w:rsid w:val="00C52D81"/>
    <w:rsid w:val="00C55198"/>
    <w:rsid w:val="00C664FA"/>
    <w:rsid w:val="00C8040F"/>
    <w:rsid w:val="00CA6393"/>
    <w:rsid w:val="00CB18FF"/>
    <w:rsid w:val="00CC5EF0"/>
    <w:rsid w:val="00CD0C08"/>
    <w:rsid w:val="00CE03FB"/>
    <w:rsid w:val="00CE433C"/>
    <w:rsid w:val="00CF33F3"/>
    <w:rsid w:val="00D00FA2"/>
    <w:rsid w:val="00D0338D"/>
    <w:rsid w:val="00D06183"/>
    <w:rsid w:val="00D22C42"/>
    <w:rsid w:val="00D3608E"/>
    <w:rsid w:val="00D65041"/>
    <w:rsid w:val="00D84E2B"/>
    <w:rsid w:val="00D9148E"/>
    <w:rsid w:val="00D945E6"/>
    <w:rsid w:val="00DA51F3"/>
    <w:rsid w:val="00DE2B20"/>
    <w:rsid w:val="00DF0F5D"/>
    <w:rsid w:val="00E00F7D"/>
    <w:rsid w:val="00E10E80"/>
    <w:rsid w:val="00E124F0"/>
    <w:rsid w:val="00E378C5"/>
    <w:rsid w:val="00E60F04"/>
    <w:rsid w:val="00E8113B"/>
    <w:rsid w:val="00E9013A"/>
    <w:rsid w:val="00EA48F9"/>
    <w:rsid w:val="00EB0D6F"/>
    <w:rsid w:val="00EB2232"/>
    <w:rsid w:val="00EB52A2"/>
    <w:rsid w:val="00EC1A42"/>
    <w:rsid w:val="00EC5337"/>
    <w:rsid w:val="00EE2A3B"/>
    <w:rsid w:val="00EF1E70"/>
    <w:rsid w:val="00F2150A"/>
    <w:rsid w:val="00F231D8"/>
    <w:rsid w:val="00F44ED7"/>
    <w:rsid w:val="00F46C5F"/>
    <w:rsid w:val="00F54A63"/>
    <w:rsid w:val="00F56D59"/>
    <w:rsid w:val="00F70098"/>
    <w:rsid w:val="00F856EC"/>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BF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B04B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4BF2"/>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t/opb/reg/T-REG-ACT-1988-PDF-E.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38E92-ADCF-44AC-BEB5-18E81D262A9A}">
  <ds:schemaRefs>
    <ds:schemaRef ds:uri="http://schemas.openxmlformats.org/officeDocument/2006/bibliography"/>
  </ds:schemaRefs>
</ds:datastoreItem>
</file>

<file path=customXml/itemProps2.xml><?xml version="1.0" encoding="utf-8"?>
<ds:datastoreItem xmlns:ds="http://schemas.openxmlformats.org/officeDocument/2006/customXml" ds:itemID="{734FD361-57E9-4D14-9E91-2CAEBE4DDB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0B736-356C-4BED-8811-AD6E31395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2288</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16092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Janin, Patricia</cp:lastModifiedBy>
  <cp:revision>2</cp:revision>
  <cp:lastPrinted>2000-07-18T13:30:00Z</cp:lastPrinted>
  <dcterms:created xsi:type="dcterms:W3CDTF">2020-09-04T06:03:00Z</dcterms:created>
  <dcterms:modified xsi:type="dcterms:W3CDTF">2020-09-04T06:03:00Z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