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E07523" w14:paraId="558EFCB4" w14:textId="77777777" w:rsidTr="00BF08C1">
        <w:trPr>
          <w:cantSplit/>
        </w:trPr>
        <w:tc>
          <w:tcPr>
            <w:tcW w:w="6911" w:type="dxa"/>
          </w:tcPr>
          <w:p w14:paraId="3BAFD7C4" w14:textId="743165D9" w:rsidR="00205911" w:rsidRPr="00BB146D" w:rsidRDefault="00205911" w:rsidP="00413BFD">
            <w:pPr>
              <w:spacing w:before="360"/>
              <w:rPr>
                <w:rFonts w:ascii="Calibri" w:eastAsia="SimSun" w:hAnsi="Calibri" w:cs="Calibri"/>
                <w:position w:val="6"/>
                <w:sz w:val="26"/>
                <w:szCs w:val="26"/>
                <w:lang w:eastAsia="zh-CN"/>
              </w:rPr>
            </w:pPr>
            <w:r w:rsidRPr="00BB146D">
              <w:rPr>
                <w:rFonts w:ascii="Calibri" w:eastAsia="SimSun" w:hAnsi="Calibri" w:cs="Calibri"/>
                <w:b/>
                <w:bCs/>
                <w:sz w:val="26"/>
                <w:szCs w:val="26"/>
                <w:lang w:val="en-US" w:eastAsia="zh-CN"/>
              </w:rPr>
              <w:t>《国际电信规则》专家组（</w:t>
            </w:r>
            <w:r w:rsidRPr="00BB146D">
              <w:rPr>
                <w:rFonts w:ascii="Calibri" w:eastAsia="SimSun" w:hAnsi="Calibri" w:cs="Calibri"/>
                <w:b/>
                <w:bCs/>
                <w:sz w:val="26"/>
                <w:szCs w:val="26"/>
                <w:lang w:val="en-US" w:eastAsia="zh-CN"/>
              </w:rPr>
              <w:t>EG</w:t>
            </w:r>
            <w:r w:rsidR="00216864" w:rsidRPr="00BB146D">
              <w:rPr>
                <w:rFonts w:ascii="Calibri" w:eastAsia="SimSun" w:hAnsi="Calibri" w:cs="Calibri" w:hint="eastAsia"/>
                <w:b/>
                <w:bCs/>
                <w:sz w:val="26"/>
                <w:szCs w:val="26"/>
                <w:lang w:val="en-US" w:eastAsia="zh-CN"/>
              </w:rPr>
              <w:t>-</w:t>
            </w:r>
            <w:r w:rsidRPr="00BB146D">
              <w:rPr>
                <w:rFonts w:ascii="Calibri" w:eastAsia="SimSun" w:hAnsi="Calibri" w:cs="Calibri"/>
                <w:b/>
                <w:bCs/>
                <w:sz w:val="26"/>
                <w:szCs w:val="26"/>
                <w:lang w:val="en-US" w:eastAsia="zh-CN"/>
              </w:rPr>
              <w:t>ITR</w:t>
            </w:r>
            <w:r w:rsidR="004E2BB6" w:rsidRPr="00BB146D">
              <w:rPr>
                <w:rFonts w:ascii="Calibri" w:eastAsia="SimSun" w:hAnsi="Calibri" w:cs="Calibri"/>
                <w:b/>
                <w:bCs/>
                <w:sz w:val="26"/>
                <w:szCs w:val="26"/>
                <w:lang w:val="en-US" w:eastAsia="zh-CN"/>
              </w:rPr>
              <w:t>s</w:t>
            </w:r>
            <w:r w:rsidRPr="00BB146D">
              <w:rPr>
                <w:rFonts w:ascii="Calibri" w:eastAsia="SimSun" w:hAnsi="Calibri" w:cs="Calibri"/>
                <w:b/>
                <w:bCs/>
                <w:sz w:val="26"/>
                <w:szCs w:val="26"/>
                <w:lang w:val="en-US" w:eastAsia="zh-CN"/>
              </w:rPr>
              <w:t>）</w:t>
            </w:r>
          </w:p>
        </w:tc>
        <w:tc>
          <w:tcPr>
            <w:tcW w:w="3120" w:type="dxa"/>
          </w:tcPr>
          <w:p w14:paraId="63F55371" w14:textId="03EB8A35" w:rsidR="00205911" w:rsidRPr="00E07523" w:rsidRDefault="001154D3" w:rsidP="001154D3">
            <w:pPr>
              <w:spacing w:before="0"/>
              <w:rPr>
                <w:rFonts w:ascii="Calibri" w:eastAsia="SimSun" w:hAnsi="Calibri" w:cs="Calibri"/>
              </w:rPr>
            </w:pPr>
            <w:bookmarkStart w:id="0" w:name="ditulogo"/>
            <w:bookmarkEnd w:id="0"/>
            <w:r w:rsidRPr="00E07523">
              <w:rPr>
                <w:rFonts w:ascii="Calibri" w:hAnsi="Calibri" w:cs="Calibri"/>
                <w:noProof/>
                <w:lang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E07523" w14:paraId="4A479DBA" w14:textId="77777777" w:rsidTr="00BF08C1">
        <w:trPr>
          <w:cantSplit/>
        </w:trPr>
        <w:tc>
          <w:tcPr>
            <w:tcW w:w="6911" w:type="dxa"/>
            <w:tcBorders>
              <w:bottom w:val="single" w:sz="12" w:space="0" w:color="auto"/>
            </w:tcBorders>
          </w:tcPr>
          <w:p w14:paraId="69815962" w14:textId="1B036946" w:rsidR="00205911" w:rsidRPr="00E07523" w:rsidRDefault="00205911" w:rsidP="00413BFD">
            <w:pPr>
              <w:spacing w:before="0" w:after="100" w:afterAutospacing="1"/>
              <w:rPr>
                <w:rFonts w:ascii="Calibri" w:eastAsia="SimSun" w:hAnsi="Calibri" w:cs="Calibri"/>
                <w:b/>
                <w:smallCaps/>
                <w:szCs w:val="24"/>
                <w:lang w:eastAsia="zh-CN"/>
              </w:rPr>
            </w:pPr>
            <w:r w:rsidRPr="00E07523">
              <w:rPr>
                <w:rFonts w:ascii="Calibri" w:eastAsia="SimSun" w:hAnsi="Calibri" w:cs="Calibri"/>
                <w:b/>
                <w:smallCaps/>
                <w:szCs w:val="24"/>
                <w:lang w:eastAsia="zh-CN"/>
              </w:rPr>
              <w:t>第</w:t>
            </w:r>
            <w:r w:rsidR="00EF0A70" w:rsidRPr="00E07523">
              <w:rPr>
                <w:rFonts w:ascii="Calibri" w:eastAsia="SimSun" w:hAnsi="Calibri" w:cs="Calibri"/>
                <w:b/>
                <w:smallCaps/>
                <w:szCs w:val="24"/>
                <w:lang w:eastAsia="zh-CN"/>
              </w:rPr>
              <w:t>三</w:t>
            </w:r>
            <w:r w:rsidRPr="00E07523">
              <w:rPr>
                <w:rFonts w:ascii="Calibri" w:eastAsia="SimSun" w:hAnsi="Calibri" w:cs="Calibri"/>
                <w:b/>
                <w:smallCaps/>
                <w:szCs w:val="24"/>
                <w:lang w:eastAsia="zh-CN"/>
              </w:rPr>
              <w:t>次会议</w:t>
            </w:r>
            <w:r w:rsidRPr="00E07523">
              <w:rPr>
                <w:rFonts w:ascii="Calibri" w:eastAsia="SimSun" w:hAnsi="Calibri" w:cs="Calibri"/>
                <w:b/>
                <w:smallCaps/>
                <w:szCs w:val="24"/>
                <w:lang w:eastAsia="zh-CN"/>
              </w:rPr>
              <w:t xml:space="preserve"> – </w:t>
            </w:r>
            <w:r w:rsidR="00B6677E" w:rsidRPr="00E07523">
              <w:rPr>
                <w:rFonts w:ascii="Calibri" w:eastAsia="SimSun" w:hAnsi="Calibri" w:cs="Calibri"/>
                <w:b/>
                <w:bCs/>
                <w:smallCaps/>
                <w:szCs w:val="24"/>
                <w:lang w:val="en-US" w:eastAsia="zh-CN"/>
              </w:rPr>
              <w:t>虚拟会议</w:t>
            </w:r>
            <w:r w:rsidR="00B6677E" w:rsidRPr="00E07523">
              <w:rPr>
                <w:rFonts w:ascii="Calibri" w:eastAsia="SimSun" w:hAnsi="Calibri" w:cs="Calibri"/>
                <w:b/>
                <w:smallCaps/>
                <w:szCs w:val="24"/>
                <w:lang w:eastAsia="zh-CN"/>
              </w:rPr>
              <w:t>，</w:t>
            </w:r>
            <w:r w:rsidRPr="00E07523">
              <w:rPr>
                <w:rFonts w:ascii="Calibri" w:eastAsia="SimSun" w:hAnsi="Calibri" w:cs="Calibri"/>
                <w:b/>
                <w:smallCaps/>
                <w:szCs w:val="24"/>
                <w:lang w:eastAsia="zh-CN"/>
              </w:rPr>
              <w:t>20</w:t>
            </w:r>
            <w:r w:rsidR="00EF0A70" w:rsidRPr="00E07523">
              <w:rPr>
                <w:rFonts w:ascii="Calibri" w:eastAsia="SimSun" w:hAnsi="Calibri" w:cs="Calibri"/>
                <w:b/>
                <w:smallCaps/>
                <w:szCs w:val="24"/>
                <w:lang w:eastAsia="zh-CN"/>
              </w:rPr>
              <w:t>20</w:t>
            </w:r>
            <w:r w:rsidRPr="00E07523">
              <w:rPr>
                <w:rFonts w:ascii="Calibri" w:eastAsia="SimSun" w:hAnsi="Calibri" w:cs="Calibri"/>
                <w:b/>
                <w:smallCaps/>
                <w:szCs w:val="24"/>
                <w:lang w:eastAsia="zh-CN"/>
              </w:rPr>
              <w:t>年</w:t>
            </w:r>
            <w:r w:rsidR="00CC5DAD" w:rsidRPr="00E07523">
              <w:rPr>
                <w:rFonts w:ascii="Calibri" w:eastAsia="SimSun" w:hAnsi="Calibri" w:cs="Calibri"/>
                <w:b/>
                <w:smallCaps/>
                <w:szCs w:val="24"/>
                <w:lang w:eastAsia="zh-CN"/>
              </w:rPr>
              <w:t>9</w:t>
            </w:r>
            <w:r w:rsidRPr="00E07523">
              <w:rPr>
                <w:rFonts w:ascii="Calibri" w:eastAsia="SimSun" w:hAnsi="Calibri" w:cs="Calibri"/>
                <w:b/>
                <w:smallCaps/>
                <w:szCs w:val="24"/>
                <w:lang w:eastAsia="zh-CN"/>
              </w:rPr>
              <w:t>月</w:t>
            </w:r>
            <w:r w:rsidRPr="00E07523">
              <w:rPr>
                <w:rFonts w:ascii="Calibri" w:eastAsia="SimSun" w:hAnsi="Calibri" w:cs="Calibri"/>
                <w:b/>
                <w:smallCaps/>
                <w:szCs w:val="24"/>
                <w:lang w:eastAsia="zh-CN"/>
              </w:rPr>
              <w:t>1</w:t>
            </w:r>
            <w:r w:rsidR="00EF0A70" w:rsidRPr="00E07523">
              <w:rPr>
                <w:rFonts w:ascii="Calibri" w:eastAsia="SimSun" w:hAnsi="Calibri" w:cs="Calibri"/>
                <w:b/>
                <w:smallCaps/>
                <w:szCs w:val="24"/>
                <w:lang w:eastAsia="zh-CN"/>
              </w:rPr>
              <w:t>7</w:t>
            </w:r>
            <w:r w:rsidRPr="00E07523">
              <w:rPr>
                <w:rFonts w:ascii="Calibri" w:eastAsia="SimSun" w:hAnsi="Calibri" w:cs="Calibri"/>
                <w:b/>
                <w:smallCaps/>
                <w:szCs w:val="24"/>
                <w:lang w:eastAsia="zh-CN"/>
              </w:rPr>
              <w:t>-1</w:t>
            </w:r>
            <w:r w:rsidR="00EF0A70" w:rsidRPr="00E07523">
              <w:rPr>
                <w:rFonts w:ascii="Calibri" w:eastAsia="SimSun" w:hAnsi="Calibri" w:cs="Calibri"/>
                <w:b/>
                <w:smallCaps/>
                <w:szCs w:val="24"/>
                <w:lang w:eastAsia="zh-CN"/>
              </w:rPr>
              <w:t>8</w:t>
            </w:r>
            <w:r w:rsidRPr="00E07523">
              <w:rPr>
                <w:rFonts w:ascii="Calibri" w:eastAsia="SimSun" w:hAnsi="Calibri" w:cs="Calibri"/>
                <w:b/>
                <w:smallCaps/>
                <w:szCs w:val="24"/>
                <w:lang w:eastAsia="zh-CN"/>
              </w:rPr>
              <w:t>日</w:t>
            </w:r>
          </w:p>
        </w:tc>
        <w:tc>
          <w:tcPr>
            <w:tcW w:w="3120" w:type="dxa"/>
            <w:tcBorders>
              <w:bottom w:val="single" w:sz="12" w:space="0" w:color="auto"/>
            </w:tcBorders>
          </w:tcPr>
          <w:p w14:paraId="224EF632" w14:textId="77777777" w:rsidR="00205911" w:rsidRPr="00E07523" w:rsidRDefault="00205911" w:rsidP="00205911">
            <w:pPr>
              <w:spacing w:before="0"/>
              <w:rPr>
                <w:rFonts w:ascii="Calibri" w:eastAsia="SimSun" w:hAnsi="Calibri" w:cs="Calibri"/>
                <w:szCs w:val="24"/>
                <w:lang w:eastAsia="zh-CN"/>
              </w:rPr>
            </w:pPr>
          </w:p>
        </w:tc>
      </w:tr>
      <w:tr w:rsidR="00205911" w:rsidRPr="00E07523" w14:paraId="32020FED" w14:textId="77777777" w:rsidTr="00BF08C1">
        <w:trPr>
          <w:cantSplit/>
        </w:trPr>
        <w:tc>
          <w:tcPr>
            <w:tcW w:w="6911" w:type="dxa"/>
            <w:tcBorders>
              <w:top w:val="single" w:sz="12" w:space="0" w:color="auto"/>
            </w:tcBorders>
          </w:tcPr>
          <w:p w14:paraId="387ABFF0" w14:textId="77777777" w:rsidR="00205911" w:rsidRPr="00E07523" w:rsidRDefault="00205911" w:rsidP="00205911">
            <w:pPr>
              <w:spacing w:before="0" w:after="48"/>
              <w:rPr>
                <w:rFonts w:ascii="Calibri" w:eastAsia="SimSun" w:hAnsi="Calibri" w:cs="Calibri"/>
                <w:b/>
                <w:smallCaps/>
                <w:szCs w:val="24"/>
                <w:lang w:eastAsia="zh-CN"/>
              </w:rPr>
            </w:pPr>
          </w:p>
        </w:tc>
        <w:tc>
          <w:tcPr>
            <w:tcW w:w="3120" w:type="dxa"/>
            <w:tcBorders>
              <w:top w:val="single" w:sz="12" w:space="0" w:color="auto"/>
            </w:tcBorders>
          </w:tcPr>
          <w:p w14:paraId="58222C15" w14:textId="77777777" w:rsidR="00205911" w:rsidRPr="00E07523" w:rsidRDefault="00205911" w:rsidP="00205911">
            <w:pPr>
              <w:spacing w:before="0"/>
              <w:rPr>
                <w:rFonts w:ascii="Calibri" w:eastAsia="SimSun" w:hAnsi="Calibri" w:cs="Calibri"/>
                <w:szCs w:val="24"/>
                <w:lang w:eastAsia="zh-CN"/>
              </w:rPr>
            </w:pPr>
          </w:p>
        </w:tc>
      </w:tr>
      <w:tr w:rsidR="00205911" w:rsidRPr="00E07523" w14:paraId="44F66C4D" w14:textId="77777777" w:rsidTr="00BF08C1">
        <w:trPr>
          <w:cantSplit/>
          <w:trHeight w:val="23"/>
        </w:trPr>
        <w:tc>
          <w:tcPr>
            <w:tcW w:w="6911" w:type="dxa"/>
            <w:vMerge w:val="restart"/>
          </w:tcPr>
          <w:p w14:paraId="1429B8F6" w14:textId="77777777" w:rsidR="00205911" w:rsidRPr="00E07523" w:rsidRDefault="00205911" w:rsidP="00205911">
            <w:pPr>
              <w:tabs>
                <w:tab w:val="left" w:pos="851"/>
              </w:tabs>
              <w:rPr>
                <w:rFonts w:ascii="Calibri" w:eastAsia="SimSun" w:hAnsi="Calibri" w:cs="Calibri"/>
                <w:b/>
                <w:szCs w:val="24"/>
                <w:lang w:eastAsia="zh-CN"/>
              </w:rPr>
            </w:pPr>
            <w:bookmarkStart w:id="1" w:name="dmeeting" w:colFirst="0" w:colLast="0"/>
          </w:p>
        </w:tc>
        <w:tc>
          <w:tcPr>
            <w:tcW w:w="3120" w:type="dxa"/>
          </w:tcPr>
          <w:p w14:paraId="1FA9823F" w14:textId="34109CB6" w:rsidR="00205911" w:rsidRPr="00E07523" w:rsidRDefault="00205911" w:rsidP="00486526">
            <w:pPr>
              <w:tabs>
                <w:tab w:val="left" w:pos="851"/>
              </w:tabs>
              <w:spacing w:before="0"/>
              <w:rPr>
                <w:rFonts w:ascii="Calibri" w:hAnsi="Calibri" w:cs="Calibri"/>
                <w:b/>
                <w:bCs/>
                <w:lang w:eastAsia="zh-CN"/>
              </w:rPr>
            </w:pPr>
            <w:r w:rsidRPr="00E07523">
              <w:rPr>
                <w:rFonts w:ascii="Calibri" w:eastAsia="SimSun" w:hAnsi="Calibri" w:cs="Calibri"/>
                <w:b/>
                <w:bCs/>
                <w:szCs w:val="24"/>
                <w:lang w:val="fr-CH" w:eastAsia="zh-CN"/>
              </w:rPr>
              <w:t>文件</w:t>
            </w:r>
            <w:r w:rsidR="00E1694D" w:rsidRPr="00E07523">
              <w:rPr>
                <w:rFonts w:ascii="Calibri" w:eastAsia="SimSun" w:hAnsi="Calibri" w:cs="Calibri"/>
                <w:b/>
                <w:bCs/>
                <w:szCs w:val="24"/>
                <w:lang w:eastAsia="zh-CN"/>
              </w:rPr>
              <w:t xml:space="preserve"> </w:t>
            </w:r>
            <w:r w:rsidR="00EF0A70" w:rsidRPr="00E07523">
              <w:rPr>
                <w:rFonts w:ascii="Calibri" w:hAnsi="Calibri" w:cs="Calibri"/>
                <w:b/>
                <w:lang w:val="en-US"/>
              </w:rPr>
              <w:t>EG-ITRs-</w:t>
            </w:r>
            <w:r w:rsidR="006A5EBB" w:rsidRPr="00E07523">
              <w:rPr>
                <w:rFonts w:ascii="Calibri" w:eastAsia="Calibri" w:hAnsi="Calibri" w:cs="Calibri"/>
                <w:b/>
                <w:bCs/>
                <w:color w:val="000000"/>
                <w:szCs w:val="24"/>
                <w:lang w:eastAsia="zh-CN"/>
              </w:rPr>
              <w:t>3</w:t>
            </w:r>
            <w:r w:rsidR="00EF0A70" w:rsidRPr="00E07523">
              <w:rPr>
                <w:rFonts w:ascii="Calibri" w:hAnsi="Calibri" w:cs="Calibri"/>
                <w:b/>
                <w:lang w:val="en-US"/>
              </w:rPr>
              <w:t>/</w:t>
            </w:r>
            <w:r w:rsidR="00AA5C97" w:rsidRPr="00E07523">
              <w:rPr>
                <w:rFonts w:ascii="Calibri" w:hAnsi="Calibri" w:cs="Calibri"/>
                <w:b/>
                <w:lang w:val="en-US" w:eastAsia="zh-CN"/>
              </w:rPr>
              <w:t>11</w:t>
            </w:r>
            <w:r w:rsidR="00FD687B" w:rsidRPr="00E07523">
              <w:rPr>
                <w:rFonts w:ascii="Calibri" w:eastAsia="Calibri" w:hAnsi="Calibri" w:cs="Calibri"/>
                <w:b/>
                <w:bCs/>
                <w:color w:val="000000"/>
                <w:szCs w:val="24"/>
                <w:lang w:val="en-US" w:eastAsia="zh-CN"/>
              </w:rPr>
              <w:t>-C</w:t>
            </w:r>
          </w:p>
        </w:tc>
      </w:tr>
      <w:bookmarkEnd w:id="1"/>
      <w:tr w:rsidR="00205911" w:rsidRPr="00E07523" w14:paraId="30CF0122" w14:textId="77777777" w:rsidTr="00BF08C1">
        <w:trPr>
          <w:cantSplit/>
          <w:trHeight w:val="23"/>
        </w:trPr>
        <w:tc>
          <w:tcPr>
            <w:tcW w:w="6911" w:type="dxa"/>
            <w:vMerge/>
          </w:tcPr>
          <w:p w14:paraId="3CA58F67" w14:textId="77777777" w:rsidR="00205911" w:rsidRPr="00E07523" w:rsidRDefault="00205911" w:rsidP="00205911">
            <w:pPr>
              <w:tabs>
                <w:tab w:val="left" w:pos="851"/>
              </w:tabs>
              <w:rPr>
                <w:rFonts w:ascii="Calibri" w:eastAsia="SimSun" w:hAnsi="Calibri" w:cs="Calibri"/>
                <w:b/>
                <w:lang w:eastAsia="zh-CN"/>
              </w:rPr>
            </w:pPr>
          </w:p>
        </w:tc>
        <w:tc>
          <w:tcPr>
            <w:tcW w:w="3120" w:type="dxa"/>
          </w:tcPr>
          <w:p w14:paraId="367B3C8F" w14:textId="714E18F2" w:rsidR="00205911" w:rsidRPr="00E07523" w:rsidRDefault="00205911" w:rsidP="00205911">
            <w:pPr>
              <w:tabs>
                <w:tab w:val="left" w:pos="993"/>
              </w:tabs>
              <w:spacing w:before="0"/>
              <w:rPr>
                <w:rFonts w:ascii="Calibri" w:eastAsia="SimSun" w:hAnsi="Calibri" w:cs="Calibri"/>
                <w:b/>
                <w:bCs/>
                <w:szCs w:val="24"/>
                <w:lang w:eastAsia="zh-CN"/>
              </w:rPr>
            </w:pPr>
            <w:r w:rsidRPr="00E07523">
              <w:rPr>
                <w:rFonts w:ascii="Calibri" w:eastAsia="SimSun" w:hAnsi="Calibri" w:cs="Calibri"/>
                <w:b/>
                <w:bCs/>
                <w:szCs w:val="24"/>
                <w:lang w:eastAsia="zh-CN"/>
              </w:rPr>
              <w:t>20</w:t>
            </w:r>
            <w:r w:rsidR="00EF0A70" w:rsidRPr="00E07523">
              <w:rPr>
                <w:rFonts w:ascii="Calibri" w:eastAsia="SimSun" w:hAnsi="Calibri" w:cs="Calibri"/>
                <w:b/>
                <w:bCs/>
                <w:szCs w:val="24"/>
                <w:lang w:eastAsia="zh-CN"/>
              </w:rPr>
              <w:t>20</w:t>
            </w:r>
            <w:r w:rsidRPr="00E07523">
              <w:rPr>
                <w:rFonts w:ascii="Calibri" w:eastAsia="SimSun" w:hAnsi="Calibri" w:cs="Calibri"/>
                <w:b/>
                <w:bCs/>
                <w:szCs w:val="24"/>
                <w:lang w:eastAsia="zh-CN"/>
              </w:rPr>
              <w:t>年</w:t>
            </w:r>
            <w:r w:rsidR="00B55639" w:rsidRPr="00E07523">
              <w:rPr>
                <w:rFonts w:ascii="Calibri" w:eastAsia="SimSun" w:hAnsi="Calibri" w:cs="Calibri"/>
                <w:b/>
                <w:bCs/>
                <w:szCs w:val="24"/>
                <w:lang w:eastAsia="zh-CN"/>
              </w:rPr>
              <w:t>9</w:t>
            </w:r>
            <w:r w:rsidRPr="00E07523">
              <w:rPr>
                <w:rFonts w:ascii="Calibri" w:eastAsia="SimSun" w:hAnsi="Calibri" w:cs="Calibri"/>
                <w:b/>
                <w:bCs/>
                <w:szCs w:val="24"/>
                <w:lang w:eastAsia="zh-CN"/>
              </w:rPr>
              <w:t>月</w:t>
            </w:r>
            <w:r w:rsidR="00AA5C97" w:rsidRPr="00E07523">
              <w:rPr>
                <w:rFonts w:ascii="Calibri" w:eastAsia="SimSun" w:hAnsi="Calibri" w:cs="Calibri"/>
                <w:b/>
                <w:bCs/>
                <w:szCs w:val="24"/>
                <w:lang w:eastAsia="zh-CN"/>
              </w:rPr>
              <w:t>7</w:t>
            </w:r>
            <w:r w:rsidRPr="00E07523">
              <w:rPr>
                <w:rFonts w:ascii="Calibri" w:eastAsia="SimSun" w:hAnsi="Calibri" w:cs="Calibri"/>
                <w:b/>
                <w:bCs/>
                <w:szCs w:val="24"/>
                <w:lang w:eastAsia="zh-CN"/>
              </w:rPr>
              <w:t>日</w:t>
            </w:r>
          </w:p>
        </w:tc>
      </w:tr>
      <w:tr w:rsidR="00205911" w:rsidRPr="00E07523" w14:paraId="23F26C0F" w14:textId="77777777" w:rsidTr="00BF08C1">
        <w:trPr>
          <w:cantSplit/>
          <w:trHeight w:val="23"/>
        </w:trPr>
        <w:tc>
          <w:tcPr>
            <w:tcW w:w="6911" w:type="dxa"/>
            <w:vMerge/>
          </w:tcPr>
          <w:p w14:paraId="106B3E43" w14:textId="77777777" w:rsidR="00205911" w:rsidRPr="00E07523" w:rsidRDefault="00205911" w:rsidP="00205911">
            <w:pPr>
              <w:tabs>
                <w:tab w:val="left" w:pos="851"/>
              </w:tabs>
              <w:rPr>
                <w:rFonts w:ascii="Calibri" w:eastAsia="SimSun" w:hAnsi="Calibri" w:cs="Calibri"/>
                <w:b/>
                <w:lang w:eastAsia="zh-CN"/>
              </w:rPr>
            </w:pPr>
          </w:p>
        </w:tc>
        <w:tc>
          <w:tcPr>
            <w:tcW w:w="3120" w:type="dxa"/>
          </w:tcPr>
          <w:p w14:paraId="7D4039B2" w14:textId="77777777" w:rsidR="00205911" w:rsidRPr="00E07523" w:rsidRDefault="00205911" w:rsidP="00205911">
            <w:pPr>
              <w:tabs>
                <w:tab w:val="left" w:pos="993"/>
              </w:tabs>
              <w:spacing w:before="0"/>
              <w:rPr>
                <w:rFonts w:ascii="Calibri" w:eastAsia="SimSun" w:hAnsi="Calibri" w:cs="Calibri"/>
                <w:b/>
                <w:bCs/>
                <w:szCs w:val="24"/>
                <w:lang w:eastAsia="zh-CN"/>
              </w:rPr>
            </w:pPr>
            <w:r w:rsidRPr="00E07523">
              <w:rPr>
                <w:rFonts w:ascii="Calibri" w:eastAsia="SimSun" w:hAnsi="Calibri" w:cs="Calibri"/>
                <w:b/>
                <w:bCs/>
                <w:szCs w:val="24"/>
                <w:lang w:eastAsia="zh-CN"/>
              </w:rPr>
              <w:t>原文：英文</w:t>
            </w:r>
          </w:p>
        </w:tc>
      </w:tr>
    </w:tbl>
    <w:p w14:paraId="71716B2D" w14:textId="00A437BE" w:rsidR="00755EEC" w:rsidRPr="00E07523" w:rsidRDefault="00505720" w:rsidP="000539B8">
      <w:pPr>
        <w:spacing w:before="600"/>
        <w:jc w:val="center"/>
        <w:rPr>
          <w:rFonts w:ascii="Calibri" w:eastAsia="SimSun" w:hAnsi="Calibri" w:cs="Calibri"/>
          <w:b/>
          <w:bCs/>
          <w:color w:val="000000"/>
          <w:sz w:val="28"/>
          <w:szCs w:val="28"/>
          <w:lang w:eastAsia="zh-CN"/>
        </w:rPr>
      </w:pPr>
      <w:r w:rsidRPr="00E07523">
        <w:rPr>
          <w:rFonts w:ascii="Calibri" w:eastAsia="SimSun" w:hAnsi="Calibri" w:cs="Calibri" w:hint="eastAsia"/>
          <w:b/>
          <w:bCs/>
          <w:color w:val="000000"/>
          <w:sz w:val="28"/>
          <w:szCs w:val="28"/>
          <w:lang w:eastAsia="zh-CN"/>
        </w:rPr>
        <w:t>荷兰</w:t>
      </w:r>
    </w:p>
    <w:p w14:paraId="039E0A34" w14:textId="7DC85006" w:rsidR="00FD687B" w:rsidRPr="00E07523" w:rsidRDefault="00AA5C97" w:rsidP="002E3248">
      <w:pPr>
        <w:jc w:val="center"/>
        <w:rPr>
          <w:rFonts w:ascii="Calibri" w:hAnsi="Calibri" w:cs="Calibri"/>
          <w:sz w:val="28"/>
          <w:szCs w:val="28"/>
          <w:lang w:eastAsia="zh-CN"/>
        </w:rPr>
      </w:pPr>
      <w:r w:rsidRPr="00E07523">
        <w:rPr>
          <w:rFonts w:ascii="Calibri" w:hAnsi="Calibri" w:cs="Calibri" w:hint="eastAsia"/>
          <w:sz w:val="28"/>
          <w:szCs w:val="28"/>
          <w:lang w:eastAsia="zh-CN"/>
        </w:rPr>
        <w:t>《国际电信规则》的逐条审查</w:t>
      </w:r>
    </w:p>
    <w:p w14:paraId="1C582393" w14:textId="65C716A8" w:rsidR="000B7069" w:rsidRPr="00BB146D" w:rsidRDefault="00324E20" w:rsidP="002E3248">
      <w:pPr>
        <w:pStyle w:val="Headingb"/>
        <w:spacing w:before="600"/>
        <w:rPr>
          <w:rFonts w:ascii="Calibri" w:hAnsi="Calibri" w:cs="Calibri"/>
          <w:lang w:eastAsia="zh-CN"/>
        </w:rPr>
      </w:pPr>
      <w:r w:rsidRPr="00BB146D">
        <w:rPr>
          <w:rFonts w:ascii="Calibri" w:hAnsi="Calibri" w:cs="Calibri"/>
          <w:lang w:eastAsia="zh-CN"/>
        </w:rPr>
        <w:t>引言</w:t>
      </w:r>
    </w:p>
    <w:p w14:paraId="7C5990BF" w14:textId="78CBD240" w:rsidR="000B7069" w:rsidRPr="00BB146D" w:rsidRDefault="00982ED4" w:rsidP="00CD0F3C">
      <w:pPr>
        <w:spacing w:after="120"/>
        <w:ind w:firstLineChars="200" w:firstLine="480"/>
        <w:jc w:val="both"/>
        <w:rPr>
          <w:rFonts w:ascii="Calibri" w:hAnsi="Calibri" w:cs="Calibri"/>
          <w:szCs w:val="24"/>
          <w:lang w:eastAsia="zh-CN"/>
        </w:rPr>
      </w:pPr>
      <w:r w:rsidRPr="00BB146D">
        <w:rPr>
          <w:rFonts w:ascii="Calibri" w:hAnsi="Calibri" w:cs="Calibri"/>
          <w:szCs w:val="24"/>
          <w:lang w:eastAsia="zh-CN"/>
        </w:rPr>
        <w:t>荷兰很高兴根据</w:t>
      </w:r>
      <w:r w:rsidRPr="00BB146D">
        <w:rPr>
          <w:rFonts w:ascii="Calibri" w:hAnsi="Calibri" w:cs="Calibri"/>
          <w:lang w:val="en-US" w:eastAsia="zh-CN"/>
        </w:rPr>
        <w:t>《国际电信规则》专家组</w:t>
      </w:r>
      <w:r w:rsidRPr="00BB146D">
        <w:rPr>
          <w:rFonts w:ascii="Calibri" w:hAnsi="Calibri" w:cs="Calibri"/>
          <w:szCs w:val="24"/>
          <w:lang w:eastAsia="zh-CN"/>
        </w:rPr>
        <w:t>第三次会议规定的职责范围和议程草案，向</w:t>
      </w:r>
      <w:r w:rsidRPr="00BB146D">
        <w:rPr>
          <w:rFonts w:ascii="Calibri" w:hAnsi="Calibri" w:cs="Calibri"/>
          <w:lang w:val="en-US" w:eastAsia="zh-CN"/>
        </w:rPr>
        <w:t>《国际电信规则》专家组</w:t>
      </w:r>
      <w:r w:rsidRPr="00BB146D">
        <w:rPr>
          <w:rFonts w:ascii="Calibri" w:hAnsi="Calibri" w:cs="Calibri"/>
          <w:szCs w:val="24"/>
          <w:lang w:eastAsia="zh-CN"/>
        </w:rPr>
        <w:t>提出该国对</w:t>
      </w:r>
      <w:r w:rsidRPr="00BB146D">
        <w:rPr>
          <w:rFonts w:ascii="Calibri" w:hAnsi="Calibri" w:cs="Calibri"/>
          <w:lang w:val="en-US" w:eastAsia="zh-CN"/>
        </w:rPr>
        <w:t>《国际电信规则》第</w:t>
      </w:r>
      <w:r w:rsidRPr="00BB146D">
        <w:rPr>
          <w:rFonts w:ascii="Calibri" w:hAnsi="Calibri" w:cs="Calibri"/>
          <w:lang w:val="en-US" w:eastAsia="zh-CN"/>
        </w:rPr>
        <w:t>5</w:t>
      </w:r>
      <w:r w:rsidRPr="00BB146D">
        <w:rPr>
          <w:rFonts w:ascii="Calibri" w:hAnsi="Calibri" w:cs="Calibri"/>
          <w:lang w:val="en-US" w:eastAsia="zh-CN"/>
        </w:rPr>
        <w:t>条至第</w:t>
      </w:r>
      <w:r w:rsidRPr="00BB146D">
        <w:rPr>
          <w:rFonts w:ascii="Calibri" w:hAnsi="Calibri" w:cs="Calibri"/>
          <w:lang w:val="en-US" w:eastAsia="zh-CN"/>
        </w:rPr>
        <w:t>8</w:t>
      </w:r>
      <w:r w:rsidRPr="00BB146D">
        <w:rPr>
          <w:rFonts w:ascii="Calibri" w:hAnsi="Calibri" w:cs="Calibri"/>
          <w:lang w:val="en-US" w:eastAsia="zh-CN"/>
        </w:rPr>
        <w:t>条和附录</w:t>
      </w:r>
      <w:r w:rsidRPr="00BB146D">
        <w:rPr>
          <w:rFonts w:ascii="Calibri" w:hAnsi="Calibri" w:cs="Calibri"/>
          <w:lang w:val="en-US" w:eastAsia="zh-CN"/>
        </w:rPr>
        <w:t>1</w:t>
      </w:r>
      <w:r w:rsidRPr="00BB146D">
        <w:rPr>
          <w:rFonts w:ascii="Calibri" w:hAnsi="Calibri" w:cs="Calibri"/>
          <w:lang w:val="en-US" w:eastAsia="zh-CN"/>
        </w:rPr>
        <w:t>的</w:t>
      </w:r>
      <w:r w:rsidRPr="00BB146D">
        <w:rPr>
          <w:rFonts w:ascii="Calibri" w:hAnsi="Calibri" w:cs="Calibri"/>
          <w:szCs w:val="24"/>
          <w:lang w:eastAsia="zh-CN"/>
        </w:rPr>
        <w:t>看法。</w:t>
      </w:r>
    </w:p>
    <w:p w14:paraId="1312E122" w14:textId="6BE3CC6C" w:rsidR="000B7069" w:rsidRPr="00BB146D" w:rsidRDefault="00634645" w:rsidP="00216864">
      <w:pPr>
        <w:pStyle w:val="Headingb"/>
        <w:spacing w:before="360"/>
        <w:rPr>
          <w:rFonts w:ascii="Calibri" w:hAnsi="Calibri" w:cs="Calibri"/>
          <w:lang w:eastAsia="zh-CN"/>
        </w:rPr>
      </w:pPr>
      <w:r w:rsidRPr="00BB146D">
        <w:rPr>
          <w:rFonts w:ascii="Calibri" w:hAnsi="Calibri" w:cs="Calibri"/>
          <w:lang w:eastAsia="zh-CN"/>
        </w:rPr>
        <w:t>讨论</w:t>
      </w:r>
    </w:p>
    <w:p w14:paraId="29A0E46A" w14:textId="79CFE0C7" w:rsidR="00AA5C97" w:rsidRPr="00BB146D" w:rsidRDefault="00982ED4" w:rsidP="00AA5C97">
      <w:pPr>
        <w:spacing w:after="120"/>
        <w:ind w:firstLineChars="200" w:firstLine="480"/>
        <w:jc w:val="both"/>
        <w:rPr>
          <w:rFonts w:ascii="Calibri" w:hAnsi="Calibri" w:cs="Calibri"/>
          <w:szCs w:val="24"/>
          <w:lang w:eastAsia="zh-CN"/>
        </w:rPr>
      </w:pPr>
      <w:r w:rsidRPr="00BB146D">
        <w:rPr>
          <w:rFonts w:ascii="Calibri" w:hAnsi="Calibri" w:cs="Calibri"/>
          <w:lang w:val="en-US" w:eastAsia="zh-CN"/>
        </w:rPr>
        <w:t>在各运营商自行制定国内外流量和业务规划并对其加以预测的情况下，</w:t>
      </w:r>
      <w:r w:rsidR="001A1320" w:rsidRPr="00BB146D">
        <w:rPr>
          <w:rFonts w:ascii="Calibri" w:hAnsi="Calibri" w:cs="Calibri"/>
          <w:lang w:val="en-US" w:eastAsia="zh-CN"/>
        </w:rPr>
        <w:t>我们认为</w:t>
      </w:r>
      <w:r w:rsidRPr="00BB146D">
        <w:rPr>
          <w:rFonts w:ascii="Calibri" w:hAnsi="Calibri" w:cs="Calibri"/>
          <w:lang w:val="en-US" w:eastAsia="zh-CN"/>
        </w:rPr>
        <w:t>2012</w:t>
      </w:r>
      <w:r w:rsidRPr="00BB146D">
        <w:rPr>
          <w:rFonts w:ascii="Calibri" w:hAnsi="Calibri" w:cs="Calibri"/>
          <w:lang w:val="en-US" w:eastAsia="zh-CN"/>
        </w:rPr>
        <w:t>年《国际电信规则》无法为竞争性的市场提供支持。《国际电信规则》在这方面</w:t>
      </w:r>
      <w:r w:rsidR="00E852C4" w:rsidRPr="00BB146D">
        <w:rPr>
          <w:rFonts w:ascii="Calibri" w:hAnsi="Calibri" w:cs="Calibri"/>
          <w:lang w:val="en-US" w:eastAsia="zh-CN"/>
        </w:rPr>
        <w:t>亦</w:t>
      </w:r>
      <w:r w:rsidR="001A1320" w:rsidRPr="00BB146D">
        <w:rPr>
          <w:rFonts w:ascii="Calibri" w:hAnsi="Calibri" w:cs="Calibri"/>
          <w:lang w:val="en-US" w:eastAsia="zh-CN"/>
        </w:rPr>
        <w:t>与</w:t>
      </w:r>
      <w:r w:rsidRPr="00BB146D">
        <w:rPr>
          <w:rFonts w:ascii="Calibri" w:hAnsi="Calibri" w:cs="Calibri"/>
          <w:lang w:val="en-US" w:eastAsia="zh-CN"/>
        </w:rPr>
        <w:t>不断演进</w:t>
      </w:r>
      <w:r w:rsidR="00C74D1A" w:rsidRPr="00BB146D">
        <w:rPr>
          <w:rFonts w:ascii="Calibri" w:hAnsi="Calibri" w:cs="Calibri"/>
          <w:lang w:val="en-US" w:eastAsia="zh-CN"/>
        </w:rPr>
        <w:t>的</w:t>
      </w:r>
      <w:r w:rsidR="001A1320" w:rsidRPr="00BB146D">
        <w:rPr>
          <w:rFonts w:ascii="Calibri" w:hAnsi="Calibri" w:cs="Calibri"/>
          <w:lang w:val="en-US" w:eastAsia="zh-CN"/>
        </w:rPr>
        <w:t>竞争性市场和监管环境以及持续的技术进步格格不入。</w:t>
      </w:r>
      <w:r w:rsidR="00C74D1A" w:rsidRPr="00BB146D">
        <w:rPr>
          <w:rFonts w:ascii="Calibri" w:hAnsi="Calibri" w:cs="Calibri"/>
          <w:lang w:val="en-US" w:eastAsia="zh-CN"/>
        </w:rPr>
        <w:t>为适应这些发展修订</w:t>
      </w:r>
      <w:r w:rsidR="00C74D1A" w:rsidRPr="00BB146D">
        <w:rPr>
          <w:rFonts w:ascii="Calibri" w:hAnsi="Calibri" w:cs="Calibri"/>
          <w:lang w:val="en-US" w:eastAsia="zh-CN"/>
        </w:rPr>
        <w:t>2012</w:t>
      </w:r>
      <w:r w:rsidR="00C74D1A" w:rsidRPr="00BB146D">
        <w:rPr>
          <w:rFonts w:ascii="Calibri" w:hAnsi="Calibri" w:cs="Calibri"/>
          <w:lang w:val="en-US" w:eastAsia="zh-CN"/>
        </w:rPr>
        <w:t>年《国际电信规则》不仅不会为发展提供支持，反而会造成限制。</w:t>
      </w:r>
    </w:p>
    <w:p w14:paraId="1C677A52" w14:textId="13344F82" w:rsidR="00AA5C97" w:rsidRPr="00BB146D" w:rsidRDefault="0067093C" w:rsidP="00AA5C97">
      <w:pPr>
        <w:spacing w:after="120"/>
        <w:ind w:firstLineChars="200" w:firstLine="480"/>
        <w:jc w:val="both"/>
        <w:rPr>
          <w:rFonts w:ascii="Calibri" w:hAnsi="Calibri" w:cs="Calibri"/>
          <w:lang w:val="en-US" w:eastAsia="zh-CN"/>
        </w:rPr>
      </w:pPr>
      <w:r w:rsidRPr="00BB146D">
        <w:rPr>
          <w:rFonts w:ascii="Calibri" w:hAnsi="Calibri" w:cs="Calibri"/>
          <w:lang w:val="en-US" w:eastAsia="zh-CN"/>
        </w:rPr>
        <w:t>电信</w:t>
      </w:r>
      <w:r w:rsidRPr="00BB146D">
        <w:rPr>
          <w:rFonts w:ascii="Calibri" w:hAnsi="Calibri" w:cs="Calibri"/>
          <w:lang w:val="en-US" w:eastAsia="zh-CN"/>
        </w:rPr>
        <w:t>/ICT</w:t>
      </w:r>
      <w:r w:rsidRPr="00BB146D">
        <w:rPr>
          <w:rFonts w:ascii="Calibri" w:hAnsi="Calibri" w:cs="Calibri"/>
          <w:lang w:val="en-US" w:eastAsia="zh-CN"/>
        </w:rPr>
        <w:t>行业发生了翻天覆地的变化。</w:t>
      </w:r>
      <w:r w:rsidR="001A1320" w:rsidRPr="00BB146D">
        <w:rPr>
          <w:rFonts w:ascii="Calibri" w:hAnsi="Calibri" w:cs="Calibri"/>
          <w:lang w:val="en-US" w:eastAsia="zh-CN"/>
        </w:rPr>
        <w:t>有些条款虽有良好的初衷</w:t>
      </w:r>
      <w:r w:rsidR="00F2576B" w:rsidRPr="00BB146D">
        <w:rPr>
          <w:rFonts w:ascii="Calibri" w:hAnsi="Calibri" w:cs="Calibri"/>
          <w:lang w:val="en-US" w:eastAsia="zh-CN"/>
        </w:rPr>
        <w:t>且在电信环境垄断的时代发挥</w:t>
      </w:r>
      <w:r w:rsidR="00E852C4" w:rsidRPr="00BB146D">
        <w:rPr>
          <w:rFonts w:ascii="Calibri" w:hAnsi="Calibri" w:cs="Calibri"/>
          <w:lang w:val="en-US" w:eastAsia="zh-CN"/>
        </w:rPr>
        <w:t>了</w:t>
      </w:r>
      <w:r w:rsidR="00F2576B" w:rsidRPr="00BB146D">
        <w:rPr>
          <w:rFonts w:ascii="Calibri" w:hAnsi="Calibri" w:cs="Calibri"/>
          <w:lang w:val="en-US" w:eastAsia="zh-CN"/>
        </w:rPr>
        <w:t>作用，</w:t>
      </w:r>
      <w:r w:rsidR="001A1320" w:rsidRPr="00BB146D">
        <w:rPr>
          <w:rFonts w:ascii="Calibri" w:hAnsi="Calibri" w:cs="Calibri"/>
          <w:lang w:val="en-US" w:eastAsia="zh-CN"/>
        </w:rPr>
        <w:t>但</w:t>
      </w:r>
      <w:r w:rsidR="00F2576B" w:rsidRPr="00BB146D">
        <w:rPr>
          <w:rFonts w:ascii="Calibri" w:hAnsi="Calibri" w:cs="Calibri"/>
          <w:lang w:val="en-US" w:eastAsia="zh-CN"/>
        </w:rPr>
        <w:t>作为公约的条款</w:t>
      </w:r>
      <w:r w:rsidR="001A1320" w:rsidRPr="00BB146D">
        <w:rPr>
          <w:rFonts w:ascii="Calibri" w:hAnsi="Calibri" w:cs="Calibri"/>
          <w:lang w:val="en-US" w:eastAsia="zh-CN"/>
        </w:rPr>
        <w:t>，无法适应不断变化的市场环境，如果严格执行，可能</w:t>
      </w:r>
      <w:r w:rsidR="00F2576B" w:rsidRPr="00BB146D">
        <w:rPr>
          <w:rFonts w:ascii="Calibri" w:hAnsi="Calibri" w:cs="Calibri"/>
          <w:lang w:val="en-US" w:eastAsia="zh-CN"/>
        </w:rPr>
        <w:t>有</w:t>
      </w:r>
      <w:r w:rsidR="001A1320" w:rsidRPr="00BB146D">
        <w:rPr>
          <w:rFonts w:ascii="Calibri" w:hAnsi="Calibri" w:cs="Calibri"/>
          <w:lang w:val="en-US" w:eastAsia="zh-CN"/>
        </w:rPr>
        <w:t>碍推出对提高</w:t>
      </w:r>
      <w:r w:rsidR="00F2576B" w:rsidRPr="00BB146D">
        <w:rPr>
          <w:rFonts w:ascii="Calibri" w:hAnsi="Calibri" w:cs="Calibri"/>
          <w:lang w:val="en-US" w:eastAsia="zh-CN"/>
        </w:rPr>
        <w:t>负担</w:t>
      </w:r>
      <w:r w:rsidR="001A1320" w:rsidRPr="00BB146D">
        <w:rPr>
          <w:rFonts w:ascii="Calibri" w:hAnsi="Calibri" w:cs="Calibri"/>
          <w:lang w:val="en-US" w:eastAsia="zh-CN"/>
        </w:rPr>
        <w:t>能力和消费者选择至关重要的新服务。</w:t>
      </w:r>
    </w:p>
    <w:p w14:paraId="15A1E598" w14:textId="1DF432BB" w:rsidR="000B7069" w:rsidRPr="00BB146D" w:rsidRDefault="001A1320" w:rsidP="00AA5C97">
      <w:pPr>
        <w:spacing w:after="120"/>
        <w:ind w:firstLineChars="200" w:firstLine="480"/>
        <w:jc w:val="both"/>
        <w:rPr>
          <w:rFonts w:ascii="Calibri" w:hAnsi="Calibri" w:cs="Calibri"/>
          <w:lang w:val="en-US" w:eastAsia="zh-CN"/>
        </w:rPr>
      </w:pPr>
      <w:r w:rsidRPr="00BB146D">
        <w:rPr>
          <w:rFonts w:ascii="Calibri" w:hAnsi="Calibri" w:cs="Calibri"/>
          <w:lang w:val="en-US" w:eastAsia="zh-CN"/>
        </w:rPr>
        <w:t>我们认为，世界各国体验到的电信</w:t>
      </w:r>
      <w:r w:rsidRPr="00BB146D">
        <w:rPr>
          <w:rFonts w:ascii="Calibri" w:hAnsi="Calibri" w:cs="Calibri"/>
          <w:lang w:val="en-US" w:eastAsia="zh-CN"/>
        </w:rPr>
        <w:t>/</w:t>
      </w:r>
      <w:r w:rsidRPr="00BB146D">
        <w:rPr>
          <w:rFonts w:ascii="Calibri" w:hAnsi="Calibri" w:cs="Calibri"/>
          <w:lang w:val="en-US" w:eastAsia="zh-CN"/>
        </w:rPr>
        <w:t>信通技术效益</w:t>
      </w:r>
      <w:r w:rsidR="00F2576B" w:rsidRPr="00BB146D">
        <w:rPr>
          <w:rFonts w:ascii="Calibri" w:hAnsi="Calibri" w:cs="Calibri"/>
          <w:lang w:val="en-US" w:eastAsia="zh-CN"/>
        </w:rPr>
        <w:t>并非仅基于</w:t>
      </w:r>
      <w:r w:rsidR="00F2576B" w:rsidRPr="00BB146D">
        <w:rPr>
          <w:rFonts w:ascii="Calibri" w:hAnsi="Calibri" w:cs="Calibri"/>
          <w:lang w:val="en-US" w:eastAsia="zh-CN"/>
        </w:rPr>
        <w:t>2012</w:t>
      </w:r>
      <w:r w:rsidR="00F2576B" w:rsidRPr="00BB146D">
        <w:rPr>
          <w:rFonts w:ascii="Calibri" w:hAnsi="Calibri" w:cs="Calibri"/>
          <w:lang w:val="en-US" w:eastAsia="zh-CN"/>
        </w:rPr>
        <w:t>年的《国际电信规则》，而是在过去这些年间愈发依赖开放和蓬勃发展的电信市场。</w:t>
      </w:r>
    </w:p>
    <w:p w14:paraId="7EF1C5FE" w14:textId="203D8316" w:rsidR="000B7069" w:rsidRPr="00BB146D" w:rsidRDefault="0067093C" w:rsidP="00216864">
      <w:pPr>
        <w:pStyle w:val="Headingb"/>
        <w:spacing w:before="360"/>
        <w:rPr>
          <w:rFonts w:ascii="Calibri" w:hAnsi="Calibri" w:cs="Calibri"/>
          <w:lang w:eastAsia="zh-CN"/>
        </w:rPr>
      </w:pPr>
      <w:r w:rsidRPr="00BB146D">
        <w:rPr>
          <w:rFonts w:ascii="Calibri" w:hAnsi="Calibri" w:cs="Calibri"/>
          <w:lang w:eastAsia="zh-CN"/>
        </w:rPr>
        <w:t>总结</w:t>
      </w:r>
    </w:p>
    <w:p w14:paraId="5ECFB0F7" w14:textId="6CD0E6FB" w:rsidR="00AA5C97" w:rsidRPr="00BB146D" w:rsidRDefault="0067093C" w:rsidP="0067093C">
      <w:pPr>
        <w:spacing w:after="120"/>
        <w:ind w:firstLineChars="200" w:firstLine="480"/>
        <w:rPr>
          <w:rFonts w:ascii="Calibri" w:hAnsi="Calibri" w:cs="Calibri"/>
          <w:szCs w:val="24"/>
          <w:lang w:val="en-US" w:eastAsia="zh-CN"/>
        </w:rPr>
      </w:pPr>
      <w:r w:rsidRPr="00BB146D">
        <w:rPr>
          <w:rFonts w:ascii="Calibri" w:hAnsi="Calibri" w:cs="Calibri"/>
          <w:szCs w:val="24"/>
          <w:lang w:eastAsia="zh-CN"/>
        </w:rPr>
        <w:t>鉴于通信市场灵活多变、充满竞争且电信</w:t>
      </w:r>
      <w:r w:rsidRPr="00BB146D">
        <w:rPr>
          <w:rFonts w:ascii="Calibri" w:hAnsi="Calibri" w:cs="Calibri"/>
          <w:szCs w:val="24"/>
          <w:lang w:eastAsia="zh-CN"/>
        </w:rPr>
        <w:t>/ICT</w:t>
      </w:r>
      <w:r w:rsidRPr="00BB146D">
        <w:rPr>
          <w:rFonts w:ascii="Calibri" w:hAnsi="Calibri" w:cs="Calibri"/>
          <w:szCs w:val="24"/>
          <w:lang w:eastAsia="zh-CN"/>
        </w:rPr>
        <w:t>行业在日益融入更广泛的数字经济之中，因此目前不清楚像《国际电信规则》这样不灵活的条约文书如何能够在促进国际电信市场的未来增长和繁荣方面发挥积极作用。</w:t>
      </w:r>
    </w:p>
    <w:p w14:paraId="1C458FF2" w14:textId="4DEAFEE6" w:rsidR="000B7069" w:rsidRPr="00E07523" w:rsidRDefault="0067093C" w:rsidP="00AA5C97">
      <w:pPr>
        <w:spacing w:after="120"/>
        <w:ind w:firstLineChars="200" w:firstLine="480"/>
        <w:jc w:val="both"/>
        <w:rPr>
          <w:rFonts w:ascii="Calibri" w:hAnsi="Calibri" w:cs="Calibri"/>
          <w:sz w:val="22"/>
          <w:szCs w:val="22"/>
          <w:lang w:eastAsia="zh-CN"/>
        </w:rPr>
      </w:pPr>
      <w:r w:rsidRPr="00BB146D">
        <w:rPr>
          <w:rFonts w:ascii="Calibri" w:hAnsi="Calibri" w:cs="Calibri"/>
          <w:szCs w:val="24"/>
          <w:lang w:val="en-US" w:eastAsia="zh-CN"/>
        </w:rPr>
        <w:t>我们不认为条约层面的新规定将有助于任何国家营造一个吸引投资的有利环境</w:t>
      </w:r>
      <w:r w:rsidR="00C74D1A" w:rsidRPr="00BB146D">
        <w:rPr>
          <w:rFonts w:ascii="Calibri" w:hAnsi="Calibri" w:cs="Calibri"/>
          <w:szCs w:val="24"/>
          <w:lang w:val="en-US" w:eastAsia="zh-CN"/>
        </w:rPr>
        <w:t>并消除</w:t>
      </w:r>
      <w:r w:rsidR="00E852C4" w:rsidRPr="00BB146D">
        <w:rPr>
          <w:rFonts w:ascii="Calibri" w:hAnsi="Calibri" w:cs="Calibri"/>
          <w:szCs w:val="24"/>
          <w:lang w:val="en-US" w:eastAsia="zh-CN"/>
        </w:rPr>
        <w:t>仍然存在的</w:t>
      </w:r>
      <w:r w:rsidR="00C74D1A" w:rsidRPr="00BB146D">
        <w:rPr>
          <w:rFonts w:ascii="Calibri" w:hAnsi="Calibri" w:cs="Calibri"/>
          <w:szCs w:val="24"/>
          <w:lang w:val="en-US" w:eastAsia="zh-CN"/>
        </w:rPr>
        <w:t>数字鸿沟</w:t>
      </w:r>
      <w:r w:rsidRPr="00BB146D">
        <w:rPr>
          <w:rFonts w:ascii="Calibri" w:hAnsi="Calibri" w:cs="Calibri"/>
          <w:szCs w:val="24"/>
          <w:lang w:val="en-US" w:eastAsia="zh-CN"/>
        </w:rPr>
        <w:t>。</w:t>
      </w:r>
    </w:p>
    <w:p w14:paraId="58C1A2CB" w14:textId="77777777" w:rsidR="00AA5C97" w:rsidRPr="00E07523" w:rsidRDefault="00AA5C97" w:rsidP="00411C49">
      <w:pPr>
        <w:pStyle w:val="Reasons"/>
        <w:rPr>
          <w:rFonts w:ascii="Calibri" w:hAnsi="Calibri" w:cs="Calibri"/>
          <w:lang w:eastAsia="zh-CN"/>
        </w:rPr>
        <w:sectPr w:rsidR="00AA5C97" w:rsidRPr="00E07523" w:rsidSect="0045696A">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14:paraId="11DE97FD" w14:textId="77777777" w:rsidR="00AA5C97" w:rsidRPr="00E07523" w:rsidRDefault="00AA5C97" w:rsidP="00AA5C97">
      <w:pPr>
        <w:rPr>
          <w:szCs w:val="24"/>
          <w:lang w:val="en-US" w:eastAsia="zh-CN"/>
        </w:rPr>
      </w:pPr>
    </w:p>
    <w:tbl>
      <w:tblPr>
        <w:tblW w:w="14317" w:type="dxa"/>
        <w:jc w:val="center"/>
        <w:tblBorders>
          <w:top w:val="nil"/>
          <w:left w:val="nil"/>
          <w:bottom w:val="nil"/>
          <w:right w:val="nil"/>
          <w:insideH w:val="nil"/>
          <w:insideV w:val="nil"/>
        </w:tblBorders>
        <w:tblLayout w:type="fixed"/>
        <w:tblLook w:val="0600" w:firstRow="0" w:lastRow="0" w:firstColumn="0" w:lastColumn="0" w:noHBand="1" w:noVBand="1"/>
      </w:tblPr>
      <w:tblGrid>
        <w:gridCol w:w="1124"/>
        <w:gridCol w:w="2703"/>
        <w:gridCol w:w="2963"/>
        <w:gridCol w:w="2991"/>
        <w:gridCol w:w="3118"/>
        <w:gridCol w:w="1418"/>
      </w:tblGrid>
      <w:tr w:rsidR="00AA5C97" w:rsidRPr="00E07523" w14:paraId="49640DD7" w14:textId="77777777" w:rsidTr="000E3457">
        <w:trPr>
          <w:cantSplit/>
          <w:trHeight w:val="1134"/>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2379820E" w14:textId="3F1C7E57" w:rsidR="00AA5C97" w:rsidRPr="00BB146D" w:rsidRDefault="00AA5C97" w:rsidP="00AA5C97">
            <w:pPr>
              <w:jc w:val="center"/>
              <w:rPr>
                <w:rFonts w:ascii="Calibri" w:hAnsi="Calibri" w:cs="Calibri"/>
                <w:b/>
                <w:sz w:val="20"/>
              </w:rPr>
            </w:pPr>
            <w:r w:rsidRPr="00BB146D">
              <w:rPr>
                <w:rFonts w:ascii="Calibri" w:hAnsi="Calibri" w:cs="Calibri"/>
                <w:b/>
                <w:sz w:val="22"/>
                <w:szCs w:val="22"/>
              </w:rPr>
              <w:t>2012</w:t>
            </w:r>
            <w:r w:rsidRPr="00BB146D">
              <w:rPr>
                <w:rFonts w:ascii="Calibri" w:hAnsi="Calibri" w:cs="Calibri"/>
                <w:b/>
                <w:sz w:val="22"/>
                <w:szCs w:val="22"/>
                <w:lang w:eastAsia="zh-CN"/>
              </w:rPr>
              <w:t>年</w:t>
            </w:r>
            <w:r w:rsidRPr="00BB146D">
              <w:rPr>
                <w:rFonts w:ascii="Calibri" w:hAnsi="Calibri" w:cs="Calibri"/>
                <w:b/>
                <w:sz w:val="22"/>
                <w:szCs w:val="22"/>
              </w:rPr>
              <w:t>版条款</w:t>
            </w:r>
          </w:p>
        </w:tc>
        <w:tc>
          <w:tcPr>
            <w:tcW w:w="2703"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077F0EF5" w14:textId="6431C55C" w:rsidR="00AA5C97" w:rsidRPr="00BB146D" w:rsidRDefault="00AA5C97" w:rsidP="00AA5C97">
            <w:pPr>
              <w:jc w:val="center"/>
              <w:rPr>
                <w:rFonts w:ascii="Calibri" w:hAnsi="Calibri" w:cs="Calibri"/>
                <w:b/>
                <w:sz w:val="20"/>
              </w:rPr>
            </w:pPr>
            <w:r w:rsidRPr="00BB146D">
              <w:rPr>
                <w:rFonts w:ascii="Calibri" w:hAnsi="Calibri" w:cs="Calibri"/>
                <w:b/>
                <w:sz w:val="22"/>
                <w:szCs w:val="22"/>
              </w:rPr>
              <w:t>分条款</w:t>
            </w:r>
          </w:p>
        </w:tc>
        <w:tc>
          <w:tcPr>
            <w:tcW w:w="2963"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306D8580" w14:textId="4ECAE55F" w:rsidR="00AA5C97" w:rsidRPr="00BB146D" w:rsidRDefault="00AA5C97" w:rsidP="00AA5C97">
            <w:pPr>
              <w:jc w:val="center"/>
              <w:rPr>
                <w:rFonts w:ascii="Calibri" w:hAnsi="Calibri" w:cs="Calibri"/>
                <w:b/>
                <w:sz w:val="20"/>
                <w:lang w:val="en-US"/>
              </w:rPr>
            </w:pPr>
            <w:r w:rsidRPr="00BB146D">
              <w:rPr>
                <w:rFonts w:ascii="Calibri" w:hAnsi="Calibri" w:cs="Calibri"/>
                <w:b/>
                <w:sz w:val="22"/>
                <w:szCs w:val="22"/>
              </w:rPr>
              <w:t>相关的</w:t>
            </w:r>
            <w:r w:rsidRPr="00BB146D">
              <w:rPr>
                <w:rFonts w:ascii="Calibri" w:hAnsi="Calibri" w:cs="Calibri"/>
                <w:b/>
                <w:sz w:val="22"/>
                <w:szCs w:val="22"/>
              </w:rPr>
              <w:t>1988</w:t>
            </w:r>
            <w:r w:rsidRPr="00BB146D">
              <w:rPr>
                <w:rFonts w:ascii="Calibri" w:hAnsi="Calibri" w:cs="Calibri"/>
                <w:b/>
                <w:sz w:val="22"/>
                <w:szCs w:val="22"/>
              </w:rPr>
              <w:t>年版分条款</w:t>
            </w:r>
          </w:p>
        </w:tc>
        <w:tc>
          <w:tcPr>
            <w:tcW w:w="2991"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74A757B0" w14:textId="7D399561" w:rsidR="00AA5C97" w:rsidRPr="00BB146D" w:rsidRDefault="00AA5C97" w:rsidP="00AA5C97">
            <w:pPr>
              <w:spacing w:before="60" w:after="60"/>
              <w:jc w:val="center"/>
              <w:rPr>
                <w:rFonts w:ascii="Calibri" w:hAnsi="Calibri" w:cs="Calibri"/>
                <w:b/>
                <w:sz w:val="20"/>
                <w:lang w:val="en-US" w:eastAsia="zh-CN"/>
              </w:rPr>
            </w:pPr>
            <w:r w:rsidRPr="00BB146D">
              <w:rPr>
                <w:rFonts w:ascii="Calibri" w:hAnsi="Calibri" w:cs="Calibri"/>
                <w:b/>
                <w:sz w:val="22"/>
                <w:szCs w:val="22"/>
                <w:lang w:eastAsia="zh-CN"/>
              </w:rPr>
              <w:t>在促进网络和业务提供与</w:t>
            </w:r>
            <w:r w:rsidR="000E3457" w:rsidRPr="00BB146D">
              <w:rPr>
                <w:rFonts w:ascii="Calibri" w:hAnsi="Calibri" w:cs="Calibri"/>
                <w:b/>
                <w:sz w:val="22"/>
                <w:szCs w:val="22"/>
                <w:lang w:eastAsia="zh-CN"/>
              </w:rPr>
              <w:br/>
            </w:r>
            <w:r w:rsidRPr="00BB146D">
              <w:rPr>
                <w:rFonts w:ascii="Calibri" w:hAnsi="Calibri" w:cs="Calibri"/>
                <w:b/>
                <w:sz w:val="22"/>
                <w:szCs w:val="22"/>
                <w:lang w:eastAsia="zh-CN"/>
              </w:rPr>
              <w:t>发展中的适用性</w:t>
            </w:r>
          </w:p>
        </w:tc>
        <w:tc>
          <w:tcPr>
            <w:tcW w:w="3118"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52DBF31F" w14:textId="090215F1" w:rsidR="00AA5C97" w:rsidRPr="00BB146D" w:rsidRDefault="00AA5C97" w:rsidP="00AA5C97">
            <w:pPr>
              <w:jc w:val="center"/>
              <w:rPr>
                <w:rFonts w:ascii="Calibri" w:hAnsi="Calibri" w:cs="Calibri"/>
                <w:b/>
                <w:sz w:val="20"/>
                <w:lang w:val="en-US" w:eastAsia="zh-CN"/>
              </w:rPr>
            </w:pPr>
            <w:r w:rsidRPr="00BB146D">
              <w:rPr>
                <w:rFonts w:ascii="Calibri" w:hAnsi="Calibri" w:cs="Calibri"/>
                <w:b/>
                <w:sz w:val="22"/>
                <w:szCs w:val="22"/>
                <w:lang w:eastAsia="zh-CN"/>
              </w:rPr>
              <w:t>适应新趋势和正在出现</w:t>
            </w:r>
            <w:r w:rsidR="000E3457" w:rsidRPr="00BB146D">
              <w:rPr>
                <w:rFonts w:ascii="Calibri" w:hAnsi="Calibri" w:cs="Calibri"/>
                <w:b/>
                <w:sz w:val="22"/>
                <w:szCs w:val="22"/>
                <w:lang w:eastAsia="zh-CN"/>
              </w:rPr>
              <w:br/>
            </w:r>
            <w:r w:rsidRPr="00BB146D">
              <w:rPr>
                <w:rFonts w:ascii="Calibri" w:hAnsi="Calibri" w:cs="Calibri"/>
                <w:b/>
                <w:sz w:val="22"/>
                <w:szCs w:val="22"/>
                <w:lang w:eastAsia="zh-CN"/>
              </w:rPr>
              <w:t>问题的灵活性</w:t>
            </w:r>
          </w:p>
        </w:tc>
        <w:tc>
          <w:tcPr>
            <w:tcW w:w="1418"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5B0AD396" w14:textId="7B69B3F3" w:rsidR="00AA5C97" w:rsidRPr="00BB146D" w:rsidRDefault="00AA5C97" w:rsidP="00AA5C97">
            <w:pPr>
              <w:jc w:val="center"/>
              <w:rPr>
                <w:rFonts w:ascii="Calibri" w:hAnsi="Calibri" w:cs="Calibri"/>
                <w:b/>
                <w:sz w:val="20"/>
              </w:rPr>
            </w:pPr>
            <w:r w:rsidRPr="00BB146D">
              <w:rPr>
                <w:rFonts w:ascii="Calibri" w:hAnsi="Calibri" w:cs="Calibri"/>
                <w:b/>
                <w:sz w:val="22"/>
                <w:szCs w:val="22"/>
              </w:rPr>
              <w:t>成果摘要</w:t>
            </w:r>
          </w:p>
        </w:tc>
      </w:tr>
      <w:tr w:rsidR="00AA5C97" w:rsidRPr="00E07523" w14:paraId="6D52DE62" w14:textId="77777777" w:rsidTr="000E3457">
        <w:trPr>
          <w:cantSplit/>
          <w:trHeight w:val="540"/>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1E73BD9C" w14:textId="77777777" w:rsidR="00AA5C97" w:rsidRPr="00BB146D" w:rsidRDefault="00AA5C97" w:rsidP="00FB62CB">
            <w:pPr>
              <w:jc w:val="center"/>
              <w:rPr>
                <w:rFonts w:ascii="Calibri" w:hAnsi="Calibri" w:cs="Calibri"/>
                <w:b/>
                <w:sz w:val="20"/>
              </w:rPr>
            </w:pPr>
          </w:p>
        </w:tc>
        <w:tc>
          <w:tcPr>
            <w:tcW w:w="270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93DCE9B" w14:textId="1D7DC69F" w:rsidR="00AA5C97" w:rsidRPr="00BB146D" w:rsidRDefault="00BD73DC" w:rsidP="00FB62CB">
            <w:pPr>
              <w:rPr>
                <w:rFonts w:ascii="Calibri" w:hAnsi="Calibri" w:cs="Calibri"/>
                <w:b/>
                <w:sz w:val="20"/>
                <w:lang w:val="en-US" w:eastAsia="zh-CN"/>
              </w:rPr>
            </w:pPr>
            <w:r w:rsidRPr="00BB146D">
              <w:rPr>
                <w:rFonts w:ascii="Calibri" w:hAnsi="Calibri" w:cs="Calibri"/>
                <w:b/>
                <w:sz w:val="20"/>
                <w:lang w:val="en-US" w:eastAsia="zh-CN"/>
              </w:rPr>
              <w:t>第</w:t>
            </w:r>
            <w:r w:rsidRPr="00BB146D">
              <w:rPr>
                <w:rFonts w:ascii="Calibri" w:hAnsi="Calibri" w:cs="Calibri"/>
                <w:b/>
                <w:sz w:val="20"/>
                <w:lang w:val="en-US" w:eastAsia="zh-CN"/>
              </w:rPr>
              <w:t>5</w:t>
            </w:r>
            <w:r w:rsidRPr="00BB146D">
              <w:rPr>
                <w:rFonts w:ascii="Calibri" w:hAnsi="Calibri" w:cs="Calibri"/>
                <w:b/>
                <w:sz w:val="20"/>
                <w:lang w:val="en-US" w:eastAsia="zh-CN"/>
              </w:rPr>
              <w:t>条</w:t>
            </w:r>
            <w:r w:rsidR="000E3457" w:rsidRPr="00BB146D">
              <w:rPr>
                <w:rFonts w:ascii="Calibri" w:hAnsi="Calibri" w:cs="Calibri"/>
                <w:b/>
                <w:sz w:val="20"/>
                <w:lang w:val="en-US" w:eastAsia="zh-CN"/>
              </w:rPr>
              <w:t>：</w:t>
            </w:r>
            <w:r w:rsidRPr="00BB146D">
              <w:rPr>
                <w:rFonts w:ascii="Calibri" w:hAnsi="Calibri" w:cs="Calibri"/>
                <w:b/>
                <w:sz w:val="20"/>
                <w:lang w:val="en-US" w:eastAsia="zh-CN"/>
              </w:rPr>
              <w:t>生命安全电信和优先电信</w:t>
            </w:r>
          </w:p>
        </w:tc>
        <w:tc>
          <w:tcPr>
            <w:tcW w:w="296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32BEE58" w14:textId="77777777" w:rsidR="00AA5C97" w:rsidRPr="00BB146D" w:rsidRDefault="00AA5C97" w:rsidP="00FB62CB">
            <w:pPr>
              <w:jc w:val="center"/>
              <w:rPr>
                <w:rFonts w:ascii="Calibri" w:hAnsi="Calibri" w:cs="Calibri"/>
                <w:b/>
                <w:sz w:val="20"/>
                <w:lang w:val="en-US" w:eastAsia="zh-CN"/>
              </w:rPr>
            </w:pPr>
          </w:p>
        </w:tc>
        <w:tc>
          <w:tcPr>
            <w:tcW w:w="299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7637E3C" w14:textId="77777777" w:rsidR="00AA5C97" w:rsidRPr="00BB146D" w:rsidRDefault="00AA5C97" w:rsidP="00FB62CB">
            <w:pPr>
              <w:spacing w:before="60" w:after="60"/>
              <w:jc w:val="center"/>
              <w:rPr>
                <w:rFonts w:ascii="Calibri" w:hAnsi="Calibri" w:cs="Calibri"/>
                <w:b/>
                <w:sz w:val="20"/>
                <w:lang w:val="en-US" w:eastAsia="zh-CN"/>
              </w:rPr>
            </w:pPr>
          </w:p>
        </w:tc>
        <w:tc>
          <w:tcPr>
            <w:tcW w:w="3118"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EEE9C95" w14:textId="77777777" w:rsidR="00AA5C97" w:rsidRPr="00BB146D" w:rsidRDefault="00AA5C97" w:rsidP="00FB62CB">
            <w:pPr>
              <w:jc w:val="center"/>
              <w:rPr>
                <w:rFonts w:ascii="Calibri" w:hAnsi="Calibri" w:cs="Calibri"/>
                <w:b/>
                <w:sz w:val="20"/>
                <w:lang w:val="en-US" w:eastAsia="zh-CN"/>
              </w:rPr>
            </w:pPr>
          </w:p>
        </w:tc>
        <w:tc>
          <w:tcPr>
            <w:tcW w:w="1418"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2FA09B3" w14:textId="77777777" w:rsidR="00AA5C97" w:rsidRPr="00BB146D" w:rsidRDefault="00AA5C97" w:rsidP="00FB62CB">
            <w:pPr>
              <w:jc w:val="center"/>
              <w:rPr>
                <w:rFonts w:ascii="Calibri" w:hAnsi="Calibri" w:cs="Calibri"/>
                <w:b/>
                <w:sz w:val="20"/>
                <w:lang w:val="en-US" w:eastAsia="zh-CN"/>
              </w:rPr>
            </w:pPr>
          </w:p>
        </w:tc>
      </w:tr>
      <w:tr w:rsidR="00AA5C97" w:rsidRPr="00E07523" w14:paraId="5B464DEA"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F2A44F3" w14:textId="77777777" w:rsidR="00AA5C97" w:rsidRPr="00BB146D" w:rsidRDefault="00AA5C97" w:rsidP="00FB62CB">
            <w:pPr>
              <w:jc w:val="center"/>
              <w:rPr>
                <w:rFonts w:ascii="Calibri" w:hAnsi="Calibri" w:cs="Calibri"/>
                <w:sz w:val="20"/>
              </w:rPr>
            </w:pPr>
            <w:r w:rsidRPr="00BB146D">
              <w:rPr>
                <w:rFonts w:ascii="Calibri" w:hAnsi="Calibri" w:cs="Calibri"/>
                <w:sz w:val="20"/>
              </w:rPr>
              <w:t>5.1</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33A3CEC2" w14:textId="3CDBA17B"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生命安全电信，如遇险通信，须享有当然传输的权利，并须在技术可行时，根据《组织法》和《公约》的相关条款以及适当考虑相关</w:t>
            </w:r>
            <w:r w:rsidRPr="00BB146D">
              <w:rPr>
                <w:rFonts w:ascii="Calibri" w:hAnsi="Calibri" w:cs="Calibri"/>
                <w:sz w:val="20"/>
                <w:lang w:val="en-US" w:eastAsia="zh-CN"/>
              </w:rPr>
              <w:t>ITU-T</w:t>
            </w:r>
            <w:r w:rsidRPr="00BB146D">
              <w:rPr>
                <w:rFonts w:ascii="Calibri" w:hAnsi="Calibri" w:cs="Calibri"/>
                <w:sz w:val="20"/>
                <w:lang w:val="en-US" w:eastAsia="zh-CN"/>
              </w:rPr>
              <w:t>建议书的情况下，与所有其它电信相比，享有绝对优先权。</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2E3FAFF6"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4520D944" w14:textId="07C75A8E" w:rsidR="00745BDB" w:rsidRPr="00BB146D" w:rsidRDefault="00745BDB" w:rsidP="00745BDB">
            <w:pPr>
              <w:rPr>
                <w:rFonts w:ascii="Calibri" w:hAnsi="Calibri" w:cs="Calibri"/>
                <w:sz w:val="20"/>
                <w:lang w:val="en-US" w:eastAsia="zh-CN"/>
              </w:rPr>
            </w:pPr>
            <w:r w:rsidRPr="00BB146D">
              <w:rPr>
                <w:rFonts w:ascii="Calibri" w:hAnsi="Calibri" w:cs="Calibri"/>
                <w:sz w:val="20"/>
                <w:lang w:val="en-US" w:eastAsia="zh-CN"/>
              </w:rPr>
              <w:t>本条款适用于任何网络或服务。</w:t>
            </w:r>
          </w:p>
          <w:p w14:paraId="3E659442" w14:textId="768E4685" w:rsidR="00AA5C97" w:rsidRPr="00BB146D" w:rsidRDefault="00745BDB" w:rsidP="00745BDB">
            <w:pPr>
              <w:rPr>
                <w:rFonts w:ascii="Calibri" w:hAnsi="Calibri" w:cs="Calibri"/>
                <w:sz w:val="20"/>
                <w:lang w:val="en-US" w:eastAsia="zh-CN"/>
              </w:rPr>
            </w:pPr>
            <w:r w:rsidRPr="00BB146D">
              <w:rPr>
                <w:rFonts w:ascii="Calibri" w:hAnsi="Calibri" w:cs="Calibri"/>
                <w:sz w:val="20"/>
                <w:lang w:val="en-US" w:eastAsia="zh-CN"/>
              </w:rPr>
              <w:t>已经由《组织法》第</w:t>
            </w:r>
            <w:r w:rsidRPr="00BB146D">
              <w:rPr>
                <w:rFonts w:ascii="Calibri" w:hAnsi="Calibri" w:cs="Calibri"/>
                <w:sz w:val="20"/>
                <w:lang w:val="en-US" w:eastAsia="zh-CN"/>
              </w:rPr>
              <w:t>40</w:t>
            </w:r>
            <w:r w:rsidRPr="00BB146D">
              <w:rPr>
                <w:rFonts w:ascii="Calibri" w:hAnsi="Calibri" w:cs="Calibri"/>
                <w:sz w:val="20"/>
                <w:lang w:val="en-US" w:eastAsia="zh-CN"/>
              </w:rPr>
              <w:t>条处理。</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59F58D81" w14:textId="278A8957" w:rsidR="00AA5C97" w:rsidRPr="00BB146D" w:rsidRDefault="00745BDB" w:rsidP="00FB62CB">
            <w:pPr>
              <w:rPr>
                <w:rFonts w:ascii="Calibri" w:hAnsi="Calibri" w:cs="Calibri"/>
                <w:sz w:val="20"/>
                <w:lang w:val="en-US" w:eastAsia="zh-CN"/>
              </w:rPr>
            </w:pPr>
            <w:r w:rsidRPr="00BB146D">
              <w:rPr>
                <w:rFonts w:ascii="Calibri" w:hAnsi="Calibri" w:cs="Calibri"/>
                <w:sz w:val="20"/>
                <w:lang w:val="en-US" w:eastAsia="zh-CN"/>
              </w:rPr>
              <w:t>本条款仅具有一定的灵活性，因为其不支持未来新兴的通信渠道。</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3C426C6C" w14:textId="77777777" w:rsidR="00AA5C97" w:rsidRPr="00BB146D" w:rsidRDefault="00AA5C97" w:rsidP="00FB62CB">
            <w:pPr>
              <w:rPr>
                <w:rFonts w:ascii="Calibri" w:hAnsi="Calibri" w:cs="Calibri"/>
                <w:sz w:val="20"/>
                <w:lang w:val="en-US" w:eastAsia="zh-CN"/>
              </w:rPr>
            </w:pPr>
          </w:p>
        </w:tc>
      </w:tr>
      <w:tr w:rsidR="00AA5C97" w:rsidRPr="00E07523" w14:paraId="33BE69E4"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3327EC51" w14:textId="77777777" w:rsidR="00AA5C97" w:rsidRPr="00BB146D" w:rsidRDefault="00AA5C97" w:rsidP="00FB62CB">
            <w:pPr>
              <w:jc w:val="center"/>
              <w:rPr>
                <w:rFonts w:ascii="Calibri" w:hAnsi="Calibri" w:cs="Calibri"/>
                <w:sz w:val="20"/>
              </w:rPr>
            </w:pPr>
            <w:r w:rsidRPr="00BB146D">
              <w:rPr>
                <w:rFonts w:ascii="Calibri" w:hAnsi="Calibri" w:cs="Calibri"/>
                <w:sz w:val="20"/>
              </w:rPr>
              <w:t>5.2</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1DA19EE4" w14:textId="1D743E2C"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政务电信，包括与实施《联合国宪章》某些条款相关的电信，在技术可行时，根据《组织法》和《公约》的相关条款并在适当考虑相关</w:t>
            </w:r>
            <w:r w:rsidRPr="00BB146D">
              <w:rPr>
                <w:rFonts w:ascii="Calibri" w:hAnsi="Calibri" w:cs="Calibri"/>
                <w:sz w:val="20"/>
                <w:lang w:val="en-US" w:eastAsia="zh-CN"/>
              </w:rPr>
              <w:t>ITU-T</w:t>
            </w:r>
            <w:r w:rsidRPr="00BB146D">
              <w:rPr>
                <w:rFonts w:ascii="Calibri" w:hAnsi="Calibri" w:cs="Calibri"/>
                <w:sz w:val="20"/>
                <w:lang w:val="en-US" w:eastAsia="zh-CN"/>
              </w:rPr>
              <w:t>建议书的情况下，须比上述第</w:t>
            </w:r>
            <w:r w:rsidRPr="00BB146D">
              <w:rPr>
                <w:rFonts w:ascii="Calibri" w:hAnsi="Calibri" w:cs="Calibri"/>
                <w:sz w:val="20"/>
                <w:lang w:val="en-US" w:eastAsia="zh-CN"/>
              </w:rPr>
              <w:t>39</w:t>
            </w:r>
            <w:r w:rsidRPr="00BB146D">
              <w:rPr>
                <w:rFonts w:ascii="Calibri" w:hAnsi="Calibri" w:cs="Calibri"/>
                <w:sz w:val="20"/>
                <w:lang w:val="en-US" w:eastAsia="zh-CN"/>
              </w:rPr>
              <w:t>段（</w:t>
            </w:r>
            <w:r w:rsidRPr="00BB146D">
              <w:rPr>
                <w:rFonts w:ascii="Calibri" w:hAnsi="Calibri" w:cs="Calibri"/>
                <w:sz w:val="20"/>
                <w:lang w:val="en-US" w:eastAsia="zh-CN"/>
              </w:rPr>
              <w:t>5.1</w:t>
            </w:r>
            <w:r w:rsidRPr="00BB146D">
              <w:rPr>
                <w:rFonts w:ascii="Calibri" w:hAnsi="Calibri" w:cs="Calibri"/>
                <w:sz w:val="20"/>
                <w:lang w:val="en-US" w:eastAsia="zh-CN"/>
              </w:rPr>
              <w:t>）述及以外的电信享有优先权。</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5C5964E5"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6C809DC0" w14:textId="6BA3BF44" w:rsidR="00AA5C97" w:rsidRPr="00BB146D" w:rsidRDefault="00745BDB" w:rsidP="00FB62CB">
            <w:pPr>
              <w:rPr>
                <w:rFonts w:ascii="Calibri" w:hAnsi="Calibri" w:cs="Calibri"/>
                <w:sz w:val="20"/>
                <w:lang w:val="en-US" w:eastAsia="zh-CN"/>
              </w:rPr>
            </w:pPr>
            <w:r w:rsidRPr="00BB146D">
              <w:rPr>
                <w:rFonts w:ascii="Calibri" w:hAnsi="Calibri" w:cs="Calibri"/>
                <w:sz w:val="20"/>
                <w:lang w:val="en-US" w:eastAsia="zh-CN"/>
              </w:rPr>
              <w:t>本条款是多余的，因为在现代电信网络技术下，政务电信越来越受制于流量管理。</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1D30B28F" w14:textId="1E0BADA5" w:rsidR="00AA5C97" w:rsidRPr="00BB146D" w:rsidRDefault="00745BDB" w:rsidP="00FB62CB">
            <w:pPr>
              <w:rPr>
                <w:rFonts w:ascii="Calibri" w:hAnsi="Calibri" w:cs="Calibri"/>
                <w:sz w:val="20"/>
                <w:lang w:val="en-US" w:eastAsia="zh-CN"/>
              </w:rPr>
            </w:pPr>
            <w:r w:rsidRPr="00BB146D">
              <w:rPr>
                <w:rFonts w:ascii="Calibri" w:hAnsi="Calibri" w:cs="Calibri"/>
                <w:sz w:val="20"/>
                <w:lang w:val="en-US" w:eastAsia="zh-CN"/>
              </w:rPr>
              <w:t>本条款是多余的，因为在现代电信网络技术下，政务电信越来越受制于流量管理。</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703EC953" w14:textId="77777777" w:rsidR="00AA5C97" w:rsidRPr="00BB146D" w:rsidRDefault="00AA5C97" w:rsidP="00FB62CB">
            <w:pPr>
              <w:rPr>
                <w:rFonts w:ascii="Calibri" w:hAnsi="Calibri" w:cs="Calibri"/>
                <w:sz w:val="20"/>
                <w:lang w:val="en-US" w:eastAsia="zh-CN"/>
              </w:rPr>
            </w:pPr>
          </w:p>
        </w:tc>
      </w:tr>
      <w:tr w:rsidR="00AA5C97" w:rsidRPr="00E07523" w14:paraId="5169E75F" w14:textId="77777777" w:rsidTr="000E3457">
        <w:trPr>
          <w:cantSplit/>
          <w:trHeight w:val="130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AF129AB" w14:textId="77777777" w:rsidR="00AA5C97" w:rsidRPr="00BB146D" w:rsidRDefault="00AA5C97" w:rsidP="00FB62CB">
            <w:pPr>
              <w:jc w:val="center"/>
              <w:rPr>
                <w:rFonts w:ascii="Calibri" w:hAnsi="Calibri" w:cs="Calibri"/>
                <w:sz w:val="20"/>
              </w:rPr>
            </w:pPr>
            <w:r w:rsidRPr="00BB146D">
              <w:rPr>
                <w:rFonts w:ascii="Calibri" w:hAnsi="Calibri" w:cs="Calibri"/>
                <w:sz w:val="20"/>
              </w:rPr>
              <w:t>5.3</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00D856CC" w14:textId="3CE7F84F"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其它有关电信业务享有优先权的条款载于相关</w:t>
            </w:r>
            <w:r w:rsidRPr="00BB146D">
              <w:rPr>
                <w:rFonts w:ascii="Calibri" w:hAnsi="Calibri" w:cs="Calibri"/>
                <w:sz w:val="20"/>
                <w:lang w:val="en-US" w:eastAsia="zh-CN"/>
              </w:rPr>
              <w:t>ITU-T</w:t>
            </w:r>
            <w:r w:rsidRPr="00BB146D">
              <w:rPr>
                <w:rFonts w:ascii="Calibri" w:hAnsi="Calibri" w:cs="Calibri"/>
                <w:sz w:val="20"/>
                <w:lang w:val="en-US" w:eastAsia="zh-CN"/>
              </w:rPr>
              <w:t>建议书中。</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06868324"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7161A3F0" w14:textId="5666CB53" w:rsidR="00AA5C97" w:rsidRPr="00BB146D" w:rsidRDefault="00745BDB" w:rsidP="00FB62CB">
            <w:pPr>
              <w:rPr>
                <w:rFonts w:ascii="Calibri" w:hAnsi="Calibri" w:cs="Calibri"/>
                <w:sz w:val="20"/>
                <w:lang w:val="en-US" w:eastAsia="zh-CN"/>
              </w:rPr>
            </w:pPr>
            <w:r w:rsidRPr="00BB146D">
              <w:rPr>
                <w:rFonts w:ascii="Calibri" w:hAnsi="Calibri" w:cs="Calibri"/>
                <w:sz w:val="20"/>
                <w:lang w:val="en-US" w:eastAsia="zh-CN"/>
              </w:rPr>
              <w:t>本条款是多余的，因为在默认情况下会</w:t>
            </w:r>
            <w:r w:rsidR="00E852C4" w:rsidRPr="00BB146D">
              <w:rPr>
                <w:rFonts w:ascii="Calibri" w:hAnsi="Calibri" w:cs="Calibri"/>
                <w:sz w:val="20"/>
                <w:lang w:val="en-US" w:eastAsia="zh-CN"/>
              </w:rPr>
              <w:t>参考</w:t>
            </w:r>
            <w:r w:rsidRPr="00BB146D">
              <w:rPr>
                <w:rFonts w:ascii="Calibri" w:hAnsi="Calibri" w:cs="Calibri"/>
                <w:sz w:val="20"/>
                <w:lang w:val="en-US" w:eastAsia="zh-CN"/>
              </w:rPr>
              <w:t>ITU-T</w:t>
            </w:r>
            <w:r w:rsidRPr="00BB146D">
              <w:rPr>
                <w:rFonts w:ascii="Calibri" w:hAnsi="Calibri" w:cs="Calibri"/>
                <w:sz w:val="20"/>
                <w:lang w:val="en-US" w:eastAsia="zh-CN"/>
              </w:rPr>
              <w:t>建议书。</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49DB2BCD" w14:textId="25F3F3E6" w:rsidR="00AA5C97" w:rsidRPr="00BB146D" w:rsidRDefault="00745BDB" w:rsidP="00FB62CB">
            <w:pPr>
              <w:rPr>
                <w:rFonts w:ascii="Calibri" w:hAnsi="Calibri" w:cs="Calibri"/>
                <w:sz w:val="20"/>
                <w:lang w:val="en-US" w:eastAsia="zh-CN"/>
              </w:rPr>
            </w:pPr>
            <w:r w:rsidRPr="00BB146D">
              <w:rPr>
                <w:rFonts w:ascii="Calibri" w:hAnsi="Calibri" w:cs="Calibri"/>
                <w:sz w:val="20"/>
                <w:lang w:val="en-US" w:eastAsia="zh-CN"/>
              </w:rPr>
              <w:t>本条款是多余的，因为在默认情况下会</w:t>
            </w:r>
            <w:r w:rsidR="0018683E" w:rsidRPr="00BB146D">
              <w:rPr>
                <w:rFonts w:ascii="Calibri" w:hAnsi="Calibri" w:cs="Calibri"/>
                <w:sz w:val="20"/>
                <w:lang w:val="en-US" w:eastAsia="zh-CN"/>
              </w:rPr>
              <w:t>参考</w:t>
            </w:r>
            <w:r w:rsidRPr="00BB146D">
              <w:rPr>
                <w:rFonts w:ascii="Calibri" w:hAnsi="Calibri" w:cs="Calibri"/>
                <w:sz w:val="20"/>
                <w:lang w:val="en-US" w:eastAsia="zh-CN"/>
              </w:rPr>
              <w:t>ITU-T</w:t>
            </w:r>
            <w:r w:rsidRPr="00BB146D">
              <w:rPr>
                <w:rFonts w:ascii="Calibri" w:hAnsi="Calibri" w:cs="Calibri"/>
                <w:sz w:val="20"/>
                <w:lang w:val="en-US" w:eastAsia="zh-CN"/>
              </w:rPr>
              <w:t>建议书。</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782C2A91" w14:textId="77777777" w:rsidR="00AA5C97" w:rsidRPr="00BB146D" w:rsidRDefault="00AA5C97" w:rsidP="00FB62CB">
            <w:pPr>
              <w:rPr>
                <w:rFonts w:ascii="Calibri" w:hAnsi="Calibri" w:cs="Calibri"/>
                <w:sz w:val="20"/>
                <w:lang w:val="en-US" w:eastAsia="zh-CN"/>
              </w:rPr>
            </w:pPr>
          </w:p>
        </w:tc>
      </w:tr>
      <w:tr w:rsidR="00AA5C97" w:rsidRPr="00E07523" w14:paraId="165A264E" w14:textId="77777777" w:rsidTr="000E3457">
        <w:trPr>
          <w:cantSplit/>
          <w:trHeight w:val="130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6DE1A86" w14:textId="77777777" w:rsidR="00AA5C97" w:rsidRPr="00BB146D" w:rsidRDefault="00AA5C97" w:rsidP="00FB62CB">
            <w:pPr>
              <w:jc w:val="center"/>
              <w:rPr>
                <w:rFonts w:ascii="Calibri" w:hAnsi="Calibri" w:cs="Calibri"/>
                <w:sz w:val="20"/>
              </w:rPr>
            </w:pPr>
            <w:r w:rsidRPr="00BB146D">
              <w:rPr>
                <w:rFonts w:ascii="Calibri" w:hAnsi="Calibri" w:cs="Calibri"/>
                <w:sz w:val="20"/>
              </w:rPr>
              <w:lastRenderedPageBreak/>
              <w:t>5.4</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71AC7FE9" w14:textId="0E3D58E0"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成员国应鼓励经授权的运营机构适时、免费地向包括漫游用户在内的所有用户告知应急服务号码。</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01B409CE"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72E8D68F" w14:textId="186E795C" w:rsidR="00AA5C97" w:rsidRPr="00BB146D" w:rsidRDefault="00745BDB" w:rsidP="00FB62CB">
            <w:pPr>
              <w:rPr>
                <w:rFonts w:ascii="Calibri" w:hAnsi="Calibri" w:cs="Calibri"/>
                <w:sz w:val="20"/>
                <w:lang w:val="en-US" w:eastAsia="zh-CN"/>
              </w:rPr>
            </w:pPr>
            <w:r w:rsidRPr="00BB146D">
              <w:rPr>
                <w:rFonts w:ascii="Calibri" w:hAnsi="Calibri" w:cs="Calibri"/>
                <w:sz w:val="20"/>
                <w:lang w:val="en-US" w:eastAsia="zh-CN"/>
              </w:rPr>
              <w:t>本条款是基于现有网络技术，因此不适用于</w:t>
            </w:r>
            <w:r w:rsidR="00E41136" w:rsidRPr="00BB146D">
              <w:rPr>
                <w:rFonts w:ascii="Calibri" w:hAnsi="Calibri" w:cs="Calibri"/>
                <w:sz w:val="20"/>
                <w:lang w:val="en-US" w:eastAsia="zh-CN"/>
              </w:rPr>
              <w:t>可能采用不同流程联络应急服务的</w:t>
            </w:r>
            <w:r w:rsidRPr="00BB146D">
              <w:rPr>
                <w:rFonts w:ascii="Calibri" w:hAnsi="Calibri" w:cs="Calibri"/>
                <w:sz w:val="20"/>
                <w:lang w:val="en-US" w:eastAsia="zh-CN"/>
              </w:rPr>
              <w:t>未来网络和服务</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697C2B07" w14:textId="61327CFC" w:rsidR="00AA5C97" w:rsidRPr="00BB146D" w:rsidRDefault="00E41136" w:rsidP="00FB62CB">
            <w:pPr>
              <w:rPr>
                <w:rFonts w:ascii="Calibri" w:hAnsi="Calibri" w:cs="Calibri"/>
                <w:sz w:val="20"/>
                <w:lang w:val="en-US" w:eastAsia="zh-CN"/>
              </w:rPr>
            </w:pPr>
            <w:r w:rsidRPr="00BB146D">
              <w:rPr>
                <w:rFonts w:ascii="Calibri" w:hAnsi="Calibri" w:cs="Calibri"/>
                <w:sz w:val="20"/>
                <w:lang w:val="en-US" w:eastAsia="zh-CN"/>
              </w:rPr>
              <w:t>本条款不具灵活性，因为网络和服务的新趋势可能导致人们采用其它流程联系应急服务。</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5B8B9EDB" w14:textId="77777777" w:rsidR="00AA5C97" w:rsidRPr="00BB146D" w:rsidRDefault="00AA5C97" w:rsidP="00FB62CB">
            <w:pPr>
              <w:rPr>
                <w:rFonts w:ascii="Calibri" w:hAnsi="Calibri" w:cs="Calibri"/>
                <w:sz w:val="20"/>
                <w:lang w:val="en-US" w:eastAsia="zh-CN"/>
              </w:rPr>
            </w:pPr>
          </w:p>
        </w:tc>
      </w:tr>
      <w:tr w:rsidR="00AA5C97" w:rsidRPr="00E07523" w14:paraId="51C78A51" w14:textId="77777777" w:rsidTr="000E3457">
        <w:trPr>
          <w:cantSplit/>
          <w:trHeight w:val="69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B7C43A6" w14:textId="77777777" w:rsidR="00AA5C97" w:rsidRPr="00BB146D" w:rsidRDefault="00AA5C97" w:rsidP="00FB62CB">
            <w:pPr>
              <w:jc w:val="center"/>
              <w:rPr>
                <w:rFonts w:ascii="Calibri" w:hAnsi="Calibri" w:cs="Calibri"/>
                <w:sz w:val="20"/>
                <w:lang w:val="en-US" w:eastAsia="zh-CN"/>
              </w:rPr>
            </w:pP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093BEB75" w14:textId="0257E3B1" w:rsidR="00AA5C97" w:rsidRPr="00BB146D" w:rsidRDefault="00BD73DC" w:rsidP="00FB62CB">
            <w:pPr>
              <w:rPr>
                <w:rFonts w:ascii="Calibri" w:hAnsi="Calibri" w:cs="Calibri"/>
                <w:b/>
                <w:sz w:val="20"/>
                <w:lang w:val="en-US" w:eastAsia="zh-CN"/>
              </w:rPr>
            </w:pPr>
            <w:r w:rsidRPr="00BB146D">
              <w:rPr>
                <w:rFonts w:ascii="Calibri" w:hAnsi="Calibri" w:cs="Calibri"/>
                <w:b/>
                <w:sz w:val="20"/>
                <w:lang w:val="en-US" w:eastAsia="zh-CN"/>
              </w:rPr>
              <w:t>第</w:t>
            </w:r>
            <w:r w:rsidRPr="00BB146D">
              <w:rPr>
                <w:rFonts w:ascii="Calibri" w:hAnsi="Calibri" w:cs="Calibri"/>
                <w:b/>
                <w:sz w:val="20"/>
                <w:lang w:val="en-US" w:eastAsia="zh-CN"/>
              </w:rPr>
              <w:t>6</w:t>
            </w:r>
            <w:r w:rsidRPr="00BB146D">
              <w:rPr>
                <w:rFonts w:ascii="Calibri" w:hAnsi="Calibri" w:cs="Calibri"/>
                <w:b/>
                <w:sz w:val="20"/>
                <w:lang w:val="en-US" w:eastAsia="zh-CN"/>
              </w:rPr>
              <w:t>条</w:t>
            </w:r>
            <w:r w:rsidR="000E3457" w:rsidRPr="00BB146D">
              <w:rPr>
                <w:rFonts w:ascii="Calibri" w:hAnsi="Calibri" w:cs="Calibri"/>
                <w:b/>
                <w:sz w:val="20"/>
                <w:lang w:val="en-US" w:eastAsia="zh-CN"/>
              </w:rPr>
              <w:t>：</w:t>
            </w:r>
            <w:r w:rsidRPr="00BB146D">
              <w:rPr>
                <w:rFonts w:ascii="Calibri" w:hAnsi="Calibri" w:cs="Calibri"/>
                <w:b/>
                <w:sz w:val="20"/>
                <w:lang w:val="en-US" w:eastAsia="zh-CN"/>
              </w:rPr>
              <w:t>网络安全和健壮性</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5AC4AB2A"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45E744EC" w14:textId="77777777" w:rsidR="00AA5C97" w:rsidRPr="00BB146D" w:rsidRDefault="00AA5C97" w:rsidP="00FB62CB">
            <w:pPr>
              <w:rPr>
                <w:rFonts w:ascii="Calibri" w:hAnsi="Calibri" w:cs="Calibri"/>
                <w:sz w:val="20"/>
                <w:lang w:val="en-US" w:eastAsia="zh-CN"/>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544BE355" w14:textId="77777777" w:rsidR="00AA5C97" w:rsidRPr="00BB146D" w:rsidRDefault="00AA5C97" w:rsidP="00FB62CB">
            <w:pPr>
              <w:rPr>
                <w:rFonts w:ascii="Calibri" w:hAnsi="Calibri" w:cs="Calibri"/>
                <w:sz w:val="20"/>
                <w:lang w:val="en-US" w:eastAsia="zh-CN"/>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7E5D064C" w14:textId="77777777" w:rsidR="00AA5C97" w:rsidRPr="00BB146D" w:rsidRDefault="00AA5C97" w:rsidP="00FB62CB">
            <w:pPr>
              <w:rPr>
                <w:rFonts w:ascii="Calibri" w:hAnsi="Calibri" w:cs="Calibri"/>
                <w:sz w:val="20"/>
                <w:lang w:val="en-US" w:eastAsia="zh-CN"/>
              </w:rPr>
            </w:pPr>
          </w:p>
        </w:tc>
      </w:tr>
      <w:tr w:rsidR="00AA5C97" w:rsidRPr="00E07523" w14:paraId="7F100798" w14:textId="77777777" w:rsidTr="000E3457">
        <w:trPr>
          <w:cantSplit/>
          <w:trHeight w:val="4216"/>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F12373D" w14:textId="77777777" w:rsidR="00AA5C97" w:rsidRPr="00BB146D" w:rsidRDefault="00AA5C97" w:rsidP="00FB62CB">
            <w:pPr>
              <w:jc w:val="center"/>
              <w:rPr>
                <w:rFonts w:ascii="Calibri" w:hAnsi="Calibri" w:cs="Calibri"/>
                <w:sz w:val="20"/>
              </w:rPr>
            </w:pPr>
            <w:r w:rsidRPr="00BB146D">
              <w:rPr>
                <w:rFonts w:ascii="Calibri" w:hAnsi="Calibri" w:cs="Calibri"/>
                <w:sz w:val="20"/>
              </w:rPr>
              <w:t>6.1</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28DE1BFE" w14:textId="027FD4C6"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成员国须各自和共同努力确保国际电信网络安全和健壮性，以实现网络的有效利用，避免技术性损害，并实现公众国际电信业务的和谐发展。</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6BE4AA6D"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3E6AF88E" w14:textId="129EEA7B" w:rsidR="00AA5C97" w:rsidRPr="00BB146D" w:rsidRDefault="0018683E" w:rsidP="00FB62CB">
            <w:pPr>
              <w:rPr>
                <w:rFonts w:ascii="Calibri" w:hAnsi="Calibri" w:cs="Calibri"/>
                <w:sz w:val="20"/>
                <w:lang w:val="en-US" w:eastAsia="zh-CN"/>
              </w:rPr>
            </w:pPr>
            <w:r w:rsidRPr="00BB146D">
              <w:rPr>
                <w:rFonts w:ascii="Calibri" w:hAnsi="Calibri" w:cs="Calibri"/>
                <w:sz w:val="20"/>
                <w:lang w:eastAsia="zh-CN"/>
              </w:rPr>
              <w:t>本条款</w:t>
            </w:r>
            <w:r w:rsidR="00AA5C97" w:rsidRPr="00BB146D">
              <w:rPr>
                <w:rFonts w:ascii="Calibri" w:hAnsi="Calibri" w:cs="Calibri"/>
                <w:sz w:val="20"/>
                <w:lang w:eastAsia="zh-CN"/>
              </w:rPr>
              <w:t>不适用，因为</w:t>
            </w:r>
            <w:r w:rsidR="00BB146D" w:rsidRPr="00BB146D">
              <w:rPr>
                <w:rFonts w:ascii="SimSun" w:eastAsia="SimSun" w:hAnsi="SimSun" w:cs="Calibri"/>
                <w:sz w:val="20"/>
                <w:lang w:eastAsia="zh-CN"/>
              </w:rPr>
              <w:t>“</w:t>
            </w:r>
            <w:r w:rsidR="00AA5C97" w:rsidRPr="00BB146D">
              <w:rPr>
                <w:rFonts w:ascii="Calibri" w:hAnsi="Calibri" w:cs="Calibri"/>
                <w:sz w:val="20"/>
                <w:lang w:eastAsia="zh-CN"/>
              </w:rPr>
              <w:t>成员国须努力确保</w:t>
            </w:r>
            <w:r w:rsidR="00BB146D" w:rsidRPr="00BB146D">
              <w:rPr>
                <w:rFonts w:ascii="SimSun" w:eastAsia="SimSun" w:hAnsi="SimSun" w:cs="Calibri"/>
                <w:sz w:val="20"/>
                <w:lang w:eastAsia="zh-CN"/>
              </w:rPr>
              <w:t>”</w:t>
            </w:r>
            <w:r w:rsidR="00AA5C97" w:rsidRPr="00BB146D">
              <w:rPr>
                <w:rFonts w:ascii="Calibri" w:hAnsi="Calibri" w:cs="Calibri"/>
                <w:sz w:val="20"/>
                <w:lang w:eastAsia="zh-CN"/>
              </w:rPr>
              <w:t>不可执行。</w:t>
            </w:r>
          </w:p>
          <w:p w14:paraId="28CE3B3A" w14:textId="7CECFB33" w:rsidR="00AA5C97" w:rsidRPr="00BB146D" w:rsidRDefault="00AA5C97" w:rsidP="00FB62CB">
            <w:pPr>
              <w:rPr>
                <w:rFonts w:ascii="Calibri" w:hAnsi="Calibri" w:cs="Calibri"/>
                <w:sz w:val="20"/>
                <w:lang w:val="en-US" w:eastAsia="zh-CN"/>
              </w:rPr>
            </w:pPr>
            <w:bookmarkStart w:id="2" w:name="lt_pId253"/>
            <w:r w:rsidRPr="00BB146D">
              <w:rPr>
                <w:rFonts w:ascii="Calibri" w:hAnsi="Calibri" w:cs="Calibri"/>
                <w:sz w:val="20"/>
                <w:lang w:eastAsia="zh-CN"/>
              </w:rPr>
              <w:t>现在还不清楚成员国应如何确保这一点，</w:t>
            </w:r>
            <w:r w:rsidR="00E41136" w:rsidRPr="00BB146D">
              <w:rPr>
                <w:rFonts w:ascii="Calibri" w:hAnsi="Calibri" w:cs="Calibri"/>
                <w:sz w:val="20"/>
                <w:lang w:eastAsia="zh-CN"/>
              </w:rPr>
              <w:t>因为在当代电信市场</w:t>
            </w:r>
            <w:r w:rsidR="003E6AC0" w:rsidRPr="00BB146D">
              <w:rPr>
                <w:rFonts w:ascii="Calibri" w:hAnsi="Calibri" w:cs="Calibri"/>
                <w:sz w:val="20"/>
                <w:lang w:eastAsia="zh-CN"/>
              </w:rPr>
              <w:t>，电信网络的运营</w:t>
            </w:r>
            <w:r w:rsidRPr="00BB146D">
              <w:rPr>
                <w:rFonts w:ascii="Calibri" w:hAnsi="Calibri" w:cs="Calibri"/>
                <w:sz w:val="20"/>
                <w:lang w:eastAsia="zh-CN"/>
              </w:rPr>
              <w:t>主要是私营部门的责任。</w:t>
            </w:r>
            <w:bookmarkEnd w:id="2"/>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0AC2D92B" w14:textId="62C8E4D6" w:rsidR="00AA5C97" w:rsidRPr="00BB146D" w:rsidRDefault="003E6AC0" w:rsidP="00FB62CB">
            <w:pPr>
              <w:rPr>
                <w:rFonts w:ascii="Calibri" w:hAnsi="Calibri" w:cs="Calibri"/>
                <w:sz w:val="20"/>
                <w:lang w:val="en-US" w:eastAsia="zh-CN"/>
              </w:rPr>
            </w:pPr>
            <w:r w:rsidRPr="00BB146D">
              <w:rPr>
                <w:rFonts w:ascii="Calibri" w:hAnsi="Calibri" w:cs="Calibri"/>
                <w:sz w:val="20"/>
                <w:lang w:val="en-US" w:eastAsia="zh-CN"/>
              </w:rPr>
              <w:t>国际电信网络的安全性和健壮性在现代电信市场主要由私营部门确保，并将随着网络和服务的发展而演进。</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701209D4" w14:textId="77777777" w:rsidR="00AA5C97" w:rsidRPr="00BB146D" w:rsidRDefault="00AA5C97" w:rsidP="00FB62CB">
            <w:pPr>
              <w:rPr>
                <w:rFonts w:ascii="Calibri" w:hAnsi="Calibri" w:cs="Calibri"/>
                <w:sz w:val="20"/>
                <w:lang w:val="en-US" w:eastAsia="zh-CN"/>
              </w:rPr>
            </w:pPr>
          </w:p>
        </w:tc>
      </w:tr>
      <w:tr w:rsidR="00AA5C97" w:rsidRPr="00E07523" w14:paraId="40F3345C" w14:textId="77777777" w:rsidTr="000E3457">
        <w:trPr>
          <w:cantSplit/>
          <w:trHeight w:val="707"/>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5003C8B" w14:textId="77777777" w:rsidR="00AA5C97" w:rsidRPr="00BB146D" w:rsidRDefault="00AA5C97" w:rsidP="00FB62CB">
            <w:pPr>
              <w:jc w:val="center"/>
              <w:rPr>
                <w:rFonts w:ascii="Calibri" w:hAnsi="Calibri" w:cs="Calibri"/>
                <w:sz w:val="20"/>
                <w:lang w:val="en-US" w:eastAsia="zh-CN"/>
              </w:rPr>
            </w:pP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151F70BF" w14:textId="15615FF7" w:rsidR="00AA5C97" w:rsidRPr="00BB146D" w:rsidRDefault="00BD73DC" w:rsidP="00FB62CB">
            <w:pPr>
              <w:rPr>
                <w:rFonts w:ascii="Calibri" w:hAnsi="Calibri" w:cs="Calibri"/>
                <w:sz w:val="20"/>
                <w:lang w:val="en-US" w:eastAsia="zh-CN"/>
              </w:rPr>
            </w:pPr>
            <w:r w:rsidRPr="00BB146D">
              <w:rPr>
                <w:rFonts w:ascii="Calibri" w:hAnsi="Calibri" w:cs="Calibri"/>
                <w:b/>
                <w:sz w:val="20"/>
                <w:lang w:val="en-US" w:eastAsia="zh-CN"/>
              </w:rPr>
              <w:t>第</w:t>
            </w:r>
            <w:r w:rsidRPr="00BB146D">
              <w:rPr>
                <w:rFonts w:ascii="Calibri" w:hAnsi="Calibri" w:cs="Calibri"/>
                <w:b/>
                <w:sz w:val="20"/>
                <w:lang w:val="en-US" w:eastAsia="zh-CN"/>
              </w:rPr>
              <w:t>7</w:t>
            </w:r>
            <w:r w:rsidRPr="00BB146D">
              <w:rPr>
                <w:rFonts w:ascii="Calibri" w:hAnsi="Calibri" w:cs="Calibri"/>
                <w:b/>
                <w:sz w:val="20"/>
                <w:lang w:val="en-US" w:eastAsia="zh-CN"/>
              </w:rPr>
              <w:t>条</w:t>
            </w:r>
            <w:r w:rsidR="000E3457" w:rsidRPr="00BB146D">
              <w:rPr>
                <w:rFonts w:ascii="Calibri" w:hAnsi="Calibri" w:cs="Calibri"/>
                <w:b/>
                <w:sz w:val="20"/>
                <w:lang w:val="en-US" w:eastAsia="zh-CN"/>
              </w:rPr>
              <w:t>：</w:t>
            </w:r>
            <w:r w:rsidRPr="00BB146D">
              <w:rPr>
                <w:rFonts w:ascii="Calibri" w:hAnsi="Calibri" w:cs="Calibri"/>
                <w:b/>
                <w:sz w:val="20"/>
                <w:lang w:val="en-US" w:eastAsia="zh-CN"/>
              </w:rPr>
              <w:t>未经请求的群发电子信息</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72351777"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79D22664" w14:textId="77777777" w:rsidR="00AA5C97" w:rsidRPr="00BB146D" w:rsidRDefault="00AA5C97" w:rsidP="00FB62CB">
            <w:pPr>
              <w:rPr>
                <w:rFonts w:ascii="Calibri" w:hAnsi="Calibri" w:cs="Calibri"/>
                <w:sz w:val="20"/>
                <w:lang w:val="en-US" w:eastAsia="zh-CN"/>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0E17B567" w14:textId="77777777" w:rsidR="00AA5C97" w:rsidRPr="00BB146D" w:rsidRDefault="00AA5C97" w:rsidP="00FB62CB">
            <w:pPr>
              <w:rPr>
                <w:rFonts w:ascii="Calibri" w:hAnsi="Calibri" w:cs="Calibri"/>
                <w:sz w:val="20"/>
                <w:lang w:val="en-US" w:eastAsia="zh-CN"/>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3E96F9A0" w14:textId="77777777" w:rsidR="00AA5C97" w:rsidRPr="00BB146D" w:rsidRDefault="00AA5C97" w:rsidP="00FB62CB">
            <w:pPr>
              <w:rPr>
                <w:rFonts w:ascii="Calibri" w:hAnsi="Calibri" w:cs="Calibri"/>
                <w:sz w:val="20"/>
                <w:lang w:eastAsia="zh-CN"/>
              </w:rPr>
            </w:pPr>
          </w:p>
        </w:tc>
      </w:tr>
      <w:tr w:rsidR="00AA5C97" w:rsidRPr="00E07523" w14:paraId="2A12A0D1"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D2C80F7" w14:textId="77777777" w:rsidR="00AA5C97" w:rsidRPr="00BB146D" w:rsidRDefault="00AA5C97" w:rsidP="00FB62CB">
            <w:pPr>
              <w:jc w:val="center"/>
              <w:rPr>
                <w:rFonts w:ascii="Calibri" w:hAnsi="Calibri" w:cs="Calibri"/>
                <w:sz w:val="20"/>
              </w:rPr>
            </w:pPr>
            <w:r w:rsidRPr="00BB146D">
              <w:rPr>
                <w:rFonts w:ascii="Calibri" w:hAnsi="Calibri" w:cs="Calibri"/>
                <w:sz w:val="20"/>
              </w:rPr>
              <w:t>7.1</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3F5C71E0" w14:textId="5D78E636"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成员国应努力采取必要措施，防止未经请求的群发电子信息的传播，并尽可能减少其对国际电信业务的影响。</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588978AA"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2CE6E6E1" w14:textId="39C823DA" w:rsidR="00AA5C97" w:rsidRPr="00BB146D" w:rsidRDefault="003E6AC0" w:rsidP="00FB62CB">
            <w:pPr>
              <w:rPr>
                <w:rFonts w:ascii="Calibri" w:hAnsi="Calibri" w:cs="Calibri"/>
                <w:sz w:val="20"/>
                <w:lang w:val="en-US" w:eastAsia="zh-CN"/>
              </w:rPr>
            </w:pPr>
            <w:r w:rsidRPr="00BB146D">
              <w:rPr>
                <w:rFonts w:ascii="Calibri" w:hAnsi="Calibri" w:cs="Calibri"/>
                <w:sz w:val="20"/>
                <w:lang w:val="en-US" w:eastAsia="zh-CN"/>
              </w:rPr>
              <w:t>本条款涉及国家层面采取的措施，因此不应纳入国际公约。</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31340667" w14:textId="1B01243E" w:rsidR="00AA5C97" w:rsidRPr="00BB146D" w:rsidRDefault="003E6AC0" w:rsidP="00FB62CB">
            <w:pPr>
              <w:rPr>
                <w:rFonts w:ascii="Calibri" w:hAnsi="Calibri" w:cs="Calibri"/>
                <w:sz w:val="20"/>
                <w:lang w:val="en-US" w:eastAsia="zh-CN"/>
              </w:rPr>
            </w:pPr>
            <w:r w:rsidRPr="00BB146D">
              <w:rPr>
                <w:rFonts w:ascii="Calibri" w:hAnsi="Calibri" w:cs="Calibri"/>
                <w:sz w:val="20"/>
                <w:lang w:val="en-US" w:eastAsia="zh-CN"/>
              </w:rPr>
              <w:t>随着电信市场和服务的发展，未经请求的群发电子信息的传播现象正在迅速蔓延。应采用什么样的必要措施并由谁来执行，将随着时间的推移而改变。因此，本条款无法为这一变化提供支持。</w:t>
            </w:r>
            <w:r w:rsidR="00AA5C97" w:rsidRPr="00BB146D">
              <w:rPr>
                <w:rFonts w:ascii="Calibri" w:hAnsi="Calibri" w:cs="Calibri"/>
                <w:sz w:val="20"/>
                <w:lang w:val="en-US" w:eastAsia="zh-CN"/>
              </w:rPr>
              <w:t xml:space="preserve"> </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33E66DE4" w14:textId="77777777" w:rsidR="00AA5C97" w:rsidRPr="00BB146D" w:rsidRDefault="00AA5C97" w:rsidP="00FB62CB">
            <w:pPr>
              <w:rPr>
                <w:rFonts w:ascii="Calibri" w:hAnsi="Calibri" w:cs="Calibri"/>
                <w:sz w:val="20"/>
                <w:lang w:val="en-US" w:eastAsia="zh-CN"/>
              </w:rPr>
            </w:pPr>
          </w:p>
        </w:tc>
      </w:tr>
      <w:tr w:rsidR="00AA5C97" w:rsidRPr="00E07523" w14:paraId="15314048"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7B0355D" w14:textId="77777777" w:rsidR="00AA5C97" w:rsidRPr="00BB146D" w:rsidRDefault="00AA5C97" w:rsidP="00FB62CB">
            <w:pPr>
              <w:jc w:val="center"/>
              <w:rPr>
                <w:rFonts w:ascii="Calibri" w:hAnsi="Calibri" w:cs="Calibri"/>
                <w:sz w:val="20"/>
              </w:rPr>
            </w:pPr>
            <w:r w:rsidRPr="00BB146D">
              <w:rPr>
                <w:rFonts w:ascii="Calibri" w:hAnsi="Calibri" w:cs="Calibri"/>
                <w:sz w:val="20"/>
              </w:rPr>
              <w:lastRenderedPageBreak/>
              <w:t>7.2</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2DFBF68B" w14:textId="22C2F36F"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鼓励成员国就此开展合作。</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362E1075"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203A29CE" w14:textId="59C5A6B3" w:rsidR="00AA5C97" w:rsidRPr="00BB146D" w:rsidRDefault="003E6AC0" w:rsidP="00FB62CB">
            <w:pPr>
              <w:rPr>
                <w:rFonts w:ascii="Calibri" w:hAnsi="Calibri" w:cs="Calibri"/>
                <w:sz w:val="20"/>
                <w:lang w:val="en-US" w:eastAsia="zh-CN"/>
              </w:rPr>
            </w:pPr>
            <w:r w:rsidRPr="00BB146D">
              <w:rPr>
                <w:rFonts w:ascii="Calibri" w:hAnsi="Calibri" w:cs="Calibri"/>
                <w:sz w:val="20"/>
                <w:lang w:val="en-US" w:eastAsia="zh-CN"/>
              </w:rPr>
              <w:t>本条款是多余的，因为成员国已在按照国际电联宗旨的意愿开展工作。</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72627A62" w14:textId="1F4BC429" w:rsidR="00AA5C97" w:rsidRPr="00BB146D" w:rsidRDefault="00BB146D" w:rsidP="00FB62CB">
            <w:pPr>
              <w:rPr>
                <w:rFonts w:ascii="Calibri" w:hAnsi="Calibri" w:cs="Calibri"/>
                <w:sz w:val="20"/>
                <w:lang w:val="en-US" w:eastAsia="zh-CN"/>
              </w:rPr>
            </w:pPr>
            <w:bookmarkStart w:id="3" w:name="lt_pId097"/>
            <w:r w:rsidRPr="00BB146D">
              <w:rPr>
                <w:rFonts w:ascii="SimSun" w:eastAsia="SimSun" w:hAnsi="SimSun" w:cs="Calibri"/>
                <w:sz w:val="20"/>
                <w:lang w:eastAsia="zh-CN"/>
              </w:rPr>
              <w:t>“</w:t>
            </w:r>
            <w:r w:rsidR="00AA5C97" w:rsidRPr="00BB146D">
              <w:rPr>
                <w:rFonts w:ascii="Calibri" w:hAnsi="Calibri" w:cs="Calibri"/>
                <w:sz w:val="20"/>
                <w:lang w:eastAsia="zh-CN"/>
              </w:rPr>
              <w:t>灵活性</w:t>
            </w:r>
            <w:r w:rsidRPr="00BB146D">
              <w:rPr>
                <w:rFonts w:ascii="SimSun" w:eastAsia="SimSun" w:hAnsi="SimSun" w:cs="Calibri"/>
                <w:sz w:val="20"/>
                <w:lang w:eastAsia="zh-CN"/>
              </w:rPr>
              <w:t>”</w:t>
            </w:r>
            <w:r w:rsidR="00AA5C97" w:rsidRPr="00BB146D">
              <w:rPr>
                <w:rFonts w:ascii="Calibri" w:hAnsi="Calibri" w:cs="Calibri"/>
                <w:sz w:val="20"/>
                <w:lang w:eastAsia="zh-CN"/>
              </w:rPr>
              <w:t>的问题在这里不具相关性，因为该款只是陈述了非常高层面的意图。</w:t>
            </w:r>
            <w:bookmarkEnd w:id="3"/>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46FDE46F" w14:textId="77777777" w:rsidR="00AA5C97" w:rsidRPr="00BB146D" w:rsidRDefault="00AA5C97" w:rsidP="00FB62CB">
            <w:pPr>
              <w:rPr>
                <w:rFonts w:ascii="Calibri" w:hAnsi="Calibri" w:cs="Calibri"/>
                <w:sz w:val="20"/>
                <w:lang w:val="en-US" w:eastAsia="zh-CN"/>
              </w:rPr>
            </w:pPr>
          </w:p>
        </w:tc>
      </w:tr>
      <w:tr w:rsidR="00AA5C97" w:rsidRPr="00E07523" w14:paraId="74BD8326" w14:textId="77777777" w:rsidTr="000E3457">
        <w:trPr>
          <w:cantSplit/>
          <w:trHeight w:val="476"/>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D7BC859" w14:textId="77777777" w:rsidR="00AA5C97" w:rsidRPr="00BB146D" w:rsidRDefault="00AA5C97" w:rsidP="00FB62CB">
            <w:pPr>
              <w:jc w:val="center"/>
              <w:rPr>
                <w:rFonts w:ascii="Calibri" w:hAnsi="Calibri" w:cs="Calibri"/>
                <w:sz w:val="20"/>
                <w:lang w:val="en-US" w:eastAsia="zh-CN"/>
              </w:rPr>
            </w:pP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30C1CF08" w14:textId="6BF8C882" w:rsidR="00AA5C97" w:rsidRPr="00BB146D" w:rsidRDefault="00BD73DC" w:rsidP="00FB62CB">
            <w:pPr>
              <w:rPr>
                <w:rFonts w:ascii="Calibri" w:hAnsi="Calibri" w:cs="Calibri"/>
                <w:b/>
                <w:sz w:val="20"/>
                <w:lang w:val="en-US"/>
              </w:rPr>
            </w:pPr>
            <w:r w:rsidRPr="00BB146D">
              <w:rPr>
                <w:rFonts w:ascii="Calibri" w:hAnsi="Calibri" w:cs="Calibri"/>
                <w:b/>
                <w:sz w:val="20"/>
                <w:lang w:val="en-US" w:eastAsia="zh-CN"/>
              </w:rPr>
              <w:t>第</w:t>
            </w:r>
            <w:r w:rsidRPr="00BB146D">
              <w:rPr>
                <w:rFonts w:ascii="Calibri" w:hAnsi="Calibri" w:cs="Calibri"/>
                <w:b/>
                <w:sz w:val="20"/>
                <w:lang w:val="en-US" w:eastAsia="zh-CN"/>
              </w:rPr>
              <w:t>8</w:t>
            </w:r>
            <w:r w:rsidRPr="00BB146D">
              <w:rPr>
                <w:rFonts w:ascii="Calibri" w:hAnsi="Calibri" w:cs="Calibri"/>
                <w:b/>
                <w:sz w:val="20"/>
                <w:lang w:val="en-US" w:eastAsia="zh-CN"/>
              </w:rPr>
              <w:t>条</w:t>
            </w:r>
            <w:r w:rsidR="000E3457" w:rsidRPr="00BB146D">
              <w:rPr>
                <w:rFonts w:ascii="Calibri" w:hAnsi="Calibri" w:cs="Calibri"/>
                <w:b/>
                <w:sz w:val="20"/>
                <w:lang w:val="en-US" w:eastAsia="zh-CN"/>
              </w:rPr>
              <w:t>：</w:t>
            </w:r>
            <w:r w:rsidRPr="00BB146D">
              <w:rPr>
                <w:rFonts w:ascii="Calibri" w:hAnsi="Calibri" w:cs="Calibri"/>
                <w:b/>
                <w:sz w:val="20"/>
                <w:lang w:val="en-US"/>
              </w:rPr>
              <w:t>计费和结算</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16303170" w14:textId="77777777" w:rsidR="00AA5C97" w:rsidRPr="00BB146D" w:rsidRDefault="00AA5C97" w:rsidP="00FB62CB">
            <w:pPr>
              <w:rPr>
                <w:rFonts w:ascii="Calibri" w:hAnsi="Calibri" w:cs="Calibri"/>
                <w:sz w:val="20"/>
                <w:lang w:val="en-US"/>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51E54CC2" w14:textId="77777777" w:rsidR="00AA5C97" w:rsidRPr="00BB146D" w:rsidRDefault="00AA5C97" w:rsidP="00FB62CB">
            <w:pPr>
              <w:rPr>
                <w:rFonts w:ascii="Calibri" w:hAnsi="Calibri" w:cs="Calibri"/>
                <w:sz w:val="20"/>
                <w:lang w:val="en-US"/>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64BE9BB8" w14:textId="77777777" w:rsidR="00AA5C97" w:rsidRPr="00BB146D" w:rsidRDefault="00AA5C97" w:rsidP="00FB62CB">
            <w:pPr>
              <w:rPr>
                <w:rFonts w:ascii="Calibri" w:hAnsi="Calibri" w:cs="Calibri"/>
                <w:sz w:val="20"/>
                <w:lang w:val="en-US"/>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7F68DB99" w14:textId="77777777" w:rsidR="00AA5C97" w:rsidRPr="00BB146D" w:rsidRDefault="00AA5C97" w:rsidP="00FB62CB">
            <w:pPr>
              <w:rPr>
                <w:rFonts w:ascii="Calibri" w:hAnsi="Calibri" w:cs="Calibri"/>
                <w:sz w:val="20"/>
                <w:lang w:val="en-US"/>
              </w:rPr>
            </w:pPr>
          </w:p>
        </w:tc>
      </w:tr>
      <w:tr w:rsidR="00AA5C97" w:rsidRPr="00E07523" w14:paraId="31181E57" w14:textId="77777777" w:rsidTr="000E3457">
        <w:trPr>
          <w:cantSplit/>
          <w:trHeight w:val="476"/>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55D51B3" w14:textId="77777777" w:rsidR="00AA5C97" w:rsidRPr="00BB146D" w:rsidRDefault="00AA5C97" w:rsidP="00FB62CB">
            <w:pPr>
              <w:jc w:val="center"/>
              <w:rPr>
                <w:rFonts w:ascii="Calibri" w:hAnsi="Calibri" w:cs="Calibri"/>
                <w:sz w:val="20"/>
              </w:rPr>
            </w:pP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0814147A" w14:textId="423116FE" w:rsidR="00AA5C97" w:rsidRPr="00BB146D" w:rsidRDefault="00AA5C97" w:rsidP="00FB62CB">
            <w:pPr>
              <w:rPr>
                <w:rFonts w:ascii="Calibri" w:hAnsi="Calibri" w:cs="Calibri"/>
                <w:b/>
                <w:sz w:val="20"/>
                <w:lang w:val="en-US"/>
              </w:rPr>
            </w:pPr>
            <w:r w:rsidRPr="00BB146D">
              <w:rPr>
                <w:rFonts w:ascii="Calibri" w:hAnsi="Calibri" w:cs="Calibri"/>
                <w:b/>
                <w:sz w:val="20"/>
                <w:lang w:val="en-US"/>
              </w:rPr>
              <w:t>8.1</w:t>
            </w:r>
            <w:r w:rsidR="000E3457" w:rsidRPr="00BB146D">
              <w:rPr>
                <w:rFonts w:ascii="Calibri" w:hAnsi="Calibri" w:cs="Calibri"/>
                <w:b/>
                <w:sz w:val="20"/>
                <w:lang w:val="en-US"/>
              </w:rPr>
              <w:t xml:space="preserve"> </w:t>
            </w:r>
            <w:r w:rsidR="00BD73DC" w:rsidRPr="00BB146D">
              <w:rPr>
                <w:rFonts w:ascii="Calibri" w:hAnsi="Calibri" w:cs="Calibri"/>
                <w:b/>
                <w:sz w:val="20"/>
                <w:lang w:val="en-US"/>
              </w:rPr>
              <w:t>国际电信安排</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056234A3" w14:textId="77777777" w:rsidR="00AA5C97" w:rsidRPr="00BB146D" w:rsidRDefault="00AA5C97" w:rsidP="00FB62CB">
            <w:pPr>
              <w:rPr>
                <w:rFonts w:ascii="Calibri" w:hAnsi="Calibri" w:cs="Calibri"/>
                <w:sz w:val="20"/>
                <w:lang w:val="en-US"/>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2389FA0E" w14:textId="77777777" w:rsidR="00AA5C97" w:rsidRPr="00BB146D" w:rsidRDefault="00AA5C97" w:rsidP="00FB62CB">
            <w:pPr>
              <w:rPr>
                <w:rFonts w:ascii="Calibri" w:hAnsi="Calibri" w:cs="Calibri"/>
                <w:sz w:val="20"/>
                <w:lang w:val="en-US"/>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7F4A9E55" w14:textId="77777777" w:rsidR="00AA5C97" w:rsidRPr="00BB146D" w:rsidRDefault="00AA5C97" w:rsidP="00FB62CB">
            <w:pPr>
              <w:rPr>
                <w:rFonts w:ascii="Calibri" w:hAnsi="Calibri" w:cs="Calibri"/>
                <w:sz w:val="20"/>
                <w:lang w:val="en-US"/>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6CA92C5F" w14:textId="77777777" w:rsidR="00AA5C97" w:rsidRPr="00BB146D" w:rsidRDefault="00AA5C97" w:rsidP="00FB62CB">
            <w:pPr>
              <w:rPr>
                <w:rFonts w:ascii="Calibri" w:hAnsi="Calibri" w:cs="Calibri"/>
                <w:sz w:val="20"/>
                <w:lang w:val="en-US"/>
              </w:rPr>
            </w:pPr>
          </w:p>
        </w:tc>
      </w:tr>
      <w:tr w:rsidR="00AA5C97" w:rsidRPr="00E07523" w14:paraId="1B7F585D"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550C3C1" w14:textId="77777777" w:rsidR="00AA5C97" w:rsidRPr="00BB146D" w:rsidRDefault="00AA5C97" w:rsidP="00FB62CB">
            <w:pPr>
              <w:jc w:val="center"/>
              <w:rPr>
                <w:rFonts w:ascii="Calibri" w:hAnsi="Calibri" w:cs="Calibri"/>
                <w:sz w:val="20"/>
              </w:rPr>
            </w:pPr>
            <w:r w:rsidRPr="00BB146D">
              <w:rPr>
                <w:rFonts w:ascii="Calibri" w:hAnsi="Calibri" w:cs="Calibri"/>
                <w:sz w:val="20"/>
              </w:rPr>
              <w:t>8.1.1</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067275EB" w14:textId="23066DC0"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根据适用的国内法律，可通过商业协议或符合国家监管规定的结算价原则制定国际电信业务安排的条款与条件。</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702271B0"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74706B6A" w14:textId="1C8EE9FF" w:rsidR="00AA5C97" w:rsidRPr="00BB146D" w:rsidRDefault="00D74B5A" w:rsidP="00FB62CB">
            <w:pPr>
              <w:rPr>
                <w:rFonts w:ascii="Calibri" w:hAnsi="Calibri" w:cs="Calibri"/>
                <w:sz w:val="20"/>
                <w:lang w:val="en-US" w:eastAsia="zh-CN"/>
              </w:rPr>
            </w:pPr>
            <w:bookmarkStart w:id="4" w:name="lt_pId261"/>
            <w:r w:rsidRPr="00BB146D">
              <w:rPr>
                <w:rFonts w:ascii="Calibri" w:hAnsi="Calibri" w:cs="Calibri"/>
                <w:sz w:val="20"/>
                <w:lang w:eastAsia="zh-CN"/>
              </w:rPr>
              <w:t>这是运营机构之间达成共识的问题。没有必要通过政府间条约说明这一点。</w:t>
            </w:r>
            <w:bookmarkEnd w:id="4"/>
          </w:p>
          <w:p w14:paraId="17D5B2BA" w14:textId="45C616BA" w:rsidR="00AA5C97" w:rsidRPr="00BB146D" w:rsidRDefault="003E6AC0" w:rsidP="00FB62CB">
            <w:pPr>
              <w:rPr>
                <w:rFonts w:ascii="Calibri" w:hAnsi="Calibri" w:cs="Calibri"/>
                <w:sz w:val="20"/>
                <w:lang w:val="en-US" w:eastAsia="zh-CN"/>
              </w:rPr>
            </w:pPr>
            <w:r w:rsidRPr="00BB146D">
              <w:rPr>
                <w:rFonts w:ascii="Calibri" w:hAnsi="Calibri" w:cs="Calibri"/>
                <w:sz w:val="20"/>
                <w:lang w:val="en-US" w:eastAsia="zh-CN"/>
              </w:rPr>
              <w:t>此外，</w:t>
            </w:r>
            <w:r w:rsidR="00D74B5A" w:rsidRPr="00BB146D">
              <w:rPr>
                <w:rFonts w:ascii="Calibri" w:hAnsi="Calibri" w:cs="Calibri"/>
                <w:sz w:val="20"/>
                <w:lang w:eastAsia="zh-CN"/>
              </w:rPr>
              <w:t>这项规定在</w:t>
            </w:r>
            <w:r w:rsidR="0018683E" w:rsidRPr="00BB146D">
              <w:rPr>
                <w:rFonts w:ascii="Calibri" w:hAnsi="Calibri" w:cs="Calibri"/>
                <w:sz w:val="20"/>
                <w:lang w:eastAsia="zh-CN"/>
              </w:rPr>
              <w:t>国际公约</w:t>
            </w:r>
            <w:r w:rsidR="00D74B5A" w:rsidRPr="00BB146D">
              <w:rPr>
                <w:rFonts w:ascii="Calibri" w:hAnsi="Calibri" w:cs="Calibri"/>
                <w:sz w:val="20"/>
                <w:lang w:eastAsia="zh-CN"/>
              </w:rPr>
              <w:t>中是不相关的，因为</w:t>
            </w:r>
            <w:r w:rsidR="0018683E" w:rsidRPr="00BB146D">
              <w:rPr>
                <w:rFonts w:ascii="Calibri" w:hAnsi="Calibri" w:cs="Calibri"/>
                <w:sz w:val="20"/>
                <w:lang w:eastAsia="zh-CN"/>
              </w:rPr>
              <w:t>其</w:t>
            </w:r>
            <w:r w:rsidR="00BB146D" w:rsidRPr="00BB146D">
              <w:rPr>
                <w:rFonts w:ascii="SimSun" w:eastAsia="SimSun" w:hAnsi="SimSun" w:cs="Calibri"/>
                <w:sz w:val="20"/>
                <w:lang w:eastAsia="zh-CN"/>
              </w:rPr>
              <w:t>“</w:t>
            </w:r>
            <w:r w:rsidR="0018683E" w:rsidRPr="00BB146D">
              <w:rPr>
                <w:rFonts w:ascii="Calibri" w:hAnsi="Calibri" w:cs="Calibri"/>
                <w:sz w:val="20"/>
                <w:lang w:eastAsia="zh-CN"/>
              </w:rPr>
              <w:t>受制于国内法</w:t>
            </w:r>
            <w:r w:rsidR="00BB146D" w:rsidRPr="00BB146D">
              <w:rPr>
                <w:rFonts w:ascii="SimSun" w:eastAsia="SimSun" w:hAnsi="SimSun" w:cs="Calibri"/>
                <w:sz w:val="20"/>
                <w:lang w:eastAsia="zh-CN"/>
              </w:rPr>
              <w:t>”</w:t>
            </w:r>
            <w:r w:rsidR="00D74B5A" w:rsidRPr="00BB146D">
              <w:rPr>
                <w:rFonts w:ascii="Calibri" w:hAnsi="Calibri" w:cs="Calibri"/>
                <w:sz w:val="20"/>
                <w:lang w:eastAsia="zh-CN"/>
              </w:rPr>
              <w:t>。</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7C364EBA" w14:textId="386CDBC2" w:rsidR="00AA5C97" w:rsidRPr="00BB146D" w:rsidRDefault="00D74B5A" w:rsidP="00FB62CB">
            <w:pPr>
              <w:rPr>
                <w:rFonts w:ascii="Calibri" w:hAnsi="Calibri" w:cs="Calibri"/>
                <w:sz w:val="20"/>
                <w:lang w:val="en-US" w:eastAsia="zh-CN"/>
              </w:rPr>
            </w:pPr>
            <w:bookmarkStart w:id="5" w:name="lt_pId263"/>
            <w:r w:rsidRPr="00BB146D">
              <w:rPr>
                <w:rFonts w:ascii="Calibri" w:hAnsi="Calibri" w:cs="Calibri"/>
                <w:sz w:val="20"/>
                <w:lang w:eastAsia="zh-CN"/>
              </w:rPr>
              <w:t>在现代电信市场中，</w:t>
            </w:r>
            <w:r w:rsidR="0018683E" w:rsidRPr="00BB146D">
              <w:rPr>
                <w:rFonts w:ascii="Calibri" w:hAnsi="Calibri" w:cs="Calibri"/>
                <w:sz w:val="20"/>
                <w:lang w:eastAsia="zh-CN"/>
              </w:rPr>
              <w:t>协议</w:t>
            </w:r>
            <w:r w:rsidRPr="00BB146D">
              <w:rPr>
                <w:rFonts w:ascii="Calibri" w:hAnsi="Calibri" w:cs="Calibri"/>
                <w:sz w:val="20"/>
                <w:lang w:eastAsia="zh-CN"/>
              </w:rPr>
              <w:t>主要由私营公司之间相互商定。</w:t>
            </w:r>
            <w:bookmarkEnd w:id="5"/>
          </w:p>
          <w:p w14:paraId="4A772883" w14:textId="771CF20D" w:rsidR="00AA5C97" w:rsidRPr="00BB146D" w:rsidRDefault="003E6AC0" w:rsidP="00FB62CB">
            <w:pPr>
              <w:rPr>
                <w:rFonts w:ascii="Calibri" w:hAnsi="Calibri" w:cs="Calibri"/>
                <w:sz w:val="20"/>
                <w:lang w:val="en-US" w:eastAsia="zh-CN"/>
              </w:rPr>
            </w:pPr>
            <w:r w:rsidRPr="00BB146D">
              <w:rPr>
                <w:rFonts w:ascii="Calibri" w:hAnsi="Calibri" w:cs="Calibri"/>
                <w:sz w:val="20"/>
                <w:lang w:val="en-US" w:eastAsia="zh-CN"/>
              </w:rPr>
              <w:t>此外，</w:t>
            </w:r>
            <w:r w:rsidR="00D74B5A" w:rsidRPr="00BB146D">
              <w:rPr>
                <w:rFonts w:ascii="Calibri" w:hAnsi="Calibri" w:cs="Calibri"/>
                <w:sz w:val="20"/>
                <w:lang w:eastAsia="zh-CN"/>
              </w:rPr>
              <w:t>这项规定在</w:t>
            </w:r>
            <w:r w:rsidR="0018683E" w:rsidRPr="00BB146D">
              <w:rPr>
                <w:rFonts w:ascii="Calibri" w:hAnsi="Calibri" w:cs="Calibri"/>
                <w:sz w:val="20"/>
                <w:lang w:eastAsia="zh-CN"/>
              </w:rPr>
              <w:t>国际公约</w:t>
            </w:r>
            <w:r w:rsidR="00D74B5A" w:rsidRPr="00BB146D">
              <w:rPr>
                <w:rFonts w:ascii="Calibri" w:hAnsi="Calibri" w:cs="Calibri"/>
                <w:sz w:val="20"/>
                <w:lang w:eastAsia="zh-CN"/>
              </w:rPr>
              <w:t>中是不相关的，因为</w:t>
            </w:r>
            <w:r w:rsidR="0018683E" w:rsidRPr="00BB146D">
              <w:rPr>
                <w:rFonts w:ascii="Calibri" w:hAnsi="Calibri" w:cs="Calibri"/>
                <w:sz w:val="20"/>
                <w:lang w:eastAsia="zh-CN"/>
              </w:rPr>
              <w:t>其</w:t>
            </w:r>
            <w:r w:rsidR="00BB146D" w:rsidRPr="00BB146D">
              <w:rPr>
                <w:rFonts w:ascii="SimSun" w:eastAsia="SimSun" w:hAnsi="SimSun" w:cs="Calibri"/>
                <w:sz w:val="20"/>
                <w:lang w:eastAsia="zh-CN"/>
              </w:rPr>
              <w:t>“</w:t>
            </w:r>
            <w:r w:rsidR="0018683E" w:rsidRPr="00BB146D">
              <w:rPr>
                <w:rFonts w:ascii="Calibri" w:hAnsi="Calibri" w:cs="Calibri"/>
                <w:sz w:val="20"/>
                <w:lang w:eastAsia="zh-CN"/>
              </w:rPr>
              <w:t>受制于国内法</w:t>
            </w:r>
            <w:r w:rsidR="00BB146D" w:rsidRPr="00BB146D">
              <w:rPr>
                <w:rFonts w:ascii="SimSun" w:eastAsia="SimSun" w:hAnsi="SimSun" w:cs="Calibri"/>
                <w:sz w:val="20"/>
                <w:lang w:eastAsia="zh-CN"/>
              </w:rPr>
              <w:t>”</w:t>
            </w:r>
            <w:r w:rsidR="00D74B5A" w:rsidRPr="00BB146D">
              <w:rPr>
                <w:rFonts w:ascii="Calibri" w:hAnsi="Calibri" w:cs="Calibri"/>
                <w:sz w:val="20"/>
                <w:lang w:eastAsia="zh-CN"/>
              </w:rPr>
              <w:t>。</w:t>
            </w:r>
          </w:p>
          <w:p w14:paraId="5859F5A4" w14:textId="77777777" w:rsidR="00AA5C97" w:rsidRPr="00BB146D" w:rsidRDefault="00AA5C97" w:rsidP="00FB62CB">
            <w:pPr>
              <w:rPr>
                <w:rFonts w:ascii="Calibri" w:hAnsi="Calibri" w:cs="Calibri"/>
                <w:sz w:val="20"/>
                <w:lang w:val="en-US" w:eastAsia="zh-CN"/>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0E317C6F" w14:textId="77777777" w:rsidR="00AA5C97" w:rsidRPr="00BB146D" w:rsidRDefault="00AA5C97" w:rsidP="00FB62CB">
            <w:pPr>
              <w:rPr>
                <w:rFonts w:ascii="Calibri" w:hAnsi="Calibri" w:cs="Calibri"/>
                <w:sz w:val="20"/>
                <w:lang w:val="en-US" w:eastAsia="zh-CN"/>
              </w:rPr>
            </w:pPr>
          </w:p>
        </w:tc>
      </w:tr>
      <w:tr w:rsidR="00AA5C97" w:rsidRPr="00E07523" w14:paraId="17880510"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7F6D9770" w14:textId="77777777" w:rsidR="00AA5C97" w:rsidRPr="00BB146D" w:rsidRDefault="00AA5C97" w:rsidP="00FB62CB">
            <w:pPr>
              <w:jc w:val="center"/>
              <w:rPr>
                <w:rFonts w:ascii="Calibri" w:hAnsi="Calibri" w:cs="Calibri"/>
                <w:sz w:val="20"/>
              </w:rPr>
            </w:pPr>
            <w:r w:rsidRPr="00BB146D">
              <w:rPr>
                <w:rFonts w:ascii="Calibri" w:hAnsi="Calibri" w:cs="Calibri"/>
                <w:sz w:val="20"/>
              </w:rPr>
              <w:t>8.1.2</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2A57919C" w14:textId="774535B8"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成员国须努力鼓励国际电信网络投资，并促进为此类电信网络所承载的业务量制定竞争性批发价格。</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7C79D321"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68A58170" w14:textId="6A8D298A"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本条款不适用于现代电信市场，在这个市场上，投资由私营公司决定和实施，并将导致竞争性的电信业务批发。</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3063879F" w14:textId="02B2650C" w:rsidR="00AA5C97" w:rsidRPr="00BB146D" w:rsidRDefault="00D74B5A" w:rsidP="00FB62CB">
            <w:pPr>
              <w:rPr>
                <w:rFonts w:ascii="Calibri" w:hAnsi="Calibri" w:cs="Calibri"/>
                <w:sz w:val="20"/>
                <w:lang w:val="en-US" w:eastAsia="zh-CN"/>
              </w:rPr>
            </w:pPr>
            <w:bookmarkStart w:id="6" w:name="lt_pId111"/>
            <w:r w:rsidRPr="00BB146D">
              <w:rPr>
                <w:rFonts w:ascii="Calibri" w:hAnsi="Calibri" w:cs="Calibri"/>
                <w:sz w:val="20"/>
                <w:lang w:eastAsia="zh-CN"/>
              </w:rPr>
              <w:t>在现代电信环境中，新趋势和新出现的</w:t>
            </w:r>
            <w:r w:rsidR="00FC1181" w:rsidRPr="00BB146D">
              <w:rPr>
                <w:rFonts w:ascii="Calibri" w:hAnsi="Calibri" w:cs="Calibri"/>
                <w:sz w:val="20"/>
                <w:lang w:eastAsia="zh-CN"/>
              </w:rPr>
              <w:t>网络</w:t>
            </w:r>
            <w:r w:rsidRPr="00BB146D">
              <w:rPr>
                <w:rFonts w:ascii="Calibri" w:hAnsi="Calibri" w:cs="Calibri"/>
                <w:sz w:val="20"/>
                <w:lang w:eastAsia="zh-CN"/>
              </w:rPr>
              <w:t>问题是通过运营机构之间的相互协议直接管理的。</w:t>
            </w:r>
            <w:bookmarkEnd w:id="6"/>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7556A1BF" w14:textId="77777777" w:rsidR="00AA5C97" w:rsidRPr="00BB146D" w:rsidRDefault="00AA5C97" w:rsidP="00FB62CB">
            <w:pPr>
              <w:rPr>
                <w:rFonts w:ascii="Calibri" w:hAnsi="Calibri" w:cs="Calibri"/>
                <w:sz w:val="20"/>
                <w:lang w:val="en-US" w:eastAsia="zh-CN"/>
              </w:rPr>
            </w:pPr>
          </w:p>
        </w:tc>
      </w:tr>
      <w:tr w:rsidR="00AA5C97" w:rsidRPr="00E07523" w14:paraId="2D47DC19" w14:textId="77777777" w:rsidTr="000E3457">
        <w:trPr>
          <w:cantSplit/>
          <w:trHeight w:val="51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58370736" w14:textId="77777777" w:rsidR="00AA5C97" w:rsidRPr="00BB146D" w:rsidRDefault="00AA5C97" w:rsidP="00FB62CB">
            <w:pPr>
              <w:jc w:val="center"/>
              <w:rPr>
                <w:rFonts w:ascii="Calibri" w:hAnsi="Calibri" w:cs="Calibri"/>
                <w:sz w:val="20"/>
                <w:lang w:val="en-US" w:eastAsia="zh-CN"/>
              </w:rPr>
            </w:pP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521C78A2" w14:textId="53477BB5" w:rsidR="00AA5C97" w:rsidRPr="00BB146D" w:rsidRDefault="00AA5C97" w:rsidP="00FB62CB">
            <w:pPr>
              <w:rPr>
                <w:rFonts w:ascii="Calibri" w:hAnsi="Calibri" w:cs="Calibri"/>
                <w:b/>
                <w:sz w:val="20"/>
                <w:lang w:val="en-US"/>
              </w:rPr>
            </w:pPr>
            <w:r w:rsidRPr="00BB146D">
              <w:rPr>
                <w:rFonts w:ascii="Calibri" w:hAnsi="Calibri" w:cs="Calibri"/>
                <w:b/>
                <w:sz w:val="20"/>
                <w:lang w:val="en-US"/>
              </w:rPr>
              <w:t>8.2</w:t>
            </w:r>
            <w:r w:rsidR="00BD73DC" w:rsidRPr="00BB146D">
              <w:rPr>
                <w:rFonts w:ascii="Calibri" w:hAnsi="Calibri" w:cs="Calibri"/>
                <w:b/>
                <w:sz w:val="20"/>
                <w:lang w:val="en-US"/>
              </w:rPr>
              <w:t xml:space="preserve"> </w:t>
            </w:r>
            <w:r w:rsidR="00BD73DC" w:rsidRPr="00BB146D">
              <w:rPr>
                <w:rFonts w:ascii="Calibri" w:hAnsi="Calibri" w:cs="Calibri"/>
                <w:b/>
                <w:sz w:val="20"/>
                <w:lang w:val="en-US"/>
              </w:rPr>
              <w:t>结算价原则</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294CCCC6" w14:textId="77777777" w:rsidR="00AA5C97" w:rsidRPr="00BB146D" w:rsidRDefault="00AA5C97" w:rsidP="00FB62CB">
            <w:pPr>
              <w:rPr>
                <w:rFonts w:ascii="Calibri" w:hAnsi="Calibri" w:cs="Calibri"/>
                <w:sz w:val="20"/>
                <w:lang w:val="en-US"/>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02588D51" w14:textId="77777777" w:rsidR="00AA5C97" w:rsidRPr="00BB146D" w:rsidRDefault="00AA5C97" w:rsidP="00FB62CB">
            <w:pPr>
              <w:rPr>
                <w:rFonts w:ascii="Calibri" w:hAnsi="Calibri" w:cs="Calibri"/>
                <w:sz w:val="20"/>
                <w:lang w:val="en-US"/>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1A32178C" w14:textId="77777777" w:rsidR="00AA5C97" w:rsidRPr="00BB146D" w:rsidRDefault="00AA5C97" w:rsidP="00FB62CB">
            <w:pPr>
              <w:rPr>
                <w:rFonts w:ascii="Calibri" w:hAnsi="Calibri" w:cs="Calibri"/>
                <w:sz w:val="20"/>
                <w:lang w:val="en-US"/>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0EBE1567" w14:textId="77777777" w:rsidR="00AA5C97" w:rsidRPr="00BB146D" w:rsidRDefault="00AA5C97" w:rsidP="00FB62CB">
            <w:pPr>
              <w:rPr>
                <w:rFonts w:ascii="Calibri" w:hAnsi="Calibri" w:cs="Calibri"/>
                <w:sz w:val="20"/>
              </w:rPr>
            </w:pPr>
          </w:p>
        </w:tc>
      </w:tr>
      <w:tr w:rsidR="00AA5C97" w:rsidRPr="00E07523" w14:paraId="7865D0EB"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38D37017" w14:textId="77777777" w:rsidR="00AA5C97" w:rsidRPr="00BB146D" w:rsidRDefault="00AA5C97" w:rsidP="00FB62CB">
            <w:pPr>
              <w:jc w:val="center"/>
              <w:rPr>
                <w:rFonts w:ascii="Calibri" w:hAnsi="Calibri" w:cs="Calibri"/>
                <w:sz w:val="20"/>
              </w:rPr>
            </w:pPr>
            <w:r w:rsidRPr="00BB146D">
              <w:rPr>
                <w:rFonts w:ascii="Calibri" w:hAnsi="Calibri" w:cs="Calibri"/>
                <w:sz w:val="20"/>
              </w:rPr>
              <w:t>8.2.1</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2280075C" w14:textId="45DD1748"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下列规定可适用于通过符合国家监管规定的结算价原则确定的国际电信业务安排的条款与条件。这些条款不适用于通过商业协议做出的安排。</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24A72891"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3BCC1BD7" w14:textId="65D6851C"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本条款的适用范围非常有限，因为其不包括在现代电信环境中占大多数的商业协议。</w:t>
            </w:r>
          </w:p>
          <w:p w14:paraId="2054E6CB" w14:textId="1A66FC6A"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此外，</w:t>
            </w:r>
            <w:r w:rsidR="00D74B5A" w:rsidRPr="00BB146D">
              <w:rPr>
                <w:rFonts w:ascii="Calibri" w:hAnsi="Calibri" w:cs="Calibri"/>
                <w:sz w:val="20"/>
                <w:lang w:eastAsia="zh-CN"/>
              </w:rPr>
              <w:t>这项规定在</w:t>
            </w:r>
            <w:r w:rsidR="0018683E" w:rsidRPr="00BB146D">
              <w:rPr>
                <w:rFonts w:ascii="Calibri" w:hAnsi="Calibri" w:cs="Calibri"/>
                <w:sz w:val="20"/>
                <w:lang w:eastAsia="zh-CN"/>
              </w:rPr>
              <w:t>国际公约</w:t>
            </w:r>
            <w:r w:rsidR="00D74B5A" w:rsidRPr="00BB146D">
              <w:rPr>
                <w:rFonts w:ascii="Calibri" w:hAnsi="Calibri" w:cs="Calibri"/>
                <w:sz w:val="20"/>
                <w:lang w:eastAsia="zh-CN"/>
              </w:rPr>
              <w:t>中是不相关的，因为</w:t>
            </w:r>
            <w:r w:rsidR="0018683E" w:rsidRPr="00BB146D">
              <w:rPr>
                <w:rFonts w:ascii="Calibri" w:hAnsi="Calibri" w:cs="Calibri"/>
                <w:sz w:val="20"/>
                <w:lang w:eastAsia="zh-CN"/>
              </w:rPr>
              <w:t>其</w:t>
            </w:r>
            <w:r w:rsidR="00BB146D" w:rsidRPr="00BB146D">
              <w:rPr>
                <w:rFonts w:ascii="SimSun" w:eastAsia="SimSun" w:hAnsi="SimSun" w:cs="Calibri"/>
                <w:sz w:val="20"/>
                <w:lang w:eastAsia="zh-CN"/>
              </w:rPr>
              <w:t>“</w:t>
            </w:r>
            <w:r w:rsidR="0018683E" w:rsidRPr="00BB146D">
              <w:rPr>
                <w:rFonts w:ascii="Calibri" w:hAnsi="Calibri" w:cs="Calibri"/>
                <w:sz w:val="20"/>
                <w:lang w:eastAsia="zh-CN"/>
              </w:rPr>
              <w:t>受制于国内法</w:t>
            </w:r>
            <w:r w:rsidR="00BB146D" w:rsidRPr="00BB146D">
              <w:rPr>
                <w:rFonts w:ascii="SimSun" w:eastAsia="SimSun" w:hAnsi="SimSun" w:cs="Calibri"/>
                <w:sz w:val="20"/>
                <w:lang w:eastAsia="zh-CN"/>
              </w:rPr>
              <w:t>”</w:t>
            </w:r>
            <w:r w:rsidR="00D74B5A" w:rsidRPr="00BB146D">
              <w:rPr>
                <w:rFonts w:ascii="Calibri" w:hAnsi="Calibri" w:cs="Calibri"/>
                <w:sz w:val="20"/>
                <w:lang w:eastAsia="zh-CN"/>
              </w:rPr>
              <w:t>。</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7426AB7F" w14:textId="39E4100D"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本条款不具灵活性，因为其不包括在现代电信环境中占大多数的商业协议。</w:t>
            </w:r>
          </w:p>
          <w:p w14:paraId="0A8E185B" w14:textId="7D6346A2"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此外，</w:t>
            </w:r>
            <w:r w:rsidR="00D74B5A" w:rsidRPr="00BB146D">
              <w:rPr>
                <w:rFonts w:ascii="Calibri" w:hAnsi="Calibri" w:cs="Calibri"/>
                <w:sz w:val="20"/>
                <w:lang w:eastAsia="zh-CN"/>
              </w:rPr>
              <w:t>这项规定在</w:t>
            </w:r>
            <w:r w:rsidR="0018683E" w:rsidRPr="00BB146D">
              <w:rPr>
                <w:rFonts w:ascii="Calibri" w:hAnsi="Calibri" w:cs="Calibri"/>
                <w:sz w:val="20"/>
                <w:lang w:eastAsia="zh-CN"/>
              </w:rPr>
              <w:t>国际公约</w:t>
            </w:r>
            <w:r w:rsidR="00D74B5A" w:rsidRPr="00BB146D">
              <w:rPr>
                <w:rFonts w:ascii="Calibri" w:hAnsi="Calibri" w:cs="Calibri"/>
                <w:sz w:val="20"/>
                <w:lang w:eastAsia="zh-CN"/>
              </w:rPr>
              <w:t>中是不相关的，因为</w:t>
            </w:r>
            <w:r w:rsidR="0018683E" w:rsidRPr="00BB146D">
              <w:rPr>
                <w:rFonts w:ascii="Calibri" w:hAnsi="Calibri" w:cs="Calibri"/>
                <w:sz w:val="20"/>
                <w:lang w:eastAsia="zh-CN"/>
              </w:rPr>
              <w:t>其</w:t>
            </w:r>
            <w:r w:rsidR="00BB146D" w:rsidRPr="00BB146D">
              <w:rPr>
                <w:rFonts w:ascii="SimSun" w:eastAsia="SimSun" w:hAnsi="SimSun" w:cs="Calibri"/>
                <w:sz w:val="20"/>
                <w:lang w:eastAsia="zh-CN"/>
              </w:rPr>
              <w:t>“</w:t>
            </w:r>
            <w:r w:rsidR="0018683E" w:rsidRPr="00BB146D">
              <w:rPr>
                <w:rFonts w:ascii="Calibri" w:hAnsi="Calibri" w:cs="Calibri"/>
                <w:sz w:val="20"/>
                <w:lang w:eastAsia="zh-CN"/>
              </w:rPr>
              <w:t>受制于国内法</w:t>
            </w:r>
            <w:r w:rsidR="00BB146D" w:rsidRPr="00BB146D">
              <w:rPr>
                <w:rFonts w:ascii="SimSun" w:eastAsia="SimSun" w:hAnsi="SimSun" w:cs="Calibri"/>
                <w:sz w:val="20"/>
                <w:lang w:eastAsia="zh-CN"/>
              </w:rPr>
              <w:t>”</w:t>
            </w:r>
            <w:r w:rsidR="00D74B5A" w:rsidRPr="00BB146D">
              <w:rPr>
                <w:rFonts w:ascii="Calibri" w:hAnsi="Calibri" w:cs="Calibri"/>
                <w:sz w:val="20"/>
                <w:lang w:eastAsia="zh-CN"/>
              </w:rPr>
              <w:t>。</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08492039" w14:textId="77777777" w:rsidR="00AA5C97" w:rsidRPr="00BB146D" w:rsidRDefault="00AA5C97" w:rsidP="00FB62CB">
            <w:pPr>
              <w:rPr>
                <w:rFonts w:ascii="Calibri" w:hAnsi="Calibri" w:cs="Calibri"/>
                <w:sz w:val="20"/>
                <w:lang w:val="en-US" w:eastAsia="zh-CN"/>
              </w:rPr>
            </w:pPr>
          </w:p>
        </w:tc>
      </w:tr>
      <w:tr w:rsidR="00AA5C97" w:rsidRPr="00E07523" w14:paraId="318C734C"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750CB9A2" w14:textId="77777777" w:rsidR="00AA5C97" w:rsidRPr="00BB146D" w:rsidRDefault="00AA5C97" w:rsidP="00FB62CB">
            <w:pPr>
              <w:jc w:val="center"/>
              <w:rPr>
                <w:rFonts w:ascii="Calibri" w:hAnsi="Calibri" w:cs="Calibri"/>
                <w:sz w:val="20"/>
              </w:rPr>
            </w:pPr>
            <w:r w:rsidRPr="00BB146D">
              <w:rPr>
                <w:rFonts w:ascii="Calibri" w:hAnsi="Calibri" w:cs="Calibri"/>
                <w:sz w:val="20"/>
              </w:rPr>
              <w:lastRenderedPageBreak/>
              <w:t>8.2.2</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043A7C35" w14:textId="2C3A3F7B"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对某通信关系中各种适用的业务，经授权的运营机构须根据附录</w:t>
            </w:r>
            <w:r w:rsidRPr="00BB146D">
              <w:rPr>
                <w:rFonts w:ascii="Calibri" w:hAnsi="Calibri" w:cs="Calibri"/>
                <w:sz w:val="20"/>
                <w:lang w:val="en-US" w:eastAsia="zh-CN"/>
              </w:rPr>
              <w:t>1</w:t>
            </w:r>
            <w:r w:rsidRPr="00BB146D">
              <w:rPr>
                <w:rFonts w:ascii="Calibri" w:hAnsi="Calibri" w:cs="Calibri"/>
                <w:sz w:val="20"/>
                <w:lang w:val="en-US" w:eastAsia="zh-CN"/>
              </w:rPr>
              <w:t>各项规定并考虑相关</w:t>
            </w:r>
            <w:r w:rsidRPr="00BB146D">
              <w:rPr>
                <w:rFonts w:ascii="Calibri" w:hAnsi="Calibri" w:cs="Calibri"/>
                <w:sz w:val="20"/>
                <w:lang w:val="en-US" w:eastAsia="zh-CN"/>
              </w:rPr>
              <w:t>ITU-T</w:t>
            </w:r>
            <w:r w:rsidRPr="00BB146D">
              <w:rPr>
                <w:rFonts w:ascii="Calibri" w:hAnsi="Calibri" w:cs="Calibri"/>
                <w:sz w:val="20"/>
                <w:lang w:val="en-US" w:eastAsia="zh-CN"/>
              </w:rPr>
              <w:t>建议书，通过相互间协议制定和修改结算价。</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52BBB693"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0657FD86" w14:textId="17BA2E45"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本条款的适用范围非常有限，因为其不包括在现代电信环境中占大多数的商业协议。</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78A5A22B" w14:textId="06AE2FB5"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本条款不具灵活性，因为其不包括在现代电信环境中占大多数的商业协议。</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054B3712" w14:textId="77777777" w:rsidR="00AA5C97" w:rsidRPr="00BB146D" w:rsidRDefault="00AA5C97" w:rsidP="00FB62CB">
            <w:pPr>
              <w:rPr>
                <w:rFonts w:ascii="Calibri" w:hAnsi="Calibri" w:cs="Calibri"/>
                <w:sz w:val="20"/>
                <w:lang w:val="en-US" w:eastAsia="zh-CN"/>
              </w:rPr>
            </w:pPr>
          </w:p>
        </w:tc>
      </w:tr>
      <w:tr w:rsidR="00AA5C97" w:rsidRPr="00E07523" w14:paraId="7742578A"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74300891" w14:textId="77777777" w:rsidR="00AA5C97" w:rsidRPr="00BB146D" w:rsidRDefault="00AA5C97" w:rsidP="00FB62CB">
            <w:pPr>
              <w:jc w:val="center"/>
              <w:rPr>
                <w:rFonts w:ascii="Calibri" w:hAnsi="Calibri" w:cs="Calibri"/>
                <w:sz w:val="20"/>
              </w:rPr>
            </w:pPr>
            <w:r w:rsidRPr="00BB146D">
              <w:rPr>
                <w:rFonts w:ascii="Calibri" w:hAnsi="Calibri" w:cs="Calibri"/>
                <w:sz w:val="20"/>
              </w:rPr>
              <w:t>8.2.3</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71C59A55" w14:textId="7536FC0B"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除另有协议外，提供国际电信业务的各方均须遵守附录</w:t>
            </w:r>
            <w:r w:rsidRPr="00BB146D">
              <w:rPr>
                <w:rFonts w:ascii="Calibri" w:hAnsi="Calibri" w:cs="Calibri"/>
                <w:sz w:val="20"/>
                <w:lang w:val="en-US" w:eastAsia="zh-CN"/>
              </w:rPr>
              <w:t>1</w:t>
            </w:r>
            <w:r w:rsidRPr="00BB146D">
              <w:rPr>
                <w:rFonts w:ascii="Calibri" w:hAnsi="Calibri" w:cs="Calibri"/>
                <w:sz w:val="20"/>
                <w:lang w:val="en-US" w:eastAsia="zh-CN"/>
              </w:rPr>
              <w:t>和</w:t>
            </w:r>
            <w:r w:rsidRPr="00BB146D">
              <w:rPr>
                <w:rFonts w:ascii="Calibri" w:hAnsi="Calibri" w:cs="Calibri"/>
                <w:sz w:val="20"/>
                <w:lang w:val="en-US" w:eastAsia="zh-CN"/>
              </w:rPr>
              <w:t>2</w:t>
            </w:r>
            <w:r w:rsidRPr="00BB146D">
              <w:rPr>
                <w:rFonts w:ascii="Calibri" w:hAnsi="Calibri" w:cs="Calibri"/>
                <w:sz w:val="20"/>
                <w:lang w:val="en-US" w:eastAsia="zh-CN"/>
              </w:rPr>
              <w:t>的各项规定。</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44BEB23A"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62C844F1" w14:textId="48D4FB7D"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本条款的适用范围非常有限，因为其不包括在现代电信环境中占大多数的商业协议。</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3809C4A4" w14:textId="4C21226A"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本条款不具灵活性，因为其不包括在现代电信环境中占大多数的商业协议。</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69C9A16A" w14:textId="77777777" w:rsidR="00AA5C97" w:rsidRPr="00BB146D" w:rsidRDefault="00AA5C97" w:rsidP="00FB62CB">
            <w:pPr>
              <w:rPr>
                <w:rFonts w:ascii="Calibri" w:hAnsi="Calibri" w:cs="Calibri"/>
                <w:sz w:val="20"/>
                <w:lang w:val="en-US" w:eastAsia="zh-CN"/>
              </w:rPr>
            </w:pPr>
          </w:p>
        </w:tc>
      </w:tr>
      <w:tr w:rsidR="00AA5C97" w:rsidRPr="00E07523" w14:paraId="326D278A"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72548E3" w14:textId="77777777" w:rsidR="00AA5C97" w:rsidRPr="00BB146D" w:rsidRDefault="00AA5C97" w:rsidP="00FB62CB">
            <w:pPr>
              <w:jc w:val="center"/>
              <w:rPr>
                <w:rFonts w:ascii="Calibri" w:hAnsi="Calibri" w:cs="Calibri"/>
                <w:sz w:val="20"/>
              </w:rPr>
            </w:pPr>
            <w:r w:rsidRPr="00BB146D">
              <w:rPr>
                <w:rFonts w:ascii="Calibri" w:hAnsi="Calibri" w:cs="Calibri"/>
                <w:sz w:val="20"/>
              </w:rPr>
              <w:t>8.2.4</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7C69FAC3" w14:textId="5AD3908F" w:rsidR="00AA5C97" w:rsidRPr="00BB146D" w:rsidRDefault="00BD73DC" w:rsidP="00FB62CB">
            <w:pPr>
              <w:rPr>
                <w:rFonts w:ascii="Calibri" w:hAnsi="Calibri" w:cs="Calibri"/>
                <w:sz w:val="20"/>
                <w:lang w:val="en-US" w:eastAsia="zh-CN"/>
              </w:rPr>
            </w:pPr>
            <w:r w:rsidRPr="00BB146D">
              <w:rPr>
                <w:rFonts w:ascii="Calibri" w:hAnsi="Calibri" w:cs="Calibri"/>
                <w:sz w:val="20"/>
                <w:lang w:val="en-US" w:eastAsia="zh-CN"/>
              </w:rPr>
              <w:t>如果经授权的运营机构之间没有特别安排，则用于国际电信业务结算价和用于国际账目编制的货币单位须为：</w:t>
            </w:r>
          </w:p>
          <w:p w14:paraId="08C603ED" w14:textId="06BBC5E2" w:rsidR="00AA5C97" w:rsidRPr="00BB146D" w:rsidRDefault="00AA5C97" w:rsidP="00FB62CB">
            <w:pPr>
              <w:rPr>
                <w:rFonts w:ascii="Calibri" w:hAnsi="Calibri" w:cs="Calibri"/>
                <w:sz w:val="20"/>
                <w:lang w:val="en-US" w:eastAsia="zh-CN"/>
              </w:rPr>
            </w:pPr>
            <w:r w:rsidRPr="00BB146D">
              <w:rPr>
                <w:rFonts w:ascii="Calibri" w:hAnsi="Calibri" w:cs="Calibri"/>
                <w:sz w:val="20"/>
                <w:lang w:val="en-US" w:eastAsia="zh-CN"/>
              </w:rPr>
              <w:t>–</w:t>
            </w:r>
            <w:r w:rsidRPr="00BB146D">
              <w:rPr>
                <w:rFonts w:ascii="Calibri" w:hAnsi="Calibri" w:cs="Calibri"/>
                <w:sz w:val="20"/>
                <w:lang w:val="en-US" w:eastAsia="zh-CN"/>
              </w:rPr>
              <w:tab/>
            </w:r>
            <w:r w:rsidR="00DE07E6" w:rsidRPr="00BB146D">
              <w:rPr>
                <w:rFonts w:ascii="Calibri" w:hAnsi="Calibri" w:cs="Calibri"/>
                <w:sz w:val="20"/>
                <w:lang w:val="en-US" w:eastAsia="zh-CN"/>
              </w:rPr>
              <w:t>国际货币基金组织（</w:t>
            </w:r>
            <w:r w:rsidR="00DE07E6" w:rsidRPr="00BB146D">
              <w:rPr>
                <w:rFonts w:ascii="Calibri" w:hAnsi="Calibri" w:cs="Calibri"/>
                <w:sz w:val="20"/>
                <w:lang w:val="en-US" w:eastAsia="zh-CN"/>
              </w:rPr>
              <w:t>IMF</w:t>
            </w:r>
            <w:r w:rsidR="00DE07E6" w:rsidRPr="00BB146D">
              <w:rPr>
                <w:rFonts w:ascii="Calibri" w:hAnsi="Calibri" w:cs="Calibri"/>
                <w:sz w:val="20"/>
                <w:lang w:val="en-US" w:eastAsia="zh-CN"/>
              </w:rPr>
              <w:t>）的货币单位，即，目前该组织确定的特别提款权（</w:t>
            </w:r>
            <w:r w:rsidR="00DE07E6" w:rsidRPr="00BB146D">
              <w:rPr>
                <w:rFonts w:ascii="Calibri" w:hAnsi="Calibri" w:cs="Calibri"/>
                <w:sz w:val="20"/>
                <w:lang w:val="en-US" w:eastAsia="zh-CN"/>
              </w:rPr>
              <w:t>SDR</w:t>
            </w:r>
            <w:r w:rsidR="00DE07E6" w:rsidRPr="00BB146D">
              <w:rPr>
                <w:rFonts w:ascii="Calibri" w:hAnsi="Calibri" w:cs="Calibri"/>
                <w:sz w:val="20"/>
                <w:lang w:val="en-US" w:eastAsia="zh-CN"/>
              </w:rPr>
              <w:t>）；</w:t>
            </w:r>
          </w:p>
          <w:p w14:paraId="2F9162F5" w14:textId="49BABD00" w:rsidR="00AA5C97" w:rsidRPr="00BB146D" w:rsidRDefault="00AA5C97" w:rsidP="00FB62CB">
            <w:pPr>
              <w:rPr>
                <w:rFonts w:ascii="Calibri" w:hAnsi="Calibri" w:cs="Calibri"/>
                <w:sz w:val="20"/>
                <w:lang w:val="en-US" w:eastAsia="zh-CN"/>
              </w:rPr>
            </w:pPr>
            <w:r w:rsidRPr="00BB146D">
              <w:rPr>
                <w:rFonts w:ascii="Calibri" w:hAnsi="Calibri" w:cs="Calibri"/>
                <w:sz w:val="20"/>
                <w:lang w:val="en-US" w:eastAsia="zh-CN"/>
              </w:rPr>
              <w:t>–</w:t>
            </w:r>
            <w:r w:rsidRPr="00BB146D">
              <w:rPr>
                <w:rFonts w:ascii="Calibri" w:hAnsi="Calibri" w:cs="Calibri"/>
                <w:sz w:val="20"/>
                <w:lang w:val="en-US" w:eastAsia="zh-CN"/>
              </w:rPr>
              <w:tab/>
            </w:r>
            <w:r w:rsidR="00DE07E6" w:rsidRPr="00BB146D">
              <w:rPr>
                <w:rFonts w:ascii="Calibri" w:hAnsi="Calibri" w:cs="Calibri"/>
                <w:sz w:val="20"/>
                <w:lang w:val="en-US" w:eastAsia="zh-CN"/>
              </w:rPr>
              <w:t>或是可自由兑换货币或经授权的运营机构协商一致的其它货币单位。</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778E0BE5"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1F6B478E" w14:textId="5A4EF93A"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本条款的适用范围非常有限，因为其不包括在现代电信环境中占大多数的商业协议。</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71A4D3B2" w14:textId="516AF332"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本条款不具灵活性，因为其不包括在现代电信环境中占大多数的商业协议。</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5B5A4DF2" w14:textId="77777777" w:rsidR="00AA5C97" w:rsidRPr="00BB146D" w:rsidRDefault="00AA5C97" w:rsidP="00FB62CB">
            <w:pPr>
              <w:rPr>
                <w:rFonts w:ascii="Calibri" w:hAnsi="Calibri" w:cs="Calibri"/>
                <w:sz w:val="20"/>
                <w:lang w:val="en-US" w:eastAsia="zh-CN"/>
              </w:rPr>
            </w:pPr>
          </w:p>
        </w:tc>
      </w:tr>
      <w:tr w:rsidR="00AA5C97" w:rsidRPr="00E07523" w14:paraId="1E1FE917"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0929ED2" w14:textId="77777777" w:rsidR="00AA5C97" w:rsidRPr="00BB146D" w:rsidRDefault="00AA5C97" w:rsidP="00FB62CB">
            <w:pPr>
              <w:jc w:val="center"/>
              <w:rPr>
                <w:rFonts w:ascii="Calibri" w:hAnsi="Calibri" w:cs="Calibri"/>
                <w:sz w:val="20"/>
              </w:rPr>
            </w:pPr>
            <w:r w:rsidRPr="00BB146D">
              <w:rPr>
                <w:rFonts w:ascii="Calibri" w:hAnsi="Calibri" w:cs="Calibri"/>
                <w:sz w:val="20"/>
              </w:rPr>
              <w:t>8.2.5</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33E38EEB" w14:textId="7037A9C6" w:rsidR="00AA5C97" w:rsidRPr="00BB146D" w:rsidRDefault="00DE07E6" w:rsidP="00FB62CB">
            <w:pPr>
              <w:rPr>
                <w:rFonts w:ascii="Calibri" w:hAnsi="Calibri" w:cs="Calibri"/>
                <w:sz w:val="20"/>
                <w:lang w:val="en-US" w:eastAsia="zh-CN"/>
              </w:rPr>
            </w:pPr>
            <w:r w:rsidRPr="00BB146D">
              <w:rPr>
                <w:rFonts w:ascii="Calibri" w:hAnsi="Calibri" w:cs="Calibri"/>
                <w:sz w:val="20"/>
                <w:lang w:val="en-US" w:eastAsia="zh-CN"/>
              </w:rPr>
              <w:t>某通信关系中，不管为该通信选择了何种国际路由，向用户收取的特定通信资费原则上应当相同。在制定这些资费时，成员国应尽量避免适用于同一通信关系来去方向的资费不对称。</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3BEEA2CA"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4CE7FBEB" w14:textId="234988D1"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本条款的适用范围非常有限，因为其不包括在现代电信环境中占大多数的商业协议。</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7AB84CB8" w14:textId="25903EA8"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本条款不具灵活性，因为其不包括在现代电信环境中占大多数的商业协议。</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0B6433B2" w14:textId="77777777" w:rsidR="00AA5C97" w:rsidRPr="00BB146D" w:rsidRDefault="00AA5C97" w:rsidP="00FB62CB">
            <w:pPr>
              <w:rPr>
                <w:rFonts w:ascii="Calibri" w:hAnsi="Calibri" w:cs="Calibri"/>
                <w:sz w:val="20"/>
                <w:lang w:val="en-US" w:eastAsia="zh-CN"/>
              </w:rPr>
            </w:pPr>
          </w:p>
        </w:tc>
      </w:tr>
      <w:tr w:rsidR="00AA5C97" w:rsidRPr="00E07523" w14:paraId="2079CF5D" w14:textId="77777777" w:rsidTr="000E3457">
        <w:trPr>
          <w:cantSplit/>
          <w:trHeight w:val="358"/>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93DDE63" w14:textId="77777777" w:rsidR="00AA5C97" w:rsidRPr="00BB146D" w:rsidRDefault="00AA5C97" w:rsidP="00FB62CB">
            <w:pPr>
              <w:jc w:val="center"/>
              <w:rPr>
                <w:rFonts w:ascii="Calibri" w:hAnsi="Calibri" w:cs="Calibri"/>
                <w:sz w:val="20"/>
                <w:lang w:val="en-US" w:eastAsia="zh-CN"/>
              </w:rPr>
            </w:pP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65895D4B" w14:textId="1C435889" w:rsidR="00AA5C97" w:rsidRPr="00BB146D" w:rsidRDefault="00AA5C97" w:rsidP="00FB62CB">
            <w:pPr>
              <w:rPr>
                <w:rFonts w:ascii="Calibri" w:hAnsi="Calibri" w:cs="Calibri"/>
                <w:b/>
                <w:sz w:val="20"/>
                <w:lang w:val="en-US"/>
              </w:rPr>
            </w:pPr>
            <w:r w:rsidRPr="00BB146D">
              <w:rPr>
                <w:rFonts w:ascii="Calibri" w:hAnsi="Calibri" w:cs="Calibri"/>
                <w:b/>
                <w:sz w:val="20"/>
                <w:lang w:val="en-US"/>
              </w:rPr>
              <w:t>8.3</w:t>
            </w:r>
            <w:r w:rsidR="00DE07E6" w:rsidRPr="00BB146D">
              <w:rPr>
                <w:rFonts w:ascii="Calibri" w:hAnsi="Calibri" w:cs="Calibri"/>
                <w:b/>
                <w:sz w:val="20"/>
                <w:lang w:val="en-US"/>
              </w:rPr>
              <w:t>征税</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61CD0493" w14:textId="77777777" w:rsidR="00AA5C97" w:rsidRPr="00BB146D" w:rsidRDefault="00AA5C97" w:rsidP="00FB62CB">
            <w:pPr>
              <w:rPr>
                <w:rFonts w:ascii="Calibri" w:hAnsi="Calibri" w:cs="Calibri"/>
                <w:sz w:val="20"/>
                <w:lang w:val="en-US"/>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11355EAF" w14:textId="77777777" w:rsidR="00AA5C97" w:rsidRPr="00BB146D" w:rsidRDefault="00AA5C97" w:rsidP="00FB62CB">
            <w:pPr>
              <w:rPr>
                <w:rFonts w:ascii="Calibri" w:hAnsi="Calibri" w:cs="Calibri"/>
                <w:sz w:val="20"/>
                <w:lang w:val="en-US"/>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477E2CE6" w14:textId="77777777" w:rsidR="00AA5C97" w:rsidRPr="00BB146D" w:rsidRDefault="00AA5C97" w:rsidP="00FB62CB">
            <w:pPr>
              <w:rPr>
                <w:rFonts w:ascii="Calibri" w:hAnsi="Calibri" w:cs="Calibri"/>
                <w:sz w:val="20"/>
                <w:lang w:val="en-US"/>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4E8D5EC7" w14:textId="77777777" w:rsidR="00AA5C97" w:rsidRPr="00BB146D" w:rsidRDefault="00AA5C97" w:rsidP="00FB62CB">
            <w:pPr>
              <w:rPr>
                <w:rFonts w:ascii="Calibri" w:hAnsi="Calibri" w:cs="Calibri"/>
                <w:sz w:val="20"/>
                <w:lang w:val="en-US"/>
              </w:rPr>
            </w:pPr>
          </w:p>
        </w:tc>
      </w:tr>
      <w:tr w:rsidR="00AA5C97" w:rsidRPr="00E07523" w14:paraId="220FBDD3"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7C14D8CE" w14:textId="77777777" w:rsidR="00AA5C97" w:rsidRPr="00BB146D" w:rsidRDefault="00AA5C97" w:rsidP="00FB62CB">
            <w:pPr>
              <w:jc w:val="center"/>
              <w:rPr>
                <w:rFonts w:ascii="Calibri" w:hAnsi="Calibri" w:cs="Calibri"/>
                <w:sz w:val="20"/>
              </w:rPr>
            </w:pPr>
            <w:r w:rsidRPr="00BB146D">
              <w:rPr>
                <w:rFonts w:ascii="Calibri" w:hAnsi="Calibri" w:cs="Calibri"/>
                <w:sz w:val="20"/>
              </w:rPr>
              <w:lastRenderedPageBreak/>
              <w:t>8.3.1</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46CE559D" w14:textId="1F3A5408" w:rsidR="00AA5C97" w:rsidRPr="00BB146D" w:rsidRDefault="00DE07E6" w:rsidP="00FB62CB">
            <w:pPr>
              <w:rPr>
                <w:rFonts w:ascii="Calibri" w:hAnsi="Calibri" w:cs="Calibri"/>
                <w:sz w:val="20"/>
                <w:lang w:val="en-US" w:eastAsia="zh-CN"/>
              </w:rPr>
            </w:pPr>
            <w:r w:rsidRPr="00BB146D">
              <w:rPr>
                <w:rFonts w:ascii="Calibri" w:hAnsi="Calibri" w:cs="Calibri"/>
                <w:sz w:val="20"/>
                <w:lang w:val="en-US" w:eastAsia="zh-CN"/>
              </w:rPr>
              <w:t>根据某国国内法律对国际电信业务收取费征收财政税时，除针对特殊情况另有安排外，该税款通常仅限于向该国用户付费的国际电信业务收取。</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74B74EC2"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375569CE" w14:textId="704BDA2C" w:rsidR="00AA5C97" w:rsidRPr="00BB146D" w:rsidRDefault="00FC1181" w:rsidP="00FB62CB">
            <w:pPr>
              <w:rPr>
                <w:rFonts w:ascii="Calibri" w:hAnsi="Calibri" w:cs="Calibri"/>
                <w:sz w:val="20"/>
                <w:lang w:val="en-US" w:eastAsia="zh-CN"/>
              </w:rPr>
            </w:pPr>
            <w:r w:rsidRPr="00BB146D">
              <w:rPr>
                <w:rFonts w:ascii="Calibri" w:hAnsi="Calibri" w:cs="Calibri"/>
                <w:sz w:val="20"/>
                <w:lang w:val="en-US" w:eastAsia="zh-CN"/>
              </w:rPr>
              <w:t>这一条款不适用，因为随着电信环境的发展，不清楚将来是否会出现特殊情况。</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62C8CB17" w14:textId="28FDCA43" w:rsidR="00AA5C97" w:rsidRPr="00BB146D" w:rsidRDefault="001B0AEB" w:rsidP="00FB62CB">
            <w:pPr>
              <w:rPr>
                <w:rFonts w:ascii="Calibri" w:hAnsi="Calibri" w:cs="Calibri"/>
                <w:sz w:val="20"/>
                <w:lang w:val="en-US" w:eastAsia="zh-CN"/>
              </w:rPr>
            </w:pPr>
            <w:r w:rsidRPr="00BB146D">
              <w:rPr>
                <w:rFonts w:ascii="Calibri" w:hAnsi="Calibri" w:cs="Calibri"/>
                <w:sz w:val="20"/>
                <w:lang w:val="en-US" w:eastAsia="zh-CN"/>
              </w:rPr>
              <w:t>本条款不具灵活性，因为电信的发展不可预测，人们不清楚将来的特殊情况会是什么。</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4C242798" w14:textId="77777777" w:rsidR="00AA5C97" w:rsidRPr="00BB146D" w:rsidRDefault="00AA5C97" w:rsidP="00FB62CB">
            <w:pPr>
              <w:rPr>
                <w:rFonts w:ascii="Calibri" w:hAnsi="Calibri" w:cs="Calibri"/>
                <w:sz w:val="20"/>
                <w:lang w:val="en-US" w:eastAsia="zh-CN"/>
              </w:rPr>
            </w:pPr>
          </w:p>
        </w:tc>
      </w:tr>
      <w:tr w:rsidR="00AA5C97" w:rsidRPr="00E07523" w14:paraId="44AAD4A7" w14:textId="77777777" w:rsidTr="000E3457">
        <w:trPr>
          <w:cantSplit/>
          <w:trHeight w:val="35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50F205B1" w14:textId="77777777" w:rsidR="00AA5C97" w:rsidRPr="00BB146D" w:rsidRDefault="00AA5C97" w:rsidP="00FB62CB">
            <w:pPr>
              <w:jc w:val="center"/>
              <w:rPr>
                <w:rFonts w:ascii="Calibri" w:hAnsi="Calibri" w:cs="Calibri"/>
                <w:sz w:val="20"/>
                <w:lang w:val="en-US" w:eastAsia="zh-CN"/>
              </w:rPr>
            </w:pP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6FD1406C" w14:textId="765C54F3" w:rsidR="00AA5C97" w:rsidRPr="00BB146D" w:rsidRDefault="00AA5C97" w:rsidP="00FB62CB">
            <w:pPr>
              <w:rPr>
                <w:rFonts w:ascii="Calibri" w:hAnsi="Calibri" w:cs="Calibri"/>
                <w:b/>
                <w:sz w:val="20"/>
                <w:lang w:val="en-US"/>
              </w:rPr>
            </w:pPr>
            <w:r w:rsidRPr="00BB146D">
              <w:rPr>
                <w:rFonts w:ascii="Calibri" w:hAnsi="Calibri" w:cs="Calibri"/>
                <w:b/>
                <w:sz w:val="20"/>
                <w:lang w:val="en-US"/>
              </w:rPr>
              <w:t>8.4</w:t>
            </w:r>
            <w:r w:rsidR="00DE07E6" w:rsidRPr="00BB146D">
              <w:rPr>
                <w:rFonts w:ascii="Calibri" w:hAnsi="Calibri" w:cs="Calibri"/>
                <w:b/>
                <w:sz w:val="20"/>
                <w:lang w:val="en-US"/>
              </w:rPr>
              <w:t xml:space="preserve"> </w:t>
            </w:r>
            <w:r w:rsidR="00DE07E6" w:rsidRPr="00BB146D">
              <w:rPr>
                <w:rFonts w:ascii="Calibri" w:hAnsi="Calibri" w:cs="Calibri"/>
                <w:b/>
                <w:sz w:val="20"/>
                <w:lang w:val="en-US"/>
              </w:rPr>
              <w:t>公务电信</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49A1695E" w14:textId="77777777" w:rsidR="00AA5C97" w:rsidRPr="00BB146D" w:rsidRDefault="00AA5C97" w:rsidP="00FB62CB">
            <w:pPr>
              <w:rPr>
                <w:rFonts w:ascii="Calibri" w:hAnsi="Calibri" w:cs="Calibri"/>
                <w:sz w:val="20"/>
                <w:lang w:val="en-US"/>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505417FC" w14:textId="77777777" w:rsidR="00AA5C97" w:rsidRPr="00BB146D" w:rsidRDefault="00AA5C97" w:rsidP="00FB62CB">
            <w:pPr>
              <w:rPr>
                <w:rFonts w:ascii="Calibri" w:hAnsi="Calibri" w:cs="Calibri"/>
                <w:sz w:val="20"/>
                <w:lang w:val="en-US"/>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4528FA69" w14:textId="77777777" w:rsidR="00AA5C97" w:rsidRPr="00BB146D" w:rsidRDefault="00AA5C97" w:rsidP="00FB62CB">
            <w:pPr>
              <w:rPr>
                <w:rFonts w:ascii="Calibri" w:hAnsi="Calibri" w:cs="Calibri"/>
                <w:sz w:val="20"/>
                <w:lang w:val="en-US"/>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501B5C25" w14:textId="77777777" w:rsidR="00AA5C97" w:rsidRPr="00BB146D" w:rsidRDefault="00AA5C97" w:rsidP="00FB62CB">
            <w:pPr>
              <w:rPr>
                <w:rFonts w:ascii="Calibri" w:hAnsi="Calibri" w:cs="Calibri"/>
                <w:sz w:val="20"/>
                <w:lang w:val="en-US"/>
              </w:rPr>
            </w:pPr>
          </w:p>
        </w:tc>
      </w:tr>
      <w:tr w:rsidR="00AA5C97" w:rsidRPr="00E07523" w14:paraId="6B843639"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8ACE302" w14:textId="77777777" w:rsidR="00AA5C97" w:rsidRPr="00BB146D" w:rsidRDefault="00AA5C97" w:rsidP="00FB62CB">
            <w:pPr>
              <w:jc w:val="center"/>
              <w:rPr>
                <w:rFonts w:ascii="Calibri" w:hAnsi="Calibri" w:cs="Calibri"/>
                <w:sz w:val="20"/>
              </w:rPr>
            </w:pPr>
            <w:r w:rsidRPr="00BB146D">
              <w:rPr>
                <w:rFonts w:ascii="Calibri" w:hAnsi="Calibri" w:cs="Calibri"/>
                <w:sz w:val="20"/>
              </w:rPr>
              <w:t>8.4.1</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4B8DA37C" w14:textId="5ECE28AF" w:rsidR="00AA5C97" w:rsidRPr="00BB146D" w:rsidRDefault="00DE07E6" w:rsidP="00FB62CB">
            <w:pPr>
              <w:rPr>
                <w:rFonts w:ascii="Calibri" w:hAnsi="Calibri" w:cs="Calibri"/>
                <w:sz w:val="20"/>
                <w:lang w:val="en-US" w:eastAsia="zh-CN"/>
              </w:rPr>
            </w:pPr>
            <w:r w:rsidRPr="00BB146D">
              <w:rPr>
                <w:rFonts w:ascii="Calibri" w:hAnsi="Calibri" w:cs="Calibri"/>
                <w:sz w:val="20"/>
                <w:lang w:val="en-US" w:eastAsia="zh-CN"/>
              </w:rPr>
              <w:t>根据《组织法》、《公约》和本《规则》的有关规定并适当注意互惠安排的需要，经授权的运营机构原则上可不在国际结算中列入公务电信。经授权的运营机构可免费提供公务电信。</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13C5AB22"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2142FE16" w14:textId="768D39CC" w:rsidR="00AA5C97" w:rsidRPr="00BB146D" w:rsidRDefault="001B0AEB" w:rsidP="00FB62CB">
            <w:pPr>
              <w:rPr>
                <w:rFonts w:ascii="Calibri" w:hAnsi="Calibri" w:cs="Calibri"/>
                <w:sz w:val="20"/>
                <w:lang w:val="en-US" w:eastAsia="zh-CN"/>
              </w:rPr>
            </w:pPr>
            <w:r w:rsidRPr="00BB146D">
              <w:rPr>
                <w:rFonts w:ascii="Calibri" w:hAnsi="Calibri" w:cs="Calibri"/>
                <w:sz w:val="20"/>
                <w:lang w:val="en-US" w:eastAsia="zh-CN"/>
              </w:rPr>
              <w:t>本条款涉及机构</w:t>
            </w:r>
            <w:r w:rsidR="00BB146D" w:rsidRPr="00BB146D">
              <w:rPr>
                <w:rFonts w:ascii="SimSun" w:eastAsia="SimSun" w:hAnsi="SimSun" w:cs="Calibri"/>
                <w:sz w:val="20"/>
                <w:lang w:val="en-US" w:eastAsia="zh-CN"/>
              </w:rPr>
              <w:t>“</w:t>
            </w:r>
            <w:r w:rsidRPr="00BB146D">
              <w:rPr>
                <w:rFonts w:ascii="Calibri" w:hAnsi="Calibri" w:cs="Calibri"/>
                <w:sz w:val="20"/>
                <w:lang w:val="en-US" w:eastAsia="zh-CN"/>
              </w:rPr>
              <w:t>可</w:t>
            </w:r>
            <w:r w:rsidR="00BB146D" w:rsidRPr="00BB146D">
              <w:rPr>
                <w:rFonts w:ascii="SimSun" w:eastAsia="SimSun" w:hAnsi="SimSun" w:cs="Calibri"/>
                <w:sz w:val="20"/>
                <w:lang w:val="en-US" w:eastAsia="zh-CN"/>
              </w:rPr>
              <w:t>”</w:t>
            </w:r>
            <w:r w:rsidRPr="00BB146D">
              <w:rPr>
                <w:rFonts w:ascii="Calibri" w:hAnsi="Calibri" w:cs="Calibri"/>
                <w:sz w:val="20"/>
                <w:lang w:val="en-US" w:eastAsia="zh-CN"/>
              </w:rPr>
              <w:t>采取的行动，因此不应包括在公约中。</w:t>
            </w:r>
          </w:p>
          <w:p w14:paraId="221A5774" w14:textId="77777777" w:rsidR="00AA5C97" w:rsidRPr="00BB146D" w:rsidRDefault="00AA5C97" w:rsidP="00FB62CB">
            <w:pPr>
              <w:rPr>
                <w:rFonts w:ascii="Calibri" w:hAnsi="Calibri" w:cs="Calibri"/>
                <w:sz w:val="20"/>
                <w:lang w:val="en-US" w:eastAsia="zh-CN"/>
              </w:rPr>
            </w:pP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6799BF3A" w14:textId="4F3F4904" w:rsidR="00AA5C97" w:rsidRPr="00BB146D" w:rsidRDefault="001B0AEB" w:rsidP="00FB62CB">
            <w:pPr>
              <w:rPr>
                <w:rFonts w:ascii="Calibri" w:hAnsi="Calibri" w:cs="Calibri"/>
                <w:sz w:val="20"/>
                <w:lang w:val="en-US" w:eastAsia="zh-CN"/>
              </w:rPr>
            </w:pPr>
            <w:r w:rsidRPr="00BB146D">
              <w:rPr>
                <w:rFonts w:ascii="Calibri" w:hAnsi="Calibri" w:cs="Calibri"/>
                <w:sz w:val="20"/>
                <w:lang w:val="en-US" w:eastAsia="zh-CN"/>
              </w:rPr>
              <w:t>本条款涉及机构</w:t>
            </w:r>
            <w:r w:rsidR="00BB146D" w:rsidRPr="00BB146D">
              <w:rPr>
                <w:rFonts w:ascii="SimSun" w:eastAsia="SimSun" w:hAnsi="SimSun" w:cs="Calibri"/>
                <w:sz w:val="20"/>
                <w:lang w:val="en-US" w:eastAsia="zh-CN"/>
              </w:rPr>
              <w:t>“</w:t>
            </w:r>
            <w:r w:rsidRPr="00BB146D">
              <w:rPr>
                <w:rFonts w:ascii="Calibri" w:hAnsi="Calibri" w:cs="Calibri"/>
                <w:sz w:val="20"/>
                <w:lang w:val="en-US" w:eastAsia="zh-CN"/>
              </w:rPr>
              <w:t>可</w:t>
            </w:r>
            <w:r w:rsidR="00BB146D" w:rsidRPr="00BB146D">
              <w:rPr>
                <w:rFonts w:ascii="SimSun" w:eastAsia="SimSun" w:hAnsi="SimSun" w:cs="Calibri"/>
                <w:sz w:val="20"/>
                <w:lang w:val="en-US" w:eastAsia="zh-CN"/>
              </w:rPr>
              <w:t>”</w:t>
            </w:r>
            <w:r w:rsidRPr="00BB146D">
              <w:rPr>
                <w:rFonts w:ascii="Calibri" w:hAnsi="Calibri" w:cs="Calibri"/>
                <w:sz w:val="20"/>
                <w:lang w:val="en-US" w:eastAsia="zh-CN"/>
              </w:rPr>
              <w:t>采取的行动，因此不清楚其在适应新趋势和紧急问题时的灵活性。</w:t>
            </w:r>
          </w:p>
          <w:p w14:paraId="1049F5DB" w14:textId="77777777" w:rsidR="00AA5C97" w:rsidRPr="00BB146D" w:rsidRDefault="00AA5C97" w:rsidP="00FB62CB">
            <w:pPr>
              <w:rPr>
                <w:rFonts w:ascii="Calibri" w:hAnsi="Calibri" w:cs="Calibri"/>
                <w:sz w:val="20"/>
                <w:lang w:val="en-US" w:eastAsia="zh-CN"/>
              </w:rPr>
            </w:pP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0069879D" w14:textId="77777777" w:rsidR="00AA5C97" w:rsidRPr="00BB146D" w:rsidRDefault="00AA5C97" w:rsidP="00FB62CB">
            <w:pPr>
              <w:rPr>
                <w:rFonts w:ascii="Calibri" w:hAnsi="Calibri" w:cs="Calibri"/>
                <w:sz w:val="20"/>
                <w:lang w:val="en-US" w:eastAsia="zh-CN"/>
              </w:rPr>
            </w:pPr>
          </w:p>
        </w:tc>
      </w:tr>
      <w:tr w:rsidR="00AA5C97" w:rsidRPr="00E07523" w14:paraId="35F1AFE0" w14:textId="77777777" w:rsidTr="000E3457">
        <w:trPr>
          <w:cantSplit/>
          <w:trHeight w:val="1320"/>
          <w:jc w:val="center"/>
        </w:trPr>
        <w:tc>
          <w:tcPr>
            <w:tcW w:w="112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A211EA5" w14:textId="77777777" w:rsidR="00AA5C97" w:rsidRPr="00BB146D" w:rsidRDefault="00AA5C97" w:rsidP="00FB62CB">
            <w:pPr>
              <w:jc w:val="center"/>
              <w:rPr>
                <w:rFonts w:ascii="Calibri" w:hAnsi="Calibri" w:cs="Calibri"/>
                <w:sz w:val="20"/>
              </w:rPr>
            </w:pPr>
            <w:r w:rsidRPr="00BB146D">
              <w:rPr>
                <w:rFonts w:ascii="Calibri" w:hAnsi="Calibri" w:cs="Calibri"/>
                <w:sz w:val="20"/>
              </w:rPr>
              <w:t>8.4.2</w:t>
            </w:r>
          </w:p>
        </w:tc>
        <w:tc>
          <w:tcPr>
            <w:tcW w:w="2703" w:type="dxa"/>
            <w:tcBorders>
              <w:top w:val="nil"/>
              <w:left w:val="nil"/>
              <w:bottom w:val="single" w:sz="8" w:space="0" w:color="000000"/>
              <w:right w:val="single" w:sz="8" w:space="0" w:color="000000"/>
            </w:tcBorders>
            <w:tcMar>
              <w:top w:w="56" w:type="dxa"/>
              <w:left w:w="56" w:type="dxa"/>
              <w:bottom w:w="56" w:type="dxa"/>
              <w:right w:w="56" w:type="dxa"/>
            </w:tcMar>
          </w:tcPr>
          <w:p w14:paraId="73A1846B" w14:textId="5C74EE41" w:rsidR="00AA5C97" w:rsidRPr="00BB146D" w:rsidRDefault="00DE07E6" w:rsidP="00FB62CB">
            <w:pPr>
              <w:rPr>
                <w:rFonts w:ascii="Calibri" w:hAnsi="Calibri" w:cs="Calibri"/>
                <w:sz w:val="20"/>
                <w:lang w:val="en-US" w:eastAsia="zh-CN"/>
              </w:rPr>
            </w:pPr>
            <w:r w:rsidRPr="00BB146D">
              <w:rPr>
                <w:rFonts w:ascii="Calibri" w:hAnsi="Calibri" w:cs="Calibri"/>
                <w:sz w:val="20"/>
                <w:lang w:val="en-US" w:eastAsia="zh-CN"/>
              </w:rPr>
              <w:t>公务电信所适用的有关操作、计费和结算的一般性原则应考虑相关</w:t>
            </w:r>
            <w:r w:rsidRPr="00BB146D">
              <w:rPr>
                <w:rFonts w:ascii="Calibri" w:hAnsi="Calibri" w:cs="Calibri"/>
                <w:sz w:val="20"/>
                <w:lang w:val="en-US" w:eastAsia="zh-CN"/>
              </w:rPr>
              <w:t>ITU-T</w:t>
            </w:r>
            <w:r w:rsidRPr="00BB146D">
              <w:rPr>
                <w:rFonts w:ascii="Calibri" w:hAnsi="Calibri" w:cs="Calibri"/>
                <w:sz w:val="20"/>
                <w:lang w:val="en-US" w:eastAsia="zh-CN"/>
              </w:rPr>
              <w:t>建议书。</w:t>
            </w:r>
          </w:p>
        </w:tc>
        <w:tc>
          <w:tcPr>
            <w:tcW w:w="2963" w:type="dxa"/>
            <w:tcBorders>
              <w:top w:val="nil"/>
              <w:left w:val="nil"/>
              <w:bottom w:val="single" w:sz="8" w:space="0" w:color="000000"/>
              <w:right w:val="single" w:sz="8" w:space="0" w:color="000000"/>
            </w:tcBorders>
            <w:tcMar>
              <w:top w:w="56" w:type="dxa"/>
              <w:left w:w="56" w:type="dxa"/>
              <w:bottom w:w="56" w:type="dxa"/>
              <w:right w:w="56" w:type="dxa"/>
            </w:tcMar>
          </w:tcPr>
          <w:p w14:paraId="1661ECF7" w14:textId="77777777" w:rsidR="00AA5C97" w:rsidRPr="00BB146D" w:rsidRDefault="00AA5C97" w:rsidP="00FB62CB">
            <w:pPr>
              <w:rPr>
                <w:rFonts w:ascii="Calibri" w:hAnsi="Calibri" w:cs="Calibri"/>
                <w:sz w:val="20"/>
                <w:lang w:val="en-US" w:eastAsia="zh-CN"/>
              </w:rPr>
            </w:pPr>
          </w:p>
        </w:tc>
        <w:tc>
          <w:tcPr>
            <w:tcW w:w="2991" w:type="dxa"/>
            <w:tcBorders>
              <w:top w:val="nil"/>
              <w:left w:val="nil"/>
              <w:bottom w:val="single" w:sz="8" w:space="0" w:color="000000"/>
              <w:right w:val="single" w:sz="8" w:space="0" w:color="000000"/>
            </w:tcBorders>
            <w:tcMar>
              <w:top w:w="56" w:type="dxa"/>
              <w:left w:w="56" w:type="dxa"/>
              <w:bottom w:w="56" w:type="dxa"/>
              <w:right w:w="56" w:type="dxa"/>
            </w:tcMar>
          </w:tcPr>
          <w:p w14:paraId="45CC8F61" w14:textId="38FD0A02" w:rsidR="00AA5C97" w:rsidRPr="00BB146D" w:rsidRDefault="001B0AEB" w:rsidP="00FB62CB">
            <w:pPr>
              <w:rPr>
                <w:rFonts w:ascii="Calibri" w:hAnsi="Calibri" w:cs="Calibri"/>
                <w:sz w:val="20"/>
                <w:lang w:val="en-US" w:eastAsia="zh-CN"/>
              </w:rPr>
            </w:pPr>
            <w:r w:rsidRPr="00BB146D">
              <w:rPr>
                <w:rFonts w:ascii="Calibri" w:hAnsi="Calibri" w:cs="Calibri"/>
                <w:sz w:val="20"/>
                <w:lang w:val="en-US" w:eastAsia="zh-CN"/>
              </w:rPr>
              <w:t>本条款相当笼统，因此总是适用的。</w:t>
            </w:r>
          </w:p>
        </w:tc>
        <w:tc>
          <w:tcPr>
            <w:tcW w:w="3118" w:type="dxa"/>
            <w:tcBorders>
              <w:top w:val="nil"/>
              <w:left w:val="nil"/>
              <w:bottom w:val="single" w:sz="8" w:space="0" w:color="000000"/>
              <w:right w:val="single" w:sz="8" w:space="0" w:color="000000"/>
            </w:tcBorders>
            <w:tcMar>
              <w:top w:w="56" w:type="dxa"/>
              <w:left w:w="56" w:type="dxa"/>
              <w:bottom w:w="56" w:type="dxa"/>
              <w:right w:w="56" w:type="dxa"/>
            </w:tcMar>
          </w:tcPr>
          <w:p w14:paraId="0D2A018B" w14:textId="4BEE95D5" w:rsidR="00D74B5A" w:rsidRPr="00BB146D" w:rsidRDefault="00D74B5A" w:rsidP="00D74B5A">
            <w:pPr>
              <w:rPr>
                <w:rFonts w:ascii="Calibri" w:hAnsi="Calibri" w:cs="Calibri"/>
                <w:sz w:val="20"/>
                <w:lang w:eastAsia="zh-CN"/>
              </w:rPr>
            </w:pPr>
            <w:bookmarkStart w:id="7" w:name="lt_pId118"/>
            <w:r w:rsidRPr="00BB146D">
              <w:rPr>
                <w:rFonts w:ascii="Calibri" w:hAnsi="Calibri" w:cs="Calibri"/>
                <w:sz w:val="20"/>
                <w:lang w:eastAsia="zh-CN"/>
              </w:rPr>
              <w:t>这项</w:t>
            </w:r>
            <w:r w:rsidR="00FC1181" w:rsidRPr="00BB146D">
              <w:rPr>
                <w:rFonts w:ascii="Calibri" w:hAnsi="Calibri" w:cs="Calibri"/>
                <w:sz w:val="20"/>
                <w:lang w:eastAsia="zh-CN"/>
              </w:rPr>
              <w:t>条款</w:t>
            </w:r>
            <w:r w:rsidRPr="00BB146D">
              <w:rPr>
                <w:rFonts w:ascii="Calibri" w:hAnsi="Calibri" w:cs="Calibri"/>
                <w:sz w:val="20"/>
                <w:lang w:eastAsia="zh-CN"/>
              </w:rPr>
              <w:t>不</w:t>
            </w:r>
            <w:r w:rsidR="0018683E" w:rsidRPr="00BB146D">
              <w:rPr>
                <w:rFonts w:ascii="Calibri" w:hAnsi="Calibri" w:cs="Calibri"/>
                <w:sz w:val="20"/>
                <w:lang w:eastAsia="zh-CN"/>
              </w:rPr>
              <w:t>具</w:t>
            </w:r>
            <w:r w:rsidRPr="00BB146D">
              <w:rPr>
                <w:rFonts w:ascii="Calibri" w:hAnsi="Calibri" w:cs="Calibri"/>
                <w:sz w:val="20"/>
                <w:lang w:eastAsia="zh-CN"/>
              </w:rPr>
              <w:t>灵活</w:t>
            </w:r>
            <w:r w:rsidR="0018683E" w:rsidRPr="00BB146D">
              <w:rPr>
                <w:rFonts w:ascii="Calibri" w:hAnsi="Calibri" w:cs="Calibri"/>
                <w:sz w:val="20"/>
                <w:lang w:eastAsia="zh-CN"/>
              </w:rPr>
              <w:t>性</w:t>
            </w:r>
            <w:r w:rsidRPr="00BB146D">
              <w:rPr>
                <w:rFonts w:ascii="Calibri" w:hAnsi="Calibri" w:cs="Calibri"/>
                <w:sz w:val="20"/>
                <w:lang w:eastAsia="zh-CN"/>
              </w:rPr>
              <w:t>。</w:t>
            </w:r>
          </w:p>
          <w:p w14:paraId="53A5594C" w14:textId="1F89F695" w:rsidR="00AA5C97" w:rsidRPr="00BB146D" w:rsidRDefault="00D74B5A" w:rsidP="00D74B5A">
            <w:pPr>
              <w:rPr>
                <w:rFonts w:ascii="Calibri" w:hAnsi="Calibri" w:cs="Calibri"/>
                <w:sz w:val="20"/>
                <w:lang w:val="en-US" w:eastAsia="zh-CN"/>
              </w:rPr>
            </w:pPr>
            <w:r w:rsidRPr="00BB146D">
              <w:rPr>
                <w:rFonts w:ascii="Calibri" w:hAnsi="Calibri" w:cs="Calibri"/>
                <w:sz w:val="20"/>
                <w:lang w:eastAsia="zh-CN"/>
              </w:rPr>
              <w:t>不清楚如何遵守这一条款，因为不可能有针对最新趋势和问题的建议</w:t>
            </w:r>
            <w:bookmarkEnd w:id="7"/>
            <w:r w:rsidRPr="00BB146D">
              <w:rPr>
                <w:rFonts w:ascii="Calibri" w:hAnsi="Calibri" w:cs="Calibri"/>
                <w:sz w:val="20"/>
                <w:lang w:eastAsia="zh-CN"/>
              </w:rPr>
              <w:t>书。</w:t>
            </w:r>
          </w:p>
        </w:tc>
        <w:tc>
          <w:tcPr>
            <w:tcW w:w="1418" w:type="dxa"/>
            <w:tcBorders>
              <w:top w:val="nil"/>
              <w:left w:val="nil"/>
              <w:bottom w:val="single" w:sz="8" w:space="0" w:color="000000"/>
              <w:right w:val="single" w:sz="8" w:space="0" w:color="000000"/>
            </w:tcBorders>
            <w:tcMar>
              <w:top w:w="56" w:type="dxa"/>
              <w:left w:w="56" w:type="dxa"/>
              <w:bottom w:w="56" w:type="dxa"/>
              <w:right w:w="56" w:type="dxa"/>
            </w:tcMar>
          </w:tcPr>
          <w:p w14:paraId="095FA961" w14:textId="77777777" w:rsidR="00AA5C97" w:rsidRPr="00BB146D" w:rsidRDefault="00AA5C97" w:rsidP="00FB62CB">
            <w:pPr>
              <w:rPr>
                <w:rFonts w:ascii="Calibri" w:hAnsi="Calibri" w:cs="Calibri"/>
                <w:sz w:val="20"/>
                <w:lang w:val="en-US" w:eastAsia="zh-CN"/>
              </w:rPr>
            </w:pPr>
          </w:p>
        </w:tc>
      </w:tr>
    </w:tbl>
    <w:p w14:paraId="13F502B6" w14:textId="77777777" w:rsidR="00AA5C97" w:rsidRPr="00E07523" w:rsidRDefault="00AA5C97" w:rsidP="00AA5C97">
      <w:pPr>
        <w:rPr>
          <w:szCs w:val="24"/>
          <w:lang w:val="en-US" w:eastAsia="zh-CN"/>
        </w:rPr>
      </w:pPr>
    </w:p>
    <w:p w14:paraId="3975CDE5" w14:textId="33F63D70" w:rsidR="00AA5C97" w:rsidRPr="00BB146D" w:rsidRDefault="00745BDB" w:rsidP="000E3457">
      <w:pPr>
        <w:ind w:firstLineChars="200" w:firstLine="480"/>
        <w:rPr>
          <w:rFonts w:ascii="Calibri" w:hAnsi="Calibri" w:cs="Calibri"/>
          <w:szCs w:val="24"/>
          <w:lang w:val="en-US" w:eastAsia="zh-CN"/>
        </w:rPr>
      </w:pPr>
      <w:r w:rsidRPr="00BB146D">
        <w:rPr>
          <w:rFonts w:ascii="Calibri" w:hAnsi="Calibri" w:cs="Calibri"/>
          <w:szCs w:val="24"/>
          <w:lang w:val="en-US" w:eastAsia="zh-CN"/>
        </w:rPr>
        <w:t>我们对附录</w:t>
      </w:r>
      <w:r w:rsidRPr="00BB146D">
        <w:rPr>
          <w:rFonts w:ascii="Calibri" w:hAnsi="Calibri" w:cs="Calibri"/>
          <w:szCs w:val="24"/>
          <w:lang w:val="en-US" w:eastAsia="zh-CN"/>
        </w:rPr>
        <w:t>1</w:t>
      </w:r>
      <w:r w:rsidRPr="00BB146D">
        <w:rPr>
          <w:rFonts w:ascii="Calibri" w:hAnsi="Calibri" w:cs="Calibri"/>
          <w:szCs w:val="24"/>
          <w:lang w:val="en-US" w:eastAsia="zh-CN"/>
        </w:rPr>
        <w:t>的看法已在第</w:t>
      </w:r>
      <w:r w:rsidRPr="00BB146D">
        <w:rPr>
          <w:rFonts w:ascii="Calibri" w:hAnsi="Calibri" w:cs="Calibri"/>
          <w:szCs w:val="24"/>
          <w:lang w:val="en-US" w:eastAsia="zh-CN"/>
        </w:rPr>
        <w:t>5</w:t>
      </w:r>
      <w:r w:rsidRPr="00BB146D">
        <w:rPr>
          <w:rFonts w:ascii="Calibri" w:hAnsi="Calibri" w:cs="Calibri"/>
          <w:szCs w:val="24"/>
          <w:lang w:val="en-US" w:eastAsia="zh-CN"/>
        </w:rPr>
        <w:t>至第</w:t>
      </w:r>
      <w:r w:rsidRPr="00BB146D">
        <w:rPr>
          <w:rFonts w:ascii="Calibri" w:hAnsi="Calibri" w:cs="Calibri"/>
          <w:szCs w:val="24"/>
          <w:lang w:val="en-US" w:eastAsia="zh-CN"/>
        </w:rPr>
        <w:t>8</w:t>
      </w:r>
      <w:r w:rsidRPr="00BB146D">
        <w:rPr>
          <w:rFonts w:ascii="Calibri" w:hAnsi="Calibri" w:cs="Calibri"/>
          <w:szCs w:val="24"/>
          <w:lang w:val="en-US" w:eastAsia="zh-CN"/>
        </w:rPr>
        <w:t>条的分析中谈及，因此为避免重复，不再列入。</w:t>
      </w:r>
    </w:p>
    <w:p w14:paraId="7768927F" w14:textId="77777777" w:rsidR="00AA5C97" w:rsidRPr="00E07523" w:rsidRDefault="00AA5C97" w:rsidP="00AA5C97">
      <w:pPr>
        <w:rPr>
          <w:szCs w:val="24"/>
          <w:lang w:val="en-US" w:eastAsia="zh-CN"/>
        </w:rPr>
      </w:pPr>
    </w:p>
    <w:p w14:paraId="67480E5F" w14:textId="77777777" w:rsidR="000B7069" w:rsidRPr="00247618" w:rsidRDefault="000B7069">
      <w:pPr>
        <w:jc w:val="center"/>
        <w:rPr>
          <w:rFonts w:ascii="Calibri" w:hAnsi="Calibri" w:cs="Calibri"/>
        </w:rPr>
      </w:pPr>
      <w:r w:rsidRPr="00E07523">
        <w:rPr>
          <w:rFonts w:ascii="Calibri" w:hAnsi="Calibri" w:cs="Calibri"/>
        </w:rPr>
        <w:t>______________</w:t>
      </w:r>
    </w:p>
    <w:p w14:paraId="424AB068" w14:textId="77777777" w:rsidR="000B7069" w:rsidRPr="00247618" w:rsidRDefault="000B7069" w:rsidP="000B7069">
      <w:pPr>
        <w:spacing w:after="120"/>
        <w:jc w:val="both"/>
        <w:rPr>
          <w:rFonts w:ascii="Calibri" w:hAnsi="Calibri" w:cs="Calibri"/>
          <w:sz w:val="22"/>
          <w:szCs w:val="22"/>
        </w:rPr>
      </w:pPr>
    </w:p>
    <w:p w14:paraId="7F039AD9" w14:textId="3DCEF76C" w:rsidR="00A33B18" w:rsidRPr="00247618" w:rsidRDefault="00A33B18" w:rsidP="000B7069">
      <w:pPr>
        <w:spacing w:after="120"/>
        <w:jc w:val="right"/>
        <w:rPr>
          <w:rFonts w:ascii="Calibri" w:hAnsi="Calibri" w:cs="Calibri"/>
          <w:szCs w:val="24"/>
          <w:lang w:val="es-ES"/>
        </w:rPr>
      </w:pPr>
    </w:p>
    <w:sectPr w:rsidR="00A33B18" w:rsidRPr="00247618" w:rsidSect="00AA5C97">
      <w:headerReference w:type="first" r:id="rId15"/>
      <w:foot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CD55" w14:textId="77777777" w:rsidR="00DD4EA6" w:rsidRDefault="00DD4EA6">
      <w:r>
        <w:separator/>
      </w:r>
    </w:p>
  </w:endnote>
  <w:endnote w:type="continuationSeparator" w:id="0">
    <w:p w14:paraId="14FA679D" w14:textId="77777777" w:rsidR="00DD4EA6" w:rsidRDefault="00DD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CB45" w14:textId="3D7D28D4" w:rsidR="00E603D2" w:rsidRPr="00BD14D2" w:rsidRDefault="00E603D2" w:rsidP="007F4867">
    <w:pPr>
      <w:pStyle w:val="Footer"/>
      <w:spacing w:before="240"/>
      <w:rPr>
        <w:rFonts w:asciiTheme="minorHAnsi" w:hAnsiTheme="minorHAnsi"/>
        <w:lang w:val="fr-CH"/>
      </w:rPr>
    </w:pPr>
    <w:r w:rsidRPr="00E603D2">
      <w:rPr>
        <w:rFonts w:asciiTheme="minorHAnsi" w:hAnsiTheme="minorHAnsi"/>
      </w:rPr>
      <w:fldChar w:fldCharType="begin"/>
    </w:r>
    <w:r w:rsidRPr="00E603D2">
      <w:rPr>
        <w:rFonts w:asciiTheme="minorHAnsi" w:hAnsiTheme="minorHAnsi"/>
        <w:lang w:val="fr-CH"/>
      </w:rPr>
      <w:instrText xml:space="preserve"> FILENAME \p \* MERGEFORMAT </w:instrText>
    </w:r>
    <w:r w:rsidRPr="00E603D2">
      <w:rPr>
        <w:rFonts w:asciiTheme="minorHAnsi" w:hAnsiTheme="minorHAnsi"/>
      </w:rPr>
      <w:fldChar w:fldCharType="separate"/>
    </w:r>
    <w:r w:rsidR="00BB146D">
      <w:rPr>
        <w:rFonts w:asciiTheme="minorHAnsi" w:hAnsiTheme="minorHAnsi"/>
        <w:lang w:val="fr-CH"/>
      </w:rPr>
      <w:t>P:\CHI\SG\CONSEIL\EG-ITR\EG-ITR-3\000\011C.docx</w:t>
    </w:r>
    <w:r w:rsidRPr="00E603D2">
      <w:rPr>
        <w:rFonts w:asciiTheme="minorHAnsi" w:hAnsiTheme="minorHAnsi"/>
      </w:rPr>
      <w:fldChar w:fldCharType="end"/>
    </w:r>
    <w:r w:rsidRPr="00E603D2">
      <w:rPr>
        <w:rFonts w:asciiTheme="minorHAnsi" w:hAnsiTheme="minorHAnsi"/>
        <w:lang w:val="fr-CH"/>
      </w:rPr>
      <w:t xml:space="preserve"> (4</w:t>
    </w:r>
    <w:r w:rsidR="0045696A">
      <w:rPr>
        <w:rFonts w:asciiTheme="minorHAnsi" w:hAnsiTheme="minorHAnsi" w:hint="eastAsia"/>
        <w:lang w:val="fr-CH" w:eastAsia="zh-CN"/>
      </w:rPr>
      <w:t>76</w:t>
    </w:r>
    <w:r w:rsidR="005E498B">
      <w:rPr>
        <w:rFonts w:asciiTheme="minorHAnsi" w:hAnsiTheme="minorHAnsi"/>
        <w:lang w:val="fr-CH" w:eastAsia="zh-CN"/>
      </w:rPr>
      <w:t>612</w:t>
    </w:r>
    <w:r w:rsidRPr="00E603D2">
      <w:rPr>
        <w:rFonts w:asciiTheme="minorHAnsi" w:hAnsiTheme="minorHAnsi"/>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8F6D" w14:textId="77777777" w:rsidR="00E603D2" w:rsidRPr="00E603D2" w:rsidRDefault="00E603D2" w:rsidP="00E603D2">
    <w:pPr>
      <w:spacing w:after="120"/>
      <w:jc w:val="center"/>
      <w:rPr>
        <w:rFonts w:asciiTheme="minorHAnsi" w:hAnsiTheme="minorHAnsi"/>
      </w:rPr>
    </w:pPr>
    <w:r w:rsidRPr="00E603D2">
      <w:rPr>
        <w:rFonts w:asciiTheme="minorHAnsi" w:hAnsiTheme="minorHAnsi"/>
      </w:rPr>
      <w:t xml:space="preserve">• </w:t>
    </w:r>
    <w:hyperlink r:id="rId1" w:history="1">
      <w:r w:rsidRPr="00E603D2">
        <w:rPr>
          <w:rStyle w:val="Hyperlink"/>
          <w:rFonts w:asciiTheme="minorHAnsi" w:hAnsiTheme="minorHAnsi"/>
        </w:rPr>
        <w:t>http://www.itu.int/council</w:t>
      </w:r>
    </w:hyperlink>
    <w:r w:rsidRPr="00E603D2">
      <w:rPr>
        <w:rFonts w:asciiTheme="minorHAnsi" w:hAnsi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2765" w14:textId="467ED3AC" w:rsidR="005E498B" w:rsidRPr="00E603D2" w:rsidRDefault="005E498B" w:rsidP="005E498B">
    <w:pPr>
      <w:pStyle w:val="Footer"/>
      <w:spacing w:before="240"/>
      <w:rPr>
        <w:rFonts w:asciiTheme="minorHAnsi" w:hAnsiTheme="minorHAnsi"/>
      </w:rPr>
    </w:pPr>
    <w:r w:rsidRPr="005E498B">
      <w:rPr>
        <w:rFonts w:asciiTheme="minorHAnsi" w:hAnsiTheme="minorHAnsi"/>
        <w:lang w:val="fr-CH"/>
      </w:rPr>
      <w:fldChar w:fldCharType="begin"/>
    </w:r>
    <w:r w:rsidRPr="00E603D2">
      <w:rPr>
        <w:rFonts w:asciiTheme="minorHAnsi" w:hAnsiTheme="minorHAnsi"/>
        <w:lang w:val="fr-CH"/>
      </w:rPr>
      <w:instrText xml:space="preserve"> FILENAME \p \* MERGEFORMAT </w:instrText>
    </w:r>
    <w:r w:rsidRPr="005E498B">
      <w:rPr>
        <w:rFonts w:asciiTheme="minorHAnsi" w:hAnsiTheme="minorHAnsi"/>
        <w:lang w:val="fr-CH"/>
      </w:rPr>
      <w:fldChar w:fldCharType="separate"/>
    </w:r>
    <w:r w:rsidR="00BB146D">
      <w:rPr>
        <w:rFonts w:asciiTheme="minorHAnsi" w:hAnsiTheme="minorHAnsi"/>
        <w:lang w:val="fr-CH"/>
      </w:rPr>
      <w:t>P:\CHI\SG\CONSEIL\EG-ITR\EG-ITR-3\000\011C.docx</w:t>
    </w:r>
    <w:r w:rsidRPr="005E498B">
      <w:rPr>
        <w:rFonts w:asciiTheme="minorHAnsi" w:hAnsiTheme="minorHAnsi"/>
        <w:lang w:val="fr-CH"/>
      </w:rPr>
      <w:fldChar w:fldCharType="end"/>
    </w:r>
    <w:r w:rsidRPr="00E603D2">
      <w:rPr>
        <w:rFonts w:asciiTheme="minorHAnsi" w:hAnsiTheme="minorHAnsi"/>
        <w:lang w:val="fr-CH"/>
      </w:rPr>
      <w:t xml:space="preserve"> (4</w:t>
    </w:r>
    <w:r>
      <w:rPr>
        <w:rFonts w:asciiTheme="minorHAnsi" w:hAnsiTheme="minorHAnsi" w:hint="eastAsia"/>
        <w:lang w:val="fr-CH"/>
      </w:rPr>
      <w:t>76</w:t>
    </w:r>
    <w:r>
      <w:rPr>
        <w:rFonts w:asciiTheme="minorHAnsi" w:hAnsiTheme="minorHAnsi"/>
        <w:lang w:val="fr-CH"/>
      </w:rPr>
      <w:t>612</w:t>
    </w:r>
    <w:r w:rsidRPr="00E603D2">
      <w:rPr>
        <w:rFonts w:asciiTheme="minorHAnsi" w:hAnsiTheme="minorHAnsi"/>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04B25" w14:textId="77777777" w:rsidR="00DD4EA6" w:rsidRDefault="00DD4EA6">
      <w:r>
        <w:t>____________________</w:t>
      </w:r>
    </w:p>
  </w:footnote>
  <w:footnote w:type="continuationSeparator" w:id="0">
    <w:p w14:paraId="7A370FD4" w14:textId="77777777" w:rsidR="00DD4EA6" w:rsidRDefault="00DD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8D4E" w14:textId="7F9C1D7C" w:rsidR="00D7144D" w:rsidRDefault="00D7144D" w:rsidP="00C374DE">
    <w:pPr>
      <w:pStyle w:val="Header"/>
      <w:rPr>
        <w:rFonts w:asciiTheme="minorHAnsi" w:hAnsiTheme="minorHAnsi"/>
      </w:rPr>
    </w:pPr>
    <w:r w:rsidRPr="00E603D2">
      <w:rPr>
        <w:rFonts w:asciiTheme="minorHAnsi" w:hAnsiTheme="minorHAnsi"/>
      </w:rPr>
      <w:t xml:space="preserve">- </w:t>
    </w:r>
    <w:r w:rsidRPr="00E603D2">
      <w:rPr>
        <w:rFonts w:asciiTheme="minorHAnsi" w:hAnsiTheme="minorHAnsi"/>
      </w:rPr>
      <w:fldChar w:fldCharType="begin"/>
    </w:r>
    <w:r w:rsidRPr="00E603D2">
      <w:rPr>
        <w:rFonts w:asciiTheme="minorHAnsi" w:hAnsiTheme="minorHAnsi"/>
      </w:rPr>
      <w:instrText>PAGE</w:instrText>
    </w:r>
    <w:r w:rsidRPr="00E603D2">
      <w:rPr>
        <w:rFonts w:asciiTheme="minorHAnsi" w:hAnsiTheme="minorHAnsi"/>
      </w:rPr>
      <w:fldChar w:fldCharType="separate"/>
    </w:r>
    <w:r w:rsidR="00987718">
      <w:rPr>
        <w:rFonts w:asciiTheme="minorHAnsi" w:hAnsiTheme="minorHAnsi"/>
        <w:noProof/>
      </w:rPr>
      <w:t>2</w:t>
    </w:r>
    <w:r w:rsidRPr="00E603D2">
      <w:rPr>
        <w:rFonts w:asciiTheme="minorHAnsi" w:hAnsiTheme="minorHAnsi"/>
      </w:rPr>
      <w:fldChar w:fldCharType="end"/>
    </w:r>
    <w:r w:rsidRPr="00E603D2">
      <w:rPr>
        <w:rFonts w:asciiTheme="minorHAnsi" w:hAnsiTheme="minorHAnsi"/>
      </w:rPr>
      <w:t xml:space="preserve"> -</w:t>
    </w:r>
  </w:p>
  <w:p w14:paraId="2324151C" w14:textId="6C6F3BD4" w:rsidR="00216864" w:rsidRDefault="00216864" w:rsidP="00C374DE">
    <w:pPr>
      <w:pStyle w:val="Header"/>
      <w:rPr>
        <w:rFonts w:asciiTheme="minorHAnsi" w:hAnsiTheme="minorHAnsi"/>
        <w:lang w:val="en-GB"/>
      </w:rPr>
    </w:pPr>
    <w:r w:rsidRPr="00216864">
      <w:rPr>
        <w:rFonts w:asciiTheme="minorHAnsi" w:hAnsiTheme="minorHAnsi"/>
        <w:lang w:val="en-GB"/>
      </w:rPr>
      <w:t>EG-ITRs-3\</w:t>
    </w:r>
    <w:r w:rsidR="005E498B">
      <w:rPr>
        <w:rFonts w:asciiTheme="minorHAnsi" w:hAnsiTheme="minorHAnsi"/>
        <w:lang w:val="en-GB"/>
      </w:rPr>
      <w:t>11</w:t>
    </w:r>
    <w:r w:rsidRPr="00216864">
      <w:rPr>
        <w:rFonts w:asciiTheme="minorHAnsi" w:hAnsiTheme="minorHAnsi"/>
        <w:lang w:val="en-GB"/>
      </w:rPr>
      <w:t>-</w:t>
    </w:r>
    <w:r>
      <w:rPr>
        <w:rFonts w:asciiTheme="minorHAnsi" w:hAnsiTheme="minorHAnsi"/>
        <w:lang w:val="en-GB"/>
      </w:rPr>
      <w:t>C</w:t>
    </w:r>
  </w:p>
  <w:p w14:paraId="02571EA5" w14:textId="77777777" w:rsidR="00505720" w:rsidRPr="007F4867" w:rsidRDefault="00505720" w:rsidP="00C374DE">
    <w:pPr>
      <w:pStyle w:val="Head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4B36" w14:textId="77777777" w:rsidR="005E498B" w:rsidRDefault="005E498B" w:rsidP="005E498B">
    <w:pPr>
      <w:pStyle w:val="Header"/>
      <w:rPr>
        <w:rFonts w:asciiTheme="minorHAnsi" w:hAnsiTheme="minorHAnsi"/>
      </w:rPr>
    </w:pPr>
    <w:r w:rsidRPr="00E603D2">
      <w:rPr>
        <w:rFonts w:asciiTheme="minorHAnsi" w:hAnsiTheme="minorHAnsi"/>
      </w:rPr>
      <w:t xml:space="preserve">- </w:t>
    </w:r>
    <w:r w:rsidRPr="00E603D2">
      <w:rPr>
        <w:rFonts w:asciiTheme="minorHAnsi" w:hAnsiTheme="minorHAnsi"/>
      </w:rPr>
      <w:fldChar w:fldCharType="begin"/>
    </w:r>
    <w:r w:rsidRPr="00E603D2">
      <w:rPr>
        <w:rFonts w:asciiTheme="minorHAnsi" w:hAnsiTheme="minorHAnsi"/>
      </w:rPr>
      <w:instrText>PAGE</w:instrText>
    </w:r>
    <w:r w:rsidRPr="00E603D2">
      <w:rPr>
        <w:rFonts w:asciiTheme="minorHAnsi" w:hAnsiTheme="minorHAnsi"/>
      </w:rPr>
      <w:fldChar w:fldCharType="separate"/>
    </w:r>
    <w:r>
      <w:rPr>
        <w:rFonts w:asciiTheme="minorHAnsi" w:hAnsiTheme="minorHAnsi"/>
      </w:rPr>
      <w:t>3</w:t>
    </w:r>
    <w:r w:rsidRPr="00E603D2">
      <w:rPr>
        <w:rFonts w:asciiTheme="minorHAnsi" w:hAnsiTheme="minorHAnsi"/>
      </w:rPr>
      <w:fldChar w:fldCharType="end"/>
    </w:r>
    <w:r w:rsidRPr="00E603D2">
      <w:rPr>
        <w:rFonts w:asciiTheme="minorHAnsi" w:hAnsiTheme="minorHAnsi"/>
      </w:rPr>
      <w:t xml:space="preserve"> -</w:t>
    </w:r>
  </w:p>
  <w:p w14:paraId="78943355" w14:textId="65941914" w:rsidR="005E498B" w:rsidRDefault="005E498B" w:rsidP="005E498B">
    <w:pPr>
      <w:pStyle w:val="Header"/>
    </w:pPr>
    <w:r w:rsidRPr="00216864">
      <w:rPr>
        <w:rFonts w:asciiTheme="minorHAnsi" w:hAnsiTheme="minorHAnsi"/>
        <w:lang w:val="en-GB"/>
      </w:rPr>
      <w:t>EG-ITRs-3\</w:t>
    </w:r>
    <w:r>
      <w:rPr>
        <w:rFonts w:asciiTheme="minorHAnsi" w:hAnsiTheme="minorHAnsi"/>
        <w:lang w:val="en-GB"/>
      </w:rPr>
      <w:t>11</w:t>
    </w:r>
    <w:r w:rsidRPr="00216864">
      <w:rPr>
        <w:rFonts w:asciiTheme="minorHAnsi" w:hAnsiTheme="minorHAnsi"/>
        <w:lang w:val="en-GB"/>
      </w:rPr>
      <w:t>-</w:t>
    </w:r>
    <w:r>
      <w:rPr>
        <w:rFonts w:asciiTheme="minorHAnsi" w:hAnsiTheme="minorHAnsi"/>
        <w:lang w:val="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F88"/>
    <w:multiLevelType w:val="hybridMultilevel"/>
    <w:tmpl w:val="796208FA"/>
    <w:lvl w:ilvl="0" w:tplc="B4D495F6">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6"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C1CB0"/>
    <w:multiLevelType w:val="hybridMultilevel"/>
    <w:tmpl w:val="C158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B76D1"/>
    <w:multiLevelType w:val="hybridMultilevel"/>
    <w:tmpl w:val="CCAEDA92"/>
    <w:lvl w:ilvl="0" w:tplc="72CA2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2"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25"/>
  </w:num>
  <w:num w:numId="5">
    <w:abstractNumId w:val="34"/>
  </w:num>
  <w:num w:numId="6">
    <w:abstractNumId w:val="45"/>
  </w:num>
  <w:num w:numId="7">
    <w:abstractNumId w:val="21"/>
  </w:num>
  <w:num w:numId="8">
    <w:abstractNumId w:val="41"/>
  </w:num>
  <w:num w:numId="9">
    <w:abstractNumId w:val="40"/>
  </w:num>
  <w:num w:numId="10">
    <w:abstractNumId w:val="37"/>
  </w:num>
  <w:num w:numId="11">
    <w:abstractNumId w:val="42"/>
  </w:num>
  <w:num w:numId="12">
    <w:abstractNumId w:val="28"/>
  </w:num>
  <w:num w:numId="13">
    <w:abstractNumId w:val="9"/>
  </w:num>
  <w:num w:numId="14">
    <w:abstractNumId w:val="6"/>
  </w:num>
  <w:num w:numId="15">
    <w:abstractNumId w:val="30"/>
  </w:num>
  <w:num w:numId="16">
    <w:abstractNumId w:val="43"/>
  </w:num>
  <w:num w:numId="17">
    <w:abstractNumId w:val="17"/>
  </w:num>
  <w:num w:numId="18">
    <w:abstractNumId w:val="44"/>
  </w:num>
  <w:num w:numId="19">
    <w:abstractNumId w:val="49"/>
  </w:num>
  <w:num w:numId="20">
    <w:abstractNumId w:val="48"/>
  </w:num>
  <w:num w:numId="21">
    <w:abstractNumId w:val="46"/>
  </w:num>
  <w:num w:numId="22">
    <w:abstractNumId w:val="36"/>
  </w:num>
  <w:num w:numId="23">
    <w:abstractNumId w:val="38"/>
  </w:num>
  <w:num w:numId="24">
    <w:abstractNumId w:val="8"/>
  </w:num>
  <w:num w:numId="25">
    <w:abstractNumId w:val="29"/>
  </w:num>
  <w:num w:numId="26">
    <w:abstractNumId w:val="26"/>
  </w:num>
  <w:num w:numId="27">
    <w:abstractNumId w:val="11"/>
  </w:num>
  <w:num w:numId="28">
    <w:abstractNumId w:val="23"/>
  </w:num>
  <w:num w:numId="29">
    <w:abstractNumId w:val="39"/>
  </w:num>
  <w:num w:numId="30">
    <w:abstractNumId w:val="22"/>
  </w:num>
  <w:num w:numId="31">
    <w:abstractNumId w:val="13"/>
  </w:num>
  <w:num w:numId="32">
    <w:abstractNumId w:val="10"/>
  </w:num>
  <w:num w:numId="33">
    <w:abstractNumId w:val="27"/>
  </w:num>
  <w:num w:numId="34">
    <w:abstractNumId w:val="19"/>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16"/>
  </w:num>
  <w:num w:numId="40">
    <w:abstractNumId w:val="7"/>
  </w:num>
  <w:num w:numId="41">
    <w:abstractNumId w:val="47"/>
  </w:num>
  <w:num w:numId="42">
    <w:abstractNumId w:val="24"/>
  </w:num>
  <w:num w:numId="43">
    <w:abstractNumId w:val="32"/>
  </w:num>
  <w:num w:numId="44">
    <w:abstractNumId w:val="4"/>
  </w:num>
  <w:num w:numId="45">
    <w:abstractNumId w:val="15"/>
  </w:num>
  <w:num w:numId="46">
    <w:abstractNumId w:val="2"/>
  </w:num>
  <w:num w:numId="47">
    <w:abstractNumId w:val="12"/>
  </w:num>
  <w:num w:numId="48">
    <w:abstractNumId w:val="3"/>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22B"/>
    <w:rsid w:val="00006803"/>
    <w:rsid w:val="00017D5F"/>
    <w:rsid w:val="00022BBD"/>
    <w:rsid w:val="00023E69"/>
    <w:rsid w:val="00025E8E"/>
    <w:rsid w:val="000300F2"/>
    <w:rsid w:val="000328CB"/>
    <w:rsid w:val="0003367B"/>
    <w:rsid w:val="00033C1E"/>
    <w:rsid w:val="000363F6"/>
    <w:rsid w:val="00036E6C"/>
    <w:rsid w:val="000406CF"/>
    <w:rsid w:val="000406DA"/>
    <w:rsid w:val="00044742"/>
    <w:rsid w:val="00047B52"/>
    <w:rsid w:val="00051135"/>
    <w:rsid w:val="0005330D"/>
    <w:rsid w:val="000539B8"/>
    <w:rsid w:val="0005586D"/>
    <w:rsid w:val="00056AF7"/>
    <w:rsid w:val="0006006C"/>
    <w:rsid w:val="00060490"/>
    <w:rsid w:val="00060642"/>
    <w:rsid w:val="000625EC"/>
    <w:rsid w:val="00080890"/>
    <w:rsid w:val="00082487"/>
    <w:rsid w:val="00085CF2"/>
    <w:rsid w:val="00087BB2"/>
    <w:rsid w:val="00090DB1"/>
    <w:rsid w:val="000914EE"/>
    <w:rsid w:val="00093C5E"/>
    <w:rsid w:val="00095455"/>
    <w:rsid w:val="00096678"/>
    <w:rsid w:val="000A523E"/>
    <w:rsid w:val="000A6C3C"/>
    <w:rsid w:val="000B1705"/>
    <w:rsid w:val="000B1804"/>
    <w:rsid w:val="000B7069"/>
    <w:rsid w:val="000B7AED"/>
    <w:rsid w:val="000C0550"/>
    <w:rsid w:val="000D034D"/>
    <w:rsid w:val="000D1B19"/>
    <w:rsid w:val="000E3457"/>
    <w:rsid w:val="000E53E0"/>
    <w:rsid w:val="000E5744"/>
    <w:rsid w:val="000F45AB"/>
    <w:rsid w:val="00100422"/>
    <w:rsid w:val="00105B57"/>
    <w:rsid w:val="00110760"/>
    <w:rsid w:val="00111732"/>
    <w:rsid w:val="001121F5"/>
    <w:rsid w:val="00112A2E"/>
    <w:rsid w:val="001154D3"/>
    <w:rsid w:val="00115BC4"/>
    <w:rsid w:val="00123B46"/>
    <w:rsid w:val="00126AF0"/>
    <w:rsid w:val="00126E5D"/>
    <w:rsid w:val="00132D99"/>
    <w:rsid w:val="00133A76"/>
    <w:rsid w:val="00135854"/>
    <w:rsid w:val="00137C4B"/>
    <w:rsid w:val="00141B6D"/>
    <w:rsid w:val="00143A98"/>
    <w:rsid w:val="00143CC0"/>
    <w:rsid w:val="0014539F"/>
    <w:rsid w:val="001463FA"/>
    <w:rsid w:val="0014759E"/>
    <w:rsid w:val="00155EF2"/>
    <w:rsid w:val="0015615B"/>
    <w:rsid w:val="00157923"/>
    <w:rsid w:val="00157E22"/>
    <w:rsid w:val="00164E99"/>
    <w:rsid w:val="00164F90"/>
    <w:rsid w:val="00167DF3"/>
    <w:rsid w:val="00170C27"/>
    <w:rsid w:val="00171B5B"/>
    <w:rsid w:val="0017539C"/>
    <w:rsid w:val="0017609F"/>
    <w:rsid w:val="001820F7"/>
    <w:rsid w:val="0018683E"/>
    <w:rsid w:val="0019164E"/>
    <w:rsid w:val="00191F72"/>
    <w:rsid w:val="001940E1"/>
    <w:rsid w:val="001947CC"/>
    <w:rsid w:val="00197BEB"/>
    <w:rsid w:val="001A1320"/>
    <w:rsid w:val="001A258D"/>
    <w:rsid w:val="001A44BC"/>
    <w:rsid w:val="001A4F5D"/>
    <w:rsid w:val="001A5A86"/>
    <w:rsid w:val="001B0AEB"/>
    <w:rsid w:val="001B1348"/>
    <w:rsid w:val="001B404B"/>
    <w:rsid w:val="001B731C"/>
    <w:rsid w:val="001C0E28"/>
    <w:rsid w:val="001C20D1"/>
    <w:rsid w:val="001C2533"/>
    <w:rsid w:val="001C628E"/>
    <w:rsid w:val="001D0282"/>
    <w:rsid w:val="001D311E"/>
    <w:rsid w:val="001E0873"/>
    <w:rsid w:val="001E0F7B"/>
    <w:rsid w:val="001E3D67"/>
    <w:rsid w:val="001E5A96"/>
    <w:rsid w:val="001E5BEE"/>
    <w:rsid w:val="001F212B"/>
    <w:rsid w:val="001F4859"/>
    <w:rsid w:val="001F565C"/>
    <w:rsid w:val="001F59DB"/>
    <w:rsid w:val="002009E4"/>
    <w:rsid w:val="002034FE"/>
    <w:rsid w:val="00204837"/>
    <w:rsid w:val="00205911"/>
    <w:rsid w:val="0020628E"/>
    <w:rsid w:val="00207B40"/>
    <w:rsid w:val="00211C39"/>
    <w:rsid w:val="00213E72"/>
    <w:rsid w:val="00216668"/>
    <w:rsid w:val="00216864"/>
    <w:rsid w:val="002178B8"/>
    <w:rsid w:val="00223D03"/>
    <w:rsid w:val="00224812"/>
    <w:rsid w:val="00224F52"/>
    <w:rsid w:val="00230211"/>
    <w:rsid w:val="002323A7"/>
    <w:rsid w:val="0023345C"/>
    <w:rsid w:val="00233546"/>
    <w:rsid w:val="002372ED"/>
    <w:rsid w:val="00241C31"/>
    <w:rsid w:val="002424A8"/>
    <w:rsid w:val="002426F3"/>
    <w:rsid w:val="002461BA"/>
    <w:rsid w:val="00247618"/>
    <w:rsid w:val="002509C9"/>
    <w:rsid w:val="00252CDA"/>
    <w:rsid w:val="00262C55"/>
    <w:rsid w:val="00265875"/>
    <w:rsid w:val="002664D2"/>
    <w:rsid w:val="00266544"/>
    <w:rsid w:val="00266A38"/>
    <w:rsid w:val="0026797B"/>
    <w:rsid w:val="00270D09"/>
    <w:rsid w:val="0027303B"/>
    <w:rsid w:val="00275642"/>
    <w:rsid w:val="0028109B"/>
    <w:rsid w:val="002866D2"/>
    <w:rsid w:val="00287A69"/>
    <w:rsid w:val="00290E00"/>
    <w:rsid w:val="00292600"/>
    <w:rsid w:val="00294E68"/>
    <w:rsid w:val="0029642F"/>
    <w:rsid w:val="00296819"/>
    <w:rsid w:val="002975E0"/>
    <w:rsid w:val="002A04DD"/>
    <w:rsid w:val="002A170F"/>
    <w:rsid w:val="002A1F81"/>
    <w:rsid w:val="002A3A0A"/>
    <w:rsid w:val="002B09AE"/>
    <w:rsid w:val="002B42B9"/>
    <w:rsid w:val="002B69CD"/>
    <w:rsid w:val="002C1C7A"/>
    <w:rsid w:val="002D3CA6"/>
    <w:rsid w:val="002D448E"/>
    <w:rsid w:val="002D47F7"/>
    <w:rsid w:val="002D48E4"/>
    <w:rsid w:val="002D7052"/>
    <w:rsid w:val="002D7FCC"/>
    <w:rsid w:val="002E0872"/>
    <w:rsid w:val="002E3248"/>
    <w:rsid w:val="002E5A5D"/>
    <w:rsid w:val="002E5AC3"/>
    <w:rsid w:val="002E7E71"/>
    <w:rsid w:val="002F17BD"/>
    <w:rsid w:val="00302EB0"/>
    <w:rsid w:val="003104AE"/>
    <w:rsid w:val="003109EE"/>
    <w:rsid w:val="00311C3B"/>
    <w:rsid w:val="00311DA1"/>
    <w:rsid w:val="0031367D"/>
    <w:rsid w:val="003137E7"/>
    <w:rsid w:val="00314813"/>
    <w:rsid w:val="00314D4F"/>
    <w:rsid w:val="0032203B"/>
    <w:rsid w:val="003221B7"/>
    <w:rsid w:val="00324E20"/>
    <w:rsid w:val="003259C3"/>
    <w:rsid w:val="00325F02"/>
    <w:rsid w:val="003334B9"/>
    <w:rsid w:val="0033378B"/>
    <w:rsid w:val="0033535B"/>
    <w:rsid w:val="003368E5"/>
    <w:rsid w:val="0034515A"/>
    <w:rsid w:val="00346A46"/>
    <w:rsid w:val="00352973"/>
    <w:rsid w:val="0036205D"/>
    <w:rsid w:val="0036286A"/>
    <w:rsid w:val="00362FE9"/>
    <w:rsid w:val="003642D8"/>
    <w:rsid w:val="00370861"/>
    <w:rsid w:val="00375038"/>
    <w:rsid w:val="00375CE5"/>
    <w:rsid w:val="003811CD"/>
    <w:rsid w:val="00382DA7"/>
    <w:rsid w:val="0038348E"/>
    <w:rsid w:val="00384EED"/>
    <w:rsid w:val="00387B26"/>
    <w:rsid w:val="00390C61"/>
    <w:rsid w:val="003942D4"/>
    <w:rsid w:val="00394A9C"/>
    <w:rsid w:val="003958A8"/>
    <w:rsid w:val="0039606B"/>
    <w:rsid w:val="003969A8"/>
    <w:rsid w:val="003A0D4B"/>
    <w:rsid w:val="003A0F60"/>
    <w:rsid w:val="003A4E18"/>
    <w:rsid w:val="003A6515"/>
    <w:rsid w:val="003A77D9"/>
    <w:rsid w:val="003A7BA2"/>
    <w:rsid w:val="003B13DC"/>
    <w:rsid w:val="003C1736"/>
    <w:rsid w:val="003C3D8D"/>
    <w:rsid w:val="003C5406"/>
    <w:rsid w:val="003C7021"/>
    <w:rsid w:val="003D34FB"/>
    <w:rsid w:val="003D5EE4"/>
    <w:rsid w:val="003E103B"/>
    <w:rsid w:val="003E417E"/>
    <w:rsid w:val="003E6A2A"/>
    <w:rsid w:val="003E6AC0"/>
    <w:rsid w:val="003E6D41"/>
    <w:rsid w:val="003F59E8"/>
    <w:rsid w:val="003F5F61"/>
    <w:rsid w:val="004002BF"/>
    <w:rsid w:val="00412BB3"/>
    <w:rsid w:val="00413BFD"/>
    <w:rsid w:val="00415966"/>
    <w:rsid w:val="0041739B"/>
    <w:rsid w:val="00422F6E"/>
    <w:rsid w:val="00423CF3"/>
    <w:rsid w:val="0042461B"/>
    <w:rsid w:val="0042520B"/>
    <w:rsid w:val="00431EC5"/>
    <w:rsid w:val="00433CE8"/>
    <w:rsid w:val="00434B7B"/>
    <w:rsid w:val="004359BA"/>
    <w:rsid w:val="004372DC"/>
    <w:rsid w:val="00440A2A"/>
    <w:rsid w:val="00443FD3"/>
    <w:rsid w:val="00446741"/>
    <w:rsid w:val="00447830"/>
    <w:rsid w:val="004522A4"/>
    <w:rsid w:val="004524CB"/>
    <w:rsid w:val="004544D9"/>
    <w:rsid w:val="00454720"/>
    <w:rsid w:val="00454CE8"/>
    <w:rsid w:val="0045696A"/>
    <w:rsid w:val="00462518"/>
    <w:rsid w:val="00462702"/>
    <w:rsid w:val="0046399B"/>
    <w:rsid w:val="00466356"/>
    <w:rsid w:val="00474091"/>
    <w:rsid w:val="00476CBB"/>
    <w:rsid w:val="00476EAD"/>
    <w:rsid w:val="004804F3"/>
    <w:rsid w:val="004824B2"/>
    <w:rsid w:val="00482596"/>
    <w:rsid w:val="00486526"/>
    <w:rsid w:val="004873E3"/>
    <w:rsid w:val="00487C87"/>
    <w:rsid w:val="004921C8"/>
    <w:rsid w:val="00494F0E"/>
    <w:rsid w:val="00495DB6"/>
    <w:rsid w:val="00497457"/>
    <w:rsid w:val="004A0168"/>
    <w:rsid w:val="004A2A4A"/>
    <w:rsid w:val="004A2D22"/>
    <w:rsid w:val="004A4AAA"/>
    <w:rsid w:val="004A6131"/>
    <w:rsid w:val="004A7476"/>
    <w:rsid w:val="004B01BB"/>
    <w:rsid w:val="004B413A"/>
    <w:rsid w:val="004B7CF2"/>
    <w:rsid w:val="004C1374"/>
    <w:rsid w:val="004C4CD5"/>
    <w:rsid w:val="004C581A"/>
    <w:rsid w:val="004C5F8D"/>
    <w:rsid w:val="004D672B"/>
    <w:rsid w:val="004D7E9F"/>
    <w:rsid w:val="004E1229"/>
    <w:rsid w:val="004E1AA9"/>
    <w:rsid w:val="004E1AEE"/>
    <w:rsid w:val="004E276F"/>
    <w:rsid w:val="004E2BB6"/>
    <w:rsid w:val="004E2EA5"/>
    <w:rsid w:val="004E3A5D"/>
    <w:rsid w:val="004E7D16"/>
    <w:rsid w:val="004F3682"/>
    <w:rsid w:val="0050223C"/>
    <w:rsid w:val="00502618"/>
    <w:rsid w:val="005030F2"/>
    <w:rsid w:val="00505720"/>
    <w:rsid w:val="0051396C"/>
    <w:rsid w:val="005166BA"/>
    <w:rsid w:val="00516BE8"/>
    <w:rsid w:val="00525421"/>
    <w:rsid w:val="0052758B"/>
    <w:rsid w:val="00530883"/>
    <w:rsid w:val="00533DB4"/>
    <w:rsid w:val="00534E85"/>
    <w:rsid w:val="005352F1"/>
    <w:rsid w:val="00542420"/>
    <w:rsid w:val="005431C5"/>
    <w:rsid w:val="0054413F"/>
    <w:rsid w:val="00546E2C"/>
    <w:rsid w:val="005476DB"/>
    <w:rsid w:val="005546E9"/>
    <w:rsid w:val="00555654"/>
    <w:rsid w:val="00557E06"/>
    <w:rsid w:val="0056199E"/>
    <w:rsid w:val="00563D37"/>
    <w:rsid w:val="00564FBC"/>
    <w:rsid w:val="0056725A"/>
    <w:rsid w:val="005703B3"/>
    <w:rsid w:val="00571358"/>
    <w:rsid w:val="00572976"/>
    <w:rsid w:val="00573657"/>
    <w:rsid w:val="00573F30"/>
    <w:rsid w:val="0057486A"/>
    <w:rsid w:val="00577EE5"/>
    <w:rsid w:val="00582442"/>
    <w:rsid w:val="0059460E"/>
    <w:rsid w:val="00594700"/>
    <w:rsid w:val="005974F5"/>
    <w:rsid w:val="00597F2F"/>
    <w:rsid w:val="005A07F8"/>
    <w:rsid w:val="005A1CA3"/>
    <w:rsid w:val="005A473B"/>
    <w:rsid w:val="005A56BD"/>
    <w:rsid w:val="005A5763"/>
    <w:rsid w:val="005A69BE"/>
    <w:rsid w:val="005A6AA8"/>
    <w:rsid w:val="005C11F1"/>
    <w:rsid w:val="005C472C"/>
    <w:rsid w:val="005C68C8"/>
    <w:rsid w:val="005C7EFB"/>
    <w:rsid w:val="005D0EF5"/>
    <w:rsid w:val="005D0F96"/>
    <w:rsid w:val="005D2735"/>
    <w:rsid w:val="005D7471"/>
    <w:rsid w:val="005E1AE5"/>
    <w:rsid w:val="005E1D6F"/>
    <w:rsid w:val="005E1DBF"/>
    <w:rsid w:val="005E2754"/>
    <w:rsid w:val="005E498B"/>
    <w:rsid w:val="005E75DF"/>
    <w:rsid w:val="005F0BF9"/>
    <w:rsid w:val="005F1DE7"/>
    <w:rsid w:val="005F5262"/>
    <w:rsid w:val="005F6291"/>
    <w:rsid w:val="0060136D"/>
    <w:rsid w:val="0060217F"/>
    <w:rsid w:val="006025D3"/>
    <w:rsid w:val="006036D2"/>
    <w:rsid w:val="00605375"/>
    <w:rsid w:val="006061F6"/>
    <w:rsid w:val="0060738E"/>
    <w:rsid w:val="00607A8F"/>
    <w:rsid w:val="00611121"/>
    <w:rsid w:val="0061529A"/>
    <w:rsid w:val="006245BD"/>
    <w:rsid w:val="00625110"/>
    <w:rsid w:val="00631445"/>
    <w:rsid w:val="00632E34"/>
    <w:rsid w:val="00634645"/>
    <w:rsid w:val="006353F4"/>
    <w:rsid w:val="00640350"/>
    <w:rsid w:val="00641642"/>
    <w:rsid w:val="00642818"/>
    <w:rsid w:val="00644588"/>
    <w:rsid w:val="006467EB"/>
    <w:rsid w:val="00651182"/>
    <w:rsid w:val="00652CDE"/>
    <w:rsid w:val="00654E72"/>
    <w:rsid w:val="006560E2"/>
    <w:rsid w:val="006615CB"/>
    <w:rsid w:val="00662984"/>
    <w:rsid w:val="006664D0"/>
    <w:rsid w:val="00667666"/>
    <w:rsid w:val="00667AD7"/>
    <w:rsid w:val="00670161"/>
    <w:rsid w:val="0067093C"/>
    <w:rsid w:val="00672360"/>
    <w:rsid w:val="006765A3"/>
    <w:rsid w:val="00676AC3"/>
    <w:rsid w:val="006808CF"/>
    <w:rsid w:val="00685352"/>
    <w:rsid w:val="00687324"/>
    <w:rsid w:val="00691226"/>
    <w:rsid w:val="00696C7C"/>
    <w:rsid w:val="006A0E9D"/>
    <w:rsid w:val="006A1507"/>
    <w:rsid w:val="006A5907"/>
    <w:rsid w:val="006A5EBB"/>
    <w:rsid w:val="006B4A4B"/>
    <w:rsid w:val="006B6DCC"/>
    <w:rsid w:val="006C1FE5"/>
    <w:rsid w:val="006C4D1A"/>
    <w:rsid w:val="006C6ECC"/>
    <w:rsid w:val="006C7C0C"/>
    <w:rsid w:val="006D0D77"/>
    <w:rsid w:val="006D55D4"/>
    <w:rsid w:val="006E05BC"/>
    <w:rsid w:val="006E1542"/>
    <w:rsid w:val="006E32FA"/>
    <w:rsid w:val="006E489B"/>
    <w:rsid w:val="006E6810"/>
    <w:rsid w:val="006F1998"/>
    <w:rsid w:val="006F51C9"/>
    <w:rsid w:val="007010ED"/>
    <w:rsid w:val="00703A3D"/>
    <w:rsid w:val="007059D0"/>
    <w:rsid w:val="00706C5F"/>
    <w:rsid w:val="00706E25"/>
    <w:rsid w:val="0071583E"/>
    <w:rsid w:val="00720059"/>
    <w:rsid w:val="007211C3"/>
    <w:rsid w:val="00723408"/>
    <w:rsid w:val="00723E17"/>
    <w:rsid w:val="00730711"/>
    <w:rsid w:val="007316F5"/>
    <w:rsid w:val="00733006"/>
    <w:rsid w:val="00733E52"/>
    <w:rsid w:val="00733F5A"/>
    <w:rsid w:val="0073494A"/>
    <w:rsid w:val="0073528C"/>
    <w:rsid w:val="00735ECA"/>
    <w:rsid w:val="00736B61"/>
    <w:rsid w:val="00740694"/>
    <w:rsid w:val="0074173F"/>
    <w:rsid w:val="007422DD"/>
    <w:rsid w:val="00743132"/>
    <w:rsid w:val="00743B89"/>
    <w:rsid w:val="00745BDB"/>
    <w:rsid w:val="0075057F"/>
    <w:rsid w:val="00750CB5"/>
    <w:rsid w:val="00752D78"/>
    <w:rsid w:val="0075359A"/>
    <w:rsid w:val="00755EEC"/>
    <w:rsid w:val="007579C3"/>
    <w:rsid w:val="00761159"/>
    <w:rsid w:val="00763AC3"/>
    <w:rsid w:val="0076793A"/>
    <w:rsid w:val="00776BD3"/>
    <w:rsid w:val="0077710D"/>
    <w:rsid w:val="0077759E"/>
    <w:rsid w:val="00782469"/>
    <w:rsid w:val="00782AF6"/>
    <w:rsid w:val="007877B8"/>
    <w:rsid w:val="00794BEC"/>
    <w:rsid w:val="0079687E"/>
    <w:rsid w:val="007969E9"/>
    <w:rsid w:val="00796FA5"/>
    <w:rsid w:val="007972A9"/>
    <w:rsid w:val="007976EF"/>
    <w:rsid w:val="007A05E1"/>
    <w:rsid w:val="007A3DA8"/>
    <w:rsid w:val="007A76B9"/>
    <w:rsid w:val="007B0746"/>
    <w:rsid w:val="007B48FF"/>
    <w:rsid w:val="007B6A8D"/>
    <w:rsid w:val="007C33FA"/>
    <w:rsid w:val="007C7D3F"/>
    <w:rsid w:val="007D1B5F"/>
    <w:rsid w:val="007D5356"/>
    <w:rsid w:val="007D58C8"/>
    <w:rsid w:val="007E0CC3"/>
    <w:rsid w:val="007E1756"/>
    <w:rsid w:val="007E59EB"/>
    <w:rsid w:val="007E73DD"/>
    <w:rsid w:val="007F0840"/>
    <w:rsid w:val="007F2124"/>
    <w:rsid w:val="007F3F26"/>
    <w:rsid w:val="007F4867"/>
    <w:rsid w:val="0080074C"/>
    <w:rsid w:val="00805138"/>
    <w:rsid w:val="00811C37"/>
    <w:rsid w:val="008121F1"/>
    <w:rsid w:val="00817A1E"/>
    <w:rsid w:val="00831957"/>
    <w:rsid w:val="00833550"/>
    <w:rsid w:val="00835301"/>
    <w:rsid w:val="0083581B"/>
    <w:rsid w:val="00836D34"/>
    <w:rsid w:val="00840993"/>
    <w:rsid w:val="0084140B"/>
    <w:rsid w:val="00841698"/>
    <w:rsid w:val="0084318B"/>
    <w:rsid w:val="00843FFC"/>
    <w:rsid w:val="00844A08"/>
    <w:rsid w:val="0085227D"/>
    <w:rsid w:val="0086214B"/>
    <w:rsid w:val="00862A59"/>
    <w:rsid w:val="008652DD"/>
    <w:rsid w:val="00870B34"/>
    <w:rsid w:val="00873188"/>
    <w:rsid w:val="008802BD"/>
    <w:rsid w:val="00880C96"/>
    <w:rsid w:val="00880F43"/>
    <w:rsid w:val="00882198"/>
    <w:rsid w:val="00893913"/>
    <w:rsid w:val="00894A8D"/>
    <w:rsid w:val="0089781C"/>
    <w:rsid w:val="008A22C5"/>
    <w:rsid w:val="008A453D"/>
    <w:rsid w:val="008A5FDD"/>
    <w:rsid w:val="008A6032"/>
    <w:rsid w:val="008B1669"/>
    <w:rsid w:val="008B1F57"/>
    <w:rsid w:val="008B1F62"/>
    <w:rsid w:val="008B2F6E"/>
    <w:rsid w:val="008B3026"/>
    <w:rsid w:val="008C2E71"/>
    <w:rsid w:val="008C30F7"/>
    <w:rsid w:val="008C561E"/>
    <w:rsid w:val="008C6C4C"/>
    <w:rsid w:val="008C7015"/>
    <w:rsid w:val="008D2C51"/>
    <w:rsid w:val="008D2D0A"/>
    <w:rsid w:val="008D494D"/>
    <w:rsid w:val="008E230B"/>
    <w:rsid w:val="008E5A16"/>
    <w:rsid w:val="008E6086"/>
    <w:rsid w:val="008E66A4"/>
    <w:rsid w:val="008F3EA7"/>
    <w:rsid w:val="0090058A"/>
    <w:rsid w:val="00902374"/>
    <w:rsid w:val="00902B88"/>
    <w:rsid w:val="0090483B"/>
    <w:rsid w:val="0090693C"/>
    <w:rsid w:val="009108A1"/>
    <w:rsid w:val="00911F7D"/>
    <w:rsid w:val="00912C48"/>
    <w:rsid w:val="00912E33"/>
    <w:rsid w:val="009163F3"/>
    <w:rsid w:val="00916E39"/>
    <w:rsid w:val="009173EF"/>
    <w:rsid w:val="00917ABA"/>
    <w:rsid w:val="00925131"/>
    <w:rsid w:val="00930D14"/>
    <w:rsid w:val="00932906"/>
    <w:rsid w:val="00935D3F"/>
    <w:rsid w:val="0094130F"/>
    <w:rsid w:val="009419D1"/>
    <w:rsid w:val="00944287"/>
    <w:rsid w:val="00945D18"/>
    <w:rsid w:val="00950214"/>
    <w:rsid w:val="009539B3"/>
    <w:rsid w:val="00956C8C"/>
    <w:rsid w:val="00961B0B"/>
    <w:rsid w:val="00962938"/>
    <w:rsid w:val="00963226"/>
    <w:rsid w:val="009659F0"/>
    <w:rsid w:val="00966A1B"/>
    <w:rsid w:val="00977602"/>
    <w:rsid w:val="00981F5D"/>
    <w:rsid w:val="009821AE"/>
    <w:rsid w:val="009822EB"/>
    <w:rsid w:val="00982ED4"/>
    <w:rsid w:val="00984458"/>
    <w:rsid w:val="00987718"/>
    <w:rsid w:val="009912FF"/>
    <w:rsid w:val="00997952"/>
    <w:rsid w:val="009A069F"/>
    <w:rsid w:val="009A6F1D"/>
    <w:rsid w:val="009B048E"/>
    <w:rsid w:val="009B637E"/>
    <w:rsid w:val="009C5FD2"/>
    <w:rsid w:val="009D3B98"/>
    <w:rsid w:val="009D6EA5"/>
    <w:rsid w:val="009E00C1"/>
    <w:rsid w:val="009E17BD"/>
    <w:rsid w:val="009E3EED"/>
    <w:rsid w:val="009E6868"/>
    <w:rsid w:val="009E7651"/>
    <w:rsid w:val="009E7DE0"/>
    <w:rsid w:val="009F15C5"/>
    <w:rsid w:val="009F1D4D"/>
    <w:rsid w:val="009F4698"/>
    <w:rsid w:val="009F4DF7"/>
    <w:rsid w:val="009F5BC3"/>
    <w:rsid w:val="00A02D2D"/>
    <w:rsid w:val="00A02E6F"/>
    <w:rsid w:val="00A04CEC"/>
    <w:rsid w:val="00A066D8"/>
    <w:rsid w:val="00A12C68"/>
    <w:rsid w:val="00A20884"/>
    <w:rsid w:val="00A21097"/>
    <w:rsid w:val="00A27F92"/>
    <w:rsid w:val="00A305AA"/>
    <w:rsid w:val="00A32654"/>
    <w:rsid w:val="00A33971"/>
    <w:rsid w:val="00A33B18"/>
    <w:rsid w:val="00A3595B"/>
    <w:rsid w:val="00A35E16"/>
    <w:rsid w:val="00A44101"/>
    <w:rsid w:val="00A5383B"/>
    <w:rsid w:val="00A55622"/>
    <w:rsid w:val="00A556C2"/>
    <w:rsid w:val="00A602CD"/>
    <w:rsid w:val="00A62467"/>
    <w:rsid w:val="00A63031"/>
    <w:rsid w:val="00A71E8E"/>
    <w:rsid w:val="00A76752"/>
    <w:rsid w:val="00A77EA6"/>
    <w:rsid w:val="00A806F2"/>
    <w:rsid w:val="00A81F23"/>
    <w:rsid w:val="00A8261D"/>
    <w:rsid w:val="00A82D0D"/>
    <w:rsid w:val="00A87B50"/>
    <w:rsid w:val="00A91DE4"/>
    <w:rsid w:val="00A94AD4"/>
    <w:rsid w:val="00AA025D"/>
    <w:rsid w:val="00AA5496"/>
    <w:rsid w:val="00AA5C97"/>
    <w:rsid w:val="00AB0340"/>
    <w:rsid w:val="00AB24CA"/>
    <w:rsid w:val="00AB29DA"/>
    <w:rsid w:val="00AB42F6"/>
    <w:rsid w:val="00AB69D8"/>
    <w:rsid w:val="00AC1E55"/>
    <w:rsid w:val="00AC2591"/>
    <w:rsid w:val="00AC6F74"/>
    <w:rsid w:val="00AC769F"/>
    <w:rsid w:val="00AD0AE5"/>
    <w:rsid w:val="00AD3E23"/>
    <w:rsid w:val="00AD5D3C"/>
    <w:rsid w:val="00AD7201"/>
    <w:rsid w:val="00AD7909"/>
    <w:rsid w:val="00AE26D6"/>
    <w:rsid w:val="00AE654A"/>
    <w:rsid w:val="00AE66FC"/>
    <w:rsid w:val="00AF2963"/>
    <w:rsid w:val="00AF2971"/>
    <w:rsid w:val="00AF4BAE"/>
    <w:rsid w:val="00AF5E3C"/>
    <w:rsid w:val="00AF78F8"/>
    <w:rsid w:val="00B024D2"/>
    <w:rsid w:val="00B13315"/>
    <w:rsid w:val="00B170F6"/>
    <w:rsid w:val="00B2270F"/>
    <w:rsid w:val="00B23E7E"/>
    <w:rsid w:val="00B25B11"/>
    <w:rsid w:val="00B25B41"/>
    <w:rsid w:val="00B27123"/>
    <w:rsid w:val="00B332FB"/>
    <w:rsid w:val="00B371AF"/>
    <w:rsid w:val="00B40A81"/>
    <w:rsid w:val="00B41974"/>
    <w:rsid w:val="00B44910"/>
    <w:rsid w:val="00B54B8F"/>
    <w:rsid w:val="00B55639"/>
    <w:rsid w:val="00B576FA"/>
    <w:rsid w:val="00B6677E"/>
    <w:rsid w:val="00B7000E"/>
    <w:rsid w:val="00B702A5"/>
    <w:rsid w:val="00B72267"/>
    <w:rsid w:val="00B750EB"/>
    <w:rsid w:val="00B76EB6"/>
    <w:rsid w:val="00B77B71"/>
    <w:rsid w:val="00B824C8"/>
    <w:rsid w:val="00B82A28"/>
    <w:rsid w:val="00B8318C"/>
    <w:rsid w:val="00B83897"/>
    <w:rsid w:val="00B84652"/>
    <w:rsid w:val="00B8578D"/>
    <w:rsid w:val="00B8714F"/>
    <w:rsid w:val="00B902F2"/>
    <w:rsid w:val="00BA1CA1"/>
    <w:rsid w:val="00BA1CAA"/>
    <w:rsid w:val="00BA3A82"/>
    <w:rsid w:val="00BA4604"/>
    <w:rsid w:val="00BA7087"/>
    <w:rsid w:val="00BB0863"/>
    <w:rsid w:val="00BB0E88"/>
    <w:rsid w:val="00BB137B"/>
    <w:rsid w:val="00BB146D"/>
    <w:rsid w:val="00BB1F56"/>
    <w:rsid w:val="00BB2F3F"/>
    <w:rsid w:val="00BC2C12"/>
    <w:rsid w:val="00BC3CD2"/>
    <w:rsid w:val="00BC5A8A"/>
    <w:rsid w:val="00BD032B"/>
    <w:rsid w:val="00BD14D2"/>
    <w:rsid w:val="00BD1548"/>
    <w:rsid w:val="00BD73DC"/>
    <w:rsid w:val="00BE012E"/>
    <w:rsid w:val="00BE02D1"/>
    <w:rsid w:val="00BE1922"/>
    <w:rsid w:val="00BE2640"/>
    <w:rsid w:val="00BE2773"/>
    <w:rsid w:val="00BE355F"/>
    <w:rsid w:val="00BF1FFF"/>
    <w:rsid w:val="00BF27CF"/>
    <w:rsid w:val="00BF2BF9"/>
    <w:rsid w:val="00BF370B"/>
    <w:rsid w:val="00C01189"/>
    <w:rsid w:val="00C019B1"/>
    <w:rsid w:val="00C03AD5"/>
    <w:rsid w:val="00C104DD"/>
    <w:rsid w:val="00C108D2"/>
    <w:rsid w:val="00C17270"/>
    <w:rsid w:val="00C17609"/>
    <w:rsid w:val="00C17AF8"/>
    <w:rsid w:val="00C301A8"/>
    <w:rsid w:val="00C31C94"/>
    <w:rsid w:val="00C33313"/>
    <w:rsid w:val="00C36D0F"/>
    <w:rsid w:val="00C374DE"/>
    <w:rsid w:val="00C4152B"/>
    <w:rsid w:val="00C42831"/>
    <w:rsid w:val="00C44DA7"/>
    <w:rsid w:val="00C50344"/>
    <w:rsid w:val="00C512A0"/>
    <w:rsid w:val="00C51F07"/>
    <w:rsid w:val="00C53A28"/>
    <w:rsid w:val="00C667DB"/>
    <w:rsid w:val="00C66E21"/>
    <w:rsid w:val="00C7397E"/>
    <w:rsid w:val="00C73A8D"/>
    <w:rsid w:val="00C74D1A"/>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DAD"/>
    <w:rsid w:val="00CD0C08"/>
    <w:rsid w:val="00CD0F3C"/>
    <w:rsid w:val="00CD5BBD"/>
    <w:rsid w:val="00CD66E3"/>
    <w:rsid w:val="00CE00DE"/>
    <w:rsid w:val="00CE222A"/>
    <w:rsid w:val="00CE554A"/>
    <w:rsid w:val="00CE60BA"/>
    <w:rsid w:val="00CF203C"/>
    <w:rsid w:val="00CF33F3"/>
    <w:rsid w:val="00CF3EC3"/>
    <w:rsid w:val="00CF6AD5"/>
    <w:rsid w:val="00D01238"/>
    <w:rsid w:val="00D01634"/>
    <w:rsid w:val="00D04FD6"/>
    <w:rsid w:val="00D05510"/>
    <w:rsid w:val="00D06183"/>
    <w:rsid w:val="00D10EA5"/>
    <w:rsid w:val="00D12D29"/>
    <w:rsid w:val="00D145D9"/>
    <w:rsid w:val="00D157A3"/>
    <w:rsid w:val="00D15841"/>
    <w:rsid w:val="00D175B3"/>
    <w:rsid w:val="00D208E0"/>
    <w:rsid w:val="00D2236C"/>
    <w:rsid w:val="00D22C42"/>
    <w:rsid w:val="00D2455D"/>
    <w:rsid w:val="00D26FDF"/>
    <w:rsid w:val="00D27B70"/>
    <w:rsid w:val="00D309CF"/>
    <w:rsid w:val="00D30A39"/>
    <w:rsid w:val="00D336EE"/>
    <w:rsid w:val="00D337D8"/>
    <w:rsid w:val="00D33A9B"/>
    <w:rsid w:val="00D33BC1"/>
    <w:rsid w:val="00D4094B"/>
    <w:rsid w:val="00D41704"/>
    <w:rsid w:val="00D43B52"/>
    <w:rsid w:val="00D442AF"/>
    <w:rsid w:val="00D4562C"/>
    <w:rsid w:val="00D46610"/>
    <w:rsid w:val="00D4769E"/>
    <w:rsid w:val="00D534B0"/>
    <w:rsid w:val="00D54A06"/>
    <w:rsid w:val="00D57E69"/>
    <w:rsid w:val="00D617BD"/>
    <w:rsid w:val="00D63AEF"/>
    <w:rsid w:val="00D7144D"/>
    <w:rsid w:val="00D71B7E"/>
    <w:rsid w:val="00D7225A"/>
    <w:rsid w:val="00D74B5A"/>
    <w:rsid w:val="00D7501A"/>
    <w:rsid w:val="00D76A33"/>
    <w:rsid w:val="00D77A00"/>
    <w:rsid w:val="00D86145"/>
    <w:rsid w:val="00D9217C"/>
    <w:rsid w:val="00DA18EC"/>
    <w:rsid w:val="00DA1A79"/>
    <w:rsid w:val="00DA313D"/>
    <w:rsid w:val="00DA3E70"/>
    <w:rsid w:val="00DA5B1F"/>
    <w:rsid w:val="00DB088B"/>
    <w:rsid w:val="00DB2B12"/>
    <w:rsid w:val="00DB6388"/>
    <w:rsid w:val="00DC0E33"/>
    <w:rsid w:val="00DC2187"/>
    <w:rsid w:val="00DC429C"/>
    <w:rsid w:val="00DC4A08"/>
    <w:rsid w:val="00DC65C1"/>
    <w:rsid w:val="00DC7F3A"/>
    <w:rsid w:val="00DD06C6"/>
    <w:rsid w:val="00DD4EA6"/>
    <w:rsid w:val="00DE06EB"/>
    <w:rsid w:val="00DE07E6"/>
    <w:rsid w:val="00DE0C72"/>
    <w:rsid w:val="00DE52DC"/>
    <w:rsid w:val="00DF608C"/>
    <w:rsid w:val="00DF720D"/>
    <w:rsid w:val="00E041F4"/>
    <w:rsid w:val="00E07153"/>
    <w:rsid w:val="00E07523"/>
    <w:rsid w:val="00E07718"/>
    <w:rsid w:val="00E07FE1"/>
    <w:rsid w:val="00E10E3B"/>
    <w:rsid w:val="00E10E80"/>
    <w:rsid w:val="00E124F0"/>
    <w:rsid w:val="00E137BC"/>
    <w:rsid w:val="00E1694D"/>
    <w:rsid w:val="00E17990"/>
    <w:rsid w:val="00E17CE7"/>
    <w:rsid w:val="00E237EC"/>
    <w:rsid w:val="00E2526B"/>
    <w:rsid w:val="00E342CF"/>
    <w:rsid w:val="00E3640B"/>
    <w:rsid w:val="00E40B6E"/>
    <w:rsid w:val="00E41136"/>
    <w:rsid w:val="00E4141B"/>
    <w:rsid w:val="00E4442D"/>
    <w:rsid w:val="00E544AC"/>
    <w:rsid w:val="00E54EE6"/>
    <w:rsid w:val="00E55559"/>
    <w:rsid w:val="00E569B6"/>
    <w:rsid w:val="00E603D2"/>
    <w:rsid w:val="00E77551"/>
    <w:rsid w:val="00E828D5"/>
    <w:rsid w:val="00E8417D"/>
    <w:rsid w:val="00E849B4"/>
    <w:rsid w:val="00E852C4"/>
    <w:rsid w:val="00E85DA7"/>
    <w:rsid w:val="00E90283"/>
    <w:rsid w:val="00E917D3"/>
    <w:rsid w:val="00E94D52"/>
    <w:rsid w:val="00E964F5"/>
    <w:rsid w:val="00EA3349"/>
    <w:rsid w:val="00EA4D1D"/>
    <w:rsid w:val="00EA5FA5"/>
    <w:rsid w:val="00EB2232"/>
    <w:rsid w:val="00EB2633"/>
    <w:rsid w:val="00EB2ED4"/>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620A"/>
    <w:rsid w:val="00EE7FAE"/>
    <w:rsid w:val="00EF00BD"/>
    <w:rsid w:val="00EF0A70"/>
    <w:rsid w:val="00EF611A"/>
    <w:rsid w:val="00EF7D55"/>
    <w:rsid w:val="00F01FC4"/>
    <w:rsid w:val="00F02CE5"/>
    <w:rsid w:val="00F03FB0"/>
    <w:rsid w:val="00F046BB"/>
    <w:rsid w:val="00F07562"/>
    <w:rsid w:val="00F07765"/>
    <w:rsid w:val="00F1489D"/>
    <w:rsid w:val="00F15957"/>
    <w:rsid w:val="00F1663D"/>
    <w:rsid w:val="00F17005"/>
    <w:rsid w:val="00F1776B"/>
    <w:rsid w:val="00F2150A"/>
    <w:rsid w:val="00F21FB0"/>
    <w:rsid w:val="00F23CA9"/>
    <w:rsid w:val="00F2576B"/>
    <w:rsid w:val="00F26C3F"/>
    <w:rsid w:val="00F30BBC"/>
    <w:rsid w:val="00F33243"/>
    <w:rsid w:val="00F35D25"/>
    <w:rsid w:val="00F3600D"/>
    <w:rsid w:val="00F43265"/>
    <w:rsid w:val="00F5168B"/>
    <w:rsid w:val="00F523CD"/>
    <w:rsid w:val="00F524E4"/>
    <w:rsid w:val="00F54BEC"/>
    <w:rsid w:val="00F56FD6"/>
    <w:rsid w:val="00F61E82"/>
    <w:rsid w:val="00F6456B"/>
    <w:rsid w:val="00F6550B"/>
    <w:rsid w:val="00F6647A"/>
    <w:rsid w:val="00F70C1F"/>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C1181"/>
    <w:rsid w:val="00FC3229"/>
    <w:rsid w:val="00FC3972"/>
    <w:rsid w:val="00FC4153"/>
    <w:rsid w:val="00FC4B12"/>
    <w:rsid w:val="00FD0557"/>
    <w:rsid w:val="00FD0BB9"/>
    <w:rsid w:val="00FD0E17"/>
    <w:rsid w:val="00FD3677"/>
    <w:rsid w:val="00FD687B"/>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semiHidden/>
    <w:unhideWhenUsed/>
    <w:rsid w:val="003A0F60"/>
    <w:rPr>
      <w:sz w:val="18"/>
      <w:szCs w:val="18"/>
    </w:rPr>
  </w:style>
  <w:style w:type="paragraph" w:styleId="CommentText">
    <w:name w:val="annotation text"/>
    <w:basedOn w:val="Normal"/>
    <w:link w:val="CommentTextChar"/>
    <w:semiHidden/>
    <w:unhideWhenUsed/>
    <w:rsid w:val="003A0F60"/>
    <w:rPr>
      <w:szCs w:val="24"/>
    </w:rPr>
  </w:style>
  <w:style w:type="character" w:customStyle="1" w:styleId="CommentTextChar">
    <w:name w:val="Comment Text Char"/>
    <w:basedOn w:val="DefaultParagraphFont"/>
    <w:link w:val="CommentText"/>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semiHidden/>
    <w:unhideWhenUsed/>
    <w:rsid w:val="003A0F60"/>
    <w:rPr>
      <w:b/>
      <w:bCs/>
      <w:sz w:val="20"/>
      <w:szCs w:val="20"/>
    </w:rPr>
  </w:style>
  <w:style w:type="character" w:customStyle="1" w:styleId="CommentSubjectChar">
    <w:name w:val="Comment Subject Char"/>
    <w:basedOn w:val="CommentTextChar"/>
    <w:link w:val="CommentSubject"/>
    <w:semiHidden/>
    <w:rsid w:val="003A0F60"/>
    <w:rPr>
      <w:rFonts w:ascii="Times New Roman" w:hAnsi="Times New Roman"/>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6861D0-287E-4915-846C-B27BF89260C7}">
  <ds:schemaRefs>
    <ds:schemaRef ds:uri="http://schemas.openxmlformats.org/officeDocument/2006/bibliography"/>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PE_C07.DOT</Template>
  <TotalTime>64</TotalTime>
  <Pages>6</Pages>
  <Words>3125</Words>
  <Characters>407</Characters>
  <Application>Microsoft Office Word</Application>
  <DocSecurity>0</DocSecurity>
  <Lines>3</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CDPG-C07/24-SCHEDULING OF COUNCIL SESSIONS AND PLENIPOTENTIARY CONFERENCES</vt:lpstr>
      <vt:lpstr>CDPG-C07/24-SCHEDULING OF COUNCIL SESSIONS AND PLENIPOTENTIARY CONFERENCES</vt:lpstr>
    </vt:vector>
  </TitlesOfParts>
  <Manager>General Secretariat - Pool</Manager>
  <Company>International Telecommunication Union (ITU)</Company>
  <LinksUpToDate>false</LinksUpToDate>
  <CharactersWithSpaces>3525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dc:description/>
  <cp:lastModifiedBy>Yuan, Tianxiang</cp:lastModifiedBy>
  <cp:revision>9</cp:revision>
  <cp:lastPrinted>2020-08-21T06:44:00Z</cp:lastPrinted>
  <dcterms:created xsi:type="dcterms:W3CDTF">2020-09-10T01:04:00Z</dcterms:created>
  <dcterms:modified xsi:type="dcterms:W3CDTF">2020-09-10T12:53:00Z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