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37" w:type="dxa"/>
        <w:tblLayout w:type="fixed"/>
        <w:tblLook w:val="0000" w:firstRow="0" w:lastRow="0" w:firstColumn="0" w:lastColumn="0" w:noHBand="0" w:noVBand="0"/>
      </w:tblPr>
      <w:tblGrid>
        <w:gridCol w:w="6345"/>
        <w:gridCol w:w="3492"/>
      </w:tblGrid>
      <w:tr w:rsidR="004C1593" w14:paraId="2B88F27D" w14:textId="77777777">
        <w:trPr>
          <w:cantSplit/>
          <w:trHeight w:val="851"/>
        </w:trPr>
        <w:tc>
          <w:tcPr>
            <w:tcW w:w="6345" w:type="dxa"/>
            <w:vAlign w:val="center"/>
          </w:tcPr>
          <w:p w14:paraId="03D3EFF8" w14:textId="77777777" w:rsidR="004C1593" w:rsidRDefault="00471878">
            <w:pPr>
              <w:shd w:val="solid" w:color="FFFFFF" w:fill="FFFFFF"/>
              <w:spacing w:after="0"/>
              <w:rPr>
                <w:rFonts w:cs="Times"/>
                <w:b/>
                <w:lang w:val="en-US"/>
              </w:rPr>
            </w:pPr>
            <w:r>
              <w:rPr>
                <w:rFonts w:cs="Times"/>
                <w:b/>
                <w:sz w:val="32"/>
                <w:szCs w:val="32"/>
                <w:lang w:val="en-US"/>
              </w:rPr>
              <w:t>Expert Group on the International</w:t>
            </w:r>
            <w:r>
              <w:rPr>
                <w:rFonts w:cs="Times"/>
                <w:b/>
                <w:sz w:val="32"/>
                <w:szCs w:val="32"/>
                <w:lang w:val="en-US"/>
              </w:rPr>
              <w:br/>
              <w:t>Telecommunication Regulations (EG-ITRs)</w:t>
            </w:r>
          </w:p>
        </w:tc>
        <w:tc>
          <w:tcPr>
            <w:tcW w:w="3492" w:type="dxa"/>
          </w:tcPr>
          <w:p w14:paraId="74A9A76D" w14:textId="77777777" w:rsidR="004C1593" w:rsidRDefault="00471878">
            <w:pPr>
              <w:pStyle w:val="dnum"/>
              <w:framePr w:hSpace="0" w:wrap="auto" w:vAnchor="margin" w:hAnchor="text" w:yAlign="inline"/>
              <w:spacing w:after="0"/>
            </w:pPr>
            <w:r>
              <w:rPr>
                <w:noProof/>
                <w:lang w:eastAsia="en-GB"/>
              </w:rPr>
              <w:drawing>
                <wp:inline distT="0" distB="0" distL="0" distR="0" wp14:anchorId="4BA922AE" wp14:editId="32A43AC3">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4C1593" w14:paraId="078190E1" w14:textId="77777777">
        <w:trPr>
          <w:cantSplit/>
          <w:trHeight w:val="20"/>
        </w:trPr>
        <w:tc>
          <w:tcPr>
            <w:tcW w:w="6345" w:type="dxa"/>
            <w:tcBorders>
              <w:bottom w:val="single" w:sz="12" w:space="0" w:color="auto"/>
            </w:tcBorders>
          </w:tcPr>
          <w:p w14:paraId="3FCB82D9" w14:textId="77777777" w:rsidR="004C1593" w:rsidRDefault="00471878">
            <w:pPr>
              <w:shd w:val="solid" w:color="FFFFFF" w:fill="FFFFFF"/>
              <w:spacing w:after="0"/>
              <w:rPr>
                <w:rFonts w:cs="Times"/>
                <w:b/>
                <w:lang w:val="en-US"/>
              </w:rPr>
            </w:pPr>
            <w:r>
              <w:rPr>
                <w:b/>
                <w:bCs/>
                <w:sz w:val="24"/>
                <w:szCs w:val="40"/>
                <w:lang w:val="en-US"/>
              </w:rPr>
              <w:t>Third meeting – Virtual meeting, 17-18 September 2020</w:t>
            </w:r>
          </w:p>
        </w:tc>
        <w:tc>
          <w:tcPr>
            <w:tcW w:w="3492" w:type="dxa"/>
            <w:tcBorders>
              <w:bottom w:val="single" w:sz="12" w:space="0" w:color="auto"/>
            </w:tcBorders>
          </w:tcPr>
          <w:p w14:paraId="7D6785B6" w14:textId="77777777" w:rsidR="004C1593" w:rsidRDefault="004C1593">
            <w:pPr>
              <w:pStyle w:val="dnum"/>
              <w:framePr w:hSpace="0" w:wrap="auto" w:vAnchor="margin" w:hAnchor="text" w:yAlign="inline"/>
              <w:spacing w:after="0"/>
              <w:rPr>
                <w:rFonts w:ascii="Verdana" w:hAnsi="Verdana"/>
                <w:lang w:val="en-US"/>
              </w:rPr>
            </w:pPr>
          </w:p>
        </w:tc>
      </w:tr>
      <w:tr w:rsidR="004C1593" w14:paraId="1D26B8A8" w14:textId="77777777">
        <w:trPr>
          <w:cantSplit/>
          <w:trHeight w:val="138"/>
        </w:trPr>
        <w:tc>
          <w:tcPr>
            <w:tcW w:w="6345" w:type="dxa"/>
            <w:tcBorders>
              <w:top w:val="single" w:sz="12" w:space="0" w:color="auto"/>
            </w:tcBorders>
          </w:tcPr>
          <w:p w14:paraId="109FC1A9" w14:textId="77777777" w:rsidR="004C1593" w:rsidRDefault="004C1593">
            <w:pPr>
              <w:shd w:val="solid" w:color="FFFFFF" w:fill="FFFFFF"/>
              <w:spacing w:after="0"/>
              <w:ind w:right="284"/>
              <w:rPr>
                <w:lang w:val="en-US"/>
              </w:rPr>
            </w:pPr>
          </w:p>
        </w:tc>
        <w:tc>
          <w:tcPr>
            <w:tcW w:w="3492" w:type="dxa"/>
            <w:tcBorders>
              <w:top w:val="single" w:sz="12" w:space="0" w:color="auto"/>
            </w:tcBorders>
          </w:tcPr>
          <w:p w14:paraId="5BD53387" w14:textId="77777777" w:rsidR="004C1593" w:rsidRDefault="004C1593">
            <w:pPr>
              <w:tabs>
                <w:tab w:val="left" w:pos="851"/>
              </w:tabs>
              <w:spacing w:after="0"/>
              <w:ind w:right="284"/>
              <w:rPr>
                <w:rFonts w:ascii="Times New Roman Bold" w:hAnsi="Times New Roman Bold" w:cs="Times New Roman Bold"/>
                <w:b/>
                <w:lang w:val="en-US"/>
              </w:rPr>
            </w:pPr>
          </w:p>
        </w:tc>
      </w:tr>
      <w:tr w:rsidR="004C1593" w:rsidRPr="00106902" w14:paraId="177524F4" w14:textId="77777777">
        <w:trPr>
          <w:cantSplit/>
          <w:trHeight w:val="138"/>
        </w:trPr>
        <w:tc>
          <w:tcPr>
            <w:tcW w:w="6345" w:type="dxa"/>
          </w:tcPr>
          <w:p w14:paraId="7186CD1C" w14:textId="77777777" w:rsidR="004C1593" w:rsidRDefault="004C1593">
            <w:pPr>
              <w:spacing w:after="0"/>
              <w:rPr>
                <w:b/>
                <w:bCs/>
                <w:sz w:val="24"/>
                <w:szCs w:val="24"/>
                <w:lang w:val="en-US"/>
              </w:rPr>
            </w:pPr>
          </w:p>
        </w:tc>
        <w:tc>
          <w:tcPr>
            <w:tcW w:w="3492" w:type="dxa"/>
            <w:shd w:val="clear" w:color="auto" w:fill="auto"/>
          </w:tcPr>
          <w:p w14:paraId="5B77A155" w14:textId="58922193" w:rsidR="004C1593" w:rsidRDefault="00471878">
            <w:pPr>
              <w:spacing w:after="0"/>
              <w:rPr>
                <w:b/>
                <w:bCs/>
                <w:sz w:val="24"/>
                <w:szCs w:val="24"/>
                <w:lang w:val="es-ES"/>
              </w:rPr>
            </w:pPr>
            <w:proofErr w:type="spellStart"/>
            <w:r>
              <w:rPr>
                <w:b/>
                <w:bCs/>
                <w:sz w:val="24"/>
                <w:szCs w:val="24"/>
                <w:lang w:val="es-ES"/>
              </w:rPr>
              <w:t>Document</w:t>
            </w:r>
            <w:proofErr w:type="spellEnd"/>
            <w:r>
              <w:rPr>
                <w:b/>
                <w:bCs/>
                <w:sz w:val="24"/>
                <w:szCs w:val="24"/>
                <w:lang w:val="es-ES"/>
              </w:rPr>
              <w:t xml:space="preserve"> EG-ITRs-3\</w:t>
            </w:r>
            <w:r w:rsidR="00106902">
              <w:rPr>
                <w:b/>
                <w:bCs/>
                <w:sz w:val="24"/>
                <w:szCs w:val="24"/>
                <w:lang w:val="es-ES"/>
              </w:rPr>
              <w:t>11</w:t>
            </w:r>
            <w:r>
              <w:rPr>
                <w:b/>
                <w:bCs/>
                <w:sz w:val="24"/>
                <w:szCs w:val="24"/>
                <w:lang w:val="es-ES"/>
              </w:rPr>
              <w:t>-E</w:t>
            </w:r>
          </w:p>
        </w:tc>
      </w:tr>
      <w:tr w:rsidR="004C1593" w14:paraId="1A166CD5" w14:textId="77777777">
        <w:trPr>
          <w:cantSplit/>
          <w:trHeight w:val="138"/>
        </w:trPr>
        <w:tc>
          <w:tcPr>
            <w:tcW w:w="6345" w:type="dxa"/>
          </w:tcPr>
          <w:p w14:paraId="04176DC6" w14:textId="77777777" w:rsidR="004C1593" w:rsidRDefault="004C1593">
            <w:pPr>
              <w:shd w:val="solid" w:color="FFFFFF" w:fill="FFFFFF"/>
              <w:spacing w:after="0"/>
              <w:ind w:right="284"/>
              <w:rPr>
                <w:lang w:val="es-ES"/>
              </w:rPr>
            </w:pPr>
          </w:p>
        </w:tc>
        <w:tc>
          <w:tcPr>
            <w:tcW w:w="3492" w:type="dxa"/>
            <w:shd w:val="clear" w:color="auto" w:fill="auto"/>
          </w:tcPr>
          <w:p w14:paraId="11DB0333" w14:textId="6EC0D666" w:rsidR="004C1593" w:rsidRDefault="00106902">
            <w:pPr>
              <w:tabs>
                <w:tab w:val="left" w:pos="851"/>
              </w:tabs>
              <w:spacing w:after="0"/>
              <w:ind w:right="284"/>
              <w:rPr>
                <w:b/>
                <w:sz w:val="24"/>
                <w:szCs w:val="24"/>
              </w:rPr>
            </w:pPr>
            <w:r>
              <w:rPr>
                <w:b/>
                <w:sz w:val="24"/>
                <w:szCs w:val="24"/>
              </w:rPr>
              <w:t>7 September</w:t>
            </w:r>
            <w:r w:rsidR="00471878">
              <w:rPr>
                <w:b/>
                <w:sz w:val="24"/>
                <w:szCs w:val="24"/>
              </w:rPr>
              <w:t xml:space="preserve"> 2020</w:t>
            </w:r>
          </w:p>
        </w:tc>
      </w:tr>
      <w:tr w:rsidR="004C1593" w14:paraId="098418BE" w14:textId="77777777">
        <w:trPr>
          <w:cantSplit/>
          <w:trHeight w:val="138"/>
        </w:trPr>
        <w:tc>
          <w:tcPr>
            <w:tcW w:w="6345" w:type="dxa"/>
          </w:tcPr>
          <w:p w14:paraId="6959EEC9" w14:textId="77777777" w:rsidR="004C1593" w:rsidRDefault="004C1593">
            <w:pPr>
              <w:shd w:val="solid" w:color="FFFFFF" w:fill="FFFFFF"/>
              <w:spacing w:after="0"/>
              <w:ind w:right="284"/>
            </w:pPr>
          </w:p>
        </w:tc>
        <w:tc>
          <w:tcPr>
            <w:tcW w:w="3492" w:type="dxa"/>
            <w:shd w:val="clear" w:color="auto" w:fill="auto"/>
          </w:tcPr>
          <w:p w14:paraId="3A2A72D5" w14:textId="77777777" w:rsidR="004C1593" w:rsidRDefault="00471878">
            <w:pPr>
              <w:tabs>
                <w:tab w:val="left" w:pos="851"/>
              </w:tabs>
              <w:spacing w:after="0"/>
              <w:ind w:right="284"/>
              <w:rPr>
                <w:b/>
                <w:sz w:val="24"/>
                <w:szCs w:val="24"/>
              </w:rPr>
            </w:pPr>
            <w:r>
              <w:rPr>
                <w:b/>
                <w:sz w:val="24"/>
                <w:szCs w:val="24"/>
              </w:rPr>
              <w:t>Original: English</w:t>
            </w:r>
          </w:p>
        </w:tc>
      </w:tr>
      <w:tr w:rsidR="004C1593" w14:paraId="7DBDE0A4" w14:textId="77777777">
        <w:trPr>
          <w:cantSplit/>
          <w:trHeight w:val="138"/>
        </w:trPr>
        <w:tc>
          <w:tcPr>
            <w:tcW w:w="9837" w:type="dxa"/>
            <w:gridSpan w:val="2"/>
          </w:tcPr>
          <w:p w14:paraId="2BB5EFD1" w14:textId="77777777" w:rsidR="004C1593" w:rsidRDefault="00471878">
            <w:pPr>
              <w:pStyle w:val="Source"/>
              <w:rPr>
                <w:lang w:val="en-US"/>
              </w:rPr>
            </w:pPr>
            <w:r>
              <w:rPr>
                <w:lang w:val="en-US"/>
              </w:rPr>
              <w:t>Netherlands</w:t>
            </w:r>
          </w:p>
        </w:tc>
      </w:tr>
      <w:tr w:rsidR="004C1593" w14:paraId="12C200B9" w14:textId="77777777">
        <w:trPr>
          <w:cantSplit/>
          <w:trHeight w:val="138"/>
        </w:trPr>
        <w:tc>
          <w:tcPr>
            <w:tcW w:w="9837" w:type="dxa"/>
            <w:gridSpan w:val="2"/>
          </w:tcPr>
          <w:p w14:paraId="785FEADC" w14:textId="77777777" w:rsidR="004C1593" w:rsidRDefault="00471878">
            <w:pPr>
              <w:pStyle w:val="Title1"/>
              <w:rPr>
                <w:lang w:val="en-US"/>
              </w:rPr>
            </w:pPr>
            <w:r>
              <w:rPr>
                <w:lang w:val="en-US"/>
              </w:rPr>
              <w:t>Provision-by-provision examination of the ITRs</w:t>
            </w:r>
          </w:p>
        </w:tc>
      </w:tr>
    </w:tbl>
    <w:p w14:paraId="37A263FE" w14:textId="77777777" w:rsidR="004C1593" w:rsidRDefault="004C1593">
      <w:pPr>
        <w:rPr>
          <w:b/>
          <w:sz w:val="24"/>
          <w:szCs w:val="24"/>
          <w:lang w:val="en-US"/>
        </w:rPr>
      </w:pPr>
    </w:p>
    <w:p w14:paraId="784219F5" w14:textId="77777777" w:rsidR="004C1593" w:rsidRDefault="00471878" w:rsidP="00106902">
      <w:pPr>
        <w:spacing w:before="360" w:after="120"/>
        <w:rPr>
          <w:b/>
          <w:bCs/>
          <w:sz w:val="24"/>
          <w:szCs w:val="24"/>
        </w:rPr>
      </w:pPr>
      <w:r>
        <w:rPr>
          <w:b/>
          <w:bCs/>
          <w:sz w:val="24"/>
          <w:szCs w:val="24"/>
        </w:rPr>
        <w:t>Introduction</w:t>
      </w:r>
    </w:p>
    <w:p w14:paraId="1AEABB93" w14:textId="77777777" w:rsidR="004C1593" w:rsidRDefault="00471878" w:rsidP="00106902">
      <w:pPr>
        <w:spacing w:before="120" w:after="120"/>
        <w:rPr>
          <w:sz w:val="24"/>
          <w:szCs w:val="24"/>
          <w:lang w:val="en-US"/>
        </w:rPr>
      </w:pPr>
      <w:r>
        <w:rPr>
          <w:sz w:val="24"/>
          <w:szCs w:val="24"/>
          <w:lang w:val="en-US"/>
        </w:rPr>
        <w:t xml:space="preserve">The Netherlands is pleased to offer to the Expert Group on the ITRs its view on the Articles 5 to 8 and Appendix 1 of the ITRs, in accordance with the Terms of Reference and the draft </w:t>
      </w:r>
      <w:r>
        <w:rPr>
          <w:sz w:val="24"/>
          <w:szCs w:val="24"/>
          <w:lang w:val="en-US"/>
        </w:rPr>
        <w:t>Agenda of the third meeting of the EG-ITRs.</w:t>
      </w:r>
    </w:p>
    <w:p w14:paraId="3A2ABBB6" w14:textId="77777777" w:rsidR="004C1593" w:rsidRDefault="00471878" w:rsidP="00106902">
      <w:pPr>
        <w:spacing w:before="120" w:after="120"/>
        <w:rPr>
          <w:b/>
          <w:bCs/>
          <w:sz w:val="24"/>
          <w:szCs w:val="24"/>
        </w:rPr>
      </w:pPr>
      <w:r>
        <w:rPr>
          <w:b/>
          <w:bCs/>
          <w:sz w:val="24"/>
          <w:szCs w:val="24"/>
        </w:rPr>
        <w:t>Discussion</w:t>
      </w:r>
    </w:p>
    <w:p w14:paraId="14700FA2" w14:textId="77777777" w:rsidR="004C1593" w:rsidRDefault="00471878" w:rsidP="00106902">
      <w:pPr>
        <w:spacing w:before="120" w:after="120"/>
        <w:rPr>
          <w:sz w:val="24"/>
          <w:szCs w:val="24"/>
        </w:rPr>
      </w:pPr>
      <w:r>
        <w:rPr>
          <w:sz w:val="24"/>
          <w:szCs w:val="24"/>
        </w:rPr>
        <w:t>We are of the view that the provisions in the 2012 ITR do not support a competitive market where operators plan and forecast their own national and international traffic and services. In that sense the</w:t>
      </w:r>
      <w:r>
        <w:rPr>
          <w:sz w:val="24"/>
          <w:szCs w:val="24"/>
        </w:rPr>
        <w:t xml:space="preserve"> ITRs are incompatible with a competitive market and regulatory environment, as these are developing, as are the technological advances. Revising the 2012 ITRs to address these developments will not lead to the support of these developments but will limit </w:t>
      </w:r>
      <w:r>
        <w:rPr>
          <w:sz w:val="24"/>
          <w:szCs w:val="24"/>
        </w:rPr>
        <w:t>it.</w:t>
      </w:r>
    </w:p>
    <w:p w14:paraId="2A147D83" w14:textId="76EE0BD3" w:rsidR="004C1593" w:rsidRDefault="00471878" w:rsidP="00106902">
      <w:pPr>
        <w:spacing w:before="120" w:after="120"/>
        <w:rPr>
          <w:sz w:val="24"/>
          <w:szCs w:val="24"/>
          <w:lang w:val="en-US"/>
        </w:rPr>
      </w:pPr>
      <w:r>
        <w:rPr>
          <w:spacing w:val="-2"/>
          <w:sz w:val="24"/>
          <w:szCs w:val="24"/>
          <w:lang w:val="en-US"/>
        </w:rPr>
        <w:t xml:space="preserve">The </w:t>
      </w:r>
      <w:r>
        <w:rPr>
          <w:sz w:val="24"/>
          <w:szCs w:val="24"/>
          <w:lang w:val="en-US"/>
        </w:rPr>
        <w:t xml:space="preserve">telecommunication/ICT landscape has experienced fundamental changes. </w:t>
      </w:r>
      <w:r>
        <w:rPr>
          <w:sz w:val="24"/>
          <w:szCs w:val="24"/>
        </w:rPr>
        <w:t xml:space="preserve">Although many </w:t>
      </w:r>
      <w:r>
        <w:rPr>
          <w:sz w:val="24"/>
          <w:szCs w:val="24"/>
          <w:lang w:val="en-US"/>
        </w:rPr>
        <w:t xml:space="preserve">provisions were well intended in the past and have served their purpose in the former monopoly approach based telecommunications environment, the provisions as part </w:t>
      </w:r>
      <w:r>
        <w:rPr>
          <w:sz w:val="24"/>
          <w:szCs w:val="24"/>
          <w:lang w:val="en-US"/>
        </w:rPr>
        <w:t xml:space="preserve">of a Treaty instrument are not suitable to accommodate the changing </w:t>
      </w:r>
      <w:r>
        <w:rPr>
          <w:spacing w:val="-2"/>
          <w:sz w:val="24"/>
          <w:szCs w:val="24"/>
          <w:lang w:val="en-US"/>
        </w:rPr>
        <w:t>market environment and, when strictly enforced, may deter the introduction of new services essential to improving affordability and consumer choice.</w:t>
      </w:r>
    </w:p>
    <w:p w14:paraId="6F1FE540" w14:textId="77777777" w:rsidR="004C1593" w:rsidRDefault="00471878" w:rsidP="00106902">
      <w:pPr>
        <w:spacing w:before="120" w:after="120" w:line="240" w:lineRule="auto"/>
        <w:rPr>
          <w:sz w:val="24"/>
          <w:szCs w:val="24"/>
          <w:lang w:val="en-US"/>
        </w:rPr>
      </w:pPr>
      <w:r>
        <w:rPr>
          <w:sz w:val="24"/>
          <w:szCs w:val="24"/>
          <w:lang w:val="en-US"/>
        </w:rPr>
        <w:t>We are of the view that the benefits o</w:t>
      </w:r>
      <w:r>
        <w:rPr>
          <w:sz w:val="24"/>
          <w:szCs w:val="24"/>
          <w:lang w:val="en-US"/>
        </w:rPr>
        <w:t xml:space="preserve">f telecommunication/ICTs experienced by countries worldwide is not based on just the 2012 ITRs, but during the past years more and more based on the open and dynamic telecommunications market. </w:t>
      </w:r>
    </w:p>
    <w:p w14:paraId="729CAA1C" w14:textId="77777777" w:rsidR="004C1593" w:rsidRDefault="00471878" w:rsidP="00106902">
      <w:pPr>
        <w:spacing w:before="120" w:after="120"/>
        <w:rPr>
          <w:b/>
          <w:sz w:val="24"/>
          <w:szCs w:val="24"/>
          <w:lang w:val="en-US"/>
        </w:rPr>
      </w:pPr>
      <w:r>
        <w:rPr>
          <w:b/>
          <w:sz w:val="24"/>
          <w:szCs w:val="24"/>
          <w:lang w:val="en-US"/>
        </w:rPr>
        <w:t>Summary</w:t>
      </w:r>
    </w:p>
    <w:p w14:paraId="7F36F3D9" w14:textId="77777777" w:rsidR="004C1593" w:rsidRDefault="00471878" w:rsidP="00106902">
      <w:pPr>
        <w:spacing w:before="120" w:after="120"/>
        <w:rPr>
          <w:sz w:val="24"/>
          <w:szCs w:val="24"/>
          <w:lang w:val="en-US"/>
        </w:rPr>
      </w:pPr>
      <w:r>
        <w:rPr>
          <w:sz w:val="24"/>
          <w:szCs w:val="24"/>
          <w:lang w:val="en-US"/>
        </w:rPr>
        <w:t>Given the dynamic, competitive nature of the communic</w:t>
      </w:r>
      <w:r>
        <w:rPr>
          <w:sz w:val="24"/>
          <w:szCs w:val="24"/>
          <w:lang w:val="en-US"/>
        </w:rPr>
        <w:t>ations market, and the fact that the telecommunications/ICT sector is increasingly being integrated into the broader digital economy, it is unclear how an inflexible treaty instrument such as the ITRs can play a positive role in promoting future growth and</w:t>
      </w:r>
      <w:r>
        <w:rPr>
          <w:sz w:val="24"/>
          <w:szCs w:val="24"/>
          <w:lang w:val="en-US"/>
        </w:rPr>
        <w:t xml:space="preserve"> prosperity in the international telecommunication marketplace.</w:t>
      </w:r>
    </w:p>
    <w:p w14:paraId="7A186716" w14:textId="77777777" w:rsidR="004C1593" w:rsidRDefault="00471878" w:rsidP="00106902">
      <w:pPr>
        <w:spacing w:before="120" w:after="120" w:line="240" w:lineRule="auto"/>
        <w:rPr>
          <w:sz w:val="24"/>
          <w:szCs w:val="24"/>
          <w:lang w:val="en-US"/>
        </w:rPr>
      </w:pPr>
      <w:r>
        <w:rPr>
          <w:sz w:val="24"/>
          <w:szCs w:val="24"/>
          <w:lang w:val="en-US"/>
        </w:rPr>
        <w:t>We are not convinced that new treaty-level provisions will help any country build an enabling environment to attract investment and bridge a digital divide where this still exists.</w:t>
      </w:r>
      <w:r>
        <w:rPr>
          <w:sz w:val="24"/>
          <w:szCs w:val="24"/>
          <w:lang w:val="en-US"/>
        </w:rPr>
        <w:br w:type="page"/>
      </w:r>
    </w:p>
    <w:p w14:paraId="1537B001" w14:textId="77777777" w:rsidR="004C1593" w:rsidRDefault="004C1593">
      <w:pPr>
        <w:spacing w:after="0" w:line="240" w:lineRule="auto"/>
        <w:rPr>
          <w:sz w:val="24"/>
          <w:szCs w:val="24"/>
          <w:lang w:val="en-US"/>
        </w:rPr>
        <w:sectPr w:rsidR="004C1593">
          <w:headerReference w:type="default" r:id="rId12"/>
          <w:footerReference w:type="first" r:id="rId13"/>
          <w:pgSz w:w="11907" w:h="16834"/>
          <w:pgMar w:top="1418" w:right="1134" w:bottom="1418" w:left="1134" w:header="720" w:footer="720" w:gutter="0"/>
          <w:paperSrc w:first="15" w:other="15"/>
          <w:cols w:space="720"/>
          <w:titlePg/>
        </w:sectPr>
      </w:pPr>
    </w:p>
    <w:p w14:paraId="1467D754" w14:textId="77777777" w:rsidR="004C1593" w:rsidRDefault="004C1593">
      <w:pPr>
        <w:spacing w:after="0" w:line="240" w:lineRule="auto"/>
        <w:rPr>
          <w:sz w:val="24"/>
          <w:szCs w:val="24"/>
          <w:lang w:val="en-US"/>
        </w:rPr>
      </w:pPr>
    </w:p>
    <w:tbl>
      <w:tblPr>
        <w:tblW w:w="15653" w:type="dxa"/>
        <w:jc w:val="center"/>
        <w:tblBorders>
          <w:top w:val="nil"/>
          <w:left w:val="nil"/>
          <w:bottom w:val="nil"/>
          <w:right w:val="nil"/>
          <w:insideH w:val="nil"/>
          <w:insideV w:val="nil"/>
        </w:tblBorders>
        <w:tblLayout w:type="fixed"/>
        <w:tblLook w:val="0600" w:firstRow="0" w:lastRow="0" w:firstColumn="0" w:lastColumn="0" w:noHBand="1" w:noVBand="1"/>
      </w:tblPr>
      <w:tblGrid>
        <w:gridCol w:w="794"/>
        <w:gridCol w:w="3272"/>
        <w:gridCol w:w="3272"/>
        <w:gridCol w:w="3272"/>
        <w:gridCol w:w="3272"/>
        <w:gridCol w:w="1771"/>
      </w:tblGrid>
      <w:tr w:rsidR="004C1593" w14:paraId="35E39993" w14:textId="77777777">
        <w:trPr>
          <w:cantSplit/>
          <w:trHeight w:val="1134"/>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center"/>
          </w:tcPr>
          <w:p w14:paraId="6EBC777F" w14:textId="77777777" w:rsidR="004C1593" w:rsidRDefault="00471878">
            <w:pPr>
              <w:jc w:val="center"/>
              <w:rPr>
                <w:rFonts w:cstheme="minorHAnsi"/>
                <w:b/>
                <w:sz w:val="20"/>
                <w:szCs w:val="20"/>
              </w:rPr>
            </w:pPr>
            <w:r>
              <w:rPr>
                <w:rFonts w:cstheme="minorHAnsi"/>
                <w:b/>
                <w:sz w:val="20"/>
                <w:szCs w:val="20"/>
              </w:rPr>
              <w:t>2012 Article</w:t>
            </w:r>
          </w:p>
        </w:tc>
        <w:tc>
          <w:tcPr>
            <w:tcW w:w="3272"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4F413600" w14:textId="77777777" w:rsidR="004C1593" w:rsidRDefault="00471878">
            <w:pPr>
              <w:jc w:val="center"/>
              <w:rPr>
                <w:rFonts w:cstheme="minorHAnsi"/>
                <w:b/>
                <w:sz w:val="20"/>
                <w:szCs w:val="20"/>
              </w:rPr>
            </w:pPr>
            <w:r>
              <w:rPr>
                <w:rFonts w:cstheme="minorHAnsi"/>
                <w:b/>
                <w:sz w:val="20"/>
                <w:szCs w:val="20"/>
              </w:rPr>
              <w:t>Sub article and Provision</w:t>
            </w:r>
          </w:p>
        </w:tc>
        <w:tc>
          <w:tcPr>
            <w:tcW w:w="3272"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13C18960" w14:textId="77777777" w:rsidR="004C1593" w:rsidRDefault="00471878">
            <w:pPr>
              <w:jc w:val="center"/>
              <w:rPr>
                <w:rFonts w:cstheme="minorHAnsi"/>
                <w:b/>
                <w:sz w:val="20"/>
                <w:szCs w:val="20"/>
                <w:lang w:val="en-US"/>
              </w:rPr>
            </w:pPr>
            <w:r>
              <w:rPr>
                <w:rFonts w:cstheme="minorHAnsi"/>
                <w:b/>
                <w:sz w:val="20"/>
                <w:szCs w:val="20"/>
                <w:lang w:val="en-US"/>
              </w:rPr>
              <w:t>Related 1988 sub article and provision</w:t>
            </w:r>
          </w:p>
        </w:tc>
        <w:tc>
          <w:tcPr>
            <w:tcW w:w="3272"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02BFE685" w14:textId="77777777" w:rsidR="004C1593" w:rsidRDefault="00471878">
            <w:pPr>
              <w:spacing w:before="60" w:after="60"/>
              <w:jc w:val="center"/>
              <w:rPr>
                <w:rFonts w:cstheme="minorHAnsi"/>
                <w:b/>
                <w:sz w:val="20"/>
                <w:szCs w:val="20"/>
                <w:lang w:val="en-US"/>
              </w:rPr>
            </w:pPr>
            <w:r>
              <w:rPr>
                <w:rFonts w:cstheme="minorHAnsi"/>
                <w:b/>
                <w:sz w:val="20"/>
                <w:szCs w:val="20"/>
                <w:lang w:val="en-US"/>
              </w:rPr>
              <w:t xml:space="preserve">Applicability in fostering provision and </w:t>
            </w:r>
            <w:r>
              <w:rPr>
                <w:rFonts w:cstheme="minorHAnsi"/>
                <w:b/>
                <w:sz w:val="20"/>
                <w:szCs w:val="20"/>
                <w:lang w:val="en-US"/>
              </w:rPr>
              <w:t>development of networks and services</w:t>
            </w:r>
          </w:p>
        </w:tc>
        <w:tc>
          <w:tcPr>
            <w:tcW w:w="3272"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16FB2A1A" w14:textId="77777777" w:rsidR="004C1593" w:rsidRDefault="00471878">
            <w:pPr>
              <w:jc w:val="center"/>
              <w:rPr>
                <w:rFonts w:cstheme="minorHAnsi"/>
                <w:b/>
                <w:sz w:val="20"/>
                <w:szCs w:val="20"/>
                <w:lang w:val="en-US"/>
              </w:rPr>
            </w:pPr>
            <w:r>
              <w:rPr>
                <w:rFonts w:cstheme="minorHAnsi"/>
                <w:b/>
                <w:sz w:val="20"/>
                <w:szCs w:val="20"/>
                <w:lang w:val="en-US"/>
              </w:rPr>
              <w:t>Flexibility to accommodate New trends and Emergent issues</w:t>
            </w:r>
          </w:p>
        </w:tc>
        <w:tc>
          <w:tcPr>
            <w:tcW w:w="1771"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3C8ADA40" w14:textId="77777777" w:rsidR="004C1593" w:rsidRDefault="00471878">
            <w:pPr>
              <w:jc w:val="center"/>
              <w:rPr>
                <w:rFonts w:cstheme="minorHAnsi"/>
                <w:b/>
                <w:sz w:val="20"/>
                <w:szCs w:val="20"/>
              </w:rPr>
            </w:pPr>
            <w:r>
              <w:rPr>
                <w:rFonts w:cstheme="minorHAnsi"/>
                <w:b/>
                <w:sz w:val="20"/>
                <w:szCs w:val="20"/>
              </w:rPr>
              <w:t>Summary Outcome</w:t>
            </w:r>
          </w:p>
        </w:tc>
      </w:tr>
      <w:tr w:rsidR="004C1593" w14:paraId="0FEBA3CD" w14:textId="77777777">
        <w:trPr>
          <w:cantSplit/>
          <w:trHeight w:val="54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center"/>
          </w:tcPr>
          <w:p w14:paraId="77876B73" w14:textId="77777777" w:rsidR="004C1593" w:rsidRDefault="004C1593">
            <w:pPr>
              <w:jc w:val="center"/>
              <w:rPr>
                <w:rFonts w:cstheme="minorHAnsi"/>
                <w:b/>
                <w:sz w:val="20"/>
                <w:szCs w:val="20"/>
              </w:rPr>
            </w:pPr>
          </w:p>
        </w:tc>
        <w:tc>
          <w:tcPr>
            <w:tcW w:w="3272"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21320CD2" w14:textId="77777777" w:rsidR="004C1593" w:rsidRDefault="00471878">
            <w:pPr>
              <w:rPr>
                <w:rFonts w:cstheme="minorHAnsi"/>
                <w:b/>
                <w:sz w:val="20"/>
                <w:szCs w:val="20"/>
                <w:lang w:val="en-US"/>
              </w:rPr>
            </w:pPr>
            <w:r>
              <w:rPr>
                <w:rFonts w:cstheme="minorHAnsi"/>
                <w:b/>
                <w:sz w:val="20"/>
                <w:szCs w:val="20"/>
                <w:lang w:val="en-US"/>
              </w:rPr>
              <w:t xml:space="preserve">Article </w:t>
            </w:r>
            <w:proofErr w:type="gramStart"/>
            <w:r>
              <w:rPr>
                <w:rFonts w:cstheme="minorHAnsi"/>
                <w:b/>
                <w:sz w:val="20"/>
                <w:szCs w:val="20"/>
                <w:lang w:val="en-US"/>
              </w:rPr>
              <w:t>5</w:t>
            </w:r>
            <w:r>
              <w:rPr>
                <w:rFonts w:cstheme="minorHAnsi"/>
                <w:b/>
                <w:sz w:val="20"/>
                <w:szCs w:val="20"/>
                <w:lang w:val="en-US"/>
              </w:rPr>
              <w:t xml:space="preserve"> </w:t>
            </w:r>
            <w:r>
              <w:rPr>
                <w:rFonts w:cstheme="minorHAnsi"/>
                <w:b/>
                <w:sz w:val="20"/>
                <w:szCs w:val="20"/>
                <w:lang w:val="en-US"/>
              </w:rPr>
              <w:t>:</w:t>
            </w:r>
            <w:proofErr w:type="gramEnd"/>
            <w:r>
              <w:rPr>
                <w:rFonts w:cstheme="minorHAnsi"/>
                <w:b/>
                <w:sz w:val="20"/>
                <w:szCs w:val="20"/>
                <w:lang w:val="en-US"/>
              </w:rPr>
              <w:t xml:space="preserve"> Safety of life and priority of telecommunications</w:t>
            </w:r>
          </w:p>
        </w:tc>
        <w:tc>
          <w:tcPr>
            <w:tcW w:w="3272"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18229973" w14:textId="77777777" w:rsidR="004C1593" w:rsidRDefault="004C1593">
            <w:pPr>
              <w:jc w:val="center"/>
              <w:rPr>
                <w:rFonts w:cstheme="minorHAnsi"/>
                <w:b/>
                <w:sz w:val="20"/>
                <w:szCs w:val="20"/>
                <w:lang w:val="en-US"/>
              </w:rPr>
            </w:pPr>
          </w:p>
        </w:tc>
        <w:tc>
          <w:tcPr>
            <w:tcW w:w="3272"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02659D5C" w14:textId="77777777" w:rsidR="004C1593" w:rsidRDefault="004C1593">
            <w:pPr>
              <w:spacing w:before="60" w:after="60"/>
              <w:jc w:val="center"/>
              <w:rPr>
                <w:rFonts w:cstheme="minorHAnsi"/>
                <w:b/>
                <w:sz w:val="20"/>
                <w:szCs w:val="20"/>
                <w:lang w:val="en-US"/>
              </w:rPr>
            </w:pPr>
          </w:p>
        </w:tc>
        <w:tc>
          <w:tcPr>
            <w:tcW w:w="3272"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0F5277F7" w14:textId="77777777" w:rsidR="004C1593" w:rsidRDefault="004C1593">
            <w:pPr>
              <w:jc w:val="center"/>
              <w:rPr>
                <w:rFonts w:cstheme="minorHAnsi"/>
                <w:b/>
                <w:sz w:val="20"/>
                <w:szCs w:val="20"/>
                <w:lang w:val="en-US"/>
              </w:rPr>
            </w:pPr>
          </w:p>
        </w:tc>
        <w:tc>
          <w:tcPr>
            <w:tcW w:w="1771"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69D0F248" w14:textId="77777777" w:rsidR="004C1593" w:rsidRDefault="004C1593">
            <w:pPr>
              <w:jc w:val="center"/>
              <w:rPr>
                <w:rFonts w:cstheme="minorHAnsi"/>
                <w:b/>
                <w:sz w:val="20"/>
                <w:szCs w:val="20"/>
                <w:lang w:val="en-US"/>
              </w:rPr>
            </w:pPr>
          </w:p>
        </w:tc>
      </w:tr>
      <w:tr w:rsidR="004C1593" w14:paraId="73836067" w14:textId="77777777">
        <w:trPr>
          <w:cantSplit/>
          <w:trHeight w:val="1320"/>
          <w:jc w:val="center"/>
        </w:trPr>
        <w:tc>
          <w:tcPr>
            <w:tcW w:w="79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5DF7BBAC" w14:textId="77777777" w:rsidR="004C1593" w:rsidRDefault="00471878">
            <w:pPr>
              <w:jc w:val="center"/>
              <w:rPr>
                <w:rFonts w:cstheme="minorHAnsi"/>
                <w:sz w:val="20"/>
                <w:szCs w:val="20"/>
              </w:rPr>
            </w:pPr>
            <w:r>
              <w:rPr>
                <w:rFonts w:cstheme="minorHAnsi"/>
                <w:sz w:val="20"/>
                <w:szCs w:val="20"/>
              </w:rPr>
              <w:t>5.1</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03E7AB47" w14:textId="77777777" w:rsidR="004C1593" w:rsidRDefault="00471878">
            <w:pPr>
              <w:rPr>
                <w:rFonts w:cstheme="minorHAnsi"/>
                <w:sz w:val="20"/>
                <w:szCs w:val="20"/>
                <w:lang w:val="en-US"/>
              </w:rPr>
            </w:pPr>
            <w:r>
              <w:rPr>
                <w:rFonts w:cstheme="minorHAnsi"/>
                <w:sz w:val="20"/>
                <w:szCs w:val="20"/>
                <w:lang w:val="en-US"/>
              </w:rPr>
              <w:t xml:space="preserve">Safety-of-life telecommunications, such as distress </w:t>
            </w:r>
            <w:r>
              <w:rPr>
                <w:rFonts w:cstheme="minorHAnsi"/>
                <w:sz w:val="20"/>
                <w:szCs w:val="20"/>
                <w:lang w:val="en-US"/>
              </w:rPr>
              <w:t>telecommunications, shall be entitled to transmission as of right and, where technically practicable, have absolute priority over all other telecommunications, in accordance with the relevant articles of the Constitution and the Convention and taking due a</w:t>
            </w:r>
            <w:r>
              <w:rPr>
                <w:rFonts w:cstheme="minorHAnsi"/>
                <w:sz w:val="20"/>
                <w:szCs w:val="20"/>
                <w:lang w:val="en-US"/>
              </w:rPr>
              <w:t>ccount of the relevant ITU-T Recommendations.</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69A26495" w14:textId="77777777" w:rsidR="004C1593" w:rsidRDefault="004C1593">
            <w:pPr>
              <w:rPr>
                <w:rFonts w:cstheme="minorHAnsi"/>
                <w:sz w:val="20"/>
                <w:szCs w:val="20"/>
                <w:lang w:val="en-US"/>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15F9A543" w14:textId="77777777" w:rsidR="004C1593" w:rsidRDefault="00471878">
            <w:pPr>
              <w:rPr>
                <w:rFonts w:cstheme="minorHAnsi"/>
                <w:sz w:val="20"/>
                <w:szCs w:val="20"/>
                <w:lang w:val="en-US"/>
              </w:rPr>
            </w:pPr>
            <w:r>
              <w:rPr>
                <w:rFonts w:cstheme="minorHAnsi"/>
                <w:sz w:val="20"/>
                <w:szCs w:val="20"/>
                <w:lang w:val="en-US"/>
              </w:rPr>
              <w:t>This provision is applicable to any network or service.</w:t>
            </w:r>
          </w:p>
          <w:p w14:paraId="2545BBDB" w14:textId="77777777" w:rsidR="004C1593" w:rsidRDefault="00471878">
            <w:pPr>
              <w:rPr>
                <w:rFonts w:cstheme="minorHAnsi"/>
                <w:sz w:val="20"/>
                <w:szCs w:val="20"/>
                <w:lang w:val="en-US"/>
              </w:rPr>
            </w:pPr>
            <w:r>
              <w:rPr>
                <w:rFonts w:cstheme="minorHAnsi"/>
                <w:sz w:val="20"/>
                <w:szCs w:val="20"/>
                <w:lang w:val="en-US"/>
              </w:rPr>
              <w:t>Already addressed by Article 40 of the Constitution.</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026614F3" w14:textId="5FC097C9" w:rsidR="004C1593" w:rsidRDefault="00471878" w:rsidP="00471878">
            <w:pPr>
              <w:rPr>
                <w:rFonts w:cstheme="minorHAnsi"/>
                <w:sz w:val="20"/>
                <w:szCs w:val="20"/>
                <w:lang w:val="en-US"/>
              </w:rPr>
            </w:pPr>
            <w:r>
              <w:rPr>
                <w:rFonts w:cstheme="minorHAnsi"/>
                <w:sz w:val="20"/>
                <w:szCs w:val="20"/>
                <w:lang w:val="en-US"/>
              </w:rPr>
              <w:t>This provision is partly flexible, since it does not support emerging future communication channels</w:t>
            </w: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213E710A" w14:textId="77777777" w:rsidR="004C1593" w:rsidRDefault="004C1593">
            <w:pPr>
              <w:rPr>
                <w:rFonts w:cstheme="minorHAnsi"/>
                <w:sz w:val="20"/>
                <w:szCs w:val="20"/>
                <w:lang w:val="en-US"/>
              </w:rPr>
            </w:pPr>
          </w:p>
        </w:tc>
      </w:tr>
      <w:tr w:rsidR="004C1593" w14:paraId="5E5C4562" w14:textId="77777777">
        <w:trPr>
          <w:cantSplit/>
          <w:trHeight w:val="1320"/>
          <w:jc w:val="center"/>
        </w:trPr>
        <w:tc>
          <w:tcPr>
            <w:tcW w:w="79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1216431C" w14:textId="77777777" w:rsidR="004C1593" w:rsidRDefault="00471878">
            <w:pPr>
              <w:jc w:val="center"/>
              <w:rPr>
                <w:rFonts w:cstheme="minorHAnsi"/>
                <w:sz w:val="20"/>
                <w:szCs w:val="20"/>
              </w:rPr>
            </w:pPr>
            <w:r>
              <w:rPr>
                <w:rFonts w:cstheme="minorHAnsi"/>
                <w:sz w:val="20"/>
                <w:szCs w:val="20"/>
              </w:rPr>
              <w:t>5.2</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7B194E07" w14:textId="77777777" w:rsidR="004C1593" w:rsidRDefault="00471878">
            <w:pPr>
              <w:rPr>
                <w:rFonts w:cstheme="minorHAnsi"/>
                <w:sz w:val="20"/>
                <w:szCs w:val="20"/>
                <w:lang w:val="en-US"/>
              </w:rPr>
            </w:pPr>
            <w:r>
              <w:rPr>
                <w:rFonts w:cstheme="minorHAnsi"/>
                <w:sz w:val="20"/>
                <w:szCs w:val="20"/>
                <w:lang w:val="en-US"/>
              </w:rPr>
              <w:t xml:space="preserve">Government telecommunications, including telecommunications relative to the application of certain provisions of the United Nations Charter, shall, where technically practicable, enjoy priority over telecommunications other than those </w:t>
            </w:r>
            <w:r>
              <w:rPr>
                <w:rFonts w:cstheme="minorHAnsi"/>
                <w:sz w:val="20"/>
                <w:szCs w:val="20"/>
                <w:lang w:val="en-US"/>
              </w:rPr>
              <w:t>referred to in No. 45 (5.1) above, in accordance with the relevant provisions of the Constitution and the Convention and taking due account of the relevant ITU-T Recommendations.</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14D35FFA" w14:textId="77777777" w:rsidR="004C1593" w:rsidRDefault="004C1593">
            <w:pPr>
              <w:rPr>
                <w:rFonts w:cstheme="minorHAnsi"/>
                <w:sz w:val="20"/>
                <w:szCs w:val="20"/>
                <w:lang w:val="en-US"/>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0C15AFFF" w14:textId="663957D1" w:rsidR="004C1593" w:rsidRDefault="00471878">
            <w:pPr>
              <w:rPr>
                <w:rFonts w:cstheme="minorHAnsi"/>
                <w:sz w:val="20"/>
                <w:szCs w:val="20"/>
                <w:lang w:val="en-US"/>
              </w:rPr>
            </w:pPr>
            <w:r>
              <w:rPr>
                <w:rFonts w:cstheme="minorHAnsi"/>
                <w:sz w:val="20"/>
                <w:szCs w:val="20"/>
                <w:lang w:val="en-US"/>
              </w:rPr>
              <w:t>This provision is superfluous since Government telecommunications are more a</w:t>
            </w:r>
            <w:r>
              <w:rPr>
                <w:rFonts w:cstheme="minorHAnsi"/>
                <w:sz w:val="20"/>
                <w:szCs w:val="20"/>
                <w:lang w:val="en-US"/>
              </w:rPr>
              <w:t>nd more subject to traffic management in modern telecommunications network technology.</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370D89A0" w14:textId="0EA0A7C9" w:rsidR="004C1593" w:rsidRDefault="00471878">
            <w:pPr>
              <w:rPr>
                <w:rFonts w:cstheme="minorHAnsi"/>
                <w:sz w:val="20"/>
                <w:szCs w:val="20"/>
                <w:lang w:val="en-US"/>
              </w:rPr>
            </w:pPr>
            <w:r>
              <w:rPr>
                <w:rFonts w:cstheme="minorHAnsi"/>
                <w:sz w:val="20"/>
                <w:szCs w:val="20"/>
                <w:lang w:val="en-US"/>
              </w:rPr>
              <w:t>This provision is superfluous since Government telecommunications are more and more subject to traffic management in modern telecommunications network technology.</w:t>
            </w: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1D659D9D" w14:textId="77777777" w:rsidR="004C1593" w:rsidRDefault="004C1593">
            <w:pPr>
              <w:rPr>
                <w:rFonts w:cstheme="minorHAnsi"/>
                <w:sz w:val="20"/>
                <w:szCs w:val="20"/>
                <w:lang w:val="en-US"/>
              </w:rPr>
            </w:pPr>
          </w:p>
        </w:tc>
      </w:tr>
      <w:tr w:rsidR="004C1593" w14:paraId="215F073B" w14:textId="77777777">
        <w:trPr>
          <w:cantSplit/>
          <w:trHeight w:val="1300"/>
          <w:jc w:val="center"/>
        </w:trPr>
        <w:tc>
          <w:tcPr>
            <w:tcW w:w="79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14DEA708" w14:textId="77777777" w:rsidR="004C1593" w:rsidRDefault="00471878">
            <w:pPr>
              <w:jc w:val="center"/>
              <w:rPr>
                <w:rFonts w:cstheme="minorHAnsi"/>
                <w:sz w:val="20"/>
                <w:szCs w:val="20"/>
              </w:rPr>
            </w:pPr>
            <w:r>
              <w:rPr>
                <w:rFonts w:cstheme="minorHAnsi"/>
                <w:sz w:val="20"/>
                <w:szCs w:val="20"/>
              </w:rPr>
              <w:lastRenderedPageBreak/>
              <w:t>5.3</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3CBA9CFF" w14:textId="77777777" w:rsidR="004C1593" w:rsidRDefault="00471878">
            <w:pPr>
              <w:rPr>
                <w:rFonts w:cstheme="minorHAnsi"/>
                <w:sz w:val="20"/>
                <w:szCs w:val="20"/>
                <w:lang w:val="en-US"/>
              </w:rPr>
            </w:pPr>
            <w:r>
              <w:rPr>
                <w:rFonts w:cstheme="minorHAnsi"/>
                <w:sz w:val="20"/>
                <w:szCs w:val="20"/>
                <w:lang w:val="en-US"/>
              </w:rPr>
              <w:t>The provisions governing the priority enjoyed by any other telecommunication services are contained in the relevant ITU-T Recommendations.</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5E25BA3A" w14:textId="77777777" w:rsidR="004C1593" w:rsidRDefault="004C1593">
            <w:pPr>
              <w:rPr>
                <w:rFonts w:cstheme="minorHAnsi"/>
                <w:sz w:val="20"/>
                <w:szCs w:val="20"/>
                <w:lang w:val="en-US"/>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686629DF" w14:textId="77777777" w:rsidR="004C1593" w:rsidRDefault="00471878">
            <w:pPr>
              <w:rPr>
                <w:rFonts w:cstheme="minorHAnsi"/>
                <w:sz w:val="20"/>
                <w:szCs w:val="20"/>
                <w:lang w:val="en-US"/>
              </w:rPr>
            </w:pPr>
            <w:r>
              <w:rPr>
                <w:rFonts w:cstheme="minorHAnsi"/>
                <w:sz w:val="20"/>
                <w:szCs w:val="20"/>
                <w:lang w:val="en-US"/>
              </w:rPr>
              <w:t>This provision is superfluous since ITU-T Recommendations are the default</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326131F2" w14:textId="77777777" w:rsidR="004C1593" w:rsidRDefault="00471878">
            <w:pPr>
              <w:rPr>
                <w:rFonts w:cstheme="minorHAnsi"/>
                <w:sz w:val="20"/>
                <w:szCs w:val="20"/>
                <w:lang w:val="en-US"/>
              </w:rPr>
            </w:pPr>
            <w:r>
              <w:rPr>
                <w:rFonts w:cstheme="minorHAnsi"/>
                <w:sz w:val="20"/>
                <w:szCs w:val="20"/>
                <w:lang w:val="en-US"/>
              </w:rPr>
              <w:t>This provision is superfluous since IT</w:t>
            </w:r>
            <w:r>
              <w:rPr>
                <w:rFonts w:cstheme="minorHAnsi"/>
                <w:sz w:val="20"/>
                <w:szCs w:val="20"/>
                <w:lang w:val="en-US"/>
              </w:rPr>
              <w:t>U-T Recommendations are the default</w:t>
            </w: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55C5D3E6" w14:textId="77777777" w:rsidR="004C1593" w:rsidRDefault="004C1593">
            <w:pPr>
              <w:rPr>
                <w:rFonts w:cstheme="minorHAnsi"/>
                <w:sz w:val="20"/>
                <w:szCs w:val="20"/>
                <w:lang w:val="en-US"/>
              </w:rPr>
            </w:pPr>
          </w:p>
        </w:tc>
      </w:tr>
      <w:tr w:rsidR="004C1593" w14:paraId="5301778A" w14:textId="77777777">
        <w:trPr>
          <w:cantSplit/>
          <w:trHeight w:val="1300"/>
          <w:jc w:val="center"/>
        </w:trPr>
        <w:tc>
          <w:tcPr>
            <w:tcW w:w="79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55A532C1" w14:textId="77777777" w:rsidR="004C1593" w:rsidRDefault="00471878">
            <w:pPr>
              <w:jc w:val="center"/>
              <w:rPr>
                <w:rFonts w:cstheme="minorHAnsi"/>
                <w:sz w:val="20"/>
                <w:szCs w:val="20"/>
              </w:rPr>
            </w:pPr>
            <w:r>
              <w:rPr>
                <w:rFonts w:cstheme="minorHAnsi"/>
                <w:sz w:val="20"/>
                <w:szCs w:val="20"/>
              </w:rPr>
              <w:t>5.4</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3D990B87" w14:textId="77777777" w:rsidR="004C1593" w:rsidRDefault="00471878">
            <w:pPr>
              <w:rPr>
                <w:rFonts w:cstheme="minorHAnsi"/>
                <w:sz w:val="20"/>
                <w:szCs w:val="20"/>
                <w:lang w:val="en-US"/>
              </w:rPr>
            </w:pPr>
            <w:r>
              <w:rPr>
                <w:rFonts w:cstheme="minorHAnsi"/>
                <w:sz w:val="20"/>
                <w:szCs w:val="20"/>
                <w:lang w:val="en-US"/>
              </w:rPr>
              <w:t>Member States should encourage authorized operating agencies to inform all users, including roaming users, in good time and free of charge, of the number to be used for calls to the emergency services.</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335C05B9" w14:textId="77777777" w:rsidR="004C1593" w:rsidRDefault="004C1593">
            <w:pPr>
              <w:rPr>
                <w:rFonts w:cstheme="minorHAnsi"/>
                <w:sz w:val="20"/>
                <w:szCs w:val="20"/>
                <w:lang w:val="en-US"/>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6C544F37" w14:textId="77777777" w:rsidR="004C1593" w:rsidRDefault="00471878">
            <w:pPr>
              <w:rPr>
                <w:rFonts w:cstheme="minorHAnsi"/>
                <w:sz w:val="20"/>
                <w:szCs w:val="20"/>
                <w:lang w:val="en-US"/>
              </w:rPr>
            </w:pPr>
            <w:r>
              <w:rPr>
                <w:rFonts w:cstheme="minorHAnsi"/>
                <w:sz w:val="20"/>
                <w:szCs w:val="20"/>
                <w:lang w:val="en-US"/>
              </w:rPr>
              <w:t xml:space="preserve">This </w:t>
            </w:r>
            <w:r>
              <w:rPr>
                <w:rFonts w:cstheme="minorHAnsi"/>
                <w:sz w:val="20"/>
                <w:szCs w:val="20"/>
                <w:lang w:val="en-US"/>
              </w:rPr>
              <w:t xml:space="preserve">provision is based on existing network technology, so not applicable to future networks and services </w:t>
            </w:r>
            <w:proofErr w:type="gramStart"/>
            <w:r>
              <w:rPr>
                <w:rFonts w:cstheme="minorHAnsi"/>
                <w:sz w:val="20"/>
                <w:szCs w:val="20"/>
                <w:lang w:val="en-US"/>
              </w:rPr>
              <w:t>which  might</w:t>
            </w:r>
            <w:proofErr w:type="gramEnd"/>
            <w:r>
              <w:rPr>
                <w:rFonts w:cstheme="minorHAnsi"/>
                <w:sz w:val="20"/>
                <w:szCs w:val="20"/>
                <w:lang w:val="en-US"/>
              </w:rPr>
              <w:t xml:space="preserve"> consist of different processes to contact emergency services</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796FD5FB" w14:textId="77777777" w:rsidR="004C1593" w:rsidRDefault="00471878">
            <w:pPr>
              <w:rPr>
                <w:rFonts w:cstheme="minorHAnsi"/>
                <w:sz w:val="20"/>
                <w:szCs w:val="20"/>
                <w:lang w:val="en-US"/>
              </w:rPr>
            </w:pPr>
            <w:r>
              <w:rPr>
                <w:rFonts w:cstheme="minorHAnsi"/>
                <w:sz w:val="20"/>
                <w:szCs w:val="20"/>
                <w:lang w:val="en-US"/>
              </w:rPr>
              <w:t xml:space="preserve">This provision is not flexible in the sense that emerging trends in networks and </w:t>
            </w:r>
            <w:r>
              <w:rPr>
                <w:rFonts w:cstheme="minorHAnsi"/>
                <w:sz w:val="20"/>
                <w:szCs w:val="20"/>
                <w:lang w:val="en-US"/>
              </w:rPr>
              <w:t>services might lead to other processes to contact emergency services.</w:t>
            </w: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5270F8B1" w14:textId="77777777" w:rsidR="004C1593" w:rsidRDefault="004C1593">
            <w:pPr>
              <w:rPr>
                <w:rFonts w:cstheme="minorHAnsi"/>
                <w:sz w:val="20"/>
                <w:szCs w:val="20"/>
                <w:lang w:val="en-US"/>
              </w:rPr>
            </w:pPr>
          </w:p>
        </w:tc>
      </w:tr>
      <w:tr w:rsidR="004C1593" w14:paraId="2491E48C" w14:textId="77777777">
        <w:trPr>
          <w:cantSplit/>
          <w:trHeight w:val="690"/>
          <w:jc w:val="center"/>
        </w:trPr>
        <w:tc>
          <w:tcPr>
            <w:tcW w:w="79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7A53CFC8" w14:textId="77777777" w:rsidR="004C1593" w:rsidRDefault="004C1593">
            <w:pPr>
              <w:jc w:val="center"/>
              <w:rPr>
                <w:rFonts w:cstheme="minorHAnsi"/>
                <w:sz w:val="20"/>
                <w:szCs w:val="20"/>
                <w:lang w:val="en-US"/>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7C572603" w14:textId="77777777" w:rsidR="004C1593" w:rsidRDefault="00471878">
            <w:pPr>
              <w:rPr>
                <w:rFonts w:cstheme="minorHAnsi"/>
                <w:b/>
                <w:sz w:val="20"/>
                <w:szCs w:val="20"/>
                <w:lang w:val="en-US"/>
              </w:rPr>
            </w:pPr>
            <w:r>
              <w:rPr>
                <w:rFonts w:cstheme="minorHAnsi"/>
                <w:b/>
                <w:sz w:val="20"/>
                <w:szCs w:val="20"/>
                <w:lang w:val="en-US"/>
              </w:rPr>
              <w:t xml:space="preserve">Article </w:t>
            </w:r>
            <w:proofErr w:type="gramStart"/>
            <w:r>
              <w:rPr>
                <w:rFonts w:cstheme="minorHAnsi"/>
                <w:b/>
                <w:sz w:val="20"/>
                <w:szCs w:val="20"/>
                <w:lang w:val="en-US"/>
              </w:rPr>
              <w:t>6 :</w:t>
            </w:r>
            <w:proofErr w:type="gramEnd"/>
            <w:r>
              <w:rPr>
                <w:rFonts w:cstheme="minorHAnsi"/>
                <w:b/>
                <w:sz w:val="20"/>
                <w:szCs w:val="20"/>
                <w:lang w:val="en-US"/>
              </w:rPr>
              <w:t xml:space="preserve"> Security and robustness of networks</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365A32C2" w14:textId="77777777" w:rsidR="004C1593" w:rsidRDefault="004C1593">
            <w:pPr>
              <w:rPr>
                <w:rFonts w:cstheme="minorHAnsi"/>
                <w:sz w:val="20"/>
                <w:szCs w:val="20"/>
                <w:lang w:val="en-US"/>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3D5A0515" w14:textId="77777777" w:rsidR="004C1593" w:rsidRDefault="004C1593">
            <w:pPr>
              <w:rPr>
                <w:rFonts w:cstheme="minorHAnsi"/>
                <w:sz w:val="20"/>
                <w:szCs w:val="20"/>
                <w:lang w:val="en-US"/>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4181D0D8" w14:textId="77777777" w:rsidR="004C1593" w:rsidRDefault="004C1593">
            <w:pPr>
              <w:rPr>
                <w:rFonts w:cstheme="minorHAnsi"/>
                <w:sz w:val="20"/>
                <w:szCs w:val="20"/>
                <w:lang w:val="en-US"/>
              </w:rPr>
            </w:pP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2C35BC9F" w14:textId="77777777" w:rsidR="004C1593" w:rsidRDefault="004C1593">
            <w:pPr>
              <w:rPr>
                <w:rFonts w:cstheme="minorHAnsi"/>
                <w:sz w:val="20"/>
                <w:szCs w:val="20"/>
                <w:lang w:val="en-US"/>
              </w:rPr>
            </w:pPr>
          </w:p>
        </w:tc>
      </w:tr>
      <w:tr w:rsidR="004C1593" w14:paraId="498BA575" w14:textId="77777777" w:rsidTr="00106902">
        <w:trPr>
          <w:cantSplit/>
          <w:trHeight w:val="4216"/>
          <w:jc w:val="center"/>
        </w:trPr>
        <w:tc>
          <w:tcPr>
            <w:tcW w:w="79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0BF99EF6" w14:textId="77777777" w:rsidR="004C1593" w:rsidRDefault="00471878">
            <w:pPr>
              <w:jc w:val="center"/>
              <w:rPr>
                <w:rFonts w:cstheme="minorHAnsi"/>
                <w:sz w:val="20"/>
                <w:szCs w:val="20"/>
              </w:rPr>
            </w:pPr>
            <w:r>
              <w:rPr>
                <w:rFonts w:cstheme="minorHAnsi"/>
                <w:sz w:val="20"/>
                <w:szCs w:val="20"/>
              </w:rPr>
              <w:lastRenderedPageBreak/>
              <w:t>6.1</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0253FD84" w14:textId="77777777" w:rsidR="004C1593" w:rsidRDefault="00471878">
            <w:pPr>
              <w:rPr>
                <w:rFonts w:cstheme="minorHAnsi"/>
                <w:sz w:val="20"/>
                <w:szCs w:val="20"/>
                <w:lang w:val="en-US"/>
              </w:rPr>
            </w:pPr>
            <w:r>
              <w:rPr>
                <w:rFonts w:cstheme="minorHAnsi"/>
                <w:sz w:val="20"/>
                <w:szCs w:val="20"/>
                <w:lang w:val="en-US"/>
              </w:rPr>
              <w:t xml:space="preserve">Member States shall individually and collectively </w:t>
            </w:r>
            <w:proofErr w:type="spellStart"/>
            <w:r>
              <w:rPr>
                <w:rFonts w:cstheme="minorHAnsi"/>
                <w:sz w:val="20"/>
                <w:szCs w:val="20"/>
                <w:lang w:val="en-US"/>
              </w:rPr>
              <w:t>endeavour</w:t>
            </w:r>
            <w:proofErr w:type="spellEnd"/>
            <w:r>
              <w:rPr>
                <w:rFonts w:cstheme="minorHAnsi"/>
                <w:sz w:val="20"/>
                <w:szCs w:val="20"/>
                <w:lang w:val="en-US"/>
              </w:rPr>
              <w:t xml:space="preserve"> to ensure the security and robustness of international telecommunication networks in order to achieve effective use thereof and avoidance of technical harm thereto, as well as the harmonious development of international telecommunication services offered </w:t>
            </w:r>
            <w:r>
              <w:rPr>
                <w:rFonts w:cstheme="minorHAnsi"/>
                <w:sz w:val="20"/>
                <w:szCs w:val="20"/>
                <w:lang w:val="en-US"/>
              </w:rPr>
              <w:t>to the public.</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6B3162A1" w14:textId="77777777" w:rsidR="004C1593" w:rsidRDefault="004C1593">
            <w:pPr>
              <w:rPr>
                <w:rFonts w:cstheme="minorHAnsi"/>
                <w:sz w:val="20"/>
                <w:szCs w:val="20"/>
                <w:lang w:val="en-US"/>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60A1A4BD" w14:textId="77777777" w:rsidR="004C1593" w:rsidRDefault="00471878">
            <w:pPr>
              <w:rPr>
                <w:rFonts w:cstheme="minorHAnsi"/>
                <w:sz w:val="20"/>
                <w:szCs w:val="20"/>
                <w:lang w:val="en-US"/>
              </w:rPr>
            </w:pPr>
            <w:r>
              <w:rPr>
                <w:rFonts w:cstheme="minorHAnsi"/>
                <w:sz w:val="20"/>
                <w:szCs w:val="20"/>
                <w:lang w:val="en-US"/>
              </w:rPr>
              <w:t xml:space="preserve">This is not applicable because “Member States shall </w:t>
            </w:r>
            <w:proofErr w:type="spellStart"/>
            <w:r>
              <w:rPr>
                <w:rFonts w:cstheme="minorHAnsi"/>
                <w:sz w:val="20"/>
                <w:szCs w:val="20"/>
                <w:lang w:val="en-US"/>
              </w:rPr>
              <w:t>endeavour</w:t>
            </w:r>
            <w:proofErr w:type="spellEnd"/>
            <w:r>
              <w:rPr>
                <w:rFonts w:cstheme="minorHAnsi"/>
                <w:sz w:val="20"/>
                <w:szCs w:val="20"/>
                <w:lang w:val="en-US"/>
              </w:rPr>
              <w:t xml:space="preserve"> to ensure” is unenforceable. </w:t>
            </w:r>
          </w:p>
          <w:p w14:paraId="2572C3F9" w14:textId="6ED3E12E" w:rsidR="004C1593" w:rsidRDefault="00471878" w:rsidP="00106902">
            <w:pPr>
              <w:rPr>
                <w:rFonts w:cstheme="minorHAnsi"/>
                <w:sz w:val="20"/>
                <w:szCs w:val="20"/>
                <w:lang w:val="en-US"/>
              </w:rPr>
            </w:pPr>
            <w:r>
              <w:rPr>
                <w:rFonts w:cstheme="minorHAnsi"/>
                <w:sz w:val="20"/>
                <w:szCs w:val="20"/>
                <w:lang w:val="en-US"/>
              </w:rPr>
              <w:t>It is unclear how Member States should ensure this, as operation of telecommunication networks in the modern telecommunications market is mostly the</w:t>
            </w:r>
            <w:r>
              <w:rPr>
                <w:rFonts w:cstheme="minorHAnsi"/>
                <w:sz w:val="20"/>
                <w:szCs w:val="20"/>
                <w:lang w:val="en-US"/>
              </w:rPr>
              <w:t xml:space="preserve"> responsibility of the private sector</w:t>
            </w:r>
            <w:r>
              <w:rPr>
                <w:rFonts w:cstheme="minorHAnsi"/>
                <w:sz w:val="20"/>
                <w:szCs w:val="20"/>
                <w:lang w:val="en-US"/>
              </w:rPr>
              <w:t>.</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3ED4EF8A" w14:textId="77777777" w:rsidR="004C1593" w:rsidRDefault="00471878">
            <w:pPr>
              <w:rPr>
                <w:rFonts w:cstheme="minorHAnsi"/>
                <w:sz w:val="20"/>
                <w:szCs w:val="20"/>
                <w:lang w:val="en-US"/>
              </w:rPr>
            </w:pPr>
            <w:r>
              <w:rPr>
                <w:rFonts w:cstheme="minorHAnsi"/>
                <w:sz w:val="20"/>
                <w:szCs w:val="20"/>
                <w:lang w:val="en-US"/>
              </w:rPr>
              <w:t>S</w:t>
            </w:r>
            <w:r>
              <w:rPr>
                <w:rFonts w:cstheme="minorHAnsi"/>
                <w:sz w:val="20"/>
                <w:szCs w:val="20"/>
                <w:lang w:val="en-US"/>
              </w:rPr>
              <w:t xml:space="preserve">ecurity and robustness of international telecommunication networks are in modern telecommunications market implemented mostly by private sector, and will develop with developments of the networks and services   </w:t>
            </w: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09F650EF" w14:textId="77777777" w:rsidR="004C1593" w:rsidRDefault="004C1593">
            <w:pPr>
              <w:rPr>
                <w:rFonts w:cstheme="minorHAnsi"/>
                <w:sz w:val="20"/>
                <w:szCs w:val="20"/>
                <w:lang w:val="en-US"/>
              </w:rPr>
            </w:pPr>
          </w:p>
        </w:tc>
      </w:tr>
      <w:tr w:rsidR="004C1593" w14:paraId="18F91A52" w14:textId="77777777">
        <w:trPr>
          <w:cantSplit/>
          <w:trHeight w:val="707"/>
          <w:jc w:val="center"/>
        </w:trPr>
        <w:tc>
          <w:tcPr>
            <w:tcW w:w="79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0D576208" w14:textId="77777777" w:rsidR="004C1593" w:rsidRDefault="004C1593">
            <w:pPr>
              <w:jc w:val="center"/>
              <w:rPr>
                <w:rFonts w:cstheme="minorHAnsi"/>
                <w:sz w:val="20"/>
                <w:szCs w:val="20"/>
                <w:lang w:val="en-US"/>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6C588F4A" w14:textId="77777777" w:rsidR="004C1593" w:rsidRDefault="00471878">
            <w:pPr>
              <w:rPr>
                <w:rFonts w:cstheme="minorHAnsi"/>
                <w:sz w:val="20"/>
                <w:szCs w:val="20"/>
                <w:lang w:val="en-US"/>
              </w:rPr>
            </w:pPr>
            <w:r>
              <w:rPr>
                <w:rFonts w:cstheme="minorHAnsi"/>
                <w:b/>
                <w:sz w:val="20"/>
                <w:szCs w:val="20"/>
                <w:lang w:val="en-US"/>
              </w:rPr>
              <w:t xml:space="preserve">Article </w:t>
            </w:r>
            <w:proofErr w:type="gramStart"/>
            <w:r>
              <w:rPr>
                <w:rFonts w:cstheme="minorHAnsi"/>
                <w:b/>
                <w:sz w:val="20"/>
                <w:szCs w:val="20"/>
                <w:lang w:val="en-US"/>
              </w:rPr>
              <w:t>7 :</w:t>
            </w:r>
            <w:proofErr w:type="gramEnd"/>
            <w:r>
              <w:rPr>
                <w:rFonts w:cstheme="minorHAnsi"/>
                <w:b/>
                <w:sz w:val="20"/>
                <w:szCs w:val="20"/>
                <w:lang w:val="en-US"/>
              </w:rPr>
              <w:t xml:space="preserve"> Unsolicited bulk electronic communications</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1C7E078A" w14:textId="77777777" w:rsidR="004C1593" w:rsidRDefault="004C1593">
            <w:pPr>
              <w:rPr>
                <w:rFonts w:cstheme="minorHAnsi"/>
                <w:sz w:val="20"/>
                <w:szCs w:val="20"/>
                <w:lang w:val="en-US"/>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29F40423" w14:textId="77777777" w:rsidR="004C1593" w:rsidRDefault="004C1593">
            <w:pPr>
              <w:rPr>
                <w:rFonts w:cstheme="minorHAnsi"/>
                <w:sz w:val="20"/>
                <w:szCs w:val="20"/>
                <w:lang w:val="en-US"/>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114F85BD" w14:textId="77777777" w:rsidR="004C1593" w:rsidRDefault="004C1593">
            <w:pPr>
              <w:rPr>
                <w:rFonts w:cstheme="minorHAnsi"/>
                <w:sz w:val="20"/>
                <w:szCs w:val="20"/>
                <w:lang w:val="en-US"/>
              </w:rPr>
            </w:pP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32CA6107" w14:textId="77777777" w:rsidR="004C1593" w:rsidRDefault="004C1593">
            <w:pPr>
              <w:rPr>
                <w:rFonts w:cstheme="minorHAnsi"/>
                <w:sz w:val="20"/>
                <w:szCs w:val="20"/>
              </w:rPr>
            </w:pPr>
          </w:p>
        </w:tc>
      </w:tr>
      <w:tr w:rsidR="004C1593" w14:paraId="30E5769F" w14:textId="77777777">
        <w:trPr>
          <w:cantSplit/>
          <w:trHeight w:val="1320"/>
          <w:jc w:val="center"/>
        </w:trPr>
        <w:tc>
          <w:tcPr>
            <w:tcW w:w="79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277367EC" w14:textId="77777777" w:rsidR="004C1593" w:rsidRDefault="00471878">
            <w:pPr>
              <w:jc w:val="center"/>
              <w:rPr>
                <w:rFonts w:cstheme="minorHAnsi"/>
                <w:sz w:val="20"/>
                <w:szCs w:val="20"/>
              </w:rPr>
            </w:pPr>
            <w:r>
              <w:rPr>
                <w:rFonts w:cstheme="minorHAnsi"/>
                <w:sz w:val="20"/>
                <w:szCs w:val="20"/>
              </w:rPr>
              <w:t>7.1</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1166A20D" w14:textId="77777777" w:rsidR="004C1593" w:rsidRDefault="00471878">
            <w:pPr>
              <w:rPr>
                <w:rFonts w:cstheme="minorHAnsi"/>
                <w:sz w:val="20"/>
                <w:szCs w:val="20"/>
                <w:lang w:val="en-US"/>
              </w:rPr>
            </w:pPr>
            <w:r>
              <w:rPr>
                <w:rFonts w:cstheme="minorHAnsi"/>
                <w:sz w:val="20"/>
                <w:szCs w:val="20"/>
                <w:lang w:val="en-US"/>
              </w:rPr>
              <w:t xml:space="preserve">Member States should </w:t>
            </w:r>
            <w:proofErr w:type="spellStart"/>
            <w:r>
              <w:rPr>
                <w:rFonts w:cstheme="minorHAnsi"/>
                <w:sz w:val="20"/>
                <w:szCs w:val="20"/>
                <w:lang w:val="en-US"/>
              </w:rPr>
              <w:t>endeavour</w:t>
            </w:r>
            <w:proofErr w:type="spellEnd"/>
            <w:r>
              <w:rPr>
                <w:rFonts w:cstheme="minorHAnsi"/>
                <w:sz w:val="20"/>
                <w:szCs w:val="20"/>
                <w:lang w:val="en-US"/>
              </w:rPr>
              <w:t xml:space="preserve"> to take necessary measures to prevent the propagation of unsolicited bulk electronic communications and minimize its impact on international telecommunication services.</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296393FB" w14:textId="77777777" w:rsidR="004C1593" w:rsidRDefault="004C1593">
            <w:pPr>
              <w:rPr>
                <w:rFonts w:cstheme="minorHAnsi"/>
                <w:sz w:val="20"/>
                <w:szCs w:val="20"/>
                <w:lang w:val="en-US"/>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6C30D40E" w14:textId="77777777" w:rsidR="004C1593" w:rsidRDefault="00471878">
            <w:pPr>
              <w:rPr>
                <w:rFonts w:cstheme="minorHAnsi"/>
                <w:sz w:val="20"/>
                <w:szCs w:val="20"/>
                <w:lang w:val="en-US"/>
              </w:rPr>
            </w:pPr>
            <w:r>
              <w:rPr>
                <w:rFonts w:cstheme="minorHAnsi"/>
                <w:sz w:val="20"/>
                <w:szCs w:val="20"/>
                <w:lang w:val="en-US"/>
              </w:rPr>
              <w:t>The provision is related to the taking of measures on a national level, so should not</w:t>
            </w:r>
            <w:r>
              <w:rPr>
                <w:rFonts w:cstheme="minorHAnsi"/>
                <w:sz w:val="20"/>
                <w:szCs w:val="20"/>
                <w:lang w:val="en-US"/>
              </w:rPr>
              <w:t xml:space="preserve"> be included in an international treaty. </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28440F0E" w14:textId="38113E9A" w:rsidR="004C1593" w:rsidRDefault="00471878">
            <w:pPr>
              <w:rPr>
                <w:rFonts w:cstheme="minorHAnsi"/>
                <w:sz w:val="20"/>
                <w:szCs w:val="20"/>
                <w:lang w:val="en-US"/>
              </w:rPr>
            </w:pPr>
            <w:r>
              <w:rPr>
                <w:rFonts w:cstheme="minorHAnsi"/>
                <w:sz w:val="20"/>
                <w:szCs w:val="20"/>
                <w:lang w:val="en-US"/>
              </w:rPr>
              <w:t>The phenomenon of unsolicited bulk electronic communications is developing fast</w:t>
            </w:r>
            <w:r>
              <w:rPr>
                <w:rFonts w:cstheme="minorHAnsi"/>
                <w:sz w:val="20"/>
                <w:szCs w:val="20"/>
                <w:lang w:val="en-US"/>
              </w:rPr>
              <w:t>, along with the telecommunications market and services. What kind of measures are deemed necessary and should be taken by whom will c</w:t>
            </w:r>
            <w:r>
              <w:rPr>
                <w:rFonts w:cstheme="minorHAnsi"/>
                <w:sz w:val="20"/>
                <w:szCs w:val="20"/>
                <w:lang w:val="en-US"/>
              </w:rPr>
              <w:t xml:space="preserve">hange over </w:t>
            </w:r>
            <w:proofErr w:type="gramStart"/>
            <w:r>
              <w:rPr>
                <w:rFonts w:cstheme="minorHAnsi"/>
                <w:sz w:val="20"/>
                <w:szCs w:val="20"/>
                <w:lang w:val="en-US"/>
              </w:rPr>
              <w:t>time.</w:t>
            </w:r>
            <w:proofErr w:type="gramEnd"/>
            <w:r>
              <w:rPr>
                <w:rFonts w:cstheme="minorHAnsi"/>
                <w:sz w:val="20"/>
                <w:szCs w:val="20"/>
                <w:lang w:val="en-US"/>
              </w:rPr>
              <w:t xml:space="preserve"> </w:t>
            </w:r>
            <w:proofErr w:type="gramStart"/>
            <w:r>
              <w:rPr>
                <w:rFonts w:cstheme="minorHAnsi"/>
                <w:sz w:val="20"/>
                <w:szCs w:val="20"/>
                <w:lang w:val="en-US"/>
              </w:rPr>
              <w:t>So</w:t>
            </w:r>
            <w:proofErr w:type="gramEnd"/>
            <w:r>
              <w:rPr>
                <w:rFonts w:cstheme="minorHAnsi"/>
                <w:sz w:val="20"/>
                <w:szCs w:val="20"/>
                <w:lang w:val="en-US"/>
              </w:rPr>
              <w:t xml:space="preserve"> this provision might not support this change. </w:t>
            </w: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56024A33" w14:textId="77777777" w:rsidR="004C1593" w:rsidRDefault="004C1593">
            <w:pPr>
              <w:rPr>
                <w:rFonts w:cstheme="minorHAnsi"/>
                <w:sz w:val="20"/>
                <w:szCs w:val="20"/>
                <w:lang w:val="en-US"/>
              </w:rPr>
            </w:pPr>
          </w:p>
        </w:tc>
      </w:tr>
      <w:tr w:rsidR="004C1593" w14:paraId="04EF6405" w14:textId="77777777">
        <w:trPr>
          <w:cantSplit/>
          <w:trHeight w:val="1320"/>
          <w:jc w:val="center"/>
        </w:trPr>
        <w:tc>
          <w:tcPr>
            <w:tcW w:w="79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6E048168" w14:textId="77777777" w:rsidR="004C1593" w:rsidRDefault="00471878">
            <w:pPr>
              <w:jc w:val="center"/>
              <w:rPr>
                <w:rFonts w:cstheme="minorHAnsi"/>
                <w:sz w:val="20"/>
                <w:szCs w:val="20"/>
              </w:rPr>
            </w:pPr>
            <w:r>
              <w:rPr>
                <w:rFonts w:cstheme="minorHAnsi"/>
                <w:sz w:val="20"/>
                <w:szCs w:val="20"/>
              </w:rPr>
              <w:lastRenderedPageBreak/>
              <w:t>7.2</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3DE57635" w14:textId="77777777" w:rsidR="004C1593" w:rsidRDefault="00471878">
            <w:pPr>
              <w:rPr>
                <w:rFonts w:cstheme="minorHAnsi"/>
                <w:sz w:val="20"/>
                <w:szCs w:val="20"/>
                <w:lang w:val="en-US"/>
              </w:rPr>
            </w:pPr>
            <w:r>
              <w:rPr>
                <w:rFonts w:cstheme="minorHAnsi"/>
                <w:sz w:val="20"/>
                <w:szCs w:val="20"/>
                <w:lang w:val="en-US"/>
              </w:rPr>
              <w:t>Member States are encouraged to cooperate in that sense.</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26F499CF" w14:textId="77777777" w:rsidR="004C1593" w:rsidRDefault="004C1593">
            <w:pPr>
              <w:rPr>
                <w:rFonts w:cstheme="minorHAnsi"/>
                <w:sz w:val="20"/>
                <w:szCs w:val="20"/>
                <w:lang w:val="en-US"/>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10BD69C7" w14:textId="77777777" w:rsidR="004C1593" w:rsidRDefault="00471878">
            <w:pPr>
              <w:rPr>
                <w:rFonts w:cstheme="minorHAnsi"/>
                <w:sz w:val="20"/>
                <w:szCs w:val="20"/>
                <w:lang w:val="en-US"/>
              </w:rPr>
            </w:pPr>
            <w:r>
              <w:rPr>
                <w:rFonts w:cstheme="minorHAnsi"/>
                <w:sz w:val="20"/>
                <w:szCs w:val="20"/>
                <w:lang w:val="en-US"/>
              </w:rPr>
              <w:t xml:space="preserve">This provision is </w:t>
            </w:r>
            <w:proofErr w:type="gramStart"/>
            <w:r>
              <w:rPr>
                <w:rFonts w:cstheme="minorHAnsi"/>
                <w:sz w:val="20"/>
                <w:szCs w:val="20"/>
                <w:lang w:val="en-US"/>
              </w:rPr>
              <w:t>superfluous, since</w:t>
            </w:r>
            <w:proofErr w:type="gramEnd"/>
            <w:r>
              <w:rPr>
                <w:rFonts w:cstheme="minorHAnsi"/>
                <w:sz w:val="20"/>
                <w:szCs w:val="20"/>
                <w:lang w:val="en-US"/>
              </w:rPr>
              <w:t xml:space="preserve"> Member States are already working according to the intentions of the ITU </w:t>
            </w:r>
            <w:r>
              <w:rPr>
                <w:rFonts w:cstheme="minorHAnsi"/>
                <w:sz w:val="20"/>
                <w:szCs w:val="20"/>
                <w:lang w:val="en-US"/>
              </w:rPr>
              <w:t>mission.</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4D8FA706" w14:textId="4E9EB8BA" w:rsidR="004C1593" w:rsidRDefault="00471878">
            <w:pPr>
              <w:rPr>
                <w:rFonts w:cstheme="minorHAnsi"/>
                <w:sz w:val="20"/>
                <w:szCs w:val="20"/>
                <w:lang w:val="en-US"/>
              </w:rPr>
            </w:pPr>
            <w:r>
              <w:rPr>
                <w:rFonts w:cstheme="minorHAnsi"/>
                <w:sz w:val="20"/>
                <w:szCs w:val="20"/>
                <w:lang w:val="en-US"/>
              </w:rPr>
              <w:t>The question of “flexibility” is irrelevant here because this provision simply states very high-level</w:t>
            </w:r>
            <w:r>
              <w:rPr>
                <w:rFonts w:cstheme="minorHAnsi"/>
                <w:sz w:val="20"/>
                <w:szCs w:val="20"/>
                <w:lang w:val="en-US"/>
              </w:rPr>
              <w:t xml:space="preserve"> intentions.</w:t>
            </w: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1B075FB5" w14:textId="77777777" w:rsidR="004C1593" w:rsidRDefault="004C1593">
            <w:pPr>
              <w:rPr>
                <w:rFonts w:cstheme="minorHAnsi"/>
                <w:sz w:val="20"/>
                <w:szCs w:val="20"/>
                <w:lang w:val="en-US"/>
              </w:rPr>
            </w:pPr>
          </w:p>
        </w:tc>
      </w:tr>
      <w:tr w:rsidR="004C1593" w14:paraId="27939678" w14:textId="77777777">
        <w:trPr>
          <w:cantSplit/>
          <w:trHeight w:val="476"/>
          <w:jc w:val="center"/>
        </w:trPr>
        <w:tc>
          <w:tcPr>
            <w:tcW w:w="79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6EDCCF4F" w14:textId="77777777" w:rsidR="004C1593" w:rsidRDefault="004C1593">
            <w:pPr>
              <w:jc w:val="center"/>
              <w:rPr>
                <w:rFonts w:cstheme="minorHAnsi"/>
                <w:sz w:val="20"/>
                <w:szCs w:val="20"/>
                <w:lang w:val="en-US"/>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2809EC15" w14:textId="77777777" w:rsidR="004C1593" w:rsidRDefault="00471878">
            <w:pPr>
              <w:rPr>
                <w:rFonts w:cstheme="minorHAnsi"/>
                <w:b/>
                <w:sz w:val="20"/>
                <w:szCs w:val="20"/>
                <w:lang w:val="en-US"/>
              </w:rPr>
            </w:pPr>
            <w:r>
              <w:rPr>
                <w:rFonts w:cstheme="minorHAnsi"/>
                <w:b/>
                <w:sz w:val="20"/>
                <w:szCs w:val="20"/>
                <w:lang w:val="en-US"/>
              </w:rPr>
              <w:t xml:space="preserve">Article </w:t>
            </w:r>
            <w:proofErr w:type="gramStart"/>
            <w:r>
              <w:rPr>
                <w:rFonts w:cstheme="minorHAnsi"/>
                <w:b/>
                <w:sz w:val="20"/>
                <w:szCs w:val="20"/>
                <w:lang w:val="en-US"/>
              </w:rPr>
              <w:t>8 :</w:t>
            </w:r>
            <w:proofErr w:type="gramEnd"/>
            <w:r>
              <w:rPr>
                <w:rFonts w:cstheme="minorHAnsi"/>
                <w:b/>
                <w:sz w:val="20"/>
                <w:szCs w:val="20"/>
                <w:lang w:val="en-US"/>
              </w:rPr>
              <w:t xml:space="preserve"> Charging and accounting</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1FB2A824" w14:textId="77777777" w:rsidR="004C1593" w:rsidRDefault="004C1593">
            <w:pPr>
              <w:rPr>
                <w:rFonts w:cstheme="minorHAnsi"/>
                <w:sz w:val="20"/>
                <w:szCs w:val="20"/>
                <w:lang w:val="en-US"/>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23E91DA2" w14:textId="77777777" w:rsidR="004C1593" w:rsidRDefault="004C1593">
            <w:pPr>
              <w:rPr>
                <w:rFonts w:cstheme="minorHAnsi"/>
                <w:sz w:val="20"/>
                <w:szCs w:val="20"/>
                <w:lang w:val="en-US"/>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41229E4D" w14:textId="77777777" w:rsidR="004C1593" w:rsidRDefault="004C1593">
            <w:pPr>
              <w:rPr>
                <w:rFonts w:cstheme="minorHAnsi"/>
                <w:sz w:val="20"/>
                <w:szCs w:val="20"/>
                <w:lang w:val="en-US"/>
              </w:rPr>
            </w:pP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681FD0A1" w14:textId="77777777" w:rsidR="004C1593" w:rsidRDefault="004C1593">
            <w:pPr>
              <w:rPr>
                <w:rFonts w:cstheme="minorHAnsi"/>
                <w:sz w:val="20"/>
                <w:szCs w:val="20"/>
                <w:lang w:val="en-US"/>
              </w:rPr>
            </w:pPr>
          </w:p>
        </w:tc>
      </w:tr>
      <w:tr w:rsidR="004C1593" w14:paraId="453E803F" w14:textId="77777777">
        <w:trPr>
          <w:cantSplit/>
          <w:trHeight w:val="476"/>
          <w:jc w:val="center"/>
        </w:trPr>
        <w:tc>
          <w:tcPr>
            <w:tcW w:w="79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6400353C" w14:textId="77777777" w:rsidR="004C1593" w:rsidRDefault="004C1593">
            <w:pPr>
              <w:jc w:val="center"/>
              <w:rPr>
                <w:rFonts w:cstheme="minorHAnsi"/>
                <w:sz w:val="20"/>
                <w:szCs w:val="20"/>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77072F1D" w14:textId="77777777" w:rsidR="004C1593" w:rsidRDefault="00471878">
            <w:pPr>
              <w:rPr>
                <w:rFonts w:cstheme="minorHAnsi"/>
                <w:b/>
                <w:sz w:val="20"/>
                <w:szCs w:val="20"/>
                <w:lang w:val="en-US"/>
              </w:rPr>
            </w:pPr>
            <w:r>
              <w:rPr>
                <w:rFonts w:cstheme="minorHAnsi"/>
                <w:b/>
                <w:sz w:val="20"/>
                <w:szCs w:val="20"/>
                <w:lang w:val="en-US"/>
              </w:rPr>
              <w:t>8.1 International telecommunication arrangements</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69A75016" w14:textId="77777777" w:rsidR="004C1593" w:rsidRDefault="004C1593">
            <w:pPr>
              <w:rPr>
                <w:rFonts w:cstheme="minorHAnsi"/>
                <w:sz w:val="20"/>
                <w:szCs w:val="20"/>
                <w:lang w:val="en-US"/>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52B85334" w14:textId="77777777" w:rsidR="004C1593" w:rsidRDefault="004C1593">
            <w:pPr>
              <w:rPr>
                <w:rFonts w:cstheme="minorHAnsi"/>
                <w:sz w:val="20"/>
                <w:szCs w:val="20"/>
                <w:lang w:val="en-US"/>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045CCB5C" w14:textId="77777777" w:rsidR="004C1593" w:rsidRDefault="004C1593">
            <w:pPr>
              <w:rPr>
                <w:rFonts w:cstheme="minorHAnsi"/>
                <w:sz w:val="20"/>
                <w:szCs w:val="20"/>
                <w:lang w:val="en-US"/>
              </w:rPr>
            </w:pP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76F23740" w14:textId="77777777" w:rsidR="004C1593" w:rsidRDefault="004C1593">
            <w:pPr>
              <w:rPr>
                <w:rFonts w:cstheme="minorHAnsi"/>
                <w:sz w:val="20"/>
                <w:szCs w:val="20"/>
                <w:lang w:val="en-US"/>
              </w:rPr>
            </w:pPr>
          </w:p>
        </w:tc>
      </w:tr>
      <w:tr w:rsidR="004C1593" w14:paraId="72934D54" w14:textId="77777777">
        <w:trPr>
          <w:cantSplit/>
          <w:trHeight w:val="1320"/>
          <w:jc w:val="center"/>
        </w:trPr>
        <w:tc>
          <w:tcPr>
            <w:tcW w:w="79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09CABD3E" w14:textId="77777777" w:rsidR="004C1593" w:rsidRDefault="00471878">
            <w:pPr>
              <w:jc w:val="center"/>
              <w:rPr>
                <w:rFonts w:cstheme="minorHAnsi"/>
                <w:sz w:val="20"/>
                <w:szCs w:val="20"/>
              </w:rPr>
            </w:pPr>
            <w:r>
              <w:rPr>
                <w:rFonts w:cstheme="minorHAnsi"/>
                <w:sz w:val="20"/>
                <w:szCs w:val="20"/>
              </w:rPr>
              <w:t>8.1.1</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41CAAA85" w14:textId="77777777" w:rsidR="004C1593" w:rsidRDefault="00471878">
            <w:pPr>
              <w:rPr>
                <w:rFonts w:cstheme="minorHAnsi"/>
                <w:sz w:val="20"/>
                <w:szCs w:val="20"/>
                <w:lang w:val="en-US"/>
              </w:rPr>
            </w:pPr>
            <w:r>
              <w:rPr>
                <w:rFonts w:cstheme="minorHAnsi"/>
                <w:sz w:val="20"/>
                <w:szCs w:val="20"/>
                <w:lang w:val="en-US"/>
              </w:rPr>
              <w:t xml:space="preserve">Subject to </w:t>
            </w:r>
            <w:r>
              <w:rPr>
                <w:rFonts w:cstheme="minorHAnsi"/>
                <w:sz w:val="20"/>
                <w:szCs w:val="20"/>
                <w:lang w:val="en-US"/>
              </w:rPr>
              <w:t>applicable national law, the terms and conditions for international telecommunication service arrangements may be established through commercial agreements or through accounting-rate principles established pursuant to national regulation.</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16FC9699" w14:textId="77777777" w:rsidR="004C1593" w:rsidRDefault="004C1593">
            <w:pPr>
              <w:rPr>
                <w:rFonts w:cstheme="minorHAnsi"/>
                <w:sz w:val="20"/>
                <w:szCs w:val="20"/>
                <w:lang w:val="en-US"/>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732A1CBB" w14:textId="77777777" w:rsidR="004C1593" w:rsidRDefault="00471878">
            <w:pPr>
              <w:rPr>
                <w:rFonts w:cstheme="minorHAnsi"/>
                <w:sz w:val="20"/>
                <w:szCs w:val="20"/>
                <w:lang w:val="en-US"/>
              </w:rPr>
            </w:pPr>
            <w:r>
              <w:rPr>
                <w:rFonts w:cstheme="minorHAnsi"/>
                <w:sz w:val="20"/>
                <w:szCs w:val="20"/>
                <w:lang w:val="en-US"/>
              </w:rPr>
              <w:t>This is a matter</w:t>
            </w:r>
            <w:r>
              <w:rPr>
                <w:rFonts w:cstheme="minorHAnsi"/>
                <w:sz w:val="20"/>
                <w:szCs w:val="20"/>
                <w:lang w:val="en-US"/>
              </w:rPr>
              <w:t xml:space="preserve"> for mutual agreement between operating agencies. It is not necessary to have an intergovernmental treaty to state this.</w:t>
            </w:r>
          </w:p>
          <w:p w14:paraId="777F301D" w14:textId="33F404E8" w:rsidR="004C1593" w:rsidRDefault="00471878" w:rsidP="00471878">
            <w:pPr>
              <w:rPr>
                <w:rFonts w:cstheme="minorHAnsi"/>
                <w:sz w:val="20"/>
                <w:szCs w:val="20"/>
                <w:lang w:val="en-US"/>
              </w:rPr>
            </w:pPr>
            <w:r>
              <w:rPr>
                <w:rFonts w:cstheme="minorHAnsi"/>
                <w:sz w:val="20"/>
                <w:szCs w:val="20"/>
                <w:lang w:val="en-US"/>
              </w:rPr>
              <w:t>In addition, this provision is irrelevant in an international treaty as it is “subject to national law”.</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6565B87A" w14:textId="77777777" w:rsidR="004C1593" w:rsidRDefault="00471878">
            <w:pPr>
              <w:rPr>
                <w:rFonts w:cstheme="minorHAnsi"/>
                <w:sz w:val="20"/>
                <w:szCs w:val="20"/>
                <w:lang w:val="en-US"/>
              </w:rPr>
            </w:pPr>
            <w:r>
              <w:rPr>
                <w:rFonts w:cstheme="minorHAnsi"/>
                <w:sz w:val="20"/>
                <w:szCs w:val="20"/>
                <w:lang w:val="en-US"/>
              </w:rPr>
              <w:t>I</w:t>
            </w:r>
            <w:r>
              <w:rPr>
                <w:rFonts w:cstheme="minorHAnsi"/>
                <w:sz w:val="20"/>
                <w:szCs w:val="20"/>
                <w:lang w:val="en-US"/>
              </w:rPr>
              <w:t>n the modern telecommunications market, agreements are primarily made between private sector companies.</w:t>
            </w:r>
          </w:p>
          <w:p w14:paraId="0A63088D" w14:textId="77777777" w:rsidR="004C1593" w:rsidRDefault="00471878">
            <w:pPr>
              <w:rPr>
                <w:rFonts w:cstheme="minorHAnsi"/>
                <w:sz w:val="20"/>
                <w:szCs w:val="20"/>
                <w:lang w:val="en-US"/>
              </w:rPr>
            </w:pPr>
            <w:r>
              <w:rPr>
                <w:rFonts w:cstheme="minorHAnsi"/>
                <w:sz w:val="20"/>
                <w:szCs w:val="20"/>
                <w:lang w:val="en-US"/>
              </w:rPr>
              <w:t>In addition, this provision is irrelevant in</w:t>
            </w:r>
            <w:r>
              <w:rPr>
                <w:rFonts w:cstheme="minorHAnsi"/>
                <w:sz w:val="20"/>
                <w:szCs w:val="20"/>
                <w:lang w:val="en-US"/>
              </w:rPr>
              <w:t xml:space="preserve"> an international treaty as it is “subject to national law”. </w:t>
            </w:r>
          </w:p>
          <w:p w14:paraId="144BAFBD" w14:textId="77777777" w:rsidR="004C1593" w:rsidRDefault="004C1593">
            <w:pPr>
              <w:rPr>
                <w:rFonts w:cstheme="minorHAnsi"/>
                <w:sz w:val="20"/>
                <w:szCs w:val="20"/>
                <w:lang w:val="en-US"/>
              </w:rPr>
            </w:pP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36A1A713" w14:textId="77777777" w:rsidR="004C1593" w:rsidRDefault="004C1593">
            <w:pPr>
              <w:rPr>
                <w:rFonts w:cstheme="minorHAnsi"/>
                <w:sz w:val="20"/>
                <w:szCs w:val="20"/>
                <w:lang w:val="en-US"/>
              </w:rPr>
            </w:pPr>
          </w:p>
        </w:tc>
      </w:tr>
      <w:tr w:rsidR="004C1593" w14:paraId="18F1D4BE" w14:textId="77777777">
        <w:trPr>
          <w:cantSplit/>
          <w:trHeight w:val="1320"/>
          <w:jc w:val="center"/>
        </w:trPr>
        <w:tc>
          <w:tcPr>
            <w:tcW w:w="79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180A9005" w14:textId="77777777" w:rsidR="004C1593" w:rsidRDefault="00471878">
            <w:pPr>
              <w:jc w:val="center"/>
              <w:rPr>
                <w:rFonts w:cstheme="minorHAnsi"/>
                <w:sz w:val="20"/>
                <w:szCs w:val="20"/>
              </w:rPr>
            </w:pPr>
            <w:r>
              <w:rPr>
                <w:rFonts w:cstheme="minorHAnsi"/>
                <w:sz w:val="20"/>
                <w:szCs w:val="20"/>
              </w:rPr>
              <w:t>8.1.2</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6843D712" w14:textId="77777777" w:rsidR="004C1593" w:rsidRDefault="00471878">
            <w:pPr>
              <w:rPr>
                <w:rFonts w:cstheme="minorHAnsi"/>
                <w:sz w:val="20"/>
                <w:szCs w:val="20"/>
                <w:lang w:val="en-US"/>
              </w:rPr>
            </w:pPr>
            <w:r>
              <w:rPr>
                <w:rFonts w:cstheme="minorHAnsi"/>
                <w:sz w:val="20"/>
                <w:szCs w:val="20"/>
                <w:lang w:val="en-US"/>
              </w:rPr>
              <w:t xml:space="preserve">Member States shall </w:t>
            </w:r>
            <w:proofErr w:type="spellStart"/>
            <w:r>
              <w:rPr>
                <w:rFonts w:cstheme="minorHAnsi"/>
                <w:sz w:val="20"/>
                <w:szCs w:val="20"/>
                <w:lang w:val="en-US"/>
              </w:rPr>
              <w:t>endeavour</w:t>
            </w:r>
            <w:proofErr w:type="spellEnd"/>
            <w:r>
              <w:rPr>
                <w:rFonts w:cstheme="minorHAnsi"/>
                <w:sz w:val="20"/>
                <w:szCs w:val="20"/>
                <w:lang w:val="en-US"/>
              </w:rPr>
              <w:t xml:space="preserve"> to encourage investments in international telecommunication networks and promote competitive wholesale pricing for traffic carried on such telecommunicatio</w:t>
            </w:r>
            <w:r>
              <w:rPr>
                <w:rFonts w:cstheme="minorHAnsi"/>
                <w:sz w:val="20"/>
                <w:szCs w:val="20"/>
                <w:lang w:val="en-US"/>
              </w:rPr>
              <w:t>n networks.</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0D9EC3C8" w14:textId="77777777" w:rsidR="004C1593" w:rsidRDefault="004C1593">
            <w:pPr>
              <w:rPr>
                <w:rFonts w:cstheme="minorHAnsi"/>
                <w:sz w:val="20"/>
                <w:szCs w:val="20"/>
                <w:lang w:val="en-US"/>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1EC974E6" w14:textId="77777777" w:rsidR="004C1593" w:rsidRDefault="00471878">
            <w:pPr>
              <w:rPr>
                <w:rFonts w:cstheme="minorHAnsi"/>
                <w:sz w:val="20"/>
                <w:szCs w:val="20"/>
                <w:lang w:val="en-US"/>
              </w:rPr>
            </w:pPr>
            <w:r>
              <w:rPr>
                <w:rFonts w:cstheme="minorHAnsi"/>
                <w:sz w:val="20"/>
                <w:szCs w:val="20"/>
                <w:lang w:val="en-US"/>
              </w:rPr>
              <w:t>This provision is not applicable in a modern telecommunications market, where investments are decided upon and made by private companies, which will lead to competitive wholesales.</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31965999" w14:textId="77777777" w:rsidR="004C1593" w:rsidRDefault="00471878">
            <w:pPr>
              <w:rPr>
                <w:rFonts w:cstheme="minorHAnsi"/>
                <w:sz w:val="20"/>
                <w:szCs w:val="20"/>
                <w:lang w:val="en-US"/>
              </w:rPr>
            </w:pPr>
            <w:r>
              <w:rPr>
                <w:rFonts w:cstheme="minorHAnsi"/>
                <w:sz w:val="20"/>
                <w:szCs w:val="20"/>
                <w:lang w:val="en-US"/>
              </w:rPr>
              <w:t>In the modern telecommunications environment, new trends and e</w:t>
            </w:r>
            <w:r>
              <w:rPr>
                <w:rFonts w:cstheme="minorHAnsi"/>
                <w:sz w:val="20"/>
                <w:szCs w:val="20"/>
                <w:lang w:val="en-US"/>
              </w:rPr>
              <w:t xml:space="preserve">mergent issues regarding networks are managed directly through mutual agreements between operating agencies. </w:t>
            </w: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6FF80557" w14:textId="77777777" w:rsidR="004C1593" w:rsidRDefault="004C1593">
            <w:pPr>
              <w:rPr>
                <w:rFonts w:cstheme="minorHAnsi"/>
                <w:sz w:val="20"/>
                <w:szCs w:val="20"/>
                <w:lang w:val="en-US"/>
              </w:rPr>
            </w:pPr>
          </w:p>
        </w:tc>
      </w:tr>
      <w:tr w:rsidR="004C1593" w14:paraId="4D00CB13" w14:textId="77777777">
        <w:trPr>
          <w:cantSplit/>
          <w:trHeight w:val="510"/>
          <w:jc w:val="center"/>
        </w:trPr>
        <w:tc>
          <w:tcPr>
            <w:tcW w:w="79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107B3380" w14:textId="77777777" w:rsidR="004C1593" w:rsidRDefault="004C1593">
            <w:pPr>
              <w:jc w:val="center"/>
              <w:rPr>
                <w:rFonts w:cstheme="minorHAnsi"/>
                <w:sz w:val="20"/>
                <w:szCs w:val="20"/>
                <w:lang w:val="en-US"/>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61736AFF" w14:textId="77777777" w:rsidR="004C1593" w:rsidRDefault="00471878">
            <w:pPr>
              <w:rPr>
                <w:rFonts w:cstheme="minorHAnsi"/>
                <w:b/>
                <w:sz w:val="20"/>
                <w:szCs w:val="20"/>
                <w:lang w:val="en-US"/>
              </w:rPr>
            </w:pPr>
            <w:r>
              <w:rPr>
                <w:rFonts w:cstheme="minorHAnsi"/>
                <w:b/>
                <w:sz w:val="20"/>
                <w:szCs w:val="20"/>
                <w:lang w:val="en-US"/>
              </w:rPr>
              <w:t>8.2 Accounting-rate principles</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23DCAD01" w14:textId="77777777" w:rsidR="004C1593" w:rsidRDefault="004C1593">
            <w:pPr>
              <w:rPr>
                <w:rFonts w:cstheme="minorHAnsi"/>
                <w:sz w:val="20"/>
                <w:szCs w:val="20"/>
                <w:lang w:val="en-US"/>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63E5B635" w14:textId="77777777" w:rsidR="004C1593" w:rsidRDefault="004C1593">
            <w:pPr>
              <w:rPr>
                <w:rFonts w:cstheme="minorHAnsi"/>
                <w:sz w:val="20"/>
                <w:szCs w:val="20"/>
                <w:lang w:val="en-US"/>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7E8C0DF4" w14:textId="77777777" w:rsidR="004C1593" w:rsidRDefault="004C1593">
            <w:pPr>
              <w:rPr>
                <w:rFonts w:cstheme="minorHAnsi"/>
                <w:sz w:val="20"/>
                <w:szCs w:val="20"/>
                <w:lang w:val="en-US"/>
              </w:rPr>
            </w:pP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5E004FC3" w14:textId="77777777" w:rsidR="004C1593" w:rsidRDefault="004C1593">
            <w:pPr>
              <w:rPr>
                <w:rFonts w:cstheme="minorHAnsi"/>
                <w:sz w:val="20"/>
                <w:szCs w:val="20"/>
              </w:rPr>
            </w:pPr>
          </w:p>
        </w:tc>
      </w:tr>
      <w:tr w:rsidR="004C1593" w14:paraId="584A843C" w14:textId="77777777">
        <w:trPr>
          <w:cantSplit/>
          <w:trHeight w:val="1320"/>
          <w:jc w:val="center"/>
        </w:trPr>
        <w:tc>
          <w:tcPr>
            <w:tcW w:w="79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327B6C93" w14:textId="77777777" w:rsidR="004C1593" w:rsidRDefault="00471878">
            <w:pPr>
              <w:jc w:val="center"/>
              <w:rPr>
                <w:rFonts w:cstheme="minorHAnsi"/>
                <w:sz w:val="20"/>
                <w:szCs w:val="20"/>
              </w:rPr>
            </w:pPr>
            <w:r>
              <w:rPr>
                <w:rFonts w:cstheme="minorHAnsi"/>
                <w:sz w:val="20"/>
                <w:szCs w:val="20"/>
              </w:rPr>
              <w:lastRenderedPageBreak/>
              <w:t>8.2.1</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4401009E" w14:textId="77777777" w:rsidR="004C1593" w:rsidRDefault="00471878">
            <w:pPr>
              <w:rPr>
                <w:rFonts w:cstheme="minorHAnsi"/>
                <w:sz w:val="20"/>
                <w:szCs w:val="20"/>
                <w:lang w:val="en-US"/>
              </w:rPr>
            </w:pPr>
            <w:r>
              <w:rPr>
                <w:rFonts w:cstheme="minorHAnsi"/>
                <w:sz w:val="20"/>
                <w:szCs w:val="20"/>
                <w:lang w:val="en-US"/>
              </w:rPr>
              <w:t xml:space="preserve">The following provisions may apply where the terms and conditions of international </w:t>
            </w:r>
            <w:r>
              <w:rPr>
                <w:rFonts w:cstheme="minorHAnsi"/>
                <w:sz w:val="20"/>
                <w:szCs w:val="20"/>
                <w:lang w:val="en-US"/>
              </w:rPr>
              <w:t>telecommunication service arrangements are established through accounting-rate principles, established pursuant to national regulation. These provisions do not apply to arrangements established through commercial agreements</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75819698" w14:textId="77777777" w:rsidR="004C1593" w:rsidRDefault="004C1593">
            <w:pPr>
              <w:rPr>
                <w:rFonts w:cstheme="minorHAnsi"/>
                <w:sz w:val="20"/>
                <w:szCs w:val="20"/>
                <w:lang w:val="en-US"/>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077B4653" w14:textId="77777777" w:rsidR="004C1593" w:rsidRDefault="00471878">
            <w:pPr>
              <w:rPr>
                <w:rFonts w:cstheme="minorHAnsi"/>
                <w:sz w:val="20"/>
                <w:szCs w:val="20"/>
                <w:lang w:val="en-US"/>
              </w:rPr>
            </w:pPr>
            <w:r>
              <w:rPr>
                <w:rFonts w:cstheme="minorHAnsi"/>
                <w:sz w:val="20"/>
                <w:szCs w:val="20"/>
                <w:lang w:val="en-US"/>
              </w:rPr>
              <w:t xml:space="preserve">This provision is very limited </w:t>
            </w:r>
            <w:r>
              <w:rPr>
                <w:rFonts w:cstheme="minorHAnsi"/>
                <w:sz w:val="20"/>
                <w:szCs w:val="20"/>
                <w:lang w:val="en-US"/>
              </w:rPr>
              <w:t>applicable, since it does not cover commercial agreements which are the majority of agreements in modern telecommunications environment.</w:t>
            </w:r>
          </w:p>
          <w:p w14:paraId="1F45906E" w14:textId="77777777" w:rsidR="004C1593" w:rsidRDefault="00471878">
            <w:pPr>
              <w:rPr>
                <w:rFonts w:cstheme="minorHAnsi"/>
                <w:sz w:val="20"/>
                <w:szCs w:val="20"/>
                <w:lang w:val="en-US"/>
              </w:rPr>
            </w:pPr>
            <w:r>
              <w:rPr>
                <w:rFonts w:cstheme="minorHAnsi"/>
                <w:sz w:val="20"/>
                <w:szCs w:val="20"/>
                <w:lang w:val="en-US"/>
              </w:rPr>
              <w:t>In addition, this provision is irrelevant in an international treaty as it is “pursuant to national regulation”.</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4AC2A13B" w14:textId="77777777" w:rsidR="004C1593" w:rsidRDefault="00471878">
            <w:pPr>
              <w:rPr>
                <w:rFonts w:cstheme="minorHAnsi"/>
                <w:sz w:val="20"/>
                <w:szCs w:val="20"/>
                <w:lang w:val="en-US"/>
              </w:rPr>
            </w:pPr>
            <w:r>
              <w:rPr>
                <w:rFonts w:cstheme="minorHAnsi"/>
                <w:sz w:val="20"/>
                <w:szCs w:val="20"/>
                <w:lang w:val="en-US"/>
              </w:rPr>
              <w:t>This p</w:t>
            </w:r>
            <w:r>
              <w:rPr>
                <w:rFonts w:cstheme="minorHAnsi"/>
                <w:sz w:val="20"/>
                <w:szCs w:val="20"/>
                <w:lang w:val="en-US"/>
              </w:rPr>
              <w:t xml:space="preserve">rovision is not flexible since it does not cover commercial agreements which are the majority of agreements in modern telecommunications environment. </w:t>
            </w:r>
          </w:p>
          <w:p w14:paraId="27B02309" w14:textId="77777777" w:rsidR="004C1593" w:rsidRDefault="00471878">
            <w:pPr>
              <w:rPr>
                <w:rFonts w:cstheme="minorHAnsi"/>
                <w:sz w:val="20"/>
                <w:szCs w:val="20"/>
                <w:lang w:val="en-US"/>
              </w:rPr>
            </w:pPr>
            <w:r>
              <w:rPr>
                <w:rFonts w:cstheme="minorHAnsi"/>
                <w:sz w:val="20"/>
                <w:szCs w:val="20"/>
                <w:lang w:val="en-US"/>
              </w:rPr>
              <w:t>In addition, this provision is irrelevant in an international treaty as it is “pursuant to national regul</w:t>
            </w:r>
            <w:r>
              <w:rPr>
                <w:rFonts w:cstheme="minorHAnsi"/>
                <w:sz w:val="20"/>
                <w:szCs w:val="20"/>
                <w:lang w:val="en-US"/>
              </w:rPr>
              <w:t>ation”.</w:t>
            </w: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2B3CD881" w14:textId="77777777" w:rsidR="004C1593" w:rsidRDefault="004C1593">
            <w:pPr>
              <w:rPr>
                <w:rFonts w:cstheme="minorHAnsi"/>
                <w:sz w:val="20"/>
                <w:szCs w:val="20"/>
                <w:lang w:val="en-US"/>
              </w:rPr>
            </w:pPr>
          </w:p>
        </w:tc>
      </w:tr>
      <w:tr w:rsidR="004C1593" w14:paraId="2DC7A9FB" w14:textId="77777777">
        <w:trPr>
          <w:cantSplit/>
          <w:trHeight w:val="1320"/>
          <w:jc w:val="center"/>
        </w:trPr>
        <w:tc>
          <w:tcPr>
            <w:tcW w:w="79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3DBFD48E" w14:textId="77777777" w:rsidR="004C1593" w:rsidRDefault="00471878">
            <w:pPr>
              <w:jc w:val="center"/>
              <w:rPr>
                <w:rFonts w:cstheme="minorHAnsi"/>
                <w:sz w:val="20"/>
                <w:szCs w:val="20"/>
              </w:rPr>
            </w:pPr>
            <w:r>
              <w:rPr>
                <w:rFonts w:cstheme="minorHAnsi"/>
                <w:sz w:val="20"/>
                <w:szCs w:val="20"/>
              </w:rPr>
              <w:t>8.2.2</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034A0E80" w14:textId="77777777" w:rsidR="004C1593" w:rsidRDefault="00471878">
            <w:pPr>
              <w:rPr>
                <w:rFonts w:cstheme="minorHAnsi"/>
                <w:sz w:val="20"/>
                <w:szCs w:val="20"/>
                <w:lang w:val="en-US"/>
              </w:rPr>
            </w:pPr>
            <w:r>
              <w:rPr>
                <w:rFonts w:cstheme="minorHAnsi"/>
                <w:sz w:val="20"/>
                <w:szCs w:val="20"/>
                <w:lang w:val="en-US"/>
              </w:rPr>
              <w:t xml:space="preserve">For each applicable service in a given relation, authorized operating agencies shall, by mutual agreement, establish and revise accounting rates to be applied between them, in accordance with the provisions of Appendix 1 and taking into </w:t>
            </w:r>
            <w:r>
              <w:rPr>
                <w:rFonts w:cstheme="minorHAnsi"/>
                <w:sz w:val="20"/>
                <w:szCs w:val="20"/>
                <w:lang w:val="en-US"/>
              </w:rPr>
              <w:t>account the relevant ITU-T Recommendations.</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4B1AFFD8" w14:textId="77777777" w:rsidR="004C1593" w:rsidRDefault="004C1593">
            <w:pPr>
              <w:rPr>
                <w:rFonts w:cstheme="minorHAnsi"/>
                <w:sz w:val="20"/>
                <w:szCs w:val="20"/>
                <w:lang w:val="en-US"/>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65D5D5EA" w14:textId="77777777" w:rsidR="004C1593" w:rsidRDefault="00471878">
            <w:pPr>
              <w:rPr>
                <w:rFonts w:cstheme="minorHAnsi"/>
                <w:sz w:val="20"/>
                <w:szCs w:val="20"/>
                <w:lang w:val="en-US"/>
              </w:rPr>
            </w:pPr>
            <w:r>
              <w:rPr>
                <w:rFonts w:cstheme="minorHAnsi"/>
                <w:sz w:val="20"/>
                <w:szCs w:val="20"/>
                <w:lang w:val="en-US"/>
              </w:rPr>
              <w:t>This provision is very limited applicable, since it does not cover commercial agreements which are the majority of agreements in modern telecommunications environment.</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577C57AF" w14:textId="77777777" w:rsidR="004C1593" w:rsidRDefault="00471878">
            <w:pPr>
              <w:rPr>
                <w:rFonts w:cstheme="minorHAnsi"/>
                <w:sz w:val="20"/>
                <w:szCs w:val="20"/>
                <w:lang w:val="en-US"/>
              </w:rPr>
            </w:pPr>
            <w:r>
              <w:rPr>
                <w:rFonts w:cstheme="minorHAnsi"/>
                <w:sz w:val="20"/>
                <w:szCs w:val="20"/>
                <w:lang w:val="en-US"/>
              </w:rPr>
              <w:t>This provision is not flexible, since it do</w:t>
            </w:r>
            <w:r>
              <w:rPr>
                <w:rFonts w:cstheme="minorHAnsi"/>
                <w:sz w:val="20"/>
                <w:szCs w:val="20"/>
                <w:lang w:val="en-US"/>
              </w:rPr>
              <w:t>es not cover commercial agreements which are the majority of agreements in modern telecommunications environment.</w:t>
            </w: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583CC112" w14:textId="77777777" w:rsidR="004C1593" w:rsidRDefault="004C1593">
            <w:pPr>
              <w:rPr>
                <w:rFonts w:cstheme="minorHAnsi"/>
                <w:sz w:val="20"/>
                <w:szCs w:val="20"/>
                <w:lang w:val="en-US"/>
              </w:rPr>
            </w:pPr>
          </w:p>
        </w:tc>
      </w:tr>
      <w:tr w:rsidR="004C1593" w14:paraId="38DCB283" w14:textId="77777777">
        <w:trPr>
          <w:cantSplit/>
          <w:trHeight w:val="1320"/>
          <w:jc w:val="center"/>
        </w:trPr>
        <w:tc>
          <w:tcPr>
            <w:tcW w:w="79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5FD0BEE0" w14:textId="77777777" w:rsidR="004C1593" w:rsidRDefault="00471878">
            <w:pPr>
              <w:jc w:val="center"/>
              <w:rPr>
                <w:rFonts w:cstheme="minorHAnsi"/>
                <w:sz w:val="20"/>
                <w:szCs w:val="20"/>
              </w:rPr>
            </w:pPr>
            <w:r>
              <w:rPr>
                <w:rFonts w:cstheme="minorHAnsi"/>
                <w:sz w:val="20"/>
                <w:szCs w:val="20"/>
              </w:rPr>
              <w:t>8.2.3</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66377628" w14:textId="77777777" w:rsidR="004C1593" w:rsidRDefault="00471878">
            <w:pPr>
              <w:rPr>
                <w:rFonts w:cstheme="minorHAnsi"/>
                <w:sz w:val="20"/>
                <w:szCs w:val="20"/>
                <w:lang w:val="en-US"/>
              </w:rPr>
            </w:pPr>
            <w:r>
              <w:rPr>
                <w:rFonts w:cstheme="minorHAnsi"/>
                <w:sz w:val="20"/>
                <w:szCs w:val="20"/>
                <w:lang w:val="en-US"/>
              </w:rPr>
              <w:t>Unless otherwise agreed, parties engaged in the provision of international telecommunication services shall follow the relevant provis</w:t>
            </w:r>
            <w:r>
              <w:rPr>
                <w:rFonts w:cstheme="minorHAnsi"/>
                <w:sz w:val="20"/>
                <w:szCs w:val="20"/>
                <w:lang w:val="en-US"/>
              </w:rPr>
              <w:t>ions as set out in Appendices 1 and 2</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78BCD41D" w14:textId="77777777" w:rsidR="004C1593" w:rsidRDefault="004C1593">
            <w:pPr>
              <w:rPr>
                <w:rFonts w:cstheme="minorHAnsi"/>
                <w:sz w:val="20"/>
                <w:szCs w:val="20"/>
                <w:lang w:val="en-US"/>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7F2258D6" w14:textId="77777777" w:rsidR="004C1593" w:rsidRDefault="00471878">
            <w:pPr>
              <w:rPr>
                <w:rFonts w:cstheme="minorHAnsi"/>
                <w:sz w:val="20"/>
                <w:szCs w:val="20"/>
                <w:lang w:val="en-US"/>
              </w:rPr>
            </w:pPr>
            <w:r>
              <w:rPr>
                <w:rFonts w:cstheme="minorHAnsi"/>
                <w:sz w:val="20"/>
                <w:szCs w:val="20"/>
                <w:lang w:val="en-US"/>
              </w:rPr>
              <w:t>This provision is very limited applicable, since it does not cover commercial agreements which are the majority of agreements in modern telecommunications environment.</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63B71721" w14:textId="77777777" w:rsidR="004C1593" w:rsidRDefault="00471878">
            <w:pPr>
              <w:rPr>
                <w:rFonts w:cstheme="minorHAnsi"/>
                <w:sz w:val="20"/>
                <w:szCs w:val="20"/>
                <w:lang w:val="en-US"/>
              </w:rPr>
            </w:pPr>
            <w:r>
              <w:rPr>
                <w:rFonts w:cstheme="minorHAnsi"/>
                <w:sz w:val="20"/>
                <w:szCs w:val="20"/>
                <w:lang w:val="en-US"/>
              </w:rPr>
              <w:t>This provision is not flexible, since it does not</w:t>
            </w:r>
            <w:r>
              <w:rPr>
                <w:rFonts w:cstheme="minorHAnsi"/>
                <w:sz w:val="20"/>
                <w:szCs w:val="20"/>
                <w:lang w:val="en-US"/>
              </w:rPr>
              <w:t xml:space="preserve"> cover commercial agreements which are the majority of agreements in modern telecommunications environment.</w:t>
            </w: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01FF43E7" w14:textId="77777777" w:rsidR="004C1593" w:rsidRDefault="004C1593">
            <w:pPr>
              <w:rPr>
                <w:rFonts w:cstheme="minorHAnsi"/>
                <w:sz w:val="20"/>
                <w:szCs w:val="20"/>
                <w:lang w:val="en-US"/>
              </w:rPr>
            </w:pPr>
          </w:p>
        </w:tc>
      </w:tr>
      <w:tr w:rsidR="004C1593" w14:paraId="67A4B990" w14:textId="77777777">
        <w:trPr>
          <w:cantSplit/>
          <w:trHeight w:val="1320"/>
          <w:jc w:val="center"/>
        </w:trPr>
        <w:tc>
          <w:tcPr>
            <w:tcW w:w="79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05B90AE9" w14:textId="77777777" w:rsidR="004C1593" w:rsidRDefault="00471878">
            <w:pPr>
              <w:jc w:val="center"/>
              <w:rPr>
                <w:rFonts w:cstheme="minorHAnsi"/>
                <w:sz w:val="20"/>
                <w:szCs w:val="20"/>
              </w:rPr>
            </w:pPr>
            <w:r>
              <w:rPr>
                <w:rFonts w:cstheme="minorHAnsi"/>
                <w:sz w:val="20"/>
                <w:szCs w:val="20"/>
              </w:rPr>
              <w:lastRenderedPageBreak/>
              <w:t>8.2.4</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26E4436B" w14:textId="77777777" w:rsidR="004C1593" w:rsidRDefault="00471878">
            <w:pPr>
              <w:rPr>
                <w:rFonts w:cstheme="minorHAnsi"/>
                <w:sz w:val="20"/>
                <w:szCs w:val="20"/>
                <w:lang w:val="en-US"/>
              </w:rPr>
            </w:pPr>
            <w:r>
              <w:rPr>
                <w:rFonts w:cstheme="minorHAnsi"/>
                <w:sz w:val="20"/>
                <w:szCs w:val="20"/>
                <w:lang w:val="en-US"/>
              </w:rPr>
              <w:t xml:space="preserve">In the absence of special arrangements concluded between authorized operating agencies, the monetary unit to be used in the </w:t>
            </w:r>
            <w:r>
              <w:rPr>
                <w:rFonts w:cstheme="minorHAnsi"/>
                <w:sz w:val="20"/>
                <w:szCs w:val="20"/>
                <w:lang w:val="en-US"/>
              </w:rPr>
              <w:t>composition of accounting rates for international telecommunication services and in the establishment of international accounts shall be:</w:t>
            </w:r>
          </w:p>
          <w:p w14:paraId="1DFB313F" w14:textId="77777777" w:rsidR="004C1593" w:rsidRDefault="00471878">
            <w:pPr>
              <w:rPr>
                <w:rFonts w:cstheme="minorHAnsi"/>
                <w:sz w:val="20"/>
                <w:szCs w:val="20"/>
                <w:lang w:val="en-US"/>
              </w:rPr>
            </w:pPr>
            <w:r>
              <w:rPr>
                <w:rFonts w:cstheme="minorHAnsi"/>
                <w:sz w:val="20"/>
                <w:szCs w:val="20"/>
                <w:lang w:val="en-US"/>
              </w:rPr>
              <w:t>–</w:t>
            </w:r>
            <w:r>
              <w:rPr>
                <w:rFonts w:cstheme="minorHAnsi"/>
                <w:sz w:val="20"/>
                <w:szCs w:val="20"/>
                <w:lang w:val="en-US"/>
              </w:rPr>
              <w:tab/>
              <w:t>either the monetary unit of the International Monetary Fund (IMF), currently the Special Drawing Right (SDR), as def</w:t>
            </w:r>
            <w:r>
              <w:rPr>
                <w:rFonts w:cstheme="minorHAnsi"/>
                <w:sz w:val="20"/>
                <w:szCs w:val="20"/>
                <w:lang w:val="en-US"/>
              </w:rPr>
              <w:t>ined by that organization;</w:t>
            </w:r>
          </w:p>
          <w:p w14:paraId="489CFB67" w14:textId="77777777" w:rsidR="004C1593" w:rsidRDefault="00471878">
            <w:pPr>
              <w:rPr>
                <w:rFonts w:cstheme="minorHAnsi"/>
                <w:sz w:val="20"/>
                <w:szCs w:val="20"/>
                <w:lang w:val="en-US"/>
              </w:rPr>
            </w:pPr>
            <w:r>
              <w:rPr>
                <w:rFonts w:cstheme="minorHAnsi"/>
                <w:sz w:val="20"/>
                <w:szCs w:val="20"/>
                <w:lang w:val="en-US"/>
              </w:rPr>
              <w:t>–</w:t>
            </w:r>
            <w:r>
              <w:rPr>
                <w:rFonts w:cstheme="minorHAnsi"/>
                <w:sz w:val="20"/>
                <w:szCs w:val="20"/>
                <w:lang w:val="en-US"/>
              </w:rPr>
              <w:tab/>
              <w:t>or freely convertible currencies or other monetary unit agreed between the authorized operating agencies.</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49657D21" w14:textId="77777777" w:rsidR="004C1593" w:rsidRDefault="004C1593">
            <w:pPr>
              <w:rPr>
                <w:rFonts w:cstheme="minorHAnsi"/>
                <w:sz w:val="20"/>
                <w:szCs w:val="20"/>
                <w:lang w:val="en-US"/>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557E253E" w14:textId="77777777" w:rsidR="004C1593" w:rsidRDefault="00471878">
            <w:pPr>
              <w:rPr>
                <w:rFonts w:cstheme="minorHAnsi"/>
                <w:sz w:val="20"/>
                <w:szCs w:val="20"/>
                <w:lang w:val="en-US"/>
              </w:rPr>
            </w:pPr>
            <w:r>
              <w:rPr>
                <w:rFonts w:cstheme="minorHAnsi"/>
                <w:sz w:val="20"/>
                <w:szCs w:val="20"/>
                <w:lang w:val="en-US"/>
              </w:rPr>
              <w:t>This provision is very limited applicable, since it does not cover commercial agreements which are the majority of agree</w:t>
            </w:r>
            <w:r>
              <w:rPr>
                <w:rFonts w:cstheme="minorHAnsi"/>
                <w:sz w:val="20"/>
                <w:szCs w:val="20"/>
                <w:lang w:val="en-US"/>
              </w:rPr>
              <w:t>ments in modern telecommunications environment.</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63679596" w14:textId="77777777" w:rsidR="004C1593" w:rsidRDefault="00471878">
            <w:pPr>
              <w:rPr>
                <w:rFonts w:cstheme="minorHAnsi"/>
                <w:sz w:val="20"/>
                <w:szCs w:val="20"/>
                <w:lang w:val="en-US"/>
              </w:rPr>
            </w:pPr>
            <w:r>
              <w:rPr>
                <w:rFonts w:cstheme="minorHAnsi"/>
                <w:sz w:val="20"/>
                <w:szCs w:val="20"/>
                <w:lang w:val="en-US"/>
              </w:rPr>
              <w:t>This provision is not flexible, since it does not cover commercial agreements which are the majority of agreements in modern telecommunications environment.</w:t>
            </w: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17E28212" w14:textId="77777777" w:rsidR="004C1593" w:rsidRDefault="004C1593">
            <w:pPr>
              <w:rPr>
                <w:rFonts w:cstheme="minorHAnsi"/>
                <w:sz w:val="20"/>
                <w:szCs w:val="20"/>
                <w:lang w:val="en-US"/>
              </w:rPr>
            </w:pPr>
          </w:p>
        </w:tc>
      </w:tr>
      <w:tr w:rsidR="004C1593" w14:paraId="49B3E0A9" w14:textId="77777777">
        <w:trPr>
          <w:cantSplit/>
          <w:trHeight w:val="1320"/>
          <w:jc w:val="center"/>
        </w:trPr>
        <w:tc>
          <w:tcPr>
            <w:tcW w:w="79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356FBF07" w14:textId="77777777" w:rsidR="004C1593" w:rsidRDefault="00471878">
            <w:pPr>
              <w:jc w:val="center"/>
              <w:rPr>
                <w:rFonts w:cstheme="minorHAnsi"/>
                <w:sz w:val="20"/>
                <w:szCs w:val="20"/>
              </w:rPr>
            </w:pPr>
            <w:r>
              <w:rPr>
                <w:rFonts w:cstheme="minorHAnsi"/>
                <w:sz w:val="20"/>
                <w:szCs w:val="20"/>
              </w:rPr>
              <w:t>8.2.5</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1B0030BC" w14:textId="77777777" w:rsidR="004C1593" w:rsidRDefault="00471878">
            <w:pPr>
              <w:rPr>
                <w:rFonts w:cstheme="minorHAnsi"/>
                <w:sz w:val="20"/>
                <w:szCs w:val="20"/>
                <w:lang w:val="en-US"/>
              </w:rPr>
            </w:pPr>
            <w:r>
              <w:rPr>
                <w:rFonts w:cstheme="minorHAnsi"/>
                <w:sz w:val="20"/>
                <w:szCs w:val="20"/>
                <w:lang w:val="en-US"/>
              </w:rPr>
              <w:t>The charges levied on customers for a parti</w:t>
            </w:r>
            <w:r>
              <w:rPr>
                <w:rFonts w:cstheme="minorHAnsi"/>
                <w:sz w:val="20"/>
                <w:szCs w:val="20"/>
                <w:lang w:val="en-US"/>
              </w:rPr>
              <w:t xml:space="preserve">cular communication should in principle be the same in a given relation, regardless of the international route used for that communication. In establishing these charges, Member States should try to avoid dissymmetry between the charges applicable in each </w:t>
            </w:r>
            <w:r>
              <w:rPr>
                <w:rFonts w:cstheme="minorHAnsi"/>
                <w:sz w:val="20"/>
                <w:szCs w:val="20"/>
                <w:lang w:val="en-US"/>
              </w:rPr>
              <w:t>direction of the same relation.</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715A50D2" w14:textId="77777777" w:rsidR="004C1593" w:rsidRDefault="004C1593">
            <w:pPr>
              <w:rPr>
                <w:rFonts w:cstheme="minorHAnsi"/>
                <w:sz w:val="20"/>
                <w:szCs w:val="20"/>
                <w:lang w:val="en-US"/>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30DB6ECB" w14:textId="77777777" w:rsidR="004C1593" w:rsidRDefault="00471878">
            <w:pPr>
              <w:rPr>
                <w:rFonts w:cstheme="minorHAnsi"/>
                <w:sz w:val="20"/>
                <w:szCs w:val="20"/>
                <w:lang w:val="en-US"/>
              </w:rPr>
            </w:pPr>
            <w:r>
              <w:rPr>
                <w:rFonts w:cstheme="minorHAnsi"/>
                <w:sz w:val="20"/>
                <w:szCs w:val="20"/>
                <w:lang w:val="en-US"/>
              </w:rPr>
              <w:t>This provision is very limited applicable, since it does not cover commercial agreements which are the majority of agreements in modern telecommunications environment.</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6D3627CD" w14:textId="77777777" w:rsidR="004C1593" w:rsidRDefault="00471878">
            <w:pPr>
              <w:rPr>
                <w:rFonts w:cstheme="minorHAnsi"/>
                <w:sz w:val="20"/>
                <w:szCs w:val="20"/>
                <w:lang w:val="en-US"/>
              </w:rPr>
            </w:pPr>
            <w:r>
              <w:rPr>
                <w:rFonts w:cstheme="minorHAnsi"/>
                <w:sz w:val="20"/>
                <w:szCs w:val="20"/>
                <w:lang w:val="en-US"/>
              </w:rPr>
              <w:t xml:space="preserve">This provision is not flexible, since it does not </w:t>
            </w:r>
            <w:r>
              <w:rPr>
                <w:rFonts w:cstheme="minorHAnsi"/>
                <w:sz w:val="20"/>
                <w:szCs w:val="20"/>
                <w:lang w:val="en-US"/>
              </w:rPr>
              <w:t>cover commercial agreements which are the majority of agreements in modern telecommunications environment.</w:t>
            </w: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51A1DD4E" w14:textId="77777777" w:rsidR="004C1593" w:rsidRDefault="004C1593">
            <w:pPr>
              <w:rPr>
                <w:rFonts w:cstheme="minorHAnsi"/>
                <w:sz w:val="20"/>
                <w:szCs w:val="20"/>
                <w:lang w:val="en-US"/>
              </w:rPr>
            </w:pPr>
          </w:p>
        </w:tc>
      </w:tr>
      <w:tr w:rsidR="004C1593" w14:paraId="7661103F" w14:textId="77777777">
        <w:trPr>
          <w:cantSplit/>
          <w:trHeight w:val="358"/>
          <w:jc w:val="center"/>
        </w:trPr>
        <w:tc>
          <w:tcPr>
            <w:tcW w:w="79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14BE9FBE" w14:textId="77777777" w:rsidR="004C1593" w:rsidRDefault="004C1593">
            <w:pPr>
              <w:jc w:val="center"/>
              <w:rPr>
                <w:rFonts w:cstheme="minorHAnsi"/>
                <w:sz w:val="20"/>
                <w:szCs w:val="20"/>
                <w:lang w:val="en-US"/>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70030886" w14:textId="77777777" w:rsidR="004C1593" w:rsidRDefault="00471878">
            <w:pPr>
              <w:rPr>
                <w:rFonts w:cstheme="minorHAnsi"/>
                <w:b/>
                <w:sz w:val="20"/>
                <w:szCs w:val="20"/>
                <w:lang w:val="en-US"/>
              </w:rPr>
            </w:pPr>
            <w:r>
              <w:rPr>
                <w:rFonts w:cstheme="minorHAnsi"/>
                <w:b/>
                <w:sz w:val="20"/>
                <w:szCs w:val="20"/>
                <w:lang w:val="en-US"/>
              </w:rPr>
              <w:t>8.3 Taxation</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3F6AE7FA" w14:textId="77777777" w:rsidR="004C1593" w:rsidRDefault="004C1593">
            <w:pPr>
              <w:rPr>
                <w:rFonts w:cstheme="minorHAnsi"/>
                <w:sz w:val="20"/>
                <w:szCs w:val="20"/>
                <w:lang w:val="en-US"/>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03523FDC" w14:textId="77777777" w:rsidR="004C1593" w:rsidRDefault="004C1593">
            <w:pPr>
              <w:rPr>
                <w:rFonts w:cstheme="minorHAnsi"/>
                <w:sz w:val="20"/>
                <w:szCs w:val="20"/>
                <w:lang w:val="en-US"/>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05688CD4" w14:textId="77777777" w:rsidR="004C1593" w:rsidRDefault="004C1593">
            <w:pPr>
              <w:rPr>
                <w:rFonts w:cstheme="minorHAnsi"/>
                <w:sz w:val="20"/>
                <w:szCs w:val="20"/>
                <w:lang w:val="en-US"/>
              </w:rPr>
            </w:pP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16EF5373" w14:textId="77777777" w:rsidR="004C1593" w:rsidRDefault="004C1593">
            <w:pPr>
              <w:rPr>
                <w:rFonts w:cstheme="minorHAnsi"/>
                <w:sz w:val="20"/>
                <w:szCs w:val="20"/>
                <w:lang w:val="en-US"/>
              </w:rPr>
            </w:pPr>
          </w:p>
        </w:tc>
      </w:tr>
      <w:tr w:rsidR="004C1593" w14:paraId="5CF90CA7" w14:textId="77777777">
        <w:trPr>
          <w:cantSplit/>
          <w:trHeight w:val="1320"/>
          <w:jc w:val="center"/>
        </w:trPr>
        <w:tc>
          <w:tcPr>
            <w:tcW w:w="79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04B93BA9" w14:textId="77777777" w:rsidR="004C1593" w:rsidRDefault="00471878">
            <w:pPr>
              <w:jc w:val="center"/>
              <w:rPr>
                <w:rFonts w:cstheme="minorHAnsi"/>
                <w:sz w:val="20"/>
                <w:szCs w:val="20"/>
              </w:rPr>
            </w:pPr>
            <w:r>
              <w:rPr>
                <w:rFonts w:cstheme="minorHAnsi"/>
                <w:sz w:val="20"/>
                <w:szCs w:val="20"/>
              </w:rPr>
              <w:lastRenderedPageBreak/>
              <w:t>8.3.1</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51327A84" w14:textId="77777777" w:rsidR="004C1593" w:rsidRDefault="00471878">
            <w:pPr>
              <w:rPr>
                <w:rFonts w:cstheme="minorHAnsi"/>
                <w:sz w:val="20"/>
                <w:szCs w:val="20"/>
                <w:lang w:val="en-US"/>
              </w:rPr>
            </w:pPr>
            <w:r>
              <w:rPr>
                <w:rFonts w:cstheme="minorHAnsi"/>
                <w:sz w:val="20"/>
                <w:szCs w:val="20"/>
                <w:lang w:val="en-US"/>
              </w:rPr>
              <w:t xml:space="preserve">Where, in accordance with the national law of a country, a fiscal tax is levied on collection charges for </w:t>
            </w:r>
            <w:r>
              <w:rPr>
                <w:rFonts w:cstheme="minorHAnsi"/>
                <w:sz w:val="20"/>
                <w:szCs w:val="20"/>
                <w:lang w:val="en-US"/>
              </w:rPr>
              <w:t>international telecommunication services, this tax shall normally be collected only in respect of international services billed to customers in that country, unless other arrangements are made to meet special circumstances.</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1892F5AB" w14:textId="77777777" w:rsidR="004C1593" w:rsidRDefault="004C1593">
            <w:pPr>
              <w:rPr>
                <w:rFonts w:cstheme="minorHAnsi"/>
                <w:sz w:val="20"/>
                <w:szCs w:val="20"/>
                <w:lang w:val="en-US"/>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58E7612F" w14:textId="77777777" w:rsidR="004C1593" w:rsidRDefault="00471878">
            <w:pPr>
              <w:rPr>
                <w:rFonts w:cstheme="minorHAnsi"/>
                <w:sz w:val="20"/>
                <w:szCs w:val="20"/>
                <w:lang w:val="en-US"/>
              </w:rPr>
            </w:pPr>
            <w:r>
              <w:rPr>
                <w:rFonts w:cstheme="minorHAnsi"/>
                <w:sz w:val="20"/>
                <w:szCs w:val="20"/>
                <w:lang w:val="en-US"/>
              </w:rPr>
              <w:t>This provision is not applicabl</w:t>
            </w:r>
            <w:r>
              <w:rPr>
                <w:rFonts w:cstheme="minorHAnsi"/>
                <w:sz w:val="20"/>
                <w:szCs w:val="20"/>
                <w:lang w:val="en-US"/>
              </w:rPr>
              <w:t xml:space="preserve">e, because since development od telecommunications environment it is unclear if an issue like special circumstances will exist in the future. </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3F882D87" w14:textId="77777777" w:rsidR="004C1593" w:rsidRDefault="00471878">
            <w:pPr>
              <w:rPr>
                <w:rFonts w:cstheme="minorHAnsi"/>
                <w:sz w:val="20"/>
                <w:szCs w:val="20"/>
                <w:lang w:val="en-US"/>
              </w:rPr>
            </w:pPr>
            <w:r>
              <w:rPr>
                <w:rFonts w:cstheme="minorHAnsi"/>
                <w:sz w:val="20"/>
                <w:szCs w:val="20"/>
                <w:lang w:val="en-US"/>
              </w:rPr>
              <w:t>This provision is not flexible since the development of the telecommunications is unpredictable and therefor it i</w:t>
            </w:r>
            <w:r>
              <w:rPr>
                <w:rFonts w:cstheme="minorHAnsi"/>
                <w:sz w:val="20"/>
                <w:szCs w:val="20"/>
                <w:lang w:val="en-US"/>
              </w:rPr>
              <w:t xml:space="preserve">s unclear what could be understood by special circumstances in the future. </w:t>
            </w: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66476BA2" w14:textId="77777777" w:rsidR="004C1593" w:rsidRDefault="004C1593">
            <w:pPr>
              <w:rPr>
                <w:rFonts w:cstheme="minorHAnsi"/>
                <w:sz w:val="20"/>
                <w:szCs w:val="20"/>
                <w:lang w:val="en-US"/>
              </w:rPr>
            </w:pPr>
          </w:p>
        </w:tc>
      </w:tr>
      <w:tr w:rsidR="004C1593" w14:paraId="3C5CA1C6" w14:textId="77777777">
        <w:trPr>
          <w:cantSplit/>
          <w:trHeight w:val="350"/>
          <w:jc w:val="center"/>
        </w:trPr>
        <w:tc>
          <w:tcPr>
            <w:tcW w:w="79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59674499" w14:textId="77777777" w:rsidR="004C1593" w:rsidRDefault="004C1593">
            <w:pPr>
              <w:jc w:val="center"/>
              <w:rPr>
                <w:rFonts w:cstheme="minorHAnsi"/>
                <w:sz w:val="20"/>
                <w:szCs w:val="20"/>
                <w:lang w:val="en-US"/>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69BF8AEE" w14:textId="77777777" w:rsidR="004C1593" w:rsidRDefault="00471878">
            <w:pPr>
              <w:rPr>
                <w:rFonts w:cstheme="minorHAnsi"/>
                <w:b/>
                <w:sz w:val="20"/>
                <w:szCs w:val="20"/>
                <w:lang w:val="en-US"/>
              </w:rPr>
            </w:pPr>
            <w:r>
              <w:rPr>
                <w:rFonts w:cstheme="minorHAnsi"/>
                <w:b/>
                <w:sz w:val="20"/>
                <w:szCs w:val="20"/>
                <w:lang w:val="en-US"/>
              </w:rPr>
              <w:t>8.4 Service telecommunications</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7441B522" w14:textId="77777777" w:rsidR="004C1593" w:rsidRDefault="004C1593">
            <w:pPr>
              <w:rPr>
                <w:rFonts w:cstheme="minorHAnsi"/>
                <w:sz w:val="20"/>
                <w:szCs w:val="20"/>
                <w:lang w:val="en-US"/>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17CED00A" w14:textId="77777777" w:rsidR="004C1593" w:rsidRDefault="004C1593">
            <w:pPr>
              <w:rPr>
                <w:rFonts w:cstheme="minorHAnsi"/>
                <w:sz w:val="20"/>
                <w:szCs w:val="20"/>
                <w:lang w:val="en-US"/>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740FDEAE" w14:textId="77777777" w:rsidR="004C1593" w:rsidRDefault="004C1593">
            <w:pPr>
              <w:rPr>
                <w:rFonts w:cstheme="minorHAnsi"/>
                <w:sz w:val="20"/>
                <w:szCs w:val="20"/>
                <w:lang w:val="en-US"/>
              </w:rPr>
            </w:pP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1FDEAB41" w14:textId="77777777" w:rsidR="004C1593" w:rsidRDefault="004C1593">
            <w:pPr>
              <w:rPr>
                <w:rFonts w:cstheme="minorHAnsi"/>
                <w:sz w:val="20"/>
                <w:szCs w:val="20"/>
                <w:lang w:val="en-US"/>
              </w:rPr>
            </w:pPr>
          </w:p>
        </w:tc>
      </w:tr>
      <w:tr w:rsidR="004C1593" w14:paraId="135A3841" w14:textId="77777777">
        <w:trPr>
          <w:cantSplit/>
          <w:trHeight w:val="1320"/>
          <w:jc w:val="center"/>
        </w:trPr>
        <w:tc>
          <w:tcPr>
            <w:tcW w:w="79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48B6F582" w14:textId="77777777" w:rsidR="004C1593" w:rsidRDefault="00471878">
            <w:pPr>
              <w:jc w:val="center"/>
              <w:rPr>
                <w:rFonts w:cstheme="minorHAnsi"/>
                <w:sz w:val="20"/>
                <w:szCs w:val="20"/>
              </w:rPr>
            </w:pPr>
            <w:r>
              <w:rPr>
                <w:rFonts w:cstheme="minorHAnsi"/>
                <w:sz w:val="20"/>
                <w:szCs w:val="20"/>
              </w:rPr>
              <w:t>8.4.1</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2DF54821" w14:textId="77777777" w:rsidR="004C1593" w:rsidRDefault="00471878">
            <w:pPr>
              <w:rPr>
                <w:rFonts w:cstheme="minorHAnsi"/>
                <w:sz w:val="20"/>
                <w:szCs w:val="20"/>
                <w:lang w:val="en-US"/>
              </w:rPr>
            </w:pPr>
            <w:r>
              <w:rPr>
                <w:rFonts w:cstheme="minorHAnsi"/>
                <w:sz w:val="20"/>
                <w:szCs w:val="20"/>
                <w:lang w:val="en-US"/>
              </w:rPr>
              <w:t xml:space="preserve">Authorized operating agencies may in principle forego the inclusion of service telecommunications in international </w:t>
            </w:r>
            <w:r>
              <w:rPr>
                <w:rFonts w:cstheme="minorHAnsi"/>
                <w:sz w:val="20"/>
                <w:szCs w:val="20"/>
                <w:lang w:val="en-US"/>
              </w:rPr>
              <w:t>accounting, under the relevant provisions of the Constitution and the Convention and these Regulations, having due regard for the need for reciprocal arrangements. Authorized operating agencies may provide service telecommunications free of charge.</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35DCF3E7" w14:textId="77777777" w:rsidR="004C1593" w:rsidRDefault="004C1593">
            <w:pPr>
              <w:rPr>
                <w:rFonts w:cstheme="minorHAnsi"/>
                <w:sz w:val="20"/>
                <w:szCs w:val="20"/>
                <w:lang w:val="en-US"/>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7885BD8E" w14:textId="77777777" w:rsidR="004C1593" w:rsidRDefault="00471878">
            <w:pPr>
              <w:rPr>
                <w:rFonts w:cstheme="minorHAnsi"/>
                <w:sz w:val="20"/>
                <w:szCs w:val="20"/>
                <w:lang w:val="en-US"/>
              </w:rPr>
            </w:pPr>
            <w:r>
              <w:rPr>
                <w:rFonts w:cstheme="minorHAnsi"/>
                <w:sz w:val="20"/>
                <w:szCs w:val="20"/>
                <w:lang w:val="en-US"/>
              </w:rPr>
              <w:t>This p</w:t>
            </w:r>
            <w:r>
              <w:rPr>
                <w:rFonts w:cstheme="minorHAnsi"/>
                <w:sz w:val="20"/>
                <w:szCs w:val="20"/>
                <w:lang w:val="en-US"/>
              </w:rPr>
              <w:t xml:space="preserve">rovision addresses actions an agency “may” perform, and therefore should not be included in a Treaty. </w:t>
            </w:r>
          </w:p>
          <w:p w14:paraId="3DC5EC38" w14:textId="77777777" w:rsidR="004C1593" w:rsidRDefault="004C1593">
            <w:pPr>
              <w:rPr>
                <w:rFonts w:cstheme="minorHAnsi"/>
                <w:sz w:val="20"/>
                <w:szCs w:val="20"/>
                <w:lang w:val="en-US"/>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6D03EF17" w14:textId="77777777" w:rsidR="004C1593" w:rsidRDefault="00471878">
            <w:pPr>
              <w:rPr>
                <w:rFonts w:cstheme="minorHAnsi"/>
                <w:sz w:val="20"/>
                <w:szCs w:val="20"/>
                <w:lang w:val="en-US"/>
              </w:rPr>
            </w:pPr>
            <w:r>
              <w:rPr>
                <w:rFonts w:cstheme="minorHAnsi"/>
                <w:sz w:val="20"/>
                <w:szCs w:val="20"/>
                <w:lang w:val="en-US"/>
              </w:rPr>
              <w:t>This provision addresses actions an agency “may” perform, and therefore unclear with regard to flexibility to</w:t>
            </w:r>
            <w:r>
              <w:rPr>
                <w:lang w:val="en-US"/>
              </w:rPr>
              <w:t xml:space="preserve"> </w:t>
            </w:r>
            <w:r>
              <w:rPr>
                <w:rFonts w:cstheme="minorHAnsi"/>
                <w:sz w:val="20"/>
                <w:szCs w:val="20"/>
                <w:lang w:val="en-US"/>
              </w:rPr>
              <w:t>accommodate New trends and Emergent issues</w:t>
            </w:r>
            <w:r>
              <w:rPr>
                <w:rFonts w:cstheme="minorHAnsi"/>
                <w:sz w:val="20"/>
                <w:szCs w:val="20"/>
                <w:lang w:val="en-US"/>
              </w:rPr>
              <w:t xml:space="preserve">. </w:t>
            </w:r>
          </w:p>
          <w:p w14:paraId="4AF841E3" w14:textId="77777777" w:rsidR="004C1593" w:rsidRDefault="004C1593">
            <w:pPr>
              <w:rPr>
                <w:rFonts w:cstheme="minorHAnsi"/>
                <w:sz w:val="20"/>
                <w:szCs w:val="20"/>
                <w:lang w:val="en-US"/>
              </w:rPr>
            </w:pP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3104771C" w14:textId="77777777" w:rsidR="004C1593" w:rsidRDefault="004C1593">
            <w:pPr>
              <w:rPr>
                <w:rFonts w:cstheme="minorHAnsi"/>
                <w:sz w:val="20"/>
                <w:szCs w:val="20"/>
                <w:lang w:val="en-US"/>
              </w:rPr>
            </w:pPr>
          </w:p>
        </w:tc>
      </w:tr>
      <w:tr w:rsidR="004C1593" w14:paraId="05B1DBCE" w14:textId="77777777">
        <w:trPr>
          <w:cantSplit/>
          <w:trHeight w:val="1320"/>
          <w:jc w:val="center"/>
        </w:trPr>
        <w:tc>
          <w:tcPr>
            <w:tcW w:w="794" w:type="dxa"/>
            <w:tcBorders>
              <w:top w:val="nil"/>
              <w:left w:val="single" w:sz="8" w:space="0" w:color="000000"/>
              <w:bottom w:val="single" w:sz="8" w:space="0" w:color="000000"/>
              <w:right w:val="single" w:sz="8" w:space="0" w:color="000000"/>
            </w:tcBorders>
            <w:tcMar>
              <w:top w:w="56" w:type="dxa"/>
              <w:left w:w="56" w:type="dxa"/>
              <w:bottom w:w="56" w:type="dxa"/>
              <w:right w:w="56" w:type="dxa"/>
            </w:tcMar>
            <w:vAlign w:val="center"/>
          </w:tcPr>
          <w:p w14:paraId="072CC93E" w14:textId="77777777" w:rsidR="004C1593" w:rsidRDefault="00471878">
            <w:pPr>
              <w:jc w:val="center"/>
              <w:rPr>
                <w:rFonts w:cstheme="minorHAnsi"/>
                <w:sz w:val="20"/>
                <w:szCs w:val="20"/>
              </w:rPr>
            </w:pPr>
            <w:r>
              <w:rPr>
                <w:rFonts w:cstheme="minorHAnsi"/>
                <w:sz w:val="20"/>
                <w:szCs w:val="20"/>
              </w:rPr>
              <w:t>8.4.2</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5C3108C4" w14:textId="77777777" w:rsidR="004C1593" w:rsidRDefault="00471878">
            <w:pPr>
              <w:rPr>
                <w:rFonts w:cstheme="minorHAnsi"/>
                <w:sz w:val="20"/>
                <w:szCs w:val="20"/>
                <w:lang w:val="en-US"/>
              </w:rPr>
            </w:pPr>
            <w:r>
              <w:rPr>
                <w:rFonts w:cstheme="minorHAnsi"/>
                <w:sz w:val="20"/>
                <w:szCs w:val="20"/>
                <w:lang w:val="en-US"/>
              </w:rPr>
              <w:t>The general operational, charging and accounting principles applicable to service telecommunications should take account of the relevant ITU-T Recommendations.</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602A3EB6" w14:textId="77777777" w:rsidR="004C1593" w:rsidRDefault="004C1593">
            <w:pPr>
              <w:rPr>
                <w:rFonts w:cstheme="minorHAnsi"/>
                <w:sz w:val="20"/>
                <w:szCs w:val="20"/>
                <w:lang w:val="en-US"/>
              </w:rPr>
            </w:pP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4FB4C174" w14:textId="77777777" w:rsidR="004C1593" w:rsidRDefault="00471878">
            <w:pPr>
              <w:rPr>
                <w:rFonts w:cstheme="minorHAnsi"/>
                <w:sz w:val="20"/>
                <w:szCs w:val="20"/>
                <w:lang w:val="en-US"/>
              </w:rPr>
            </w:pPr>
            <w:r>
              <w:rPr>
                <w:rFonts w:cstheme="minorHAnsi"/>
                <w:sz w:val="20"/>
                <w:szCs w:val="20"/>
                <w:lang w:val="en-US"/>
              </w:rPr>
              <w:t xml:space="preserve">This provision is quite general and therefore always applicable. </w:t>
            </w:r>
          </w:p>
        </w:tc>
        <w:tc>
          <w:tcPr>
            <w:tcW w:w="3272" w:type="dxa"/>
            <w:tcBorders>
              <w:top w:val="nil"/>
              <w:left w:val="nil"/>
              <w:bottom w:val="single" w:sz="8" w:space="0" w:color="000000"/>
              <w:right w:val="single" w:sz="8" w:space="0" w:color="000000"/>
            </w:tcBorders>
            <w:tcMar>
              <w:top w:w="56" w:type="dxa"/>
              <w:left w:w="56" w:type="dxa"/>
              <w:bottom w:w="56" w:type="dxa"/>
              <w:right w:w="56" w:type="dxa"/>
            </w:tcMar>
          </w:tcPr>
          <w:p w14:paraId="646E6A36" w14:textId="77777777" w:rsidR="004C1593" w:rsidRDefault="00471878">
            <w:pPr>
              <w:rPr>
                <w:rFonts w:cstheme="minorHAnsi"/>
                <w:sz w:val="20"/>
                <w:szCs w:val="20"/>
                <w:lang w:val="en-US"/>
              </w:rPr>
            </w:pPr>
            <w:r>
              <w:rPr>
                <w:rFonts w:cstheme="minorHAnsi"/>
                <w:sz w:val="20"/>
                <w:szCs w:val="20"/>
                <w:lang w:val="en-US"/>
              </w:rPr>
              <w:t>This provision is not flexible. It is not clear how to comply with this provision because there are unlikely to be Recommendations for the newest trends and issues.</w:t>
            </w:r>
          </w:p>
        </w:tc>
        <w:tc>
          <w:tcPr>
            <w:tcW w:w="1771" w:type="dxa"/>
            <w:tcBorders>
              <w:top w:val="nil"/>
              <w:left w:val="nil"/>
              <w:bottom w:val="single" w:sz="8" w:space="0" w:color="000000"/>
              <w:right w:val="single" w:sz="8" w:space="0" w:color="000000"/>
            </w:tcBorders>
            <w:tcMar>
              <w:top w:w="56" w:type="dxa"/>
              <w:left w:w="56" w:type="dxa"/>
              <w:bottom w:w="56" w:type="dxa"/>
              <w:right w:w="56" w:type="dxa"/>
            </w:tcMar>
          </w:tcPr>
          <w:p w14:paraId="7AED891B" w14:textId="77777777" w:rsidR="004C1593" w:rsidRDefault="004C1593">
            <w:pPr>
              <w:rPr>
                <w:rFonts w:cstheme="minorHAnsi"/>
                <w:sz w:val="20"/>
                <w:szCs w:val="20"/>
                <w:lang w:val="en-US"/>
              </w:rPr>
            </w:pPr>
          </w:p>
        </w:tc>
      </w:tr>
    </w:tbl>
    <w:p w14:paraId="134A1F37" w14:textId="77777777" w:rsidR="004C1593" w:rsidRDefault="004C1593">
      <w:pPr>
        <w:spacing w:after="0" w:line="240" w:lineRule="auto"/>
        <w:rPr>
          <w:sz w:val="24"/>
          <w:szCs w:val="24"/>
          <w:lang w:val="en-US"/>
        </w:rPr>
      </w:pPr>
    </w:p>
    <w:p w14:paraId="1D9C4F5C" w14:textId="77777777" w:rsidR="004C1593" w:rsidRDefault="00471878">
      <w:pPr>
        <w:spacing w:after="0" w:line="240" w:lineRule="auto"/>
        <w:rPr>
          <w:sz w:val="24"/>
          <w:szCs w:val="24"/>
          <w:lang w:val="en-US"/>
        </w:rPr>
      </w:pPr>
      <w:r>
        <w:rPr>
          <w:sz w:val="24"/>
          <w:szCs w:val="24"/>
          <w:lang w:val="en-US"/>
        </w:rPr>
        <w:t xml:space="preserve">Our views on Appendix </w:t>
      </w:r>
      <w:r>
        <w:rPr>
          <w:sz w:val="24"/>
          <w:szCs w:val="24"/>
          <w:lang w:val="en-US"/>
        </w:rPr>
        <w:t>1 are already covered by the analysis of Articles 5 to 8, therefore it is not included again to avoid duplication.</w:t>
      </w:r>
    </w:p>
    <w:p w14:paraId="109D2FC0" w14:textId="77777777" w:rsidR="004C1593" w:rsidRDefault="004C1593">
      <w:pPr>
        <w:spacing w:after="0" w:line="240" w:lineRule="auto"/>
        <w:rPr>
          <w:sz w:val="24"/>
          <w:szCs w:val="24"/>
          <w:lang w:val="en-US"/>
        </w:rPr>
      </w:pPr>
    </w:p>
    <w:p w14:paraId="793D9C7B" w14:textId="77777777" w:rsidR="004C1593" w:rsidRDefault="00471878">
      <w:pPr>
        <w:spacing w:after="0" w:line="240" w:lineRule="auto"/>
        <w:jc w:val="center"/>
        <w:rPr>
          <w:sz w:val="24"/>
          <w:szCs w:val="24"/>
          <w:u w:val="single"/>
          <w:lang w:val="en-US"/>
        </w:rPr>
      </w:pPr>
      <w:r>
        <w:rPr>
          <w:sz w:val="24"/>
          <w:szCs w:val="24"/>
          <w:u w:val="single"/>
          <w:lang w:val="en-US"/>
        </w:rPr>
        <w:t>                                                     </w:t>
      </w:r>
    </w:p>
    <w:sectPr w:rsidR="004C1593">
      <w:headerReference w:type="first" r:id="rId14"/>
      <w:footerReference w:type="first" r:id="rId15"/>
      <w:pgSz w:w="16834" w:h="11907" w:orient="landscape"/>
      <w:pgMar w:top="720" w:right="720" w:bottom="720" w:left="720" w:header="720" w:footer="720"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26B63" w14:textId="77777777" w:rsidR="004C1593" w:rsidRDefault="00471878">
      <w:r>
        <w:separator/>
      </w:r>
    </w:p>
  </w:endnote>
  <w:endnote w:type="continuationSeparator" w:id="0">
    <w:p w14:paraId="38D1FCD3" w14:textId="77777777" w:rsidR="004C1593" w:rsidRDefault="0047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119A4" w14:textId="77777777" w:rsidR="004C1593" w:rsidRDefault="00471878">
    <w:pPr>
      <w:spacing w:after="120"/>
      <w:jc w:val="center"/>
      <w:rPr>
        <w:lang w:val="es-ES"/>
      </w:rPr>
    </w:pPr>
    <w:r>
      <w:rPr>
        <w:lang w:val="es-ES"/>
      </w:rPr>
      <w:t xml:space="preserve">• </w:t>
    </w:r>
    <w:hyperlink r:id="rId1" w:history="1">
      <w:r>
        <w:rPr>
          <w:rStyle w:val="Hyperlink"/>
          <w:rFonts w:cstheme="minorHAnsi"/>
          <w:lang w:val="es-ES"/>
        </w:rPr>
        <w:t>http://www.itu.int/council</w:t>
      </w:r>
    </w:hyperlink>
    <w:r>
      <w:rPr>
        <w:lang w:val="es-E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FEF5C" w14:textId="77777777" w:rsidR="004C1593" w:rsidRDefault="004C1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F249A" w14:textId="77777777" w:rsidR="004C1593" w:rsidRDefault="00471878">
      <w:r>
        <w:t>____________________</w:t>
      </w:r>
    </w:p>
  </w:footnote>
  <w:footnote w:type="continuationSeparator" w:id="0">
    <w:p w14:paraId="39B8659A" w14:textId="77777777" w:rsidR="004C1593" w:rsidRDefault="00471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D6076" w14:textId="070DB645" w:rsidR="004C1593" w:rsidRDefault="00471878">
    <w:pPr>
      <w:pStyle w:val="Header"/>
      <w:spacing w:after="120"/>
    </w:pPr>
    <w:r>
      <w:fldChar w:fldCharType="begin"/>
    </w:r>
    <w:r>
      <w:instrText xml:space="preserve"> PAGE   </w:instrText>
    </w:r>
    <w:r>
      <w:instrText xml:space="preserve">\* MERGEFORMAT </w:instrText>
    </w:r>
    <w:r>
      <w:fldChar w:fldCharType="separate"/>
    </w:r>
    <w:r>
      <w:t>2</w:t>
    </w:r>
    <w:r>
      <w:rPr>
        <w:noProof/>
      </w:rPr>
      <w:fldChar w:fldCharType="end"/>
    </w:r>
    <w:r>
      <w:rPr>
        <w:noProof/>
      </w:rPr>
      <w:br/>
      <w:t>EG-ITRs-3\</w:t>
    </w:r>
    <w:r w:rsidR="00106902">
      <w:rPr>
        <w:noProof/>
      </w:rPr>
      <w:t>11</w:t>
    </w:r>
    <w:r>
      <w:rPr>
        <w:noProof/>
      </w:rPr>
      <w:t>-E</w:t>
    </w:r>
  </w:p>
  <w:p w14:paraId="7C8A6FE5" w14:textId="77777777" w:rsidR="004C1593" w:rsidRDefault="004C1593">
    <w:pPr>
      <w:pStyle w:val="Header"/>
      <w:spacing w:after="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234AC" w14:textId="77777777" w:rsidR="004C1593" w:rsidRDefault="00471878">
    <w:pPr>
      <w:pStyle w:val="Header"/>
    </w:pP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CDAD3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DC9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096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D8F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4265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E33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D2D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86AF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445C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2824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A15F1"/>
    <w:multiLevelType w:val="hybridMultilevel"/>
    <w:tmpl w:val="E51AD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8BD66EF"/>
    <w:multiLevelType w:val="multilevel"/>
    <w:tmpl w:val="76AAB48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0E823FFE"/>
    <w:multiLevelType w:val="hybridMultilevel"/>
    <w:tmpl w:val="F192F9D2"/>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F52473"/>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B5E1726"/>
    <w:multiLevelType w:val="hybridMultilevel"/>
    <w:tmpl w:val="F1A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023BD3"/>
    <w:multiLevelType w:val="multilevel"/>
    <w:tmpl w:val="ADF65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DBA6547"/>
    <w:multiLevelType w:val="hybridMultilevel"/>
    <w:tmpl w:val="4DFE797E"/>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BF0295"/>
    <w:multiLevelType w:val="multilevel"/>
    <w:tmpl w:val="5804E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F3E643A"/>
    <w:multiLevelType w:val="hybridMultilevel"/>
    <w:tmpl w:val="40880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357F85"/>
    <w:multiLevelType w:val="multilevel"/>
    <w:tmpl w:val="8198131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FF000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50C9066D"/>
    <w:multiLevelType w:val="hybridMultilevel"/>
    <w:tmpl w:val="D316AE1C"/>
    <w:lvl w:ilvl="0" w:tplc="440C0FAE">
      <w:start w:val="1"/>
      <w:numFmt w:val="decimal"/>
      <w:lvlText w:val="Z%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1" w15:restartNumberingAfterBreak="0">
    <w:nsid w:val="6AC3171A"/>
    <w:multiLevelType w:val="hybridMultilevel"/>
    <w:tmpl w:val="D36C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774F28"/>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BAD6EE8"/>
    <w:multiLevelType w:val="hybridMultilevel"/>
    <w:tmpl w:val="07ACC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A33E4C"/>
    <w:multiLevelType w:val="multilevel"/>
    <w:tmpl w:val="6C0ED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20"/>
  </w:num>
  <w:num w:numId="3">
    <w:abstractNumId w:val="12"/>
  </w:num>
  <w:num w:numId="4">
    <w:abstractNumId w:val="16"/>
  </w:num>
  <w:num w:numId="5">
    <w:abstractNumId w:val="23"/>
  </w:num>
  <w:num w:numId="6">
    <w:abstractNumId w:val="13"/>
  </w:num>
  <w:num w:numId="7">
    <w:abstractNumId w:val="22"/>
  </w:num>
  <w:num w:numId="8">
    <w:abstractNumId w:val="19"/>
  </w:num>
  <w:num w:numId="9">
    <w:abstractNumId w:val="14"/>
  </w:num>
  <w:num w:numId="10">
    <w:abstractNumId w:val="10"/>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8"/>
  </w:num>
  <w:num w:numId="21">
    <w:abstractNumId w:val="11"/>
  </w:num>
  <w:num w:numId="22">
    <w:abstractNumId w:val="17"/>
  </w:num>
  <w:num w:numId="23">
    <w:abstractNumId w:val="15"/>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593"/>
    <w:rsid w:val="00106902"/>
    <w:rsid w:val="00471878"/>
    <w:rsid w:val="004C15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DA57B3F"/>
  <w15:docId w15:val="{7E68A750-2D85-4C8E-A17E-AAD520E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6902"/>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qFormat/>
    <w:pPr>
      <w:keepNext/>
      <w:keepLines/>
      <w:numPr>
        <w:numId w:val="8"/>
      </w:numPr>
      <w:spacing w:before="480"/>
      <w:outlineLvl w:val="0"/>
    </w:pPr>
    <w:rPr>
      <w:b/>
      <w:sz w:val="28"/>
    </w:rPr>
  </w:style>
  <w:style w:type="paragraph" w:styleId="Heading2">
    <w:name w:val="heading 2"/>
    <w:basedOn w:val="Heading1"/>
    <w:next w:val="Normal"/>
    <w:qFormat/>
    <w:pPr>
      <w:numPr>
        <w:ilvl w:val="1"/>
      </w:numPr>
      <w:spacing w:before="320"/>
      <w:outlineLvl w:val="1"/>
    </w:pPr>
    <w:rPr>
      <w:sz w:val="24"/>
    </w:rPr>
  </w:style>
  <w:style w:type="paragraph" w:styleId="Heading3">
    <w:name w:val="heading 3"/>
    <w:basedOn w:val="Heading1"/>
    <w:next w:val="Normal"/>
    <w:qFormat/>
    <w:pPr>
      <w:numPr>
        <w:ilvl w:val="2"/>
      </w:numPr>
      <w:spacing w:before="200"/>
      <w:outlineLvl w:val="2"/>
    </w:pPr>
    <w:rPr>
      <w:sz w:val="24"/>
    </w:rPr>
  </w:style>
  <w:style w:type="paragraph" w:styleId="Heading4">
    <w:name w:val="heading 4"/>
    <w:basedOn w:val="Heading3"/>
    <w:next w:val="Normal"/>
    <w:qFormat/>
    <w:pPr>
      <w:numPr>
        <w:ilvl w:val="3"/>
      </w:numPr>
      <w:outlineLvl w:val="3"/>
    </w:pPr>
  </w:style>
  <w:style w:type="paragraph" w:styleId="Heading5">
    <w:name w:val="heading 5"/>
    <w:basedOn w:val="Heading4"/>
    <w:next w:val="Normal"/>
    <w:qFormat/>
    <w:pPr>
      <w:numPr>
        <w:ilvl w:val="4"/>
      </w:numPr>
      <w:outlineLvl w:val="4"/>
    </w:pPr>
  </w:style>
  <w:style w:type="paragraph" w:styleId="Heading6">
    <w:name w:val="heading 6"/>
    <w:basedOn w:val="Heading4"/>
    <w:next w:val="Normal"/>
    <w:qFormat/>
    <w:pPr>
      <w:numPr>
        <w:ilvl w:val="5"/>
      </w:numPr>
      <w:outlineLvl w:val="5"/>
    </w:pPr>
  </w:style>
  <w:style w:type="paragraph" w:styleId="Heading7">
    <w:name w:val="heading 7"/>
    <w:basedOn w:val="Heading4"/>
    <w:next w:val="Normal"/>
    <w:qFormat/>
    <w:pPr>
      <w:numPr>
        <w:ilvl w:val="6"/>
      </w:numPr>
      <w:outlineLvl w:val="6"/>
    </w:pPr>
  </w:style>
  <w:style w:type="paragraph" w:styleId="Heading8">
    <w:name w:val="heading 8"/>
    <w:basedOn w:val="Heading4"/>
    <w:next w:val="Normal"/>
    <w:qFormat/>
    <w:pPr>
      <w:numPr>
        <w:ilvl w:val="7"/>
      </w:numPr>
      <w:outlineLvl w:val="7"/>
    </w:pPr>
  </w:style>
  <w:style w:type="paragraph" w:styleId="Heading9">
    <w:name w:val="heading 9"/>
    <w:basedOn w:val="Heading4"/>
    <w:next w:val="Normal"/>
    <w:qFormat/>
    <w:pPr>
      <w:numPr>
        <w:ilvl w:val="8"/>
      </w:numPr>
      <w:outlineLvl w:val="8"/>
    </w:pPr>
  </w:style>
  <w:style w:type="character" w:default="1" w:styleId="DefaultParagraphFont">
    <w:name w:val="Default Paragraph Font"/>
    <w:uiPriority w:val="1"/>
    <w:semiHidden/>
    <w:unhideWhenUsed/>
    <w:rsid w:val="0010690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06902"/>
  </w:style>
  <w:style w:type="paragraph" w:styleId="TOC8">
    <w:name w:val="toc 8"/>
    <w:basedOn w:val="Normal"/>
    <w:next w:val="Normal"/>
    <w:pPr>
      <w:tabs>
        <w:tab w:val="left" w:pos="964"/>
        <w:tab w:val="left" w:leader="dot" w:pos="8789"/>
        <w:tab w:val="right" w:pos="9639"/>
      </w:tabs>
      <w:ind w:left="964" w:hanging="964"/>
    </w:pPr>
  </w:style>
  <w:style w:type="paragraph" w:styleId="TOC4">
    <w:name w:val="toc 4"/>
    <w:basedOn w:val="Normal"/>
    <w:next w:val="Normal"/>
    <w:pPr>
      <w:tabs>
        <w:tab w:val="left" w:pos="964"/>
        <w:tab w:val="left" w:pos="8789"/>
        <w:tab w:val="right" w:pos="9639"/>
      </w:tabs>
      <w:ind w:left="964" w:hanging="964"/>
    </w:pPr>
  </w:style>
  <w:style w:type="paragraph" w:styleId="TOC3">
    <w:name w:val="toc 3"/>
    <w:basedOn w:val="Normal"/>
    <w:next w:val="Normal"/>
    <w:pPr>
      <w:tabs>
        <w:tab w:val="left" w:pos="964"/>
        <w:tab w:val="left" w:leader="dot" w:pos="8789"/>
        <w:tab w:val="right" w:pos="9639"/>
      </w:tabs>
      <w:ind w:left="964" w:hanging="964"/>
    </w:pPr>
  </w:style>
  <w:style w:type="paragraph" w:styleId="TOC2">
    <w:name w:val="toc 2"/>
    <w:basedOn w:val="Normal"/>
    <w:next w:val="Normal"/>
    <w:pPr>
      <w:tabs>
        <w:tab w:val="left" w:pos="964"/>
        <w:tab w:val="left" w:leader="dot" w:pos="8789"/>
        <w:tab w:val="right" w:pos="9639"/>
      </w:tabs>
      <w:ind w:left="964" w:hanging="964"/>
    </w:pPr>
  </w:style>
  <w:style w:type="paragraph" w:styleId="TOC1">
    <w:name w:val="toc 1"/>
    <w:basedOn w:val="Normal"/>
    <w:pPr>
      <w:tabs>
        <w:tab w:val="left" w:pos="964"/>
        <w:tab w:val="left" w:leader="dot" w:pos="8789"/>
        <w:tab w:val="right" w:pos="9639"/>
      </w:tabs>
      <w:spacing w:before="240"/>
      <w:ind w:left="964" w:hanging="964"/>
    </w:pPr>
  </w:style>
  <w:style w:type="paragraph" w:styleId="TOC7">
    <w:name w:val="toc 7"/>
    <w:basedOn w:val="Normal"/>
    <w:next w:val="Normal"/>
    <w:pPr>
      <w:tabs>
        <w:tab w:val="left" w:pos="964"/>
        <w:tab w:val="left" w:leader="dot" w:pos="8789"/>
        <w:tab w:val="right" w:pos="9639"/>
      </w:tabs>
      <w:ind w:left="964" w:hanging="964"/>
    </w:pPr>
  </w:style>
  <w:style w:type="paragraph" w:styleId="TOC6">
    <w:name w:val="toc 6"/>
    <w:basedOn w:val="Normal"/>
    <w:next w:val="Normal"/>
    <w:pPr>
      <w:tabs>
        <w:tab w:val="left" w:pos="964"/>
        <w:tab w:val="left" w:leader="dot" w:pos="8789"/>
        <w:tab w:val="right" w:pos="9639"/>
      </w:tabs>
      <w:ind w:left="964" w:hanging="964"/>
    </w:pPr>
  </w:style>
  <w:style w:type="paragraph" w:styleId="TOC5">
    <w:name w:val="toc 5"/>
    <w:basedOn w:val="Normal"/>
    <w:next w:val="Normal"/>
    <w:pPr>
      <w:tabs>
        <w:tab w:val="left" w:pos="964"/>
        <w:tab w:val="left" w:leader="dot" w:pos="8789"/>
        <w:tab w:val="right" w:pos="9639"/>
      </w:tabs>
      <w:ind w:left="964" w:hanging="96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left" w:pos="5954"/>
        <w:tab w:val="right" w:pos="9639"/>
      </w:tabs>
    </w:pPr>
    <w:rPr>
      <w:caps/>
      <w:noProof/>
      <w:sz w:val="16"/>
    </w:rPr>
  </w:style>
  <w:style w:type="paragraph" w:styleId="Header">
    <w:name w:val="header"/>
    <w:basedOn w:val="Normal"/>
    <w:link w:val="HeaderChar"/>
    <w:pPr>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pPr>
      <w:keepLines/>
      <w:tabs>
        <w:tab w:val="left" w:pos="256"/>
      </w:tabs>
      <w:ind w:left="256" w:hanging="256"/>
    </w:pPr>
  </w:style>
  <w:style w:type="paragraph" w:styleId="NormalIndent">
    <w:name w:val="Normal Indent"/>
    <w:basedOn w:val="Normal"/>
    <w:pPr>
      <w:ind w:left="567"/>
    </w:pPr>
  </w:style>
  <w:style w:type="paragraph" w:customStyle="1" w:styleId="enumlev1">
    <w:name w:val="enumlev1"/>
    <w:basedOn w:val="Normal"/>
    <w:link w:val="enumlev1Char"/>
    <w:qFormat/>
    <w:pPr>
      <w:spacing w:before="86"/>
      <w:ind w:left="567" w:hanging="567"/>
    </w:pPr>
  </w:style>
  <w:style w:type="paragraph" w:customStyle="1" w:styleId="enumlev2">
    <w:name w:val="enumlev2"/>
    <w:basedOn w:val="enumlev1"/>
    <w:pPr>
      <w:ind w:left="1134"/>
    </w:pPr>
  </w:style>
  <w:style w:type="paragraph" w:customStyle="1" w:styleId="enumlev3">
    <w:name w:val="enumlev3"/>
    <w:basedOn w:val="enumlev2"/>
    <w:pPr>
      <w:ind w:left="1701"/>
    </w:pPr>
  </w:style>
  <w:style w:type="paragraph" w:customStyle="1" w:styleId="Normalaftertitle">
    <w:name w:val="Normal after title"/>
    <w:basedOn w:val="Normal"/>
    <w:next w:val="Normal"/>
    <w:link w:val="NormalaftertitleChar"/>
    <w:pPr>
      <w:spacing w:before="240"/>
    </w:pPr>
  </w:style>
  <w:style w:type="paragraph" w:customStyle="1" w:styleId="Equation">
    <w:name w:val="Equation"/>
    <w:basedOn w:val="Normal"/>
    <w:pPr>
      <w:tabs>
        <w:tab w:val="center" w:pos="4820"/>
        <w:tab w:val="right" w:pos="9639"/>
      </w:tabs>
    </w:pPr>
  </w:style>
  <w:style w:type="paragraph" w:customStyle="1" w:styleId="Head">
    <w:name w:val="Head"/>
    <w:basedOn w:val="Normal"/>
    <w:pPr>
      <w:tabs>
        <w:tab w:val="left" w:pos="6663"/>
      </w:tabs>
    </w:pPr>
  </w:style>
  <w:style w:type="paragraph" w:customStyle="1" w:styleId="toc0">
    <w:name w:val="toc 0"/>
    <w:basedOn w:val="Normal"/>
    <w:next w:val="TOC1"/>
    <w:pPr>
      <w:tabs>
        <w:tab w:val="right" w:pos="9781"/>
      </w:tabs>
    </w:pPr>
    <w:rPr>
      <w:b/>
    </w:rPr>
  </w:style>
  <w:style w:type="paragraph" w:styleId="List">
    <w:name w:val="List"/>
    <w:basedOn w:val="Normal"/>
    <w:pPr>
      <w:tabs>
        <w:tab w:val="left" w:pos="2127"/>
      </w:tabs>
      <w:ind w:left="2127" w:hanging="2127"/>
    </w:pPr>
  </w:style>
  <w:style w:type="paragraph" w:customStyle="1" w:styleId="Part">
    <w:name w:val="Part"/>
    <w:basedOn w:val="Normal"/>
    <w:next w:val="Normal"/>
    <w:pPr>
      <w:spacing w:before="600"/>
      <w:jc w:val="center"/>
    </w:pPr>
    <w:rPr>
      <w:caps/>
      <w:sz w:val="28"/>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pPr>
      <w:spacing w:before="480" w:after="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style>
  <w:style w:type="character" w:styleId="Hyperlink">
    <w:name w:val="Hyperlink"/>
    <w:basedOn w:val="DefaultParagraphFont"/>
    <w:rPr>
      <w:color w:val="0000FF"/>
      <w:u w:val="single"/>
    </w:rPr>
  </w:style>
  <w:style w:type="paragraph" w:customStyle="1" w:styleId="FirstFooter">
    <w:name w:val="FirstFooter"/>
    <w:basedOn w:val="Footer"/>
    <w:rPr>
      <w:caps w:val="0"/>
    </w:rPr>
  </w:style>
  <w:style w:type="paragraph" w:customStyle="1" w:styleId="Note">
    <w:name w:val="Note"/>
    <w:basedOn w:val="Normal"/>
    <w:pPr>
      <w:tabs>
        <w:tab w:val="left" w:pos="851"/>
      </w:tabs>
    </w:pPr>
  </w:style>
  <w:style w:type="paragraph" w:styleId="TOC9">
    <w:name w:val="toc 9"/>
    <w:basedOn w:val="TOC4"/>
  </w:style>
  <w:style w:type="paragraph" w:customStyle="1" w:styleId="Headingb">
    <w:name w:val="Heading_b"/>
    <w:basedOn w:val="Heading3"/>
    <w:next w:val="Normal"/>
    <w:pPr>
      <w:spacing w:before="160"/>
      <w:outlineLvl w:val="0"/>
    </w:pPr>
  </w:style>
  <w:style w:type="character" w:styleId="FollowedHyperlink">
    <w:name w:val="FollowedHyperlink"/>
    <w:basedOn w:val="DefaultParagraphFont"/>
    <w:rPr>
      <w:color w:val="800080"/>
      <w:u w:val="single"/>
    </w:rPr>
  </w:style>
  <w:style w:type="paragraph" w:customStyle="1" w:styleId="Title1">
    <w:name w:val="Title 1"/>
    <w:basedOn w:val="Source"/>
    <w:next w:val="Title2"/>
    <w:pPr>
      <w:spacing w:before="240"/>
    </w:pPr>
    <w:rPr>
      <w:b w:val="0"/>
      <w:caps/>
    </w:rPr>
  </w:style>
  <w:style w:type="paragraph" w:customStyle="1" w:styleId="Title2">
    <w:name w:val="Title 2"/>
    <w:basedOn w:val="Source"/>
    <w:next w:val="Title3"/>
    <w:pPr>
      <w:spacing w:before="240"/>
    </w:pPr>
    <w:rPr>
      <w:b w:val="0"/>
      <w:caps/>
    </w:rPr>
  </w:style>
  <w:style w:type="paragraph" w:customStyle="1" w:styleId="Title3">
    <w:name w:val="Title 3"/>
    <w:basedOn w:val="Title2"/>
    <w:next w:val="Normalaftertitle"/>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left" w:pos="1871"/>
      </w:tabs>
    </w:pPr>
    <w:rPr>
      <w:b/>
      <w:bCs/>
    </w:rPr>
  </w:style>
  <w:style w:type="paragraph" w:customStyle="1" w:styleId="ddate">
    <w:name w:val="ddate"/>
    <w:basedOn w:val="Normal"/>
    <w:pPr>
      <w:framePr w:hSpace="181" w:wrap="around" w:vAnchor="page" w:hAnchor="margin" w:y="852"/>
      <w:shd w:val="solid" w:color="FFFFFF" w:fill="FFFFFF"/>
      <w:tabs>
        <w:tab w:val="left" w:pos="1871"/>
      </w:tabs>
    </w:pPr>
    <w:rPr>
      <w:b/>
      <w:bCs/>
    </w:rPr>
  </w:style>
  <w:style w:type="paragraph" w:customStyle="1" w:styleId="dorlang">
    <w:name w:val="dorlang"/>
    <w:basedOn w:val="Normal"/>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link w:val="AnnexNoChar"/>
    <w:pPr>
      <w:spacing w:before="720"/>
      <w:jc w:val="center"/>
    </w:pPr>
    <w:rPr>
      <w:caps/>
      <w:sz w:val="28"/>
    </w:rPr>
  </w:style>
  <w:style w:type="paragraph" w:customStyle="1" w:styleId="Annextitle">
    <w:name w:val="Annex_title"/>
    <w:basedOn w:val="Normal"/>
    <w:next w:val="Normal"/>
    <w:link w:val="AnnextitleChar"/>
    <w:pPr>
      <w:spacing w:before="240" w:after="240"/>
      <w:jc w:val="center"/>
    </w:pPr>
    <w:rPr>
      <w:b/>
      <w:sz w:val="28"/>
    </w:rPr>
  </w:style>
  <w:style w:type="paragraph" w:customStyle="1" w:styleId="Annexref">
    <w:name w:val="Annex_ref"/>
    <w:basedOn w:val="Normal"/>
    <w:next w:val="Annextitle"/>
    <w:pPr>
      <w:jc w:val="center"/>
    </w:pPr>
  </w:style>
  <w:style w:type="paragraph" w:customStyle="1" w:styleId="AppendixNo">
    <w:name w:val="Appendix_No"/>
    <w:basedOn w:val="AnnexNo"/>
    <w:next w:val="Appendixref"/>
  </w:style>
  <w:style w:type="paragraph" w:customStyle="1" w:styleId="Appendixtitle">
    <w:name w:val="Appendix_title"/>
    <w:basedOn w:val="Annextitle"/>
    <w:next w:val="Normal"/>
  </w:style>
  <w:style w:type="paragraph" w:customStyle="1" w:styleId="Appendixref">
    <w:name w:val="Appendix_ref"/>
    <w:basedOn w:val="Annexref"/>
    <w:next w:val="Appendixtitle"/>
  </w:style>
  <w:style w:type="paragraph" w:customStyle="1" w:styleId="Call">
    <w:name w:val="Call"/>
    <w:basedOn w:val="Normal"/>
    <w:next w:val="Normal"/>
    <w:link w:val="CallChar"/>
    <w:pPr>
      <w:keepNext/>
      <w:keepLines/>
      <w:spacing w:before="160"/>
      <w:ind w:left="567"/>
    </w:pPr>
    <w:rPr>
      <w:i/>
    </w:rPr>
  </w:style>
  <w:style w:type="character" w:styleId="EndnoteReference">
    <w:name w:val="endnote reference"/>
    <w:basedOn w:val="DefaultParagraphFont"/>
    <w:rPr>
      <w:vertAlign w:val="superscript"/>
    </w:rPr>
  </w:style>
  <w:style w:type="paragraph" w:customStyle="1" w:styleId="Equationlegend">
    <w:name w:val="Equation_legend"/>
    <w:basedOn w:val="Normal"/>
    <w:pPr>
      <w:tabs>
        <w:tab w:val="right" w:pos="1531"/>
      </w:tabs>
      <w:spacing w:before="80"/>
      <w:ind w:left="1701" w:hanging="1701"/>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tabs>
        <w:tab w:val="left" w:pos="2948"/>
        <w:tab w:val="left" w:pos="4082"/>
      </w:tabs>
      <w:spacing w:before="0"/>
    </w:pPr>
    <w:rPr>
      <w:b/>
      <w:caps w:val="0"/>
    </w:rPr>
  </w:style>
  <w:style w:type="paragraph" w:customStyle="1" w:styleId="TableNo">
    <w:name w:val="Table_No"/>
    <w:basedOn w:val="Normal"/>
    <w:next w:val="Tabletitle"/>
    <w:pPr>
      <w:keepNext/>
      <w:spacing w:before="560" w:after="120"/>
      <w:jc w:val="center"/>
    </w:pPr>
    <w:rPr>
      <w:caps/>
    </w:rPr>
  </w:style>
  <w:style w:type="paragraph" w:customStyle="1" w:styleId="Tabletext">
    <w:name w:val="Table_text"/>
    <w:basedOn w:val="Normal"/>
    <w:pPr>
      <w:spacing w:before="60" w:after="60"/>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outlineLvl w:val="0"/>
    </w:pPr>
    <w:rPr>
      <w:b w:val="0"/>
      <w:i/>
    </w:rPr>
  </w:style>
  <w:style w:type="character" w:styleId="PageNumber">
    <w:name w:val="page number"/>
    <w:basedOn w:val="DefaultParagraphFont"/>
    <w:rPr>
      <w:rFonts w:ascii="Calibri" w:hAnsi="Calibri"/>
    </w:rPr>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spacing w:before="720"/>
      <w:jc w:val="center"/>
    </w:pPr>
    <w:rPr>
      <w:caps/>
      <w:sz w:val="28"/>
    </w:rPr>
  </w:style>
  <w:style w:type="paragraph" w:customStyle="1" w:styleId="Rectitle">
    <w:name w:val="Rec_title"/>
    <w:basedOn w:val="Normal"/>
    <w:next w:val="Heading1"/>
    <w:pPr>
      <w:spacing w:before="240"/>
      <w:jc w:val="center"/>
    </w:pPr>
    <w:rPr>
      <w:b/>
      <w:sz w:val="28"/>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567" w:hanging="567"/>
    </w:pPr>
  </w:style>
  <w:style w:type="paragraph" w:customStyle="1" w:styleId="Reftitle">
    <w:name w:val="Ref_title"/>
    <w:basedOn w:val="Normal"/>
    <w:next w:val="Reftext"/>
    <w:pPr>
      <w:spacing w:before="480"/>
      <w:jc w:val="center"/>
    </w:pPr>
    <w:rPr>
      <w:caps/>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AnnexNo"/>
    <w:next w:val="Restitle"/>
  </w:style>
  <w:style w:type="paragraph" w:customStyle="1" w:styleId="Restitle">
    <w:name w:val="Res_title"/>
    <w:basedOn w:val="Annextitle"/>
    <w:next w:val="Normal"/>
    <w:link w:val="RestitleChar"/>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pPr>
      <w:spacing w:before="120" w:after="12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b/>
    </w:rPr>
  </w:style>
  <w:style w:type="paragraph" w:customStyle="1" w:styleId="ArtNo">
    <w:name w:val="Art_No"/>
    <w:basedOn w:val="Normal"/>
    <w:next w:val="Arttitle"/>
    <w:pPr>
      <w:spacing w:before="600"/>
      <w:jc w:val="center"/>
    </w:pPr>
    <w:rPr>
      <w:caps/>
      <w:sz w:val="28"/>
    </w:rPr>
  </w:style>
  <w:style w:type="paragraph" w:customStyle="1" w:styleId="Arttitle">
    <w:name w:val="Art_title"/>
    <w:basedOn w:val="Normal"/>
    <w:next w:val="Normal"/>
    <w:pPr>
      <w:spacing w:before="240" w:after="240"/>
      <w:jc w:val="center"/>
    </w:pPr>
    <w:rPr>
      <w:b/>
      <w:sz w:val="28"/>
    </w:rPr>
  </w:style>
  <w:style w:type="paragraph" w:customStyle="1" w:styleId="ChapNo">
    <w:name w:val="Chap_No"/>
    <w:basedOn w:val="ArtNo"/>
    <w:next w:val="Chaptitle"/>
  </w:style>
  <w:style w:type="paragraph" w:customStyle="1" w:styleId="Chaptitle">
    <w:name w:val="Chap_title"/>
    <w:basedOn w:val="Arttitle"/>
    <w:next w:val="Normal"/>
  </w:style>
  <w:style w:type="paragraph" w:customStyle="1" w:styleId="firstfooter0">
    <w:name w:val="firstfooter"/>
    <w:basedOn w:val="Normal"/>
    <w:pPr>
      <w:spacing w:before="100" w:beforeAutospacing="1" w:after="100" w:afterAutospacing="1"/>
    </w:pPr>
    <w:rPr>
      <w:rFonts w:eastAsia="SimSun"/>
    </w:rPr>
  </w:style>
  <w:style w:type="paragraph" w:customStyle="1" w:styleId="Table">
    <w:name w:val="Table_#"/>
    <w:basedOn w:val="Normal"/>
    <w:next w:val="Normal"/>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CallChar">
    <w:name w:val="Call Char"/>
    <w:basedOn w:val="DefaultParagraphFont"/>
    <w:link w:val="Call"/>
    <w:rPr>
      <w:rFonts w:ascii="Calibri" w:hAnsi="Calibri"/>
      <w:i/>
      <w:sz w:val="24"/>
      <w:lang w:val="en-GB" w:eastAsia="en-US"/>
    </w:rPr>
  </w:style>
  <w:style w:type="character" w:customStyle="1" w:styleId="NormalaftertitleChar">
    <w:name w:val="Normal after title Char"/>
    <w:basedOn w:val="DefaultParagraphFont"/>
    <w:link w:val="Normalaftertitle"/>
    <w:rPr>
      <w:rFonts w:ascii="Calibri" w:hAnsi="Calibri"/>
      <w:sz w:val="24"/>
      <w:lang w:val="en-GB" w:eastAsia="en-US"/>
    </w:rPr>
  </w:style>
  <w:style w:type="character" w:customStyle="1" w:styleId="enumlev1Char">
    <w:name w:val="enumlev1 Char"/>
    <w:basedOn w:val="DefaultParagraphFont"/>
    <w:link w:val="enumlev1"/>
    <w:rPr>
      <w:rFonts w:ascii="Calibri" w:hAnsi="Calibri"/>
      <w:sz w:val="24"/>
      <w:lang w:val="en-GB" w:eastAsia="en-US"/>
    </w:rPr>
  </w:style>
  <w:style w:type="character" w:customStyle="1" w:styleId="RestitleChar">
    <w:name w:val="Res_title Char"/>
    <w:basedOn w:val="DefaultParagraphFont"/>
    <w:link w:val="Restitle"/>
    <w:rPr>
      <w:rFonts w:ascii="Calibri" w:hAnsi="Calibri"/>
      <w:b/>
      <w:sz w:val="28"/>
      <w:lang w:val="en-GB" w:eastAsia="en-US"/>
    </w:rPr>
  </w:style>
  <w:style w:type="character" w:customStyle="1" w:styleId="AnnexNoChar">
    <w:name w:val="Annex_No Char"/>
    <w:basedOn w:val="DefaultParagraphFont"/>
    <w:link w:val="AnnexNo"/>
    <w:rPr>
      <w:rFonts w:ascii="Calibri" w:hAnsi="Calibri"/>
      <w:caps/>
      <w:sz w:val="28"/>
      <w:lang w:val="en-GB" w:eastAsia="en-US"/>
    </w:rPr>
  </w:style>
  <w:style w:type="character" w:customStyle="1" w:styleId="AnnextitleChar">
    <w:name w:val="Annex_title Char"/>
    <w:basedOn w:val="DefaultParagraphFont"/>
    <w:link w:val="Annextitle"/>
    <w:rPr>
      <w:rFonts w:ascii="Calibri" w:hAnsi="Calibri"/>
      <w:b/>
      <w:sz w:val="28"/>
      <w:lang w:val="en-GB" w:eastAsia="en-US"/>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heme="minorEastAsia" w:hAnsi="Segoe UI" w:cs="Segoe UI"/>
      <w:sz w:val="18"/>
      <w:szCs w:val="18"/>
      <w:lang w:val="en-GB"/>
    </w:rPr>
  </w:style>
  <w:style w:type="paragraph" w:styleId="ListParagraph">
    <w:name w:val="List Paragraph"/>
    <w:basedOn w:val="Normal"/>
    <w:uiPriority w:val="34"/>
    <w:qFormat/>
    <w:pPr>
      <w:ind w:left="720"/>
      <w:contextualSpacing/>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Pr>
      <w:rFonts w:asciiTheme="minorHAnsi" w:eastAsiaTheme="minorEastAsia" w:hAnsiTheme="minorHAnsi" w:cstheme="minorBidi"/>
      <w:sz w:val="22"/>
      <w:szCs w:val="22"/>
      <w:lang w:val="en-GB"/>
    </w:rPr>
  </w:style>
  <w:style w:type="paragraph" w:styleId="Revision">
    <w:name w:val="Revision"/>
    <w:hidden/>
    <w:uiPriority w:val="99"/>
    <w:semiHidden/>
    <w:rPr>
      <w:rFonts w:asciiTheme="minorHAnsi" w:eastAsiaTheme="minorEastAsia" w:hAnsiTheme="minorHAnsi" w:cstheme="minorBidi"/>
      <w:sz w:val="22"/>
      <w:szCs w:val="22"/>
      <w:lang w:val="en-GB"/>
    </w:rPr>
  </w:style>
  <w:style w:type="table" w:styleId="TableGrid">
    <w:name w:val="Table Grid"/>
    <w:basedOn w:val="TableNormal"/>
    <w:uiPriority w:val="39"/>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heme="minorHAnsi" w:eastAsiaTheme="minorEastAsia" w:hAnsiTheme="minorHAnsi" w:cstheme="minorBidi"/>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heme="minorHAnsi" w:eastAsiaTheme="minorEastAsia" w:hAnsiTheme="minorHAnsi" w:cstheme="minorBidi"/>
      <w:b/>
      <w:bCs/>
      <w:lang w:val="en-GB"/>
    </w:rPr>
  </w:style>
  <w:style w:type="character" w:customStyle="1" w:styleId="HeaderChar">
    <w:name w:val="Header Char"/>
    <w:basedOn w:val="DefaultParagraphFont"/>
    <w:link w:val="Header"/>
    <w:rPr>
      <w:rFonts w:asciiTheme="minorHAnsi" w:eastAsiaTheme="minorHAnsi" w:hAnsiTheme="minorHAnsi" w:cstheme="minorBidi"/>
      <w:sz w:val="18"/>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62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f33a761d0977584808d69aa2fcb1e3f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7bfef7ca1e367f5bb2d62984669dbb2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489FAC-ED89-49BF-9542-386B261AA1DD}">
  <ds:schemaRefs>
    <ds:schemaRef ds:uri="http://schemas.openxmlformats.org/officeDocument/2006/bibliography"/>
  </ds:schemaRefs>
</ds:datastoreItem>
</file>

<file path=customXml/itemProps2.xml><?xml version="1.0" encoding="utf-8"?>
<ds:datastoreItem xmlns:ds="http://schemas.openxmlformats.org/officeDocument/2006/customXml" ds:itemID="{F350B736-356C-4BED-8811-AD6E31395FD9}">
  <ds:schemaRefs>
    <ds:schemaRef ds:uri="http://schemas.microsoft.com/sharepoint/v3/contenttype/forms"/>
  </ds:schemaRefs>
</ds:datastoreItem>
</file>

<file path=customXml/itemProps3.xml><?xml version="1.0" encoding="utf-8"?>
<ds:datastoreItem xmlns:ds="http://schemas.openxmlformats.org/officeDocument/2006/customXml" ds:itemID="{734FD361-57E9-4D14-9E91-2CAEBE4DDBFE}">
  <ds:schemaRef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1aaea1ea-72e4-4374-b05e-72e2f16fb7ae"/>
    <ds:schemaRef ds:uri="http://schemas.microsoft.com/office/2006/documentManagement/types"/>
    <ds:schemaRef ds:uri="http://www.w3.org/XML/1998/namespace"/>
    <ds:schemaRef ds:uri="http://schemas.microsoft.com/sharepoint/v3"/>
    <ds:schemaRef ds:uri="http://purl.org/dc/dcmitype/"/>
  </ds:schemaRefs>
</ds:datastoreItem>
</file>

<file path=customXml/itemProps4.xml><?xml version="1.0" encoding="utf-8"?>
<ds:datastoreItem xmlns:ds="http://schemas.openxmlformats.org/officeDocument/2006/customXml" ds:itemID="{88B09600-7C5D-48C6-B5B8-46E9CC570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1880</Words>
  <Characters>11565</Characters>
  <Application>Microsoft Office Word</Application>
  <DocSecurity>4</DocSecurity>
  <Lines>96</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 1379 - ITRs</vt:lpstr>
      <vt:lpstr>R 1379 - ITRs</vt:lpstr>
    </vt:vector>
  </TitlesOfParts>
  <Manager>General Secretariat - Pool</Manager>
  <Company>International Telecommunication Union (ITU)</Company>
  <LinksUpToDate>false</LinksUpToDate>
  <CharactersWithSpaces>13419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1379 - ITRs</dc:title>
  <dc:subject>Council 2016</dc:subject>
  <dc:creator>Brouard, Ricarda</dc:creator>
  <cp:keywords>C2019, C19</cp:keywords>
  <dc:description/>
  <cp:lastModifiedBy>Brouard, Ricarda</cp:lastModifiedBy>
  <cp:revision>2</cp:revision>
  <cp:lastPrinted>2000-07-18T13:30:00Z</cp:lastPrinted>
  <dcterms:created xsi:type="dcterms:W3CDTF">2020-09-08T06:48:00Z</dcterms:created>
  <dcterms:modified xsi:type="dcterms:W3CDTF">2020-09-08T06:48:00Z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0x0101001E46BE2403204D4E844191C3480CD35B</vt:lpwstr>
  </property>
</Properties>
</file>