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6706C" w:rsidRPr="0049085F" w14:paraId="1810708A" w14:textId="77777777" w:rsidTr="000857D8">
        <w:trPr>
          <w:cantSplit/>
          <w:trHeight w:val="1276"/>
        </w:trPr>
        <w:tc>
          <w:tcPr>
            <w:tcW w:w="6345" w:type="dxa"/>
            <w:vAlign w:val="bottom"/>
          </w:tcPr>
          <w:p w14:paraId="661077D0" w14:textId="77777777" w:rsidR="00A6706C" w:rsidRPr="000857D8" w:rsidRDefault="000857D8" w:rsidP="005A1FE2">
            <w:pPr>
              <w:spacing w:after="120" w:line="240" w:lineRule="auto"/>
              <w:rPr>
                <w:rFonts w:cstheme="minorHAnsi"/>
                <w:position w:val="6"/>
                <w:sz w:val="26"/>
                <w:szCs w:val="26"/>
              </w:rPr>
            </w:pPr>
            <w:r w:rsidRPr="000857D8">
              <w:rPr>
                <w:rFonts w:cstheme="minorHAnsi"/>
                <w:b/>
                <w:position w:val="6"/>
                <w:sz w:val="28"/>
                <w:szCs w:val="28"/>
              </w:rPr>
              <w:t>Council Working Group on International</w:t>
            </w:r>
            <w:r w:rsidRPr="000857D8">
              <w:rPr>
                <w:rFonts w:cstheme="minorHAnsi"/>
                <w:b/>
                <w:position w:val="6"/>
                <w:sz w:val="28"/>
                <w:szCs w:val="28"/>
              </w:rPr>
              <w:br/>
              <w:t>Internet-related Public Policy Issues</w:t>
            </w:r>
            <w:r w:rsidRPr="000857D8">
              <w:rPr>
                <w:rFonts w:cstheme="minorHAnsi"/>
                <w:b/>
                <w:position w:val="6"/>
                <w:sz w:val="28"/>
                <w:szCs w:val="28"/>
              </w:rPr>
              <w:br/>
            </w:r>
            <w:r w:rsidR="005A1FE2">
              <w:rPr>
                <w:rFonts w:cstheme="minorHAnsi"/>
                <w:b/>
                <w:sz w:val="24"/>
                <w:szCs w:val="24"/>
              </w:rPr>
              <w:t>F</w:t>
            </w:r>
            <w:r w:rsidR="005A1FE2" w:rsidRPr="005A1FE2">
              <w:rPr>
                <w:rFonts w:cstheme="minorHAnsi"/>
                <w:b/>
                <w:sz w:val="24"/>
                <w:szCs w:val="24"/>
              </w:rPr>
              <w:t>ourteenth</w:t>
            </w:r>
            <w:r w:rsidRPr="000857D8">
              <w:rPr>
                <w:rFonts w:cstheme="minorHAnsi"/>
                <w:b/>
                <w:sz w:val="24"/>
                <w:szCs w:val="24"/>
              </w:rPr>
              <w:t xml:space="preserve"> meeting – Geneva, </w:t>
            </w:r>
            <w:r w:rsidR="005A1FE2">
              <w:rPr>
                <w:rFonts w:cstheme="minorHAnsi"/>
                <w:b/>
                <w:sz w:val="24"/>
                <w:szCs w:val="24"/>
              </w:rPr>
              <w:t>5</w:t>
            </w:r>
            <w:r w:rsidRPr="000857D8">
              <w:rPr>
                <w:rFonts w:cstheme="minorHAnsi"/>
                <w:b/>
                <w:sz w:val="24"/>
                <w:szCs w:val="24"/>
              </w:rPr>
              <w:t>-</w:t>
            </w:r>
            <w:r w:rsidR="005A1FE2">
              <w:rPr>
                <w:rFonts w:cstheme="minorHAnsi"/>
                <w:b/>
                <w:sz w:val="24"/>
                <w:szCs w:val="24"/>
              </w:rPr>
              <w:t>6</w:t>
            </w:r>
            <w:r w:rsidRPr="000857D8">
              <w:rPr>
                <w:rFonts w:cstheme="minorHAnsi"/>
                <w:b/>
                <w:sz w:val="24"/>
                <w:szCs w:val="24"/>
              </w:rPr>
              <w:t xml:space="preserve"> </w:t>
            </w:r>
            <w:r w:rsidR="005A1FE2">
              <w:rPr>
                <w:rFonts w:cstheme="minorHAnsi"/>
                <w:b/>
                <w:sz w:val="24"/>
                <w:szCs w:val="24"/>
              </w:rPr>
              <w:t>February</w:t>
            </w:r>
            <w:r w:rsidRPr="000857D8">
              <w:rPr>
                <w:rFonts w:cstheme="minorHAnsi"/>
                <w:b/>
                <w:sz w:val="24"/>
                <w:szCs w:val="24"/>
              </w:rPr>
              <w:t xml:space="preserve"> 20</w:t>
            </w:r>
            <w:r w:rsidR="005A1FE2">
              <w:rPr>
                <w:rFonts w:cstheme="minorHAnsi"/>
                <w:b/>
                <w:sz w:val="24"/>
                <w:szCs w:val="24"/>
              </w:rPr>
              <w:t>20</w:t>
            </w:r>
          </w:p>
        </w:tc>
        <w:tc>
          <w:tcPr>
            <w:tcW w:w="3686" w:type="dxa"/>
          </w:tcPr>
          <w:p w14:paraId="20D149FF" w14:textId="77777777" w:rsidR="00A6706C" w:rsidRPr="0049085F" w:rsidRDefault="000857D8" w:rsidP="0049085F">
            <w:pPr>
              <w:spacing w:after="120" w:line="240" w:lineRule="auto"/>
              <w:rPr>
                <w:szCs w:val="24"/>
              </w:rPr>
            </w:pPr>
            <w:bookmarkStart w:id="0" w:name="ditulogo"/>
            <w:bookmarkEnd w:id="0"/>
            <w:r>
              <w:rPr>
                <w:noProof/>
                <w:szCs w:val="24"/>
                <w:lang w:val="ru-RU" w:eastAsia="ru-RU"/>
              </w:rPr>
              <w:drawing>
                <wp:inline distT="0" distB="0" distL="0" distR="0" wp14:anchorId="0FC977AE" wp14:editId="3F0100B7">
                  <wp:extent cx="682380"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80" cy="720000"/>
                          </a:xfrm>
                          <a:prstGeom prst="rect">
                            <a:avLst/>
                          </a:prstGeom>
                        </pic:spPr>
                      </pic:pic>
                    </a:graphicData>
                  </a:graphic>
                </wp:inline>
              </w:drawing>
            </w:r>
          </w:p>
        </w:tc>
      </w:tr>
      <w:tr w:rsidR="00A6706C" w:rsidRPr="0049085F" w14:paraId="54DF0305" w14:textId="77777777" w:rsidTr="000857D8">
        <w:trPr>
          <w:cantSplit/>
        </w:trPr>
        <w:tc>
          <w:tcPr>
            <w:tcW w:w="6345" w:type="dxa"/>
            <w:tcBorders>
              <w:bottom w:val="single" w:sz="12" w:space="0" w:color="auto"/>
            </w:tcBorders>
          </w:tcPr>
          <w:p w14:paraId="49BA1AC0" w14:textId="77777777" w:rsidR="00A6706C" w:rsidRPr="0049085F" w:rsidRDefault="00A6706C" w:rsidP="000857D8">
            <w:pPr>
              <w:spacing w:after="0" w:line="240" w:lineRule="auto"/>
              <w:rPr>
                <w:b/>
                <w:smallCaps/>
                <w:sz w:val="26"/>
                <w:szCs w:val="26"/>
              </w:rPr>
            </w:pPr>
          </w:p>
        </w:tc>
        <w:tc>
          <w:tcPr>
            <w:tcW w:w="3686" w:type="dxa"/>
            <w:tcBorders>
              <w:bottom w:val="single" w:sz="12" w:space="0" w:color="auto"/>
            </w:tcBorders>
          </w:tcPr>
          <w:p w14:paraId="03A10F92" w14:textId="77777777" w:rsidR="00A6706C" w:rsidRPr="0049085F" w:rsidRDefault="00A6706C" w:rsidP="000857D8">
            <w:pPr>
              <w:spacing w:after="0" w:line="240" w:lineRule="auto"/>
              <w:rPr>
                <w:szCs w:val="24"/>
              </w:rPr>
            </w:pPr>
          </w:p>
        </w:tc>
      </w:tr>
      <w:tr w:rsidR="00A6706C" w:rsidRPr="0049085F" w14:paraId="5850B503" w14:textId="77777777" w:rsidTr="000857D8">
        <w:trPr>
          <w:cantSplit/>
        </w:trPr>
        <w:tc>
          <w:tcPr>
            <w:tcW w:w="6345" w:type="dxa"/>
            <w:tcBorders>
              <w:top w:val="single" w:sz="12" w:space="0" w:color="auto"/>
            </w:tcBorders>
          </w:tcPr>
          <w:p w14:paraId="0A83AC63" w14:textId="77777777" w:rsidR="00A6706C" w:rsidRPr="0049085F" w:rsidRDefault="00A6706C" w:rsidP="000857D8">
            <w:pPr>
              <w:spacing w:after="0" w:line="240" w:lineRule="auto"/>
              <w:rPr>
                <w:b/>
                <w:smallCaps/>
                <w:szCs w:val="24"/>
              </w:rPr>
            </w:pPr>
          </w:p>
        </w:tc>
        <w:tc>
          <w:tcPr>
            <w:tcW w:w="3686" w:type="dxa"/>
            <w:tcBorders>
              <w:top w:val="single" w:sz="12" w:space="0" w:color="auto"/>
            </w:tcBorders>
          </w:tcPr>
          <w:p w14:paraId="78791612" w14:textId="77777777" w:rsidR="00A6706C" w:rsidRPr="0049085F" w:rsidRDefault="00A6706C" w:rsidP="000857D8">
            <w:pPr>
              <w:spacing w:after="0" w:line="240" w:lineRule="auto"/>
              <w:rPr>
                <w:szCs w:val="24"/>
              </w:rPr>
            </w:pPr>
          </w:p>
        </w:tc>
      </w:tr>
      <w:tr w:rsidR="00A6706C" w:rsidRPr="0049085F" w14:paraId="6A6CFADE" w14:textId="77777777" w:rsidTr="000857D8">
        <w:trPr>
          <w:cantSplit/>
          <w:trHeight w:val="23"/>
        </w:trPr>
        <w:tc>
          <w:tcPr>
            <w:tcW w:w="6345" w:type="dxa"/>
            <w:vMerge w:val="restart"/>
          </w:tcPr>
          <w:p w14:paraId="2B3D1353" w14:textId="77777777" w:rsidR="00A6706C" w:rsidRPr="0049085F" w:rsidRDefault="00A6706C" w:rsidP="000857D8">
            <w:pPr>
              <w:tabs>
                <w:tab w:val="left" w:pos="851"/>
              </w:tabs>
              <w:spacing w:after="0" w:line="240" w:lineRule="auto"/>
              <w:rPr>
                <w:b/>
                <w:szCs w:val="24"/>
              </w:rPr>
            </w:pPr>
          </w:p>
        </w:tc>
        <w:tc>
          <w:tcPr>
            <w:tcW w:w="3686" w:type="dxa"/>
          </w:tcPr>
          <w:p w14:paraId="611B2BD2" w14:textId="3986195A" w:rsidR="00A6706C" w:rsidRPr="000857D8" w:rsidRDefault="005A1FE2" w:rsidP="005A1FE2">
            <w:pPr>
              <w:tabs>
                <w:tab w:val="left" w:pos="851"/>
              </w:tabs>
              <w:spacing w:after="0" w:line="240" w:lineRule="auto"/>
              <w:rPr>
                <w:rFonts w:cstheme="minorHAnsi"/>
                <w:b/>
                <w:sz w:val="24"/>
                <w:szCs w:val="24"/>
                <w:lang w:val="fr-FR"/>
              </w:rPr>
            </w:pPr>
            <w:r>
              <w:rPr>
                <w:rFonts w:cstheme="minorHAnsi"/>
                <w:b/>
                <w:sz w:val="24"/>
                <w:szCs w:val="24"/>
              </w:rPr>
              <w:t>Document CWG-Internet-14</w:t>
            </w:r>
            <w:r w:rsidR="000857D8" w:rsidRPr="000857D8">
              <w:rPr>
                <w:rFonts w:cstheme="minorHAnsi"/>
                <w:b/>
                <w:sz w:val="24"/>
                <w:szCs w:val="24"/>
              </w:rPr>
              <w:t>/</w:t>
            </w:r>
            <w:r w:rsidR="00540A83">
              <w:rPr>
                <w:rFonts w:cstheme="minorHAnsi"/>
                <w:b/>
                <w:sz w:val="24"/>
                <w:szCs w:val="24"/>
              </w:rPr>
              <w:t>5-E</w:t>
            </w:r>
          </w:p>
        </w:tc>
      </w:tr>
      <w:tr w:rsidR="00A6706C" w:rsidRPr="0049085F" w14:paraId="7DA373AD" w14:textId="77777777" w:rsidTr="000857D8">
        <w:trPr>
          <w:cantSplit/>
          <w:trHeight w:val="23"/>
        </w:trPr>
        <w:tc>
          <w:tcPr>
            <w:tcW w:w="6345" w:type="dxa"/>
            <w:vMerge/>
          </w:tcPr>
          <w:p w14:paraId="71E0FFD8" w14:textId="77777777" w:rsidR="00A6706C" w:rsidRPr="0049085F" w:rsidRDefault="00A6706C" w:rsidP="000857D8">
            <w:pPr>
              <w:tabs>
                <w:tab w:val="left" w:pos="851"/>
              </w:tabs>
              <w:spacing w:after="0" w:line="240" w:lineRule="auto"/>
              <w:rPr>
                <w:b/>
                <w:szCs w:val="24"/>
                <w:lang w:val="fr-FR"/>
              </w:rPr>
            </w:pPr>
          </w:p>
        </w:tc>
        <w:tc>
          <w:tcPr>
            <w:tcW w:w="3686" w:type="dxa"/>
          </w:tcPr>
          <w:p w14:paraId="5FC40292" w14:textId="0BF3C288" w:rsidR="00A6706C" w:rsidRPr="000857D8" w:rsidRDefault="00540A83" w:rsidP="005A1FE2">
            <w:pPr>
              <w:tabs>
                <w:tab w:val="left" w:pos="993"/>
              </w:tabs>
              <w:spacing w:after="0" w:line="240" w:lineRule="auto"/>
              <w:rPr>
                <w:rFonts w:cstheme="minorHAnsi"/>
                <w:b/>
                <w:sz w:val="24"/>
                <w:szCs w:val="24"/>
              </w:rPr>
            </w:pPr>
            <w:r>
              <w:rPr>
                <w:rFonts w:cstheme="minorHAnsi"/>
                <w:b/>
                <w:sz w:val="24"/>
                <w:szCs w:val="24"/>
              </w:rPr>
              <w:t>21</w:t>
            </w:r>
            <w:r w:rsidR="00C42B14" w:rsidRPr="000857D8">
              <w:rPr>
                <w:rFonts w:cstheme="minorHAnsi"/>
                <w:b/>
                <w:sz w:val="24"/>
                <w:szCs w:val="24"/>
              </w:rPr>
              <w:t xml:space="preserve"> </w:t>
            </w:r>
            <w:r w:rsidR="005A1FE2">
              <w:rPr>
                <w:rFonts w:cstheme="minorHAnsi"/>
                <w:b/>
                <w:sz w:val="24"/>
                <w:szCs w:val="24"/>
              </w:rPr>
              <w:t>January</w:t>
            </w:r>
            <w:r w:rsidR="00C42B14" w:rsidRPr="000857D8">
              <w:rPr>
                <w:rFonts w:cstheme="minorHAnsi"/>
                <w:b/>
                <w:sz w:val="24"/>
                <w:szCs w:val="24"/>
              </w:rPr>
              <w:t xml:space="preserve"> 20</w:t>
            </w:r>
            <w:r w:rsidR="005A1FE2">
              <w:rPr>
                <w:rFonts w:cstheme="minorHAnsi"/>
                <w:b/>
                <w:sz w:val="24"/>
                <w:szCs w:val="24"/>
              </w:rPr>
              <w:t>20</w:t>
            </w:r>
          </w:p>
        </w:tc>
      </w:tr>
      <w:tr w:rsidR="00A6706C" w:rsidRPr="0049085F" w14:paraId="2A62087F" w14:textId="77777777" w:rsidTr="000857D8">
        <w:trPr>
          <w:cantSplit/>
          <w:trHeight w:val="23"/>
        </w:trPr>
        <w:tc>
          <w:tcPr>
            <w:tcW w:w="6345" w:type="dxa"/>
            <w:vMerge/>
          </w:tcPr>
          <w:p w14:paraId="0299AF7C" w14:textId="77777777" w:rsidR="00A6706C" w:rsidRPr="0049085F" w:rsidRDefault="00A6706C" w:rsidP="000857D8">
            <w:pPr>
              <w:tabs>
                <w:tab w:val="left" w:pos="851"/>
              </w:tabs>
              <w:spacing w:after="0" w:line="240" w:lineRule="auto"/>
              <w:rPr>
                <w:b/>
                <w:szCs w:val="24"/>
              </w:rPr>
            </w:pPr>
          </w:p>
        </w:tc>
        <w:tc>
          <w:tcPr>
            <w:tcW w:w="3686" w:type="dxa"/>
          </w:tcPr>
          <w:p w14:paraId="5CEDD06F" w14:textId="77777777" w:rsidR="00A6706C" w:rsidRPr="000857D8" w:rsidRDefault="00A6706C" w:rsidP="000857D8">
            <w:pPr>
              <w:tabs>
                <w:tab w:val="left" w:pos="993"/>
              </w:tabs>
              <w:spacing w:after="0" w:line="240" w:lineRule="auto"/>
              <w:rPr>
                <w:rFonts w:cstheme="minorHAnsi"/>
                <w:b/>
                <w:sz w:val="24"/>
                <w:szCs w:val="24"/>
              </w:rPr>
            </w:pPr>
            <w:r w:rsidRPr="000857D8">
              <w:rPr>
                <w:rFonts w:cstheme="minorHAnsi"/>
                <w:b/>
                <w:sz w:val="24"/>
                <w:szCs w:val="24"/>
              </w:rPr>
              <w:t xml:space="preserve">English </w:t>
            </w:r>
            <w:r w:rsidR="000857D8">
              <w:rPr>
                <w:rFonts w:cstheme="minorHAnsi"/>
                <w:b/>
                <w:sz w:val="24"/>
                <w:szCs w:val="24"/>
              </w:rPr>
              <w:t xml:space="preserve">and Russian </w:t>
            </w:r>
            <w:r w:rsidRPr="000857D8">
              <w:rPr>
                <w:rFonts w:cstheme="minorHAnsi"/>
                <w:b/>
                <w:sz w:val="24"/>
                <w:szCs w:val="24"/>
              </w:rPr>
              <w:t>only</w:t>
            </w:r>
          </w:p>
        </w:tc>
      </w:tr>
    </w:tbl>
    <w:p w14:paraId="0DECB646" w14:textId="77777777" w:rsidR="005F38FF" w:rsidRPr="00A23D31" w:rsidRDefault="005260B0" w:rsidP="000857D8">
      <w:pPr>
        <w:pStyle w:val="Source"/>
      </w:pPr>
      <w:r w:rsidRPr="00A23D31">
        <w:rPr>
          <w:lang w:val="en-US"/>
        </w:rPr>
        <w:t>Russian Federation</w:t>
      </w:r>
    </w:p>
    <w:p w14:paraId="4D194F81" w14:textId="77777777" w:rsidR="00F64D3A" w:rsidRPr="00A23D31" w:rsidRDefault="00D74743" w:rsidP="000857D8">
      <w:pPr>
        <w:spacing w:after="120" w:line="240" w:lineRule="auto"/>
        <w:jc w:val="center"/>
        <w:rPr>
          <w:rFonts w:ascii="Calibri" w:eastAsia="Calibri" w:hAnsi="Calibri" w:cs="Calibri"/>
          <w:caps/>
          <w:color w:val="000000"/>
          <w:sz w:val="28"/>
          <w:szCs w:val="28"/>
          <w:u w:color="000000"/>
          <w:bdr w:val="nil"/>
        </w:rPr>
      </w:pPr>
      <w:r w:rsidRPr="00A23D31">
        <w:rPr>
          <w:rFonts w:ascii="Calibri" w:eastAsia="Calibri" w:hAnsi="Calibri" w:cs="Calibri"/>
          <w:caps/>
          <w:color w:val="000000"/>
          <w:sz w:val="28"/>
          <w:szCs w:val="28"/>
          <w:u w:color="000000"/>
          <w:bdr w:val="nil"/>
          <w:lang w:val="en-GB"/>
        </w:rPr>
        <w:t>International</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internet</w:t>
      </w:r>
      <w:r w:rsidRPr="00A23D31">
        <w:rPr>
          <w:rFonts w:ascii="Calibri" w:eastAsia="Calibri" w:hAnsi="Calibri" w:cs="Calibri"/>
          <w:caps/>
          <w:color w:val="000000"/>
          <w:sz w:val="28"/>
          <w:szCs w:val="28"/>
          <w:u w:color="000000"/>
          <w:bdr w:val="nil"/>
        </w:rPr>
        <w:t>-</w:t>
      </w:r>
      <w:r w:rsidRPr="00A23D31">
        <w:rPr>
          <w:rFonts w:ascii="Calibri" w:eastAsia="Calibri" w:hAnsi="Calibri" w:cs="Calibri"/>
          <w:caps/>
          <w:color w:val="000000"/>
          <w:sz w:val="28"/>
          <w:szCs w:val="28"/>
          <w:u w:color="000000"/>
          <w:bdr w:val="nil"/>
          <w:lang w:val="en-GB"/>
        </w:rPr>
        <w:t>related</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public</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policy</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issues</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on</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harnessing</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new</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and</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emerging</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telecommunications</w:t>
      </w:r>
      <w:r w:rsidRPr="00A23D31">
        <w:rPr>
          <w:rFonts w:ascii="Calibri" w:eastAsia="Calibri" w:hAnsi="Calibri" w:cs="Calibri"/>
          <w:caps/>
          <w:color w:val="000000"/>
          <w:sz w:val="28"/>
          <w:szCs w:val="28"/>
          <w:u w:color="000000"/>
          <w:bdr w:val="nil"/>
        </w:rPr>
        <w:t>/</w:t>
      </w:r>
      <w:r w:rsidRPr="00A23D31">
        <w:rPr>
          <w:rFonts w:ascii="Calibri" w:eastAsia="Calibri" w:hAnsi="Calibri" w:cs="Calibri"/>
          <w:caps/>
          <w:color w:val="000000"/>
          <w:sz w:val="28"/>
          <w:szCs w:val="28"/>
          <w:u w:color="000000"/>
          <w:bdr w:val="nil"/>
          <w:lang w:val="en-GB"/>
        </w:rPr>
        <w:t>ICTs</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for</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sustainable</w:t>
      </w:r>
      <w:r w:rsidRPr="00A23D31">
        <w:rPr>
          <w:rFonts w:ascii="Calibri" w:eastAsia="Calibri" w:hAnsi="Calibri" w:cs="Calibri"/>
          <w:caps/>
          <w:color w:val="000000"/>
          <w:sz w:val="28"/>
          <w:szCs w:val="28"/>
          <w:u w:color="000000"/>
          <w:bdr w:val="nil"/>
        </w:rPr>
        <w:t xml:space="preserve"> </w:t>
      </w:r>
      <w:r w:rsidRPr="00A23D31">
        <w:rPr>
          <w:rFonts w:ascii="Calibri" w:eastAsia="Calibri" w:hAnsi="Calibri" w:cs="Calibri"/>
          <w:caps/>
          <w:color w:val="000000"/>
          <w:sz w:val="28"/>
          <w:szCs w:val="28"/>
          <w:u w:color="000000"/>
          <w:bdr w:val="nil"/>
          <w:lang w:val="en-GB"/>
        </w:rPr>
        <w:t>development</w:t>
      </w:r>
    </w:p>
    <w:p w14:paraId="5F0BEAEB" w14:textId="77777777" w:rsidR="00103B4D" w:rsidRPr="00A23D31" w:rsidRDefault="005260B0" w:rsidP="000857D8">
      <w:pPr>
        <w:pStyle w:val="ResNo"/>
        <w:numPr>
          <w:ilvl w:val="0"/>
          <w:numId w:val="2"/>
        </w:numPr>
        <w:tabs>
          <w:tab w:val="clear" w:pos="567"/>
          <w:tab w:val="clear" w:pos="1134"/>
          <w:tab w:val="clear" w:pos="1701"/>
          <w:tab w:val="clear" w:pos="2268"/>
          <w:tab w:val="clear" w:pos="2835"/>
        </w:tabs>
        <w:spacing w:before="240" w:after="120"/>
        <w:ind w:hanging="720"/>
        <w:jc w:val="both"/>
        <w:rPr>
          <w:rFonts w:cs="Times New Roman"/>
          <w:b/>
          <w:bCs/>
          <w:caps w:val="0"/>
          <w:color w:val="auto"/>
          <w:sz w:val="24"/>
          <w:szCs w:val="24"/>
          <w:lang w:val="ru-RU"/>
        </w:rPr>
      </w:pPr>
      <w:r w:rsidRPr="00A23D31">
        <w:rPr>
          <w:rFonts w:cs="Times New Roman"/>
          <w:b/>
          <w:bCs/>
          <w:caps w:val="0"/>
          <w:color w:val="auto"/>
          <w:sz w:val="24"/>
          <w:szCs w:val="24"/>
        </w:rPr>
        <w:t>Introduction</w:t>
      </w:r>
    </w:p>
    <w:p w14:paraId="67401827" w14:textId="77777777" w:rsidR="004D5D68" w:rsidRPr="00A23D31" w:rsidRDefault="004D5D68" w:rsidP="004D5D68">
      <w:pPr>
        <w:pStyle w:val="Body"/>
        <w:spacing w:before="0" w:after="120"/>
        <w:ind w:firstLine="709"/>
        <w:jc w:val="both"/>
      </w:pPr>
      <w:r w:rsidRPr="00A23D31">
        <w:t xml:space="preserve">Today, the development of </w:t>
      </w:r>
      <w:r w:rsidR="005260B0" w:rsidRPr="00A23D31">
        <w:t>new and emerging telecommunications/ICTs</w:t>
      </w:r>
      <w:r w:rsidR="00DB21C0">
        <w:t xml:space="preserve"> </w:t>
      </w:r>
      <w:r w:rsidR="006B7986" w:rsidRPr="00A23D31">
        <w:t>based</w:t>
      </w:r>
      <w:r w:rsidRPr="00A23D31">
        <w:t xml:space="preserve"> on the Internet is important, both for </w:t>
      </w:r>
      <w:r w:rsidR="005260B0" w:rsidRPr="00A23D31">
        <w:rPr>
          <w:rStyle w:val="tlid-translation"/>
          <w:lang w:val="en"/>
        </w:rPr>
        <w:t>humanity</w:t>
      </w:r>
      <w:r w:rsidRPr="00A23D31">
        <w:t>as a whole and for an individual state. “</w:t>
      </w:r>
      <w:r w:rsidR="005260B0" w:rsidRPr="00A23D31">
        <w:t>N</w:t>
      </w:r>
      <w:r w:rsidRPr="00A23D31">
        <w:t xml:space="preserve">ow </w:t>
      </w:r>
      <w:r w:rsidR="005260B0" w:rsidRPr="00A23D31">
        <w:rPr>
          <w:rStyle w:val="tlid-translation"/>
          <w:lang w:val="en"/>
        </w:rPr>
        <w:t xml:space="preserve">technologies are being </w:t>
      </w:r>
      <w:r w:rsidR="006B7986" w:rsidRPr="00A23D31">
        <w:rPr>
          <w:rStyle w:val="gt-baf-cell"/>
        </w:rPr>
        <w:t>came up</w:t>
      </w:r>
      <w:r w:rsidR="005260B0" w:rsidRPr="00A23D31">
        <w:rPr>
          <w:rStyle w:val="tlid-translation"/>
          <w:lang w:val="en"/>
        </w:rPr>
        <w:t xml:space="preserve"> will change the world, the nature of the economy, the lifestyle of millions, if not billions of people</w:t>
      </w:r>
      <w:r w:rsidRPr="00A23D31">
        <w:t xml:space="preserve">” said the President of the Russian Federation V.V. Putin Thanks to new </w:t>
      </w:r>
      <w:r w:rsidR="006B7986" w:rsidRPr="00A23D31">
        <w:t xml:space="preserve">Internet </w:t>
      </w:r>
      <w:r w:rsidRPr="00A23D31">
        <w:t>services progress has been made in the development of scientific knowledge, education, medicine, economics and other areas. At the same time, the proper functioning of new and emerging technologies has become a vital function for any state, its population and economy.</w:t>
      </w:r>
    </w:p>
    <w:p w14:paraId="20EB87C1" w14:textId="77777777" w:rsidR="004D5D68" w:rsidRPr="00A23D31" w:rsidRDefault="004D5D68" w:rsidP="004D5D68">
      <w:pPr>
        <w:pStyle w:val="Body"/>
        <w:spacing w:before="0" w:after="120"/>
        <w:ind w:firstLine="709"/>
        <w:jc w:val="both"/>
      </w:pPr>
      <w:r w:rsidRPr="00A23D31">
        <w:t xml:space="preserve">Despite the challenges of </w:t>
      </w:r>
      <w:r w:rsidR="006B7986" w:rsidRPr="00A23D31">
        <w:t>new and emerging telecommunications/ICTs</w:t>
      </w:r>
      <w:r w:rsidRPr="00A23D31">
        <w:t xml:space="preserve"> based on the Internet, there is no comprehensive international system for </w:t>
      </w:r>
      <w:proofErr w:type="gramStart"/>
      <w:r w:rsidR="006B7986" w:rsidRPr="00A23D31">
        <w:t>it</w:t>
      </w:r>
      <w:proofErr w:type="gramEnd"/>
      <w:r w:rsidRPr="00A23D31">
        <w:t xml:space="preserve"> </w:t>
      </w:r>
      <w:r w:rsidR="006B7986" w:rsidRPr="00A23D31">
        <w:t>governance</w:t>
      </w:r>
      <w:r w:rsidRPr="00A23D31">
        <w:t xml:space="preserve">, and aspects of the regulation are </w:t>
      </w:r>
      <w:r w:rsidR="00F2040A" w:rsidRPr="00A23D31">
        <w:t>divided</w:t>
      </w:r>
      <w:r w:rsidRPr="00A23D31">
        <w:t xml:space="preserve"> between different organizations and uncoordinated. However, the complexity of </w:t>
      </w:r>
      <w:r w:rsidR="00F2040A" w:rsidRPr="00A23D31">
        <w:t xml:space="preserve">new and emerging telecommunications/ICTs </w:t>
      </w:r>
      <w:r w:rsidRPr="00A23D31">
        <w:t>regulation requires close international cooperation.</w:t>
      </w:r>
    </w:p>
    <w:p w14:paraId="06C3CD0F" w14:textId="77777777" w:rsidR="00F2040A" w:rsidRPr="00A23D31" w:rsidRDefault="00F2040A" w:rsidP="00F2040A">
      <w:pPr>
        <w:pStyle w:val="Body"/>
        <w:spacing w:before="0" w:after="120"/>
        <w:ind w:firstLine="709"/>
        <w:jc w:val="both"/>
      </w:pPr>
      <w:r w:rsidRPr="00A23D31">
        <w:t>Given the scope of ITU's responsibility and the competence of specialists, it makes sense to consider sectoral legal challenges</w:t>
      </w:r>
      <w:r w:rsidR="004D5D68" w:rsidRPr="00A23D31">
        <w:t xml:space="preserve"> in this international organization both in the current regulation and </w:t>
      </w:r>
      <w:r w:rsidRPr="00A23D31">
        <w:t>recommendation for future governance. ITU Member States and</w:t>
      </w:r>
      <w:r w:rsidR="004D5D68" w:rsidRPr="00A23D31">
        <w:t xml:space="preserve"> </w:t>
      </w:r>
      <w:r w:rsidRPr="00A23D31">
        <w:t>other stakeholders</w:t>
      </w:r>
      <w:r w:rsidR="004D5D68" w:rsidRPr="00A23D31">
        <w:t xml:space="preserve"> need to consider this issue and exchange best practices in order to prepare relevant methodological materials, manuals and, if necessary, recommendations </w:t>
      </w:r>
      <w:r w:rsidRPr="00A23D31">
        <w:t>and/or other CWG-Internet output documents.</w:t>
      </w:r>
    </w:p>
    <w:p w14:paraId="209E790A" w14:textId="77777777" w:rsidR="00103B4D" w:rsidRPr="00A23D31" w:rsidRDefault="00F2040A" w:rsidP="00F2040A">
      <w:pPr>
        <w:pStyle w:val="Body"/>
        <w:numPr>
          <w:ilvl w:val="0"/>
          <w:numId w:val="2"/>
        </w:numPr>
        <w:tabs>
          <w:tab w:val="clear" w:pos="567"/>
          <w:tab w:val="clear" w:pos="1134"/>
          <w:tab w:val="clear" w:pos="1701"/>
          <w:tab w:val="clear" w:pos="2268"/>
          <w:tab w:val="clear" w:pos="2835"/>
        </w:tabs>
        <w:spacing w:before="0" w:after="120"/>
        <w:jc w:val="both"/>
        <w:rPr>
          <w:rFonts w:cs="Times New Roman"/>
          <w:b/>
          <w:lang w:val="ru-RU"/>
        </w:rPr>
      </w:pPr>
      <w:proofErr w:type="spellStart"/>
      <w:r w:rsidRPr="00A23D31">
        <w:rPr>
          <w:rFonts w:cs="Times New Roman"/>
          <w:b/>
          <w:lang w:val="ru-RU"/>
        </w:rPr>
        <w:t>Discussions</w:t>
      </w:r>
      <w:proofErr w:type="spellEnd"/>
    </w:p>
    <w:p w14:paraId="7A963E22" w14:textId="77777777" w:rsidR="00527E7C" w:rsidRPr="00A23D31" w:rsidRDefault="00527E7C" w:rsidP="00527E7C">
      <w:pPr>
        <w:pStyle w:val="Body"/>
        <w:spacing w:after="120"/>
        <w:ind w:firstLine="709"/>
        <w:jc w:val="both"/>
        <w:rPr>
          <w:rStyle w:val="ms-rtefontsize-2"/>
          <w:bdr w:val="none" w:sz="0" w:space="0" w:color="auto" w:frame="1"/>
        </w:rPr>
      </w:pPr>
      <w:r w:rsidRPr="00A23D31">
        <w:rPr>
          <w:rStyle w:val="ms-rtefontsize-2"/>
          <w:bdr w:val="none" w:sz="0" w:space="0" w:color="auto" w:frame="1"/>
        </w:rPr>
        <w:t xml:space="preserve">The world community needs immediate, coordinated and effective actions aimed at creating an effective integrated model for managing and regulating </w:t>
      </w:r>
      <w:r w:rsidR="00EE6038" w:rsidRPr="00A23D31">
        <w:t>new and emerging telecommunications/ICTs</w:t>
      </w:r>
      <w:r w:rsidRPr="00A23D31">
        <w:rPr>
          <w:rStyle w:val="ms-rtefontsize-2"/>
          <w:bdr w:val="none" w:sz="0" w:space="0" w:color="auto" w:frame="1"/>
        </w:rPr>
        <w:t xml:space="preserve">. At the same time, the interests of </w:t>
      </w:r>
      <w:r w:rsidR="00E840C0" w:rsidRPr="00A23D31">
        <w:rPr>
          <w:rStyle w:val="ms-rtefontsize-2"/>
          <w:bdr w:val="none" w:sz="0" w:space="0" w:color="auto" w:frame="1"/>
        </w:rPr>
        <w:t xml:space="preserve">all </w:t>
      </w:r>
      <w:r w:rsidR="00EE6038" w:rsidRPr="00A23D31">
        <w:rPr>
          <w:rStyle w:val="ms-rtefontsize-2"/>
          <w:bdr w:val="none" w:sz="0" w:space="0" w:color="auto" w:frame="1"/>
        </w:rPr>
        <w:t xml:space="preserve">stakeholders </w:t>
      </w:r>
      <w:r w:rsidRPr="00A23D31">
        <w:rPr>
          <w:rStyle w:val="ms-rtefontsize-2"/>
          <w:bdr w:val="none" w:sz="0" w:space="0" w:color="auto" w:frame="1"/>
        </w:rPr>
        <w:t xml:space="preserve">should be represented on an equal </w:t>
      </w:r>
      <w:r w:rsidR="002B633C" w:rsidRPr="00A23D31">
        <w:rPr>
          <w:rStyle w:val="tlid-translation"/>
          <w:lang w:val="en"/>
        </w:rPr>
        <w:t>basis</w:t>
      </w:r>
      <w:r w:rsidR="00EE6038" w:rsidRPr="00A23D31">
        <w:rPr>
          <w:rStyle w:val="ms-rtefontsize-2"/>
          <w:bdr w:val="none" w:sz="0" w:space="0" w:color="auto" w:frame="1"/>
        </w:rPr>
        <w:t>, not just some</w:t>
      </w:r>
      <w:r w:rsidRPr="00A23D31">
        <w:rPr>
          <w:rStyle w:val="ms-rtefontsize-2"/>
          <w:bdr w:val="none" w:sz="0" w:space="0" w:color="auto" w:frame="1"/>
        </w:rPr>
        <w:t xml:space="preserve"> groups. However, it is necessary to clearly define the roles of stakeholders in this process, inc</w:t>
      </w:r>
      <w:r w:rsidR="00E731A8" w:rsidRPr="00A23D31">
        <w:rPr>
          <w:rStyle w:val="ms-rtefontsize-2"/>
          <w:bdr w:val="none" w:sz="0" w:space="0" w:color="auto" w:frame="1"/>
        </w:rPr>
        <w:t xml:space="preserve">luding states. After all, </w:t>
      </w:r>
      <w:r w:rsidRPr="00A23D31">
        <w:rPr>
          <w:rStyle w:val="ms-rtefontsize-2"/>
          <w:bdr w:val="none" w:sz="0" w:space="0" w:color="auto" w:frame="1"/>
        </w:rPr>
        <w:t>the states</w:t>
      </w:r>
      <w:r w:rsidR="00E731A8" w:rsidRPr="00A23D31">
        <w:rPr>
          <w:rStyle w:val="ms-rtefontsize-2"/>
          <w:bdr w:val="none" w:sz="0" w:space="0" w:color="auto" w:frame="1"/>
        </w:rPr>
        <w:t>,</w:t>
      </w:r>
      <w:r w:rsidRPr="00A23D31">
        <w:rPr>
          <w:rStyle w:val="ms-rtefontsize-2"/>
          <w:bdr w:val="none" w:sz="0" w:space="0" w:color="auto" w:frame="1"/>
        </w:rPr>
        <w:t xml:space="preserve"> that are the subjects of international law, act as the guarantor of the </w:t>
      </w:r>
      <w:r w:rsidR="00C2509B" w:rsidRPr="00A23D31">
        <w:rPr>
          <w:rStyle w:val="ms-rtefontsize-2"/>
          <w:bdr w:val="none" w:sz="0" w:space="0" w:color="auto" w:frame="1"/>
        </w:rPr>
        <w:t>citizens’ rights</w:t>
      </w:r>
      <w:r w:rsidRPr="00A23D31">
        <w:rPr>
          <w:rStyle w:val="ms-rtefontsize-2"/>
          <w:bdr w:val="none" w:sz="0" w:space="0" w:color="auto" w:frame="1"/>
        </w:rPr>
        <w:t xml:space="preserve"> and freedoms, play a </w:t>
      </w:r>
      <w:r w:rsidRPr="00A23D31">
        <w:rPr>
          <w:rStyle w:val="ms-rtefontsize-2"/>
          <w:bdr w:val="none" w:sz="0" w:space="0" w:color="auto" w:frame="1"/>
        </w:rPr>
        <w:lastRenderedPageBreak/>
        <w:t>major role in matters of econom</w:t>
      </w:r>
      <w:r w:rsidR="00E731A8" w:rsidRPr="00A23D31">
        <w:rPr>
          <w:rStyle w:val="ms-rtefontsize-2"/>
          <w:bdr w:val="none" w:sz="0" w:space="0" w:color="auto" w:frame="1"/>
        </w:rPr>
        <w:t>y</w:t>
      </w:r>
      <w:r w:rsidRPr="00A23D31">
        <w:rPr>
          <w:rStyle w:val="ms-rtefontsize-2"/>
          <w:bdr w:val="none" w:sz="0" w:space="0" w:color="auto" w:frame="1"/>
        </w:rPr>
        <w:t xml:space="preserve">, security and stability of the Internet infrastructure, </w:t>
      </w:r>
      <w:r w:rsidR="00C2509B" w:rsidRPr="00A23D31">
        <w:rPr>
          <w:rStyle w:val="ms-rtefontsize-2"/>
          <w:bdr w:val="none" w:sz="0" w:space="0" w:color="auto" w:frame="1"/>
        </w:rPr>
        <w:t>and take</w:t>
      </w:r>
      <w:r w:rsidRPr="00A23D31">
        <w:rPr>
          <w:rStyle w:val="ms-rtefontsize-2"/>
          <w:bdr w:val="none" w:sz="0" w:space="0" w:color="auto" w:frame="1"/>
        </w:rPr>
        <w:t xml:space="preserve"> measures to prevent, detect and suppress illegal actions in the global network.</w:t>
      </w:r>
    </w:p>
    <w:p w14:paraId="70DAA5D2" w14:textId="77777777" w:rsidR="00527E7C" w:rsidRPr="00A23D31" w:rsidRDefault="00527E7C" w:rsidP="00527E7C">
      <w:pPr>
        <w:pStyle w:val="Body"/>
        <w:spacing w:after="120"/>
        <w:ind w:firstLine="709"/>
        <w:jc w:val="both"/>
        <w:rPr>
          <w:rStyle w:val="ms-rtefontsize-2"/>
          <w:bdr w:val="none" w:sz="0" w:space="0" w:color="auto" w:frame="1"/>
        </w:rPr>
      </w:pPr>
      <w:r w:rsidRPr="00A23D31">
        <w:rPr>
          <w:rStyle w:val="ms-rtefontsize-2"/>
          <w:bdr w:val="none" w:sz="0" w:space="0" w:color="auto" w:frame="1"/>
        </w:rPr>
        <w:t xml:space="preserve">For the successful, reliable and safe use of new technologies, international </w:t>
      </w:r>
      <w:r w:rsidR="00B657CA" w:rsidRPr="00A23D31">
        <w:rPr>
          <w:rStyle w:val="ms-rtefontsize-2"/>
          <w:bdr w:val="none" w:sz="0" w:space="0" w:color="auto" w:frame="1"/>
        </w:rPr>
        <w:t xml:space="preserve">regulation </w:t>
      </w:r>
      <w:r w:rsidRPr="00A23D31">
        <w:rPr>
          <w:rStyle w:val="ms-rtefontsize-2"/>
          <w:bdr w:val="none" w:sz="0" w:space="0" w:color="auto" w:frame="1"/>
        </w:rPr>
        <w:t xml:space="preserve">and rules in the field </w:t>
      </w:r>
      <w:r w:rsidR="00C2509B" w:rsidRPr="00A23D31">
        <w:rPr>
          <w:rStyle w:val="ms-rtefontsize-2"/>
          <w:bdr w:val="none" w:sz="0" w:space="0" w:color="auto" w:frame="1"/>
        </w:rPr>
        <w:t xml:space="preserve">of new and emerging technologies </w:t>
      </w:r>
      <w:r w:rsidR="00C2509B" w:rsidRPr="00A23D31">
        <w:t>telecommunications/ICTs</w:t>
      </w:r>
      <w:r w:rsidR="00C2509B" w:rsidRPr="00A23D31">
        <w:rPr>
          <w:rStyle w:val="ms-rtefontsize-2"/>
          <w:bdr w:val="none" w:sz="0" w:space="0" w:color="auto" w:frame="1"/>
        </w:rPr>
        <w:t xml:space="preserve"> and </w:t>
      </w:r>
      <w:r w:rsidRPr="00A23D31">
        <w:rPr>
          <w:rStyle w:val="ms-rtefontsize-2"/>
          <w:bdr w:val="none" w:sz="0" w:space="0" w:color="auto" w:frame="1"/>
        </w:rPr>
        <w:t>Internet governance and are required. Speaking about the legal regulation of such technologies, it is necessary to take into account the main problem, which is that regulation is constantly trying to catch up with innovation, and to some extent it regulates the technologies of the past, and the accepted standards become outdated in a fairly short time after they entry into force. That is why e</w:t>
      </w:r>
      <w:r w:rsidR="00B657CA" w:rsidRPr="00A23D31">
        <w:rPr>
          <w:rStyle w:val="ms-rtefontsize-2"/>
          <w:bdr w:val="none" w:sz="0" w:space="0" w:color="auto" w:frame="1"/>
        </w:rPr>
        <w:t xml:space="preserve">xperts representing </w:t>
      </w:r>
      <w:r w:rsidRPr="00A23D31">
        <w:rPr>
          <w:rStyle w:val="ms-rtefontsize-2"/>
          <w:bdr w:val="none" w:sz="0" w:space="0" w:color="auto" w:frame="1"/>
        </w:rPr>
        <w:t xml:space="preserve">stakeholders within the framework of the CWG-Internet should understand how the current legislation </w:t>
      </w:r>
      <w:proofErr w:type="gramStart"/>
      <w:r w:rsidRPr="00A23D31">
        <w:rPr>
          <w:rStyle w:val="ms-rtefontsize-2"/>
          <w:bdr w:val="none" w:sz="0" w:space="0" w:color="auto" w:frame="1"/>
        </w:rPr>
        <w:t>takes into account</w:t>
      </w:r>
      <w:proofErr w:type="gramEnd"/>
      <w:r w:rsidRPr="00A23D31">
        <w:rPr>
          <w:rStyle w:val="ms-rtefontsize-2"/>
          <w:bdr w:val="none" w:sz="0" w:space="0" w:color="auto" w:frame="1"/>
        </w:rPr>
        <w:t xml:space="preserve"> the possibility of the existence of such services and technologies and can be used to organize relationships of </w:t>
      </w:r>
      <w:r w:rsidR="00B657CA" w:rsidRPr="00A23D31">
        <w:rPr>
          <w:rStyle w:val="ms-rtefontsize-2"/>
          <w:bdr w:val="none" w:sz="0" w:space="0" w:color="auto" w:frame="1"/>
        </w:rPr>
        <w:t>its</w:t>
      </w:r>
      <w:r w:rsidRPr="00A23D31">
        <w:rPr>
          <w:rStyle w:val="ms-rtefontsize-2"/>
          <w:bdr w:val="none" w:sz="0" w:space="0" w:color="auto" w:frame="1"/>
        </w:rPr>
        <w:t xml:space="preserve"> use. At the same time, it is necessary to determine which key aspects of </w:t>
      </w:r>
      <w:r w:rsidR="00C2509B" w:rsidRPr="00A23D31">
        <w:rPr>
          <w:rStyle w:val="ms-rtefontsize-2"/>
          <w:bdr w:val="none" w:sz="0" w:space="0" w:color="auto" w:frame="1"/>
        </w:rPr>
        <w:t>innovative</w:t>
      </w:r>
      <w:r w:rsidRPr="00A23D31">
        <w:rPr>
          <w:rStyle w:val="ms-rtefontsize-2"/>
          <w:bdr w:val="none" w:sz="0" w:space="0" w:color="auto" w:frame="1"/>
        </w:rPr>
        <w:t xml:space="preserve"> services and </w:t>
      </w:r>
      <w:r w:rsidR="00C2509B" w:rsidRPr="00A23D31">
        <w:rPr>
          <w:rStyle w:val="ms-rtefontsize-2"/>
          <w:bdr w:val="none" w:sz="0" w:space="0" w:color="auto" w:frame="1"/>
        </w:rPr>
        <w:t>new and emerging technologies</w:t>
      </w:r>
      <w:r w:rsidRPr="00A23D31">
        <w:rPr>
          <w:rStyle w:val="ms-rtefontsize-2"/>
          <w:bdr w:val="none" w:sz="0" w:space="0" w:color="auto" w:frame="1"/>
        </w:rPr>
        <w:t xml:space="preserve"> are subject to regulation in order to avoid excessive regulatory regulation of details that are changing rapidly in the context of explosive growth of innovations in the field of ICT and the Internet. In addition, we advocate that the potential risks and needs of users - private and business users, as well as public interests </w:t>
      </w:r>
      <w:r w:rsidR="00C2509B" w:rsidRPr="00A23D31">
        <w:rPr>
          <w:rStyle w:val="ms-rtefontsize-2"/>
          <w:bdr w:val="none" w:sz="0" w:space="0" w:color="auto" w:frame="1"/>
        </w:rPr>
        <w:t>should be</w:t>
      </w:r>
      <w:r w:rsidRPr="00A23D31">
        <w:rPr>
          <w:rStyle w:val="ms-rtefontsize-2"/>
          <w:bdr w:val="none" w:sz="0" w:space="0" w:color="auto" w:frame="1"/>
        </w:rPr>
        <w:t xml:space="preserve"> taken into account when </w:t>
      </w:r>
      <w:r w:rsidR="00C2509B" w:rsidRPr="00A23D31">
        <w:rPr>
          <w:rStyle w:val="ms-rtefontsize-2"/>
          <w:bdr w:val="none" w:sz="0" w:space="0" w:color="auto" w:frame="1"/>
        </w:rPr>
        <w:t>developing new and emerging technologies, which are</w:t>
      </w:r>
      <w:r w:rsidRPr="00A23D31">
        <w:rPr>
          <w:rStyle w:val="ms-rtefontsize-2"/>
          <w:bdr w:val="none" w:sz="0" w:space="0" w:color="auto" w:frame="1"/>
        </w:rPr>
        <w:t xml:space="preserve"> only possible if key aspects of such technologies</w:t>
      </w:r>
      <w:r w:rsidR="002201E8" w:rsidRPr="00A23D31">
        <w:rPr>
          <w:rStyle w:val="ms-rtefontsize-2"/>
          <w:bdr w:val="none" w:sz="0" w:space="0" w:color="auto" w:frame="1"/>
        </w:rPr>
        <w:t>,</w:t>
      </w:r>
      <w:r w:rsidRPr="00A23D31">
        <w:rPr>
          <w:rStyle w:val="ms-rtefontsize-2"/>
          <w:bdr w:val="none" w:sz="0" w:space="0" w:color="auto" w:frame="1"/>
        </w:rPr>
        <w:t xml:space="preserve"> that affect public </w:t>
      </w:r>
      <w:r w:rsidR="002201E8" w:rsidRPr="00A23D31">
        <w:rPr>
          <w:rStyle w:val="ms-rtefontsize-2"/>
          <w:bdr w:val="none" w:sz="0" w:space="0" w:color="auto" w:frame="1"/>
        </w:rPr>
        <w:t>interests,</w:t>
      </w:r>
      <w:r w:rsidRPr="00A23D31">
        <w:rPr>
          <w:rStyle w:val="ms-rtefontsize-2"/>
          <w:bdr w:val="none" w:sz="0" w:space="0" w:color="auto" w:frame="1"/>
        </w:rPr>
        <w:t xml:space="preserve"> are identified.</w:t>
      </w:r>
    </w:p>
    <w:p w14:paraId="0F1852B7" w14:textId="77777777" w:rsidR="00C2509B" w:rsidRPr="00A23D31" w:rsidRDefault="002201E8" w:rsidP="00527E7C">
      <w:pPr>
        <w:pStyle w:val="Body"/>
        <w:spacing w:before="0" w:after="120"/>
        <w:ind w:firstLine="709"/>
        <w:jc w:val="both"/>
        <w:rPr>
          <w:rStyle w:val="ms-rtefontsize-2"/>
          <w:bdr w:val="none" w:sz="0" w:space="0" w:color="auto" w:frame="1"/>
        </w:rPr>
      </w:pPr>
      <w:r w:rsidRPr="00A23D31">
        <w:rPr>
          <w:rStyle w:val="ms-rtefontsize-2"/>
          <w:bdr w:val="none" w:sz="0" w:space="0" w:color="auto" w:frame="1"/>
        </w:rPr>
        <w:t>It’</w:t>
      </w:r>
      <w:r w:rsidR="00527E7C" w:rsidRPr="00A23D31">
        <w:rPr>
          <w:rStyle w:val="ms-rtefontsize-2"/>
          <w:bdr w:val="none" w:sz="0" w:space="0" w:color="auto" w:frame="1"/>
        </w:rPr>
        <w:t xml:space="preserve">s also necessary to note the negative effect on the development of </w:t>
      </w:r>
      <w:r w:rsidRPr="00A23D31">
        <w:rPr>
          <w:rStyle w:val="ms-rtefontsize-2"/>
          <w:bdr w:val="none" w:sz="0" w:space="0" w:color="auto" w:frame="1"/>
        </w:rPr>
        <w:t xml:space="preserve">new and emerging technologies </w:t>
      </w:r>
      <w:r w:rsidRPr="00A23D31">
        <w:t>telecommunications/ICTs</w:t>
      </w:r>
      <w:r w:rsidRPr="00A23D31">
        <w:rPr>
          <w:rStyle w:val="ms-rtefontsize-2"/>
          <w:bdr w:val="none" w:sz="0" w:space="0" w:color="auto" w:frame="1"/>
        </w:rPr>
        <w:t xml:space="preserve"> </w:t>
      </w:r>
      <w:r w:rsidR="00527E7C" w:rsidRPr="00A23D31">
        <w:rPr>
          <w:rStyle w:val="ms-rtefontsize-2"/>
          <w:bdr w:val="none" w:sz="0" w:space="0" w:color="auto" w:frame="1"/>
        </w:rPr>
        <w:t xml:space="preserve">from the uncoordinated national </w:t>
      </w:r>
      <w:r w:rsidRPr="00A23D31">
        <w:rPr>
          <w:rStyle w:val="tlid-translation"/>
          <w:lang w:val="en"/>
        </w:rPr>
        <w:t>legislative</w:t>
      </w:r>
      <w:r w:rsidRPr="00A23D31">
        <w:rPr>
          <w:rStyle w:val="ms-rtefontsize-2"/>
          <w:bdr w:val="none" w:sz="0" w:space="0" w:color="auto" w:frame="1"/>
        </w:rPr>
        <w:t xml:space="preserve"> </w:t>
      </w:r>
      <w:r w:rsidR="00527E7C" w:rsidRPr="00A23D31">
        <w:rPr>
          <w:rStyle w:val="ms-rtefontsize-2"/>
          <w:bdr w:val="none" w:sz="0" w:space="0" w:color="auto" w:frame="1"/>
        </w:rPr>
        <w:t xml:space="preserve">initiatives. At the same time, some of them are </w:t>
      </w:r>
      <w:r w:rsidRPr="00A23D31">
        <w:rPr>
          <w:rStyle w:val="tlid-translation"/>
          <w:lang w:val="en"/>
        </w:rPr>
        <w:t>extraterritorial</w:t>
      </w:r>
      <w:r w:rsidR="00527E7C" w:rsidRPr="00A23D31">
        <w:rPr>
          <w:rStyle w:val="ms-rtefontsize-2"/>
          <w:bdr w:val="none" w:sz="0" w:space="0" w:color="auto" w:frame="1"/>
        </w:rPr>
        <w:t xml:space="preserve"> and affect the entire ecosystem of the Internet. This is a dangerous tendency to substitute international regulation and harmonized national legislation with </w:t>
      </w:r>
      <w:r w:rsidRPr="00A23D31">
        <w:rPr>
          <w:rStyle w:val="ms-rtefontsize-2"/>
          <w:bdr w:val="none" w:sz="0" w:space="0" w:color="auto" w:frame="1"/>
        </w:rPr>
        <w:t xml:space="preserve">uncoordinated national </w:t>
      </w:r>
      <w:r w:rsidR="00527E7C" w:rsidRPr="00A23D31">
        <w:rPr>
          <w:rStyle w:val="ms-rtefontsize-2"/>
          <w:bdr w:val="none" w:sz="0" w:space="0" w:color="auto" w:frame="1"/>
        </w:rPr>
        <w:t xml:space="preserve">regulatory initiatives. Firstly, there is a risk of creating barriers to the development of new technologies and the fragmentation of the Internet. Secondly, sooner or later the world community will come to understand the need for international regulation of </w:t>
      </w:r>
      <w:r w:rsidRPr="00A23D31">
        <w:rPr>
          <w:rStyle w:val="ms-rtefontsize-2"/>
          <w:bdr w:val="none" w:sz="0" w:space="0" w:color="auto" w:frame="1"/>
        </w:rPr>
        <w:t xml:space="preserve">new and emerging technologies </w:t>
      </w:r>
      <w:r w:rsidRPr="00A23D31">
        <w:t>telecommunications/ICTs</w:t>
      </w:r>
      <w:r w:rsidRPr="00A23D31">
        <w:rPr>
          <w:rStyle w:val="ms-rtefontsize-2"/>
          <w:bdr w:val="none" w:sz="0" w:space="0" w:color="auto" w:frame="1"/>
        </w:rPr>
        <w:t xml:space="preserve"> </w:t>
      </w:r>
      <w:r w:rsidR="00527E7C" w:rsidRPr="00A23D31">
        <w:rPr>
          <w:rStyle w:val="ms-rtefontsize-2"/>
          <w:bdr w:val="none" w:sz="0" w:space="0" w:color="auto" w:frame="1"/>
        </w:rPr>
        <w:t>and then it will be necessary to change the national regulation that have already taken shape in different countries. That is why, in recent years, the Russian Federation has consistently expressed concern about the risk of fragmentation of the Internet ecosystem (infrastructure and services), speaking up with initiatives to prevent it in various international organizations.</w:t>
      </w:r>
    </w:p>
    <w:p w14:paraId="3329FFD6" w14:textId="77777777" w:rsidR="00103B4D" w:rsidRPr="00A23D31" w:rsidRDefault="004B62CF" w:rsidP="004B62CF">
      <w:pPr>
        <w:pStyle w:val="Body"/>
        <w:numPr>
          <w:ilvl w:val="0"/>
          <w:numId w:val="2"/>
        </w:numPr>
        <w:tabs>
          <w:tab w:val="clear" w:pos="567"/>
          <w:tab w:val="clear" w:pos="1134"/>
          <w:tab w:val="clear" w:pos="1701"/>
          <w:tab w:val="clear" w:pos="2268"/>
          <w:tab w:val="clear" w:pos="2835"/>
        </w:tabs>
        <w:spacing w:before="0" w:after="120"/>
        <w:jc w:val="both"/>
        <w:rPr>
          <w:rFonts w:cs="Times New Roman"/>
          <w:b/>
          <w:lang w:val="ru-RU"/>
        </w:rPr>
      </w:pPr>
      <w:proofErr w:type="spellStart"/>
      <w:r w:rsidRPr="00A23D31">
        <w:rPr>
          <w:rFonts w:cs="Times New Roman"/>
          <w:b/>
          <w:lang w:val="ru-RU"/>
        </w:rPr>
        <w:t>Proposals</w:t>
      </w:r>
      <w:proofErr w:type="spellEnd"/>
    </w:p>
    <w:p w14:paraId="6D4887E9" w14:textId="77777777" w:rsidR="00935E27" w:rsidRPr="00A23D31" w:rsidRDefault="00935E27" w:rsidP="00935E27">
      <w:pPr>
        <w:pStyle w:val="Body"/>
        <w:spacing w:after="120"/>
        <w:ind w:firstLine="709"/>
        <w:jc w:val="both"/>
        <w:rPr>
          <w:rStyle w:val="ms-rtefontsize-2"/>
          <w:bdr w:val="none" w:sz="0" w:space="0" w:color="auto" w:frame="1"/>
        </w:rPr>
      </w:pPr>
      <w:r w:rsidRPr="00A23D31">
        <w:rPr>
          <w:rStyle w:val="ms-rtefontsize-2"/>
          <w:bdr w:val="none" w:sz="0" w:space="0" w:color="auto" w:frame="1"/>
        </w:rPr>
        <w:t>Russian Administration would like to support the activity conducted by ITU-T on various aspects related to new and emerging technologies telecommunications/ICTs, as well as the work carried out at ITU-D to assist developing countries in these areas.</w:t>
      </w:r>
    </w:p>
    <w:p w14:paraId="1292E750" w14:textId="77777777" w:rsidR="00935E27" w:rsidRPr="00A23D31" w:rsidRDefault="00935E27" w:rsidP="00935E27">
      <w:pPr>
        <w:pStyle w:val="Body"/>
        <w:spacing w:before="0" w:after="120"/>
        <w:ind w:firstLine="709"/>
        <w:jc w:val="both"/>
        <w:rPr>
          <w:rFonts w:cs="Times New Roman"/>
        </w:rPr>
      </w:pPr>
      <w:r w:rsidRPr="00A23D31">
        <w:rPr>
          <w:rFonts w:cs="Times New Roman"/>
        </w:rPr>
        <w:t xml:space="preserve">We propose to organize a discussion of issues related to aspects of regulation at the international level in the field of development and use of </w:t>
      </w:r>
      <w:r w:rsidRPr="00A23D31">
        <w:rPr>
          <w:rStyle w:val="ms-rtefontsize-2"/>
          <w:bdr w:val="none" w:sz="0" w:space="0" w:color="auto" w:frame="1"/>
        </w:rPr>
        <w:t>new and emerging technologies telecommunications/ICTs</w:t>
      </w:r>
      <w:r w:rsidRPr="00A23D31">
        <w:rPr>
          <w:rFonts w:cs="Times New Roman"/>
        </w:rPr>
        <w:t xml:space="preserve"> driven by CWG-Internet:</w:t>
      </w:r>
    </w:p>
    <w:p w14:paraId="28C0B0AB" w14:textId="77777777" w:rsidR="00B32C7A" w:rsidRPr="00A23D31" w:rsidRDefault="00A66D64" w:rsidP="00B32C7A">
      <w:pPr>
        <w:pStyle w:val="Body"/>
        <w:numPr>
          <w:ilvl w:val="0"/>
          <w:numId w:val="5"/>
        </w:numPr>
        <w:spacing w:after="120"/>
        <w:jc w:val="both"/>
        <w:rPr>
          <w:rFonts w:cs="Times New Roman"/>
        </w:rPr>
      </w:pPr>
      <w:proofErr w:type="spellStart"/>
      <w:r w:rsidRPr="00A23D31">
        <w:rPr>
          <w:rStyle w:val="tlid-translation"/>
        </w:rPr>
        <w:t>t</w:t>
      </w:r>
      <w:r w:rsidRPr="00A23D31">
        <w:rPr>
          <w:rStyle w:val="tlid-translation"/>
          <w:lang w:val="en"/>
        </w:rPr>
        <w:t>o</w:t>
      </w:r>
      <w:proofErr w:type="spellEnd"/>
      <w:r w:rsidR="00644A88" w:rsidRPr="00A23D31">
        <w:rPr>
          <w:rStyle w:val="tlid-translation"/>
          <w:lang w:val="en"/>
        </w:rPr>
        <w:t xml:space="preserve"> </w:t>
      </w:r>
      <w:r w:rsidR="00B32C7A" w:rsidRPr="00A23D31">
        <w:rPr>
          <w:rStyle w:val="tlid-translation"/>
          <w:lang w:val="en"/>
        </w:rPr>
        <w:t xml:space="preserve">organize a wide discussion in the CWG-Internet with the participation of Member States and all interested parties and identify innovative key new and emerging technologies and potential challenges that they may arise, in order to develop </w:t>
      </w:r>
      <w:r w:rsidR="00B32C7A" w:rsidRPr="00A23D31">
        <w:rPr>
          <w:rStyle w:val="tlid-translation"/>
          <w:lang w:val="en"/>
        </w:rPr>
        <w:lastRenderedPageBreak/>
        <w:t>international regulation of the fundamental aspects and features of such technologies, avoiding excessive detailing</w:t>
      </w:r>
      <w:r w:rsidR="00B32C7A" w:rsidRPr="00A23D31">
        <w:rPr>
          <w:rStyle w:val="tlid-translation"/>
        </w:rPr>
        <w:t>;</w:t>
      </w:r>
    </w:p>
    <w:p w14:paraId="03466A57" w14:textId="77777777" w:rsidR="00531B87" w:rsidRPr="00A23D31" w:rsidRDefault="00644A88" w:rsidP="0049085F">
      <w:pPr>
        <w:pStyle w:val="Body"/>
        <w:numPr>
          <w:ilvl w:val="0"/>
          <w:numId w:val="5"/>
        </w:numPr>
        <w:spacing w:before="0" w:after="120"/>
        <w:jc w:val="both"/>
        <w:rPr>
          <w:rFonts w:cs="Times New Roman"/>
        </w:rPr>
      </w:pPr>
      <w:r w:rsidRPr="00A23D31">
        <w:rPr>
          <w:rStyle w:val="tlid-translation"/>
        </w:rPr>
        <w:t xml:space="preserve">to </w:t>
      </w:r>
      <w:r w:rsidR="00B32C7A" w:rsidRPr="00A23D31">
        <w:rPr>
          <w:rStyle w:val="tlid-translation"/>
          <w:lang w:val="en"/>
        </w:rPr>
        <w:t>develop proposals/recommendations to the ITU Council on the role of states in ensuring the regulation of such technologies at the international level</w:t>
      </w:r>
      <w:r w:rsidR="007431D1" w:rsidRPr="00A23D31">
        <w:rPr>
          <w:rFonts w:cs="Times New Roman"/>
        </w:rPr>
        <w:t>;</w:t>
      </w:r>
    </w:p>
    <w:p w14:paraId="3F6A3365" w14:textId="77777777" w:rsidR="00B32C7A" w:rsidRPr="00A23D31" w:rsidRDefault="00644A88" w:rsidP="00500504">
      <w:pPr>
        <w:pStyle w:val="Body"/>
        <w:numPr>
          <w:ilvl w:val="0"/>
          <w:numId w:val="5"/>
        </w:numPr>
        <w:spacing w:after="120"/>
        <w:jc w:val="both"/>
        <w:rPr>
          <w:rStyle w:val="tlid-translation"/>
        </w:rPr>
      </w:pPr>
      <w:r w:rsidRPr="00A23D31">
        <w:rPr>
          <w:rStyle w:val="tlid-translation"/>
        </w:rPr>
        <w:t xml:space="preserve">to </w:t>
      </w:r>
      <w:r w:rsidR="00B32C7A" w:rsidRPr="00A23D31">
        <w:rPr>
          <w:rStyle w:val="tlid-translation"/>
        </w:rPr>
        <w:t xml:space="preserve">invite states to share legislative practices in the field of </w:t>
      </w:r>
      <w:r w:rsidRPr="00A23D31">
        <w:rPr>
          <w:rStyle w:val="tlid-translation"/>
        </w:rPr>
        <w:t>new and emerging technologies telecommunications/ICTs</w:t>
      </w:r>
      <w:r w:rsidR="00B32C7A" w:rsidRPr="00A23D31">
        <w:rPr>
          <w:rStyle w:val="tlid-translation"/>
        </w:rPr>
        <w:t>;</w:t>
      </w:r>
    </w:p>
    <w:p w14:paraId="68426E7A" w14:textId="77777777" w:rsidR="001935BE" w:rsidRPr="00A23D31" w:rsidRDefault="001935BE" w:rsidP="00500504">
      <w:pPr>
        <w:pStyle w:val="Body"/>
        <w:numPr>
          <w:ilvl w:val="0"/>
          <w:numId w:val="5"/>
        </w:numPr>
        <w:spacing w:after="120"/>
        <w:jc w:val="both"/>
        <w:rPr>
          <w:rStyle w:val="tlid-translation"/>
        </w:rPr>
      </w:pPr>
      <w:r w:rsidRPr="00A23D31">
        <w:rPr>
          <w:rStyle w:val="tlid-translation"/>
        </w:rPr>
        <w:t>to discuss the need and feasibility studies on legal issues: liability, privacy, information security, etc. in relation to new and emerging technologies telecommunications/ICTs and develop proposals to the ITU Council;</w:t>
      </w:r>
    </w:p>
    <w:p w14:paraId="5795256C" w14:textId="6F3183D5" w:rsidR="00935E27" w:rsidRDefault="000312AF" w:rsidP="00A66D64">
      <w:pPr>
        <w:pStyle w:val="Body"/>
        <w:numPr>
          <w:ilvl w:val="0"/>
          <w:numId w:val="5"/>
        </w:numPr>
        <w:tabs>
          <w:tab w:val="left" w:pos="1276"/>
          <w:tab w:val="left" w:pos="1418"/>
        </w:tabs>
        <w:spacing w:after="120"/>
        <w:jc w:val="both"/>
        <w:rPr>
          <w:rStyle w:val="tlid-translation"/>
        </w:rPr>
      </w:pPr>
      <w:r w:rsidRPr="00A23D31">
        <w:rPr>
          <w:rStyle w:val="tlid-translation"/>
        </w:rPr>
        <w:t xml:space="preserve">to define the necessary and </w:t>
      </w:r>
      <w:proofErr w:type="gramStart"/>
      <w:r w:rsidRPr="00A23D31">
        <w:rPr>
          <w:rStyle w:val="tlid-translation"/>
        </w:rPr>
        <w:t>sufficient</w:t>
      </w:r>
      <w:proofErr w:type="gramEnd"/>
      <w:r w:rsidRPr="00A23D31">
        <w:rPr>
          <w:rStyle w:val="tlid-translation"/>
        </w:rPr>
        <w:t xml:space="preserve"> measures for the regulation of </w:t>
      </w:r>
      <w:r w:rsidR="00500504" w:rsidRPr="00A23D31">
        <w:rPr>
          <w:rStyle w:val="tlid-translation"/>
        </w:rPr>
        <w:t xml:space="preserve">new and emerging technologies telecommunications/ICTs </w:t>
      </w:r>
      <w:r w:rsidRPr="00A23D31">
        <w:rPr>
          <w:rStyle w:val="tlid-translation"/>
        </w:rPr>
        <w:t xml:space="preserve">and develop </w:t>
      </w:r>
      <w:r w:rsidR="00500504" w:rsidRPr="00A23D31">
        <w:rPr>
          <w:rStyle w:val="tlid-translation"/>
        </w:rPr>
        <w:t>by</w:t>
      </w:r>
      <w:r w:rsidRPr="00A23D31">
        <w:rPr>
          <w:rStyle w:val="tlid-translation"/>
        </w:rPr>
        <w:t xml:space="preserve"> </w:t>
      </w:r>
      <w:r w:rsidR="00500504" w:rsidRPr="00A23D31">
        <w:rPr>
          <w:rStyle w:val="tlid-translation"/>
        </w:rPr>
        <w:t>CWG-Internet roadmap</w:t>
      </w:r>
      <w:r w:rsidRPr="00A23D31">
        <w:rPr>
          <w:rStyle w:val="tlid-translation"/>
        </w:rPr>
        <w:t xml:space="preserve"> </w:t>
      </w:r>
      <w:r w:rsidR="00500504" w:rsidRPr="00A23D31">
        <w:rPr>
          <w:rStyle w:val="tlid-translation"/>
        </w:rPr>
        <w:t>of</w:t>
      </w:r>
      <w:r w:rsidRPr="00A23D31">
        <w:rPr>
          <w:rStyle w:val="tlid-translation"/>
        </w:rPr>
        <w:t xml:space="preserve"> international cooperation </w:t>
      </w:r>
      <w:r w:rsidR="00500504" w:rsidRPr="00A23D31">
        <w:rPr>
          <w:rStyle w:val="tlid-translation"/>
        </w:rPr>
        <w:t>for development</w:t>
      </w:r>
      <w:r w:rsidRPr="00A23D31">
        <w:rPr>
          <w:rStyle w:val="tlid-translation"/>
        </w:rPr>
        <w:t xml:space="preserve"> </w:t>
      </w:r>
      <w:r w:rsidR="00500504" w:rsidRPr="00A23D31">
        <w:rPr>
          <w:rStyle w:val="tlid-translation"/>
        </w:rPr>
        <w:t xml:space="preserve">such </w:t>
      </w:r>
      <w:r w:rsidRPr="00A23D31">
        <w:rPr>
          <w:rStyle w:val="tlid-translation"/>
        </w:rPr>
        <w:t>regulations and prepare proposals for the ITU Council.</w:t>
      </w:r>
    </w:p>
    <w:p w14:paraId="599B6595" w14:textId="3994F1DA" w:rsidR="00540A83" w:rsidRDefault="00540A83" w:rsidP="00540A83">
      <w:pPr>
        <w:pStyle w:val="Body"/>
        <w:tabs>
          <w:tab w:val="left" w:pos="1276"/>
          <w:tab w:val="left" w:pos="1418"/>
        </w:tabs>
        <w:spacing w:after="120"/>
        <w:jc w:val="both"/>
        <w:rPr>
          <w:rStyle w:val="tlid-translation"/>
        </w:rPr>
      </w:pPr>
    </w:p>
    <w:p w14:paraId="220F012D" w14:textId="47F487C4" w:rsidR="00540A83" w:rsidRPr="00540A83" w:rsidRDefault="00540A83" w:rsidP="00540A83">
      <w:pPr>
        <w:pStyle w:val="Body"/>
        <w:tabs>
          <w:tab w:val="left" w:pos="1276"/>
          <w:tab w:val="left" w:pos="1418"/>
        </w:tabs>
        <w:spacing w:after="120"/>
        <w:jc w:val="center"/>
        <w:rPr>
          <w:rStyle w:val="tlid-translation"/>
          <w:u w:val="single"/>
        </w:rPr>
      </w:pPr>
      <w:r>
        <w:rPr>
          <w:rStyle w:val="tlid-translation"/>
          <w:u w:val="single"/>
        </w:rPr>
        <w:t>                                       </w:t>
      </w:r>
      <w:bookmarkStart w:id="1" w:name="_GoBack"/>
      <w:bookmarkEnd w:id="1"/>
    </w:p>
    <w:sectPr w:rsidR="00540A83" w:rsidRPr="00540A83" w:rsidSect="001422C7">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5F29" w14:textId="77777777" w:rsidR="00C85657" w:rsidRDefault="00C85657" w:rsidP="00AE49D2">
      <w:pPr>
        <w:spacing w:after="0" w:line="240" w:lineRule="auto"/>
      </w:pPr>
      <w:r>
        <w:separator/>
      </w:r>
    </w:p>
  </w:endnote>
  <w:endnote w:type="continuationSeparator" w:id="0">
    <w:p w14:paraId="0CBED8D9" w14:textId="77777777" w:rsidR="00C85657" w:rsidRDefault="00C85657"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304B" w14:textId="77777777" w:rsidR="00C85657" w:rsidRDefault="00C85657" w:rsidP="00AE49D2">
      <w:pPr>
        <w:spacing w:after="0" w:line="240" w:lineRule="auto"/>
      </w:pPr>
      <w:r>
        <w:separator/>
      </w:r>
    </w:p>
  </w:footnote>
  <w:footnote w:type="continuationSeparator" w:id="0">
    <w:p w14:paraId="53B3B167" w14:textId="77777777" w:rsidR="00C85657" w:rsidRDefault="00C85657" w:rsidP="00AE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348024"/>
      <w:docPartObj>
        <w:docPartGallery w:val="Page Numbers (Top of Page)"/>
        <w:docPartUnique/>
      </w:docPartObj>
    </w:sdtPr>
    <w:sdtEndPr>
      <w:rPr>
        <w:noProof/>
      </w:rPr>
    </w:sdtEndPr>
    <w:sdtContent>
      <w:p w14:paraId="3F03456F" w14:textId="77777777" w:rsidR="004D486E" w:rsidRDefault="004D486E" w:rsidP="00AE49D2">
        <w:pPr>
          <w:pStyle w:val="Header"/>
          <w:jc w:val="center"/>
        </w:pPr>
        <w:r>
          <w:fldChar w:fldCharType="begin"/>
        </w:r>
        <w:r>
          <w:instrText xml:space="preserve"> PAGE   \* MERGEFORMAT </w:instrText>
        </w:r>
        <w:r>
          <w:fldChar w:fldCharType="separate"/>
        </w:r>
        <w:r w:rsidR="00DB21C0">
          <w:rPr>
            <w:noProof/>
          </w:rPr>
          <w:t>2</w:t>
        </w:r>
        <w:r>
          <w:rPr>
            <w:noProof/>
          </w:rPr>
          <w:fldChar w:fldCharType="end"/>
        </w:r>
      </w:p>
    </w:sdtContent>
  </w:sdt>
  <w:p w14:paraId="7B8B86F1" w14:textId="77777777" w:rsidR="004D486E" w:rsidRDefault="004D486E" w:rsidP="00AE49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E25"/>
    <w:multiLevelType w:val="hybridMultilevel"/>
    <w:tmpl w:val="25688DC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D51"/>
    <w:multiLevelType w:val="hybridMultilevel"/>
    <w:tmpl w:val="16F4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864C9"/>
    <w:multiLevelType w:val="hybridMultilevel"/>
    <w:tmpl w:val="7502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91A01"/>
    <w:multiLevelType w:val="hybridMultilevel"/>
    <w:tmpl w:val="95AC9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3F5D23"/>
    <w:multiLevelType w:val="hybridMultilevel"/>
    <w:tmpl w:val="B3C2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1608C7"/>
    <w:multiLevelType w:val="hybridMultilevel"/>
    <w:tmpl w:val="4E2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75D08"/>
    <w:multiLevelType w:val="hybridMultilevel"/>
    <w:tmpl w:val="056A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41022A"/>
    <w:multiLevelType w:val="hybridMultilevel"/>
    <w:tmpl w:val="056A2B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5B60BB7"/>
    <w:multiLevelType w:val="hybridMultilevel"/>
    <w:tmpl w:val="6274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915FDA"/>
    <w:multiLevelType w:val="hybridMultilevel"/>
    <w:tmpl w:val="35D48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1910EF"/>
    <w:multiLevelType w:val="hybridMultilevel"/>
    <w:tmpl w:val="9640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9062AB"/>
    <w:multiLevelType w:val="hybridMultilevel"/>
    <w:tmpl w:val="04C6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722D76"/>
    <w:multiLevelType w:val="hybridMultilevel"/>
    <w:tmpl w:val="A706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DA77E0"/>
    <w:multiLevelType w:val="hybridMultilevel"/>
    <w:tmpl w:val="3D206FA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15:restartNumberingAfterBreak="0">
    <w:nsid w:val="5D8052BF"/>
    <w:multiLevelType w:val="hybridMultilevel"/>
    <w:tmpl w:val="5234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D17648"/>
    <w:multiLevelType w:val="hybridMultilevel"/>
    <w:tmpl w:val="EB4C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8279B"/>
    <w:multiLevelType w:val="hybridMultilevel"/>
    <w:tmpl w:val="4FC23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946F26"/>
    <w:multiLevelType w:val="hybridMultilevel"/>
    <w:tmpl w:val="B9CA0F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D256F5"/>
    <w:multiLevelType w:val="hybridMultilevel"/>
    <w:tmpl w:val="8A9A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8"/>
  </w:num>
  <w:num w:numId="5">
    <w:abstractNumId w:val="9"/>
  </w:num>
  <w:num w:numId="6">
    <w:abstractNumId w:val="10"/>
  </w:num>
  <w:num w:numId="7">
    <w:abstractNumId w:val="11"/>
  </w:num>
  <w:num w:numId="8">
    <w:abstractNumId w:val="16"/>
  </w:num>
  <w:num w:numId="9">
    <w:abstractNumId w:val="12"/>
  </w:num>
  <w:num w:numId="10">
    <w:abstractNumId w:val="4"/>
  </w:num>
  <w:num w:numId="11">
    <w:abstractNumId w:val="14"/>
  </w:num>
  <w:num w:numId="12">
    <w:abstractNumId w:val="13"/>
  </w:num>
  <w:num w:numId="13">
    <w:abstractNumId w:val="5"/>
  </w:num>
  <w:num w:numId="14">
    <w:abstractNumId w:val="3"/>
  </w:num>
  <w:num w:numId="15">
    <w:abstractNumId w:val="17"/>
  </w:num>
  <w:num w:numId="16">
    <w:abstractNumId w:val="19"/>
  </w:num>
  <w:num w:numId="17">
    <w:abstractNumId w:val="15"/>
  </w:num>
  <w:num w:numId="18">
    <w:abstractNumId w:val="20"/>
  </w:num>
  <w:num w:numId="19">
    <w:abstractNumId w:val="2"/>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8C"/>
    <w:rsid w:val="000312AF"/>
    <w:rsid w:val="00032FC7"/>
    <w:rsid w:val="000459B6"/>
    <w:rsid w:val="00055272"/>
    <w:rsid w:val="00056A67"/>
    <w:rsid w:val="0007303E"/>
    <w:rsid w:val="0007496F"/>
    <w:rsid w:val="000857D8"/>
    <w:rsid w:val="00086966"/>
    <w:rsid w:val="000D46DB"/>
    <w:rsid w:val="000F2CDA"/>
    <w:rsid w:val="00103B4D"/>
    <w:rsid w:val="001422C7"/>
    <w:rsid w:val="001521A4"/>
    <w:rsid w:val="00153EAB"/>
    <w:rsid w:val="00173BA2"/>
    <w:rsid w:val="001818EB"/>
    <w:rsid w:val="001935BE"/>
    <w:rsid w:val="00197FF9"/>
    <w:rsid w:val="001A300E"/>
    <w:rsid w:val="001C1C17"/>
    <w:rsid w:val="001C415B"/>
    <w:rsid w:val="0020144C"/>
    <w:rsid w:val="00213A52"/>
    <w:rsid w:val="002201E8"/>
    <w:rsid w:val="00224308"/>
    <w:rsid w:val="00232E72"/>
    <w:rsid w:val="00252E16"/>
    <w:rsid w:val="00260069"/>
    <w:rsid w:val="00267692"/>
    <w:rsid w:val="002A6570"/>
    <w:rsid w:val="002B633C"/>
    <w:rsid w:val="002D749E"/>
    <w:rsid w:val="002E1270"/>
    <w:rsid w:val="002F1E81"/>
    <w:rsid w:val="002F5A6C"/>
    <w:rsid w:val="00321768"/>
    <w:rsid w:val="00323E7E"/>
    <w:rsid w:val="00330331"/>
    <w:rsid w:val="00337F31"/>
    <w:rsid w:val="003438ED"/>
    <w:rsid w:val="003447C7"/>
    <w:rsid w:val="003726F1"/>
    <w:rsid w:val="003A1A99"/>
    <w:rsid w:val="003A576C"/>
    <w:rsid w:val="00431CB5"/>
    <w:rsid w:val="00434D28"/>
    <w:rsid w:val="00436D02"/>
    <w:rsid w:val="00454E0D"/>
    <w:rsid w:val="004817AD"/>
    <w:rsid w:val="0049085F"/>
    <w:rsid w:val="004A2E39"/>
    <w:rsid w:val="004A44D9"/>
    <w:rsid w:val="004B62CF"/>
    <w:rsid w:val="004B6814"/>
    <w:rsid w:val="004C0DE1"/>
    <w:rsid w:val="004D3535"/>
    <w:rsid w:val="004D486E"/>
    <w:rsid w:val="004D5D68"/>
    <w:rsid w:val="004D6D35"/>
    <w:rsid w:val="004E2D68"/>
    <w:rsid w:val="004E4C17"/>
    <w:rsid w:val="00500504"/>
    <w:rsid w:val="00502794"/>
    <w:rsid w:val="005158F2"/>
    <w:rsid w:val="005260B0"/>
    <w:rsid w:val="00527E7C"/>
    <w:rsid w:val="00531B87"/>
    <w:rsid w:val="00532627"/>
    <w:rsid w:val="005407A0"/>
    <w:rsid w:val="00540A83"/>
    <w:rsid w:val="0056494B"/>
    <w:rsid w:val="00571EE1"/>
    <w:rsid w:val="0059427C"/>
    <w:rsid w:val="005A1882"/>
    <w:rsid w:val="005A1FE2"/>
    <w:rsid w:val="005A209D"/>
    <w:rsid w:val="005A5968"/>
    <w:rsid w:val="005B79E2"/>
    <w:rsid w:val="005D3399"/>
    <w:rsid w:val="005F38FF"/>
    <w:rsid w:val="00644A88"/>
    <w:rsid w:val="00661E58"/>
    <w:rsid w:val="006759BE"/>
    <w:rsid w:val="006908DD"/>
    <w:rsid w:val="0069487E"/>
    <w:rsid w:val="006B7986"/>
    <w:rsid w:val="006C398F"/>
    <w:rsid w:val="007066B5"/>
    <w:rsid w:val="00714ECD"/>
    <w:rsid w:val="00722B17"/>
    <w:rsid w:val="00724C2F"/>
    <w:rsid w:val="007431D1"/>
    <w:rsid w:val="007946E2"/>
    <w:rsid w:val="007976B0"/>
    <w:rsid w:val="00797A23"/>
    <w:rsid w:val="007A6942"/>
    <w:rsid w:val="007B05CD"/>
    <w:rsid w:val="007B74B9"/>
    <w:rsid w:val="007F6261"/>
    <w:rsid w:val="00875897"/>
    <w:rsid w:val="00887AC4"/>
    <w:rsid w:val="008C34AA"/>
    <w:rsid w:val="008E5CCD"/>
    <w:rsid w:val="00907920"/>
    <w:rsid w:val="0092347A"/>
    <w:rsid w:val="00935E27"/>
    <w:rsid w:val="009568D2"/>
    <w:rsid w:val="0097594A"/>
    <w:rsid w:val="00977E5E"/>
    <w:rsid w:val="00987DC9"/>
    <w:rsid w:val="009B1577"/>
    <w:rsid w:val="009C7511"/>
    <w:rsid w:val="009D22FB"/>
    <w:rsid w:val="009E45B7"/>
    <w:rsid w:val="009F36B2"/>
    <w:rsid w:val="009F6F72"/>
    <w:rsid w:val="00A23D31"/>
    <w:rsid w:val="00A27D0B"/>
    <w:rsid w:val="00A34AC3"/>
    <w:rsid w:val="00A66D64"/>
    <w:rsid w:val="00A6706C"/>
    <w:rsid w:val="00A72182"/>
    <w:rsid w:val="00AC1354"/>
    <w:rsid w:val="00AC6CDB"/>
    <w:rsid w:val="00AE16C1"/>
    <w:rsid w:val="00AE49D2"/>
    <w:rsid w:val="00AE50D2"/>
    <w:rsid w:val="00AF2119"/>
    <w:rsid w:val="00B32C7A"/>
    <w:rsid w:val="00B4616F"/>
    <w:rsid w:val="00B57A78"/>
    <w:rsid w:val="00B657CA"/>
    <w:rsid w:val="00B722B6"/>
    <w:rsid w:val="00B75A6D"/>
    <w:rsid w:val="00BD1FCB"/>
    <w:rsid w:val="00BF23AE"/>
    <w:rsid w:val="00BF7A0A"/>
    <w:rsid w:val="00C24678"/>
    <w:rsid w:val="00C2509B"/>
    <w:rsid w:val="00C42B14"/>
    <w:rsid w:val="00C42E05"/>
    <w:rsid w:val="00C43B7A"/>
    <w:rsid w:val="00C612CB"/>
    <w:rsid w:val="00C7175E"/>
    <w:rsid w:val="00C85657"/>
    <w:rsid w:val="00CA33A9"/>
    <w:rsid w:val="00CA7203"/>
    <w:rsid w:val="00CB26CA"/>
    <w:rsid w:val="00CC2012"/>
    <w:rsid w:val="00CE5DA3"/>
    <w:rsid w:val="00D46EF1"/>
    <w:rsid w:val="00D57BBA"/>
    <w:rsid w:val="00D74743"/>
    <w:rsid w:val="00D822F4"/>
    <w:rsid w:val="00D91407"/>
    <w:rsid w:val="00D97DDF"/>
    <w:rsid w:val="00DB0F52"/>
    <w:rsid w:val="00DB21C0"/>
    <w:rsid w:val="00DC1CE5"/>
    <w:rsid w:val="00DD72D6"/>
    <w:rsid w:val="00DF5849"/>
    <w:rsid w:val="00E006DF"/>
    <w:rsid w:val="00E04C57"/>
    <w:rsid w:val="00E26523"/>
    <w:rsid w:val="00E34356"/>
    <w:rsid w:val="00E40F8C"/>
    <w:rsid w:val="00E461B4"/>
    <w:rsid w:val="00E5450C"/>
    <w:rsid w:val="00E72B47"/>
    <w:rsid w:val="00E731A8"/>
    <w:rsid w:val="00E811F2"/>
    <w:rsid w:val="00E840C0"/>
    <w:rsid w:val="00E97431"/>
    <w:rsid w:val="00EA7C20"/>
    <w:rsid w:val="00EB20D3"/>
    <w:rsid w:val="00EB7BC9"/>
    <w:rsid w:val="00EC5587"/>
    <w:rsid w:val="00EE5BA2"/>
    <w:rsid w:val="00EE6038"/>
    <w:rsid w:val="00EF3808"/>
    <w:rsid w:val="00EF64F1"/>
    <w:rsid w:val="00F16B78"/>
    <w:rsid w:val="00F2040A"/>
    <w:rsid w:val="00F320DB"/>
    <w:rsid w:val="00F43C6B"/>
    <w:rsid w:val="00F4765C"/>
    <w:rsid w:val="00F53D27"/>
    <w:rsid w:val="00F57BC4"/>
    <w:rsid w:val="00F64D3A"/>
    <w:rsid w:val="00F7575A"/>
    <w:rsid w:val="00F832F6"/>
    <w:rsid w:val="00F9368D"/>
    <w:rsid w:val="00F96B77"/>
    <w:rsid w:val="00FA7D16"/>
    <w:rsid w:val="00FB6E60"/>
    <w:rsid w:val="00FF2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F0A41"/>
  <w15:docId w15:val="{4E9BC61D-D8D5-47F5-A487-4615B94B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8C"/>
    <w:pPr>
      <w:ind w:left="720"/>
      <w:contextualSpacing/>
    </w:pPr>
  </w:style>
  <w:style w:type="paragraph" w:customStyle="1" w:styleId="Source">
    <w:name w:val="Source"/>
    <w:basedOn w:val="Normal"/>
    <w:next w:val="Title1"/>
    <w:autoRedefine/>
    <w:rsid w:val="000857D8"/>
    <w:pPr>
      <w:tabs>
        <w:tab w:val="left" w:pos="567"/>
        <w:tab w:val="left" w:pos="1134"/>
        <w:tab w:val="left" w:pos="1701"/>
        <w:tab w:val="left" w:pos="2268"/>
        <w:tab w:val="left" w:pos="2835"/>
      </w:tabs>
      <w:overflowPunct w:val="0"/>
      <w:autoSpaceDE w:val="0"/>
      <w:autoSpaceDN w:val="0"/>
      <w:adjustRightInd w:val="0"/>
      <w:spacing w:before="240" w:after="12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rPr>
      <w:b w:val="0"/>
      <w:caps/>
    </w:rPr>
  </w:style>
  <w:style w:type="paragraph" w:styleId="Header">
    <w:name w:val="header"/>
    <w:basedOn w:val="Normal"/>
    <w:link w:val="HeaderChar"/>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paragraph" w:styleId="BalloonText">
    <w:name w:val="Balloon Text"/>
    <w:basedOn w:val="Normal"/>
    <w:link w:val="BalloonTextChar"/>
    <w:uiPriority w:val="99"/>
    <w:semiHidden/>
    <w:unhideWhenUsed/>
    <w:rsid w:val="00B7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B6"/>
    <w:rPr>
      <w:rFonts w:ascii="Tahoma" w:hAnsi="Tahoma" w:cs="Tahoma"/>
      <w:sz w:val="16"/>
      <w:szCs w:val="16"/>
    </w:rPr>
  </w:style>
  <w:style w:type="paragraph" w:styleId="FootnoteText">
    <w:name w:val="footnote text"/>
    <w:basedOn w:val="Normal"/>
    <w:link w:val="FootnoteTextChar"/>
    <w:uiPriority w:val="99"/>
    <w:semiHidden/>
    <w:unhideWhenUsed/>
    <w:rsid w:val="00F32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0DB"/>
    <w:rPr>
      <w:sz w:val="20"/>
      <w:szCs w:val="20"/>
    </w:rPr>
  </w:style>
  <w:style w:type="character" w:styleId="FootnoteReference">
    <w:name w:val="footnote reference"/>
    <w:basedOn w:val="DefaultParagraphFont"/>
    <w:uiPriority w:val="99"/>
    <w:semiHidden/>
    <w:unhideWhenUsed/>
    <w:rsid w:val="00F320DB"/>
    <w:rPr>
      <w:vertAlign w:val="superscript"/>
    </w:rPr>
  </w:style>
  <w:style w:type="character" w:styleId="Hyperlink">
    <w:name w:val="Hyperlink"/>
    <w:basedOn w:val="DefaultParagraphFont"/>
    <w:uiPriority w:val="99"/>
    <w:unhideWhenUsed/>
    <w:rsid w:val="00F320DB"/>
    <w:rPr>
      <w:color w:val="0000FF" w:themeColor="hyperlink"/>
      <w:u w:val="single"/>
    </w:rPr>
  </w:style>
  <w:style w:type="paragraph" w:customStyle="1" w:styleId="Body">
    <w:name w:val="Body"/>
    <w:rsid w:val="004A44D9"/>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rPr>
  </w:style>
  <w:style w:type="character" w:customStyle="1" w:styleId="ms-rtefontsize-2">
    <w:name w:val="ms-rtefontsize-2"/>
    <w:basedOn w:val="DefaultParagraphFont"/>
    <w:rsid w:val="004A44D9"/>
  </w:style>
  <w:style w:type="paragraph" w:customStyle="1" w:styleId="Call">
    <w:name w:val="Call"/>
    <w:next w:val="Body"/>
    <w:rsid w:val="00CA7203"/>
    <w:pPr>
      <w:keepNext/>
      <w:keepLines/>
      <w:pBdr>
        <w:top w:val="nil"/>
        <w:left w:val="nil"/>
        <w:bottom w:val="nil"/>
        <w:right w:val="nil"/>
        <w:between w:val="nil"/>
        <w:bar w:val="nil"/>
      </w:pBdr>
      <w:tabs>
        <w:tab w:val="left" w:pos="567"/>
      </w:tabs>
      <w:spacing w:before="160" w:after="0" w:line="240" w:lineRule="auto"/>
      <w:ind w:left="567"/>
    </w:pPr>
    <w:rPr>
      <w:rFonts w:ascii="Calibri" w:eastAsia="Calibri" w:hAnsi="Calibri" w:cs="Calibri"/>
      <w:i/>
      <w:iCs/>
      <w:color w:val="000000"/>
      <w:sz w:val="24"/>
      <w:szCs w:val="24"/>
      <w:u w:color="000000"/>
      <w:bdr w:val="nil"/>
    </w:rPr>
  </w:style>
  <w:style w:type="paragraph" w:customStyle="1" w:styleId="ResNo">
    <w:name w:val="Res_No"/>
    <w:next w:val="Normal"/>
    <w:rsid w:val="00103B4D"/>
    <w:pPr>
      <w:pBdr>
        <w:top w:val="nil"/>
        <w:left w:val="nil"/>
        <w:bottom w:val="nil"/>
        <w:right w:val="nil"/>
        <w:between w:val="nil"/>
        <w:bar w:val="nil"/>
      </w:pBdr>
      <w:tabs>
        <w:tab w:val="left" w:pos="567"/>
        <w:tab w:val="left" w:pos="1134"/>
        <w:tab w:val="left" w:pos="1701"/>
        <w:tab w:val="left" w:pos="2268"/>
        <w:tab w:val="left" w:pos="2835"/>
      </w:tabs>
      <w:spacing w:before="720" w:after="0" w:line="240" w:lineRule="auto"/>
      <w:jc w:val="center"/>
    </w:pPr>
    <w:rPr>
      <w:rFonts w:ascii="Calibri" w:eastAsia="Calibri" w:hAnsi="Calibri" w:cs="Calibri"/>
      <w:caps/>
      <w:color w:val="000000"/>
      <w:sz w:val="28"/>
      <w:szCs w:val="28"/>
      <w:u w:color="000000"/>
      <w:bdr w:val="nil"/>
    </w:rPr>
  </w:style>
  <w:style w:type="paragraph" w:customStyle="1" w:styleId="Restitle">
    <w:name w:val="Res_title"/>
    <w:next w:val="Body"/>
    <w:rsid w:val="00103B4D"/>
    <w:pPr>
      <w:pBdr>
        <w:top w:val="nil"/>
        <w:left w:val="nil"/>
        <w:bottom w:val="nil"/>
        <w:right w:val="nil"/>
        <w:between w:val="nil"/>
        <w:bar w:val="nil"/>
      </w:pBdr>
      <w:tabs>
        <w:tab w:val="left" w:pos="567"/>
        <w:tab w:val="left" w:pos="1134"/>
        <w:tab w:val="left" w:pos="1701"/>
        <w:tab w:val="left" w:pos="2268"/>
        <w:tab w:val="left" w:pos="2835"/>
      </w:tabs>
      <w:spacing w:before="240" w:after="240" w:line="240" w:lineRule="auto"/>
      <w:jc w:val="center"/>
    </w:pPr>
    <w:rPr>
      <w:rFonts w:ascii="Calibri" w:eastAsia="Calibri" w:hAnsi="Calibri" w:cs="Calibri"/>
      <w:b/>
      <w:bCs/>
      <w:color w:val="000000"/>
      <w:sz w:val="28"/>
      <w:szCs w:val="28"/>
      <w:u w:color="000000"/>
      <w:bdr w:val="nil"/>
    </w:rPr>
  </w:style>
  <w:style w:type="paragraph" w:styleId="NormalWeb">
    <w:name w:val="Normal (Web)"/>
    <w:basedOn w:val="Normal"/>
    <w:uiPriority w:val="99"/>
    <w:rsid w:val="00103B4D"/>
    <w:pPr>
      <w:spacing w:before="45" w:after="12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07303E"/>
    <w:rPr>
      <w:color w:val="800080" w:themeColor="followedHyperlink"/>
      <w:u w:val="single"/>
    </w:rPr>
  </w:style>
  <w:style w:type="paragraph" w:customStyle="1" w:styleId="Default">
    <w:name w:val="Default"/>
    <w:rsid w:val="00434D28"/>
    <w:pPr>
      <w:autoSpaceDE w:val="0"/>
      <w:autoSpaceDN w:val="0"/>
      <w:adjustRightInd w:val="0"/>
      <w:spacing w:after="0" w:line="240" w:lineRule="auto"/>
    </w:pPr>
    <w:rPr>
      <w:rFonts w:ascii="Arial" w:hAnsi="Arial" w:cs="Arial"/>
      <w:color w:val="000000"/>
      <w:sz w:val="24"/>
      <w:szCs w:val="24"/>
      <w:lang w:val="ru-RU"/>
    </w:rPr>
  </w:style>
  <w:style w:type="table" w:styleId="TableGrid">
    <w:name w:val="Table Grid"/>
    <w:basedOn w:val="TableNormal"/>
    <w:uiPriority w:val="59"/>
    <w:rsid w:val="00E2652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6523"/>
    <w:rPr>
      <w:i/>
      <w:iCs/>
    </w:rPr>
  </w:style>
  <w:style w:type="paragraph" w:customStyle="1" w:styleId="kz">
    <w:name w:val="kz"/>
    <w:basedOn w:val="Normal"/>
    <w:rsid w:val="00E265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DefaultParagraphFont"/>
    <w:rsid w:val="00F57BC4"/>
  </w:style>
  <w:style w:type="character" w:customStyle="1" w:styleId="gt-baf-cell">
    <w:name w:val="gt-baf-cell"/>
    <w:basedOn w:val="DefaultParagraphFont"/>
    <w:rsid w:val="006B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1940">
      <w:bodyDiv w:val="1"/>
      <w:marLeft w:val="0"/>
      <w:marRight w:val="0"/>
      <w:marTop w:val="0"/>
      <w:marBottom w:val="0"/>
      <w:divBdr>
        <w:top w:val="none" w:sz="0" w:space="0" w:color="auto"/>
        <w:left w:val="none" w:sz="0" w:space="0" w:color="auto"/>
        <w:bottom w:val="none" w:sz="0" w:space="0" w:color="auto"/>
        <w:right w:val="none" w:sz="0" w:space="0" w:color="auto"/>
      </w:divBdr>
      <w:divsChild>
        <w:div w:id="2034263081">
          <w:marLeft w:val="0"/>
          <w:marRight w:val="0"/>
          <w:marTop w:val="0"/>
          <w:marBottom w:val="0"/>
          <w:divBdr>
            <w:top w:val="none" w:sz="0" w:space="0" w:color="auto"/>
            <w:left w:val="none" w:sz="0" w:space="0" w:color="auto"/>
            <w:bottom w:val="none" w:sz="0" w:space="0" w:color="auto"/>
            <w:right w:val="none" w:sz="0" w:space="0" w:color="auto"/>
          </w:divBdr>
        </w:div>
        <w:div w:id="522860234">
          <w:marLeft w:val="0"/>
          <w:marRight w:val="0"/>
          <w:marTop w:val="0"/>
          <w:marBottom w:val="0"/>
          <w:divBdr>
            <w:top w:val="none" w:sz="0" w:space="0" w:color="auto"/>
            <w:left w:val="none" w:sz="0" w:space="0" w:color="auto"/>
            <w:bottom w:val="none" w:sz="0" w:space="0" w:color="auto"/>
            <w:right w:val="none" w:sz="0" w:space="0" w:color="auto"/>
          </w:divBdr>
        </w:div>
        <w:div w:id="1926719318">
          <w:marLeft w:val="0"/>
          <w:marRight w:val="0"/>
          <w:marTop w:val="0"/>
          <w:marBottom w:val="0"/>
          <w:divBdr>
            <w:top w:val="none" w:sz="0" w:space="0" w:color="auto"/>
            <w:left w:val="none" w:sz="0" w:space="0" w:color="auto"/>
            <w:bottom w:val="none" w:sz="0" w:space="0" w:color="auto"/>
            <w:right w:val="none" w:sz="0" w:space="0" w:color="auto"/>
          </w:divBdr>
        </w:div>
        <w:div w:id="1746685572">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738165553">
          <w:marLeft w:val="0"/>
          <w:marRight w:val="0"/>
          <w:marTop w:val="0"/>
          <w:marBottom w:val="0"/>
          <w:divBdr>
            <w:top w:val="none" w:sz="0" w:space="0" w:color="auto"/>
            <w:left w:val="none" w:sz="0" w:space="0" w:color="auto"/>
            <w:bottom w:val="none" w:sz="0" w:space="0" w:color="auto"/>
            <w:right w:val="none" w:sz="0" w:space="0" w:color="auto"/>
          </w:divBdr>
        </w:div>
        <w:div w:id="2114471136">
          <w:marLeft w:val="0"/>
          <w:marRight w:val="0"/>
          <w:marTop w:val="0"/>
          <w:marBottom w:val="0"/>
          <w:divBdr>
            <w:top w:val="none" w:sz="0" w:space="0" w:color="auto"/>
            <w:left w:val="none" w:sz="0" w:space="0" w:color="auto"/>
            <w:bottom w:val="none" w:sz="0" w:space="0" w:color="auto"/>
            <w:right w:val="none" w:sz="0" w:space="0" w:color="auto"/>
          </w:divBdr>
        </w:div>
        <w:div w:id="1701272836">
          <w:marLeft w:val="0"/>
          <w:marRight w:val="0"/>
          <w:marTop w:val="0"/>
          <w:marBottom w:val="0"/>
          <w:divBdr>
            <w:top w:val="none" w:sz="0" w:space="0" w:color="auto"/>
            <w:left w:val="none" w:sz="0" w:space="0" w:color="auto"/>
            <w:bottom w:val="none" w:sz="0" w:space="0" w:color="auto"/>
            <w:right w:val="none" w:sz="0" w:space="0" w:color="auto"/>
          </w:divBdr>
        </w:div>
      </w:divsChild>
    </w:div>
    <w:div w:id="683019231">
      <w:bodyDiv w:val="1"/>
      <w:marLeft w:val="0"/>
      <w:marRight w:val="0"/>
      <w:marTop w:val="0"/>
      <w:marBottom w:val="0"/>
      <w:divBdr>
        <w:top w:val="none" w:sz="0" w:space="0" w:color="auto"/>
        <w:left w:val="none" w:sz="0" w:space="0" w:color="auto"/>
        <w:bottom w:val="none" w:sz="0" w:space="0" w:color="auto"/>
        <w:right w:val="none" w:sz="0" w:space="0" w:color="auto"/>
      </w:divBdr>
      <w:divsChild>
        <w:div w:id="1682509843">
          <w:marLeft w:val="0"/>
          <w:marRight w:val="0"/>
          <w:marTop w:val="0"/>
          <w:marBottom w:val="0"/>
          <w:divBdr>
            <w:top w:val="none" w:sz="0" w:space="0" w:color="auto"/>
            <w:left w:val="none" w:sz="0" w:space="0" w:color="auto"/>
            <w:bottom w:val="none" w:sz="0" w:space="0" w:color="auto"/>
            <w:right w:val="none" w:sz="0" w:space="0" w:color="auto"/>
          </w:divBdr>
        </w:div>
      </w:divsChild>
    </w:div>
    <w:div w:id="1304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6478-1456-4683-BD27-884FA33D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5790</Characters>
  <Application>Microsoft Office Word</Application>
  <DocSecurity>4</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 S Department of State</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МНВ</dc:creator>
  <cp:lastModifiedBy>Janin, Patricia</cp:lastModifiedBy>
  <cp:revision>2</cp:revision>
  <cp:lastPrinted>2019-09-05T09:20:00Z</cp:lastPrinted>
  <dcterms:created xsi:type="dcterms:W3CDTF">2020-01-22T13:56:00Z</dcterms:created>
  <dcterms:modified xsi:type="dcterms:W3CDTF">2020-01-22T13:56:00Z</dcterms:modified>
</cp:coreProperties>
</file>