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902C0D1" w14:textId="77777777" w:rsidTr="006C7CC0">
        <w:trPr>
          <w:cantSplit/>
          <w:trHeight w:val="20"/>
        </w:trPr>
        <w:tc>
          <w:tcPr>
            <w:tcW w:w="6620" w:type="dxa"/>
          </w:tcPr>
          <w:p w14:paraId="7B242FA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3643FB0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94A7A5" wp14:editId="13F05E1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5BF067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ABFA6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B116A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BC6205D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C670DF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8FB2A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12742D3" w14:textId="77777777" w:rsidTr="009F66A8">
        <w:trPr>
          <w:cantSplit/>
        </w:trPr>
        <w:tc>
          <w:tcPr>
            <w:tcW w:w="6620" w:type="dxa"/>
            <w:vMerge w:val="restart"/>
          </w:tcPr>
          <w:p w14:paraId="22498C46" w14:textId="14636D19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A9715AB" w14:textId="5DFFF389" w:rsidR="0015650C" w:rsidRPr="002F71D8" w:rsidRDefault="0040334B" w:rsidP="0040334B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15650C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DC2650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2A0082B" w14:textId="77777777" w:rsidTr="009F66A8">
        <w:trPr>
          <w:cantSplit/>
        </w:trPr>
        <w:tc>
          <w:tcPr>
            <w:tcW w:w="6620" w:type="dxa"/>
            <w:vMerge/>
          </w:tcPr>
          <w:p w14:paraId="2A3B5C5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25143BA" w14:textId="2F96EC7E" w:rsidR="0015650C" w:rsidRPr="002F71D8" w:rsidRDefault="0040334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37E01F59" w14:textId="77777777" w:rsidTr="009F66A8">
        <w:trPr>
          <w:cantSplit/>
        </w:trPr>
        <w:tc>
          <w:tcPr>
            <w:tcW w:w="6620" w:type="dxa"/>
            <w:vMerge/>
          </w:tcPr>
          <w:p w14:paraId="10662C0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AB474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DC265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C058281" w14:textId="77777777" w:rsidTr="009F66A8">
        <w:trPr>
          <w:cantSplit/>
        </w:trPr>
        <w:tc>
          <w:tcPr>
            <w:tcW w:w="9672" w:type="dxa"/>
            <w:gridSpan w:val="2"/>
          </w:tcPr>
          <w:p w14:paraId="2C1F68D5" w14:textId="097C6101" w:rsidR="00290728" w:rsidRPr="00290728" w:rsidRDefault="00DC2650" w:rsidP="00290728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مشروع جدول أعمال المشاورة الافتراضية لأعضاء المجل</w:t>
            </w:r>
            <w:r w:rsidR="003B02DA">
              <w:rPr>
                <w:rFonts w:hint="cs"/>
                <w:rtl/>
                <w:lang w:bidi="ar-SY"/>
              </w:rPr>
              <w:t xml:space="preserve">س </w:t>
            </w:r>
            <w:r>
              <w:rPr>
                <w:lang w:bidi="ar-SY"/>
              </w:rPr>
              <w:t>(C21\VCC-1)</w:t>
            </w:r>
          </w:p>
        </w:tc>
      </w:tr>
      <w:tr w:rsidR="00290728" w:rsidRPr="00290728" w14:paraId="7AE59F79" w14:textId="77777777" w:rsidTr="009F66A8">
        <w:trPr>
          <w:cantSplit/>
        </w:trPr>
        <w:tc>
          <w:tcPr>
            <w:tcW w:w="9672" w:type="dxa"/>
            <w:gridSpan w:val="2"/>
          </w:tcPr>
          <w:p w14:paraId="0A6C6183" w14:textId="73A090D7" w:rsidR="00290728" w:rsidRPr="00383829" w:rsidRDefault="00290728" w:rsidP="007D79B4">
            <w:pPr>
              <w:pStyle w:val="Title1"/>
              <w:spacing w:before="0" w:after="0"/>
              <w:rPr>
                <w:rtl/>
                <w:lang w:bidi="ar-EG"/>
              </w:rPr>
            </w:pPr>
          </w:p>
        </w:tc>
      </w:tr>
    </w:tbl>
    <w:p w14:paraId="1528521A" w14:textId="77777777" w:rsidR="00706D7A" w:rsidRDefault="00706D7A" w:rsidP="002154EE">
      <w:pPr>
        <w:rPr>
          <w:lang w:bidi="ar-EG"/>
        </w:rPr>
      </w:pPr>
    </w:p>
    <w:tbl>
      <w:tblPr>
        <w:bidiVisual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DC2650" w:rsidRPr="00DC2650" w14:paraId="1CD0AE6C" w14:textId="77777777" w:rsidTr="00DC2650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3C8F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0B1E7" w14:textId="22CB5288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359135" w14:textId="6DB45952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07121" w14:textId="69DE30C0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الوضع النهائي</w:t>
            </w:r>
          </w:p>
        </w:tc>
      </w:tr>
      <w:tr w:rsidR="00DC2650" w:rsidRPr="00DC2650" w14:paraId="0BF074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17E4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13136" w14:textId="70EF1A55" w:rsidR="00DC2650" w:rsidRPr="00DC2650" w:rsidRDefault="00DC2650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تجميع نتائج مناقشات المشاورات الافتراضية لأعضاء المجلس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4F9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674E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97DD20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D79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A16" w14:textId="5A151073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عن جمعية الاتصالات الراديوية لعام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t>(RA</w:t>
            </w:r>
            <w:r w:rsidRPr="00DC2650">
              <w:rPr>
                <w:rFonts w:eastAsia="Times New Roman"/>
                <w:sz w:val="18"/>
                <w:szCs w:val="18"/>
                <w:lang w:val="en-GB"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والمؤتمر العالمي للاتصالات الراديوية لعام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(WRC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  <w:t>19)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يحاط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علماً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EG"/>
              </w:rPr>
              <w:t>بها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مع الوثيقة </w:t>
            </w:r>
            <w:r w:rsidRPr="00DC2650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C21/14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أعلاه)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AA46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926A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E9AC83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BB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FF83" w14:textId="276F2332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 xml:space="preserve">تقرير بشأن تنفيذ الخطة الاستراتيجية للاتحاد وأنشطته للفترة 2020-2021 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(الأرقام </w:t>
            </w:r>
            <w:r w:rsidRPr="00DC2650">
              <w:rPr>
                <w:rFonts w:eastAsia="Times New Roman"/>
                <w:spacing w:val="-6"/>
                <w:sz w:val="18"/>
                <w:szCs w:val="18"/>
                <w:lang w:eastAsia="en-GB"/>
              </w:rPr>
              <w:t>61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102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/>
              </w:rPr>
              <w:t>82</w:t>
            </w:r>
            <w:r w:rsidRPr="00DC2650">
              <w:rPr>
                <w:rFonts w:eastAsia="Times New Roman" w:hint="cs"/>
                <w:spacing w:val="-6"/>
                <w:sz w:val="18"/>
                <w:szCs w:val="18"/>
                <w:rtl/>
                <w:lang w:eastAsia="en-GB" w:bidi="ar-EG"/>
              </w:rPr>
              <w:t xml:space="preserve"> من الاتفاقية)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391B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E85AB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222D735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5D4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812" w14:textId="14F6BDEB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مشروع الخطة التشغيلية الرباعية للأمانة العامة للفترة 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2024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noBreakHyphen/>
              <w:t>2021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(الأرقام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 w:bidi="ar-EG"/>
              </w:rPr>
              <w:t> 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87A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181A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205A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DC2650">
              <w:rPr>
                <w:rFonts w:eastAsia="Times New Roman"/>
                <w:sz w:val="18"/>
                <w:szCs w:val="18"/>
                <w:lang w:eastAsia="en-GB"/>
              </w:rPr>
              <w:t>223A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الاتفاقية) </w:t>
            </w:r>
            <w:r w:rsidRPr="00DC26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(القرار 1390 للمجلس)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AE8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DDAE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A6C2E8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F48E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0BF6F" w14:textId="3E719104" w:rsidR="00DC2650" w:rsidRPr="00DC2650" w:rsidRDefault="00DC2650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وضع الخطتين الاستراتيجية والمالية للاتحاد للفترة 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2024</w:t>
            </w: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noBreakHyphen/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29D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2F13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F94052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A2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9DD" w14:textId="7C786C96" w:rsidR="00DC2650" w:rsidRPr="00DC2650" w:rsidRDefault="00DC2650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rFonts w:eastAsia="Times New Roman"/>
                <w:sz w:val="18"/>
                <w:szCs w:val="18"/>
                <w:rtl/>
                <w:lang w:eastAsia="en-GB"/>
              </w:rPr>
              <w:t>قائمة الترشيحات لمناصب رؤساء ونواب رؤساء أفرقة العمل التابعة للمجلس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وأفرقة الخبراء وأفرقة الخبراء غير</w:t>
            </w:r>
            <w:r w:rsidRPr="00DC2650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الرسمية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FBF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41C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39A18A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445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7D1" w14:textId="32C829D7" w:rsidR="00DC2650" w:rsidRDefault="00DC2650" w:rsidP="00B600A6">
            <w:pPr>
              <w:tabs>
                <w:tab w:val="left" w:pos="284"/>
              </w:tabs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DC2650">
              <w:rPr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>للمؤتمر العالمي لتنمية الاتصالات</w:t>
            </w:r>
            <w:r w:rsidRPr="00DC2650">
              <w:rPr>
                <w:sz w:val="18"/>
                <w:szCs w:val="18"/>
                <w:rtl/>
                <w:lang w:eastAsia="en-GB"/>
              </w:rPr>
              <w:t xml:space="preserve"> لعام</w:t>
            </w:r>
            <w:r w:rsidRPr="00DC2650">
              <w:rPr>
                <w:rFonts w:hint="eastAsia"/>
                <w:sz w:val="18"/>
                <w:szCs w:val="18"/>
                <w:rtl/>
                <w:lang w:eastAsia="en-GB"/>
              </w:rPr>
              <w:t> </w:t>
            </w:r>
            <w:r w:rsidRPr="00DC2650">
              <w:rPr>
                <w:sz w:val="18"/>
                <w:szCs w:val="18"/>
                <w:lang w:val="en-GB" w:eastAsia="en-GB"/>
              </w:rPr>
              <w:t>2021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sz w:val="18"/>
                <w:szCs w:val="18"/>
                <w:lang w:val="en-GB" w:eastAsia="en-GB"/>
              </w:rPr>
              <w:t>(WTDC-21)</w:t>
            </w:r>
            <w:r w:rsidRPr="00DC2650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(المقرر 609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DC2650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  <w:p w14:paraId="09BB2D1D" w14:textId="77777777" w:rsidR="00DC2650" w:rsidRDefault="00DC2650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sz w:val="18"/>
                <w:szCs w:val="18"/>
                <w:rtl/>
                <w:lang w:eastAsia="en-GB" w:bidi="ar-EG"/>
              </w:rPr>
              <w:tab/>
            </w: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 xml:space="preserve">رسالة من حكومة إثيوبيا فيما يتعلق بالمؤتمر العالمي لتنمية الاتصالات لعام </w:t>
            </w:r>
            <w:r>
              <w:rPr>
                <w:sz w:val="18"/>
                <w:szCs w:val="18"/>
                <w:lang w:eastAsia="en-GB" w:bidi="ar-EG"/>
              </w:rPr>
              <w:t>2021</w:t>
            </w:r>
          </w:p>
          <w:p w14:paraId="5CDDF14D" w14:textId="5713A342" w:rsidR="0040334B" w:rsidRPr="00DC2650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sz w:val="18"/>
                <w:szCs w:val="18"/>
                <w:rtl/>
                <w:lang w:eastAsia="en-GB" w:bidi="ar-EG"/>
              </w:rPr>
              <w:tab/>
            </w:r>
            <w:r>
              <w:rPr>
                <w:rFonts w:hint="cs"/>
                <w:sz w:val="18"/>
                <w:szCs w:val="18"/>
                <w:rtl/>
                <w:lang w:eastAsia="en-GB" w:bidi="ar-EG"/>
              </w:rPr>
              <w:t>رسالة من حكومة الاتحاد الروسي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3D2" w14:textId="77777777" w:rsidR="0040334B" w:rsidRPr="003D5380" w:rsidRDefault="0040334B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begin"/>
            </w:r>
            <w:r>
              <w:rPr>
                <w:b/>
                <w:bCs/>
                <w:sz w:val="18"/>
                <w:szCs w:val="18"/>
                <w:lang w:eastAsia="en-GB"/>
              </w:rPr>
              <w:instrText xml:space="preserve"> HYPERLINK "https://www.itu.int/md/S21-CL-C-0030/en" </w:instrText>
            </w:r>
            <w:r>
              <w:rPr>
                <w:b/>
                <w:bCs/>
                <w:sz w:val="18"/>
                <w:szCs w:val="18"/>
                <w:lang w:eastAsia="en-GB"/>
              </w:rPr>
              <w:fldChar w:fldCharType="separate"/>
            </w:r>
            <w:r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C21/30(Cor.1)</w:t>
            </w:r>
          </w:p>
          <w:p w14:paraId="5E8CF2E8" w14:textId="77777777" w:rsidR="0040334B" w:rsidRDefault="0040334B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end"/>
            </w:r>
            <w:hyperlink r:id="rId15" w:history="1">
              <w:r w:rsidRPr="00F8234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5B86670" w14:textId="604FA364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EA058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1000D43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97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A71" w14:textId="21EE2A1D" w:rsidR="008658E4" w:rsidRPr="002424B5" w:rsidRDefault="008658E4" w:rsidP="00B600A6">
            <w:pPr>
              <w:spacing w:before="60" w:after="60" w:line="260" w:lineRule="exact"/>
              <w:rPr>
                <w:color w:val="000000"/>
                <w:spacing w:val="4"/>
                <w:sz w:val="18"/>
                <w:szCs w:val="18"/>
                <w:lang w:eastAsia="en-GB"/>
              </w:rPr>
            </w:pPr>
            <w:r w:rsidRPr="002424B5">
              <w:rPr>
                <w:rFonts w:eastAsia="Times New Roman"/>
                <w:spacing w:val="4"/>
                <w:sz w:val="18"/>
                <w:szCs w:val="18"/>
                <w:rtl/>
                <w:lang w:eastAsia="en-GB"/>
              </w:rPr>
              <w:t>الأعمال التحضيرية للمنتدى العالمي لسياسات الاتصالات/تكنولوجيا المعلومات والاتصالات لعام</w:t>
            </w:r>
            <w:r w:rsidRPr="002424B5">
              <w:rPr>
                <w:rFonts w:eastAsia="Times New Roman" w:hint="eastAsia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2021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t>(WTPF</w:t>
            </w:r>
            <w:r w:rsidRPr="002424B5">
              <w:rPr>
                <w:rFonts w:eastAsia="Times New Roman"/>
                <w:spacing w:val="4"/>
                <w:sz w:val="18"/>
                <w:szCs w:val="18"/>
                <w:lang w:val="en-GB" w:eastAsia="en-GB"/>
              </w:rPr>
              <w:noBreakHyphen/>
              <w:t>21)</w:t>
            </w:r>
            <w:r w:rsidRPr="002424B5">
              <w:rPr>
                <w:rFonts w:eastAsia="Times New Roman" w:hint="cs"/>
                <w:spacing w:val="4"/>
                <w:sz w:val="18"/>
                <w:szCs w:val="18"/>
                <w:rtl/>
                <w:lang w:eastAsia="en-GB"/>
              </w:rPr>
              <w:t xml:space="preserve"> 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(القرار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2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 xml:space="preserve"> والمقرر </w:t>
            </w:r>
            <w:r w:rsidRPr="002424B5">
              <w:rPr>
                <w:rFonts w:eastAsia="Times New Roman"/>
                <w:i/>
                <w:iCs/>
                <w:spacing w:val="4"/>
                <w:sz w:val="18"/>
                <w:szCs w:val="18"/>
                <w:lang w:val="en-GB" w:eastAsia="en-GB"/>
              </w:rPr>
              <w:t>611</w:t>
            </w:r>
            <w:r w:rsidRPr="002424B5">
              <w:rPr>
                <w:rFonts w:eastAsia="Times New Roman" w:hint="cs"/>
                <w:i/>
                <w:iCs/>
                <w:spacing w:val="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635" w14:textId="77777777" w:rsidR="008658E4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21231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853D52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9D6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353" w14:textId="77777777" w:rsidR="008658E4" w:rsidRDefault="008658E4" w:rsidP="00B600A6">
            <w:pPr>
              <w:spacing w:before="60" w:after="60" w:line="260" w:lineRule="exact"/>
              <w:rPr>
                <w:rFonts w:eastAsia="Times New Roman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</w:pP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الأعمال التحضيرية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للجمعية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 xml:space="preserve"> العالمية لتقييس الاتصالات لعام</w:t>
            </w:r>
            <w:r w:rsidRPr="00FE0044">
              <w:rPr>
                <w:rFonts w:eastAsia="Times New Roman" w:hint="eastAsia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2020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(WTSA-20)</w:t>
            </w:r>
            <w:r w:rsidRPr="00FE0044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FE0044">
              <w:rPr>
                <w:rFonts w:eastAsia="Times New Roman" w:hint="cs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>(المقرر 608 للمجلس)</w:t>
            </w:r>
          </w:p>
          <w:p w14:paraId="6E83A0C6" w14:textId="27000319" w:rsidR="0040334B" w:rsidRPr="0029687A" w:rsidRDefault="0040334B" w:rsidP="00C718DD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sz w:val="18"/>
                <w:szCs w:val="18"/>
                <w:rtl/>
                <w:lang w:eastAsia="en-GB"/>
              </w:rPr>
            </w:pPr>
            <w:r>
              <w:rPr>
                <w:rFonts w:eastAsia="Times New Roman" w:hint="cs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>
              <w:rPr>
                <w:rFonts w:eastAsia="Times New Roman"/>
                <w:i/>
                <w:iCs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29687A" w:rsidRPr="0029687A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مساهمة من الهند - الجمعية العالمية لتقييس الاتصالات لعام </w:t>
            </w:r>
            <w:r w:rsidR="0029687A" w:rsidRPr="0029687A">
              <w:rPr>
                <w:rFonts w:eastAsia="Times New Roman"/>
                <w:spacing w:val="-2"/>
                <w:sz w:val="18"/>
                <w:szCs w:val="18"/>
                <w:lang w:eastAsia="en-GB" w:bidi="ar-EG"/>
              </w:rPr>
              <w:t>2020</w:t>
            </w:r>
            <w:r w:rsidR="0029687A" w:rsidRPr="0029687A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: </w:t>
            </w:r>
            <w:proofErr w:type="spellStart"/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السيناريوهان</w:t>
            </w:r>
            <w:proofErr w:type="spellEnd"/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 xml:space="preserve"> الممكنان لعقدها في</w:t>
            </w:r>
            <w:r w:rsidR="0029687A" w:rsidRPr="0029687A">
              <w:rPr>
                <w:rFonts w:hint="eastAsia"/>
                <w:sz w:val="18"/>
                <w:szCs w:val="18"/>
                <w:rtl/>
                <w:lang w:eastAsia="en-GB"/>
              </w:rPr>
              <w:t> </w:t>
            </w:r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ظل تفشي جائحة فيروس كورونا (</w:t>
            </w:r>
            <w:r w:rsidR="0029687A" w:rsidRPr="0029687A">
              <w:rPr>
                <w:sz w:val="18"/>
                <w:szCs w:val="18"/>
                <w:lang w:eastAsia="en-GB"/>
              </w:rPr>
              <w:t>COVID-19</w:t>
            </w:r>
            <w:r w:rsidR="0029687A" w:rsidRPr="0029687A">
              <w:rPr>
                <w:rFonts w:hint="cs"/>
                <w:sz w:val="18"/>
                <w:szCs w:val="18"/>
                <w:rtl/>
                <w:lang w:eastAsia="en-GB"/>
              </w:rPr>
              <w:t>) وتوصيات بهذا الشأن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B6F" w14:textId="77777777" w:rsidR="0040334B" w:rsidRDefault="006A15A5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40334B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4ABBC84F" w14:textId="55BBBCFF" w:rsidR="008658E4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06C9F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7E36F743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DE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BCA4" w14:textId="5187B6D2" w:rsidR="008658E4" w:rsidRPr="00DC2650" w:rsidRDefault="008658E4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الأعمال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التحضيرية لمؤتمر المندوبين المفوضين (بوخارست،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440" w14:textId="77777777" w:rsidR="008658E4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D4FB1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20DE848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CDDD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8F6" w14:textId="0CCAD019" w:rsidR="008658E4" w:rsidRPr="00DC2650" w:rsidRDefault="008658E4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تحسينات مقترحة بشأن مؤتمرات المندوبين المفوضين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F9F" w14:textId="77777777" w:rsidR="008658E4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8658E4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499A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8658E4" w:rsidRPr="00DC2650" w14:paraId="061D692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9E8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1DB" w14:textId="59590829" w:rsidR="008658E4" w:rsidRPr="00DC2650" w:rsidRDefault="008658E4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تنفيذ التوصيتين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للجنة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التابعة لمؤتمر المندوبين المفوضين لعام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2018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(العملية الانتخابية)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75C" w14:textId="77777777" w:rsidR="008658E4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8658E4" w:rsidRPr="00DC2650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3BC3" w14:textId="77777777" w:rsidR="008658E4" w:rsidRPr="00DC2650" w:rsidRDefault="008658E4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098D54B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C2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923F" w14:textId="58099F6D" w:rsidR="00A0244A" w:rsidRPr="00DC2650" w:rsidRDefault="00A0244A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الأعمال التحضيرية </w:t>
            </w:r>
            <w:r w:rsidR="00BC086F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للمؤتمر العالمي للاتصالات الراديوية</w:t>
            </w: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لعام 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41B1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1617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F8EF43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9FBC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0D3" w14:textId="5D466EC5" w:rsidR="00DC2650" w:rsidRPr="00DC2650" w:rsidRDefault="00A0244A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/>
              </w:rPr>
            </w:pP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المواعيد والمدد المقترحة لعقد دورات </w:t>
            </w:r>
            <w:r w:rsidR="00051668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المجلس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للأعوام 2022 و2023 و2024 و2025 و2026 ولاجتماعات أفرقة العمل التابعة للمجلس في </w:t>
            </w:r>
            <w:r w:rsidRPr="00A0244A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2022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و</w:t>
            </w:r>
            <w:r w:rsidRPr="00A0244A">
              <w:rPr>
                <w:color w:val="000000"/>
                <w:sz w:val="18"/>
                <w:szCs w:val="18"/>
                <w:lang w:eastAsia="en-GB"/>
              </w:rPr>
              <w:t>2023</w:t>
            </w:r>
            <w:r w:rsidRPr="00A0244A">
              <w:rPr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A0244A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(القراران 77 و111 والمقرر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AF7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DC72D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E0A8AF2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CE8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27B" w14:textId="4AC199B5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>الجدول الزمني لمؤتمرات الاتحاد وجمعياته واجتماعاته المقبلة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: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2021-2024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77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111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D59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BB20D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EA48E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20CE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633" w14:textId="54EDFF3E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color w:val="000000"/>
                <w:sz w:val="18"/>
                <w:szCs w:val="18"/>
                <w:rtl/>
                <w:lang w:eastAsia="en-GB"/>
              </w:rPr>
              <w:t xml:space="preserve">اليوم العالمي للاتصالات ومجتمع المعلومات 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/>
              </w:rPr>
              <w:t>(القرار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68</w:t>
            </w:r>
            <w:r w:rsidRPr="00C73046">
              <w:rPr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390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7DEA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298A0D7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65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lastRenderedPageBreak/>
              <w:t>17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124D" w14:textId="3903CF4C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مشروع ميزانية الاتحاد الدولي للاتصالات لفترة السنتين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DFF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8FA61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5D91872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65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32D6B" w14:textId="65C452D4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/>
              </w:rPr>
            </w:pP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>القيمة المبدئية لوحدة المساهمة لأغراض الخطة المالية للفترة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9B9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7A5D3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7CE77CF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54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31360" w14:textId="16D6C6B7" w:rsidR="00DC2650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 w:bidi="ar-EG"/>
              </w:rPr>
              <w:t xml:space="preserve">الأنشطة المقررة غير الممولة </w:t>
            </w:r>
            <w:r w:rsidRPr="00C73046">
              <w:rPr>
                <w:sz w:val="18"/>
                <w:szCs w:val="18"/>
                <w:lang w:eastAsia="en-GB"/>
              </w:rPr>
              <w:t>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3540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96E5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471C44D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59F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498" w14:textId="008C42F1" w:rsidR="00DC2650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تقرير رئيس فريق العمل التابع للمجلس والمعني بالموارد المالية والبشرية 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t>(CWG</w:t>
            </w:r>
            <w:r w:rsidRPr="00C73046">
              <w:rPr>
                <w:color w:val="000000"/>
                <w:sz w:val="18"/>
                <w:szCs w:val="18"/>
                <w:lang w:eastAsia="en-GB"/>
              </w:rPr>
              <w:noBreakHyphen/>
              <w:t>FHR)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(المقرران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563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(المعدّل) للمجلس)</w:t>
            </w:r>
            <w:r w:rsidRPr="00C73046">
              <w:rPr>
                <w:rFonts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(القرارات 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151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152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158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169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73046">
              <w:rPr>
                <w:i/>
                <w:iCs/>
                <w:color w:val="000000"/>
                <w:sz w:val="18"/>
                <w:szCs w:val="18"/>
                <w:lang w:eastAsia="en-GB"/>
              </w:rPr>
              <w:t>170</w:t>
            </w:r>
            <w:r w:rsidRPr="00C73046">
              <w:rPr>
                <w:rFonts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145" w14:textId="62646B66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(+Add.1)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AD0A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DC2650" w:rsidRPr="00DC2650" w14:paraId="38A3931A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DF2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A18" w14:textId="3152EC5E" w:rsidR="00DC2650" w:rsidRPr="00DC2650" w:rsidRDefault="00C73046" w:rsidP="00B600A6">
            <w:pPr>
              <w:spacing w:before="60" w:after="60" w:line="260" w:lineRule="exact"/>
              <w:rPr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C73046">
              <w:rPr>
                <w:sz w:val="18"/>
                <w:szCs w:val="18"/>
                <w:rtl/>
                <w:lang w:eastAsia="en-GB"/>
              </w:rPr>
              <w:t>المتأخرات والحسابات الخاصة بالمتأخرات</w:t>
            </w:r>
            <w:r w:rsidRPr="00C73046">
              <w:rPr>
                <w:rFonts w:hint="cs"/>
                <w:sz w:val="18"/>
                <w:szCs w:val="18"/>
                <w:rtl/>
                <w:lang w:eastAsia="en-GB"/>
              </w:rPr>
              <w:t xml:space="preserve"> 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C73046">
              <w:rPr>
                <w:i/>
                <w:iCs/>
                <w:sz w:val="18"/>
                <w:szCs w:val="18"/>
                <w:lang w:eastAsia="en-GB"/>
              </w:rPr>
              <w:t>41</w:t>
            </w:r>
            <w:r w:rsidRPr="00C73046">
              <w:rPr>
                <w:rFonts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1A4" w14:textId="77777777" w:rsidR="00DC2650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DC2650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64FE3" w14:textId="77777777" w:rsidR="00DC2650" w:rsidRPr="00DC2650" w:rsidRDefault="00DC2650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6A9824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F1E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5EC" w14:textId="0461F87C" w:rsidR="00C73046" w:rsidRPr="00DC2650" w:rsidRDefault="00C73046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المراجع الداخلي عن أنشطة المراج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َ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عة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AAD" w14:textId="77777777" w:rsidR="00C73046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0FD75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C73046" w:rsidRPr="00DC2650" w14:paraId="50F9E8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425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20C" w14:textId="647D0584" w:rsidR="00C73046" w:rsidRPr="00DC2650" w:rsidRDefault="00C73046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وظيفة وعملية التحقيق الجديدة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EA79" w14:textId="77777777" w:rsidR="00C73046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C73046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312ED" w14:textId="77777777" w:rsidR="00C73046" w:rsidRPr="00DC2650" w:rsidRDefault="00C73046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A2B3CB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1337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C03" w14:textId="77777777" w:rsidR="00B87421" w:rsidRDefault="00B87421" w:rsidP="00B600A6">
            <w:pPr>
              <w:spacing w:before="60" w:after="60" w:line="260" w:lineRule="exact"/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عن التقدم المحرز بشأن مشروع مباني مقر الاتحاد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212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  <w:p w14:paraId="3A842AA5" w14:textId="6C724271" w:rsidR="0040334B" w:rsidRPr="0092550E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</w:pPr>
            <w:r w:rsidRPr="0040334B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 w:rsidRPr="0040334B"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92550E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مساهمة من الكويت - </w:t>
            </w:r>
            <w:r w:rsidR="0092550E" w:rsidRPr="0092550E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 xml:space="preserve">اقتراح مراجعة المقرر </w:t>
            </w:r>
            <w:r w:rsidR="0092550E" w:rsidRPr="0092550E">
              <w:rPr>
                <w:rFonts w:eastAsia="Times New Roman"/>
                <w:spacing w:val="-2"/>
                <w:sz w:val="18"/>
                <w:szCs w:val="18"/>
                <w:lang w:eastAsia="en-GB" w:bidi="ar-EG"/>
              </w:rPr>
              <w:t>619</w:t>
            </w:r>
          </w:p>
          <w:p w14:paraId="4DB7E9C4" w14:textId="77BC2143" w:rsidR="0040334B" w:rsidRPr="00117F9F" w:rsidRDefault="0040334B" w:rsidP="00B600A6">
            <w:pPr>
              <w:tabs>
                <w:tab w:val="clear" w:pos="794"/>
                <w:tab w:val="left" w:pos="284"/>
              </w:tabs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40334B">
              <w:rPr>
                <w:rFonts w:eastAsia="Times New Roman" w:hint="cs"/>
                <w:spacing w:val="-2"/>
                <w:sz w:val="18"/>
                <w:szCs w:val="18"/>
                <w:rtl/>
                <w:lang w:eastAsia="en-GB" w:bidi="ar-EG"/>
              </w:rPr>
              <w:t>-</w:t>
            </w:r>
            <w:r w:rsidRPr="0040334B">
              <w:rPr>
                <w:rFonts w:eastAsia="Times New Roman"/>
                <w:spacing w:val="-2"/>
                <w:sz w:val="18"/>
                <w:szCs w:val="18"/>
                <w:rtl/>
                <w:lang w:eastAsia="en-GB" w:bidi="ar-EG"/>
              </w:rPr>
              <w:tab/>
            </w:r>
            <w:r w:rsidR="0092550E" w:rsidRPr="00117F9F">
              <w:rPr>
                <w:rFonts w:eastAsia="Times New Roman" w:hint="cs"/>
                <w:spacing w:val="-4"/>
                <w:sz w:val="18"/>
                <w:szCs w:val="18"/>
                <w:rtl/>
                <w:lang w:eastAsia="en-GB" w:bidi="ar-EG"/>
              </w:rPr>
              <w:t xml:space="preserve">مساهمة من الولايات المتحدة وكندا والمكسيك والأرجنتين - 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/>
              </w:rPr>
              <w:t xml:space="preserve">بديلة للوثيقة </w:t>
            </w:r>
            <w:r w:rsidR="00117F9F" w:rsidRPr="00117F9F">
              <w:rPr>
                <w:spacing w:val="-4"/>
                <w:sz w:val="18"/>
                <w:szCs w:val="18"/>
                <w:lang w:eastAsia="en-GB" w:bidi="ar-EG"/>
              </w:rPr>
              <w:t>C21/77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/>
              </w:rPr>
              <w:t>،</w:t>
            </w:r>
            <w:r w:rsidR="00117F9F" w:rsidRPr="00117F9F">
              <w:rPr>
                <w:rFonts w:hint="cs"/>
                <w:spacing w:val="-4"/>
                <w:sz w:val="18"/>
                <w:szCs w:val="18"/>
                <w:rtl/>
                <w:lang w:eastAsia="en-GB" w:bidi="ar-EG"/>
              </w:rPr>
              <w:t xml:space="preserve"> مراجعة المقرر </w:t>
            </w:r>
            <w:r w:rsidR="00117F9F" w:rsidRPr="00117F9F">
              <w:rPr>
                <w:spacing w:val="-4"/>
                <w:sz w:val="18"/>
                <w:szCs w:val="18"/>
                <w:lang w:eastAsia="en-GB" w:bidi="ar-EG"/>
              </w:rPr>
              <w:t>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2D0" w14:textId="77777777" w:rsidR="0040334B" w:rsidRDefault="006A15A5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40334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4A9CC2B1" w14:textId="77777777" w:rsidR="0040334B" w:rsidRDefault="006A15A5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238FD44E" w14:textId="7AE5E753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06E7B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54CCF94E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F75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4B5" w14:textId="4B0DA97B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الفريق الاستشاري للدول الأعضاء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(MSAG)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(القرار</w:t>
            </w:r>
            <w:r w:rsidRPr="00540CDC">
              <w:rPr>
                <w:rFonts w:eastAsia="Times New Roman" w:hint="eastAsia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F59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133E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178C9A7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FFA0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23E" w14:textId="357BB60B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استراتيجية بشأن ظروف عمل الموظفين وخطة لتنفيذها 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(المقرر </w:t>
            </w:r>
            <w:r w:rsidRPr="00CE3850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619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CE3850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B8D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240B1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00B27D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F2E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46F" w14:textId="2F80DDD1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قرارات الجمعية العامة للأمم المتحدة بشأن شروط الخدمة في النظام الموحد للأمم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686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EACA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B87421" w:rsidRPr="00DC2650" w14:paraId="24F4928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4DFF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E03" w14:textId="60D7B2AA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بشأن نتائج أنشطة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فريق العمل التابع للمجلس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والمعني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القمة العالمية لمجتمع المعلومات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وأهداف التنمية المستدامة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القرار </w:t>
            </w:r>
            <w:r w:rsidRPr="00B76D5A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140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وقرارات المجلس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1281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1332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(المعدّل))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،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(يحاط علماً بها كمجموعة)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B8E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265B5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43E7EA1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A467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F50" w14:textId="4C491954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D76499">
              <w:rPr>
                <w:rFonts w:eastAsia="Times New Roman"/>
                <w:spacing w:val="-4"/>
                <w:sz w:val="18"/>
                <w:szCs w:val="18"/>
                <w:rtl/>
                <w:lang w:eastAsia="en-GB"/>
              </w:rPr>
              <w:t xml:space="preserve">تقرير فريق العمل التابع للمجلس والمعني بحماية الأطفال على الخط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(القرار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 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179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و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ال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قرار 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lang w:eastAsia="en-GB"/>
              </w:rPr>
              <w:t>1306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 w:bidi="ar-EG"/>
              </w:rPr>
              <w:t>المعدَّل</w:t>
            </w:r>
            <w:r w:rsidRPr="00D76499">
              <w:rPr>
                <w:rFonts w:eastAsia="Times New Roman" w:hint="cs"/>
                <w:i/>
                <w:iCs/>
                <w:spacing w:val="-4"/>
                <w:sz w:val="18"/>
                <w:szCs w:val="18"/>
                <w:rtl/>
                <w:lang w:eastAsia="en-GB"/>
              </w:rPr>
              <w:t>) للمجلس</w:t>
            </w:r>
            <w:r w:rsidRPr="00D76499">
              <w:rPr>
                <w:rFonts w:eastAsia="Times New Roman"/>
                <w:i/>
                <w:iCs/>
                <w:spacing w:val="-4"/>
                <w:sz w:val="18"/>
                <w:szCs w:val="18"/>
                <w:rtl/>
                <w:lang w:eastAsia="en-GB"/>
              </w:rPr>
              <w:t>)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 xml:space="preserve"> (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D76499">
              <w:rPr>
                <w:rFonts w:eastAsia="Times New Roman" w:hint="cs"/>
                <w:spacing w:val="-4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BF7B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AF6B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08E0903D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A966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8FC2" w14:textId="3C47F773" w:rsidR="00B87421" w:rsidRPr="00DC2650" w:rsidRDefault="00B87421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تقرير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فريق العمل التابع للمجلس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والمعني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اللغات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154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1372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(المعدَّل) للمجلس)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049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2BF44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234223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371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121" w14:textId="295A029A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فريق الخبراء المعني بلوائح الاتصالات الدولية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t>EG</w:t>
            </w:r>
            <w:r w:rsidRPr="00540CDC">
              <w:rPr>
                <w:rFonts w:eastAsia="Times New Roman"/>
                <w:bCs/>
                <w:sz w:val="18"/>
                <w:szCs w:val="18"/>
                <w:lang w:eastAsia="en-GB"/>
              </w:rPr>
              <w:noBreakHyphen/>
              <w:t>ITR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146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1379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(المعدَّل)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للمجلس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8F9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ECE6E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B87421" w:rsidRPr="00DC2650" w14:paraId="1DC8BCB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9B826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E84" w14:textId="30FF7012" w:rsidR="00B87421" w:rsidRPr="00DC2650" w:rsidRDefault="00B87421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رئيس فريق العمل التابع للمجلس والمعني بقضايا السياسات العامة الدولية المتعلقة بالإنترنت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(CWG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Internet)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(قرارا المجلس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1305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 xml:space="preserve"> و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1336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(المعدّل)) (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يحاط علماً بها كمجموعة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715" w14:textId="77777777" w:rsidR="00B87421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B87421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7F543" w14:textId="77777777" w:rsidR="00B87421" w:rsidRPr="00DC2650" w:rsidRDefault="00B87421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3434C730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AD38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708" w14:textId="6E391381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كيفية استعمال الاتحاد حالياً لإطار البرنامج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7800" w14:textId="77777777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9FFE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52FA784B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6D1" w14:textId="77777777" w:rsidR="00383393" w:rsidRPr="006628AC" w:rsidRDefault="00383393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/>
              </w:rPr>
            </w:pPr>
            <w:r w:rsidRPr="006628AC">
              <w:rPr>
                <w:rFonts w:eastAsia="Times New Roman"/>
                <w:sz w:val="18"/>
                <w:szCs w:val="18"/>
                <w:rtl/>
                <w:lang w:eastAsia="en-GB"/>
              </w:rPr>
              <w:t>مبادئ توجيهية بشأن استعمال الاتحاد للبرنامج العالمي للأمن السيبراني</w:t>
            </w:r>
          </w:p>
          <w:p w14:paraId="5859D398" w14:textId="31F66EE5" w:rsidR="0040334B" w:rsidRPr="006628AC" w:rsidRDefault="0040334B" w:rsidP="00901145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lang w:val="en-GB" w:eastAsia="en-GB" w:bidi="ar-EG"/>
              </w:rPr>
            </w:pPr>
            <w:r w:rsidRPr="006628AC"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 w:rsidRPr="006628AC"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 w:rsidR="00995076" w:rsidRPr="006628A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مساهمة من أستراليا وكندا والجمهورية التشيكية وفرنسا ورومانيا والمملكة المتحدة لبريطانيا العظمى وأيرلندا الشمالية - مبادئ توجيهية </w:t>
            </w:r>
            <w:r w:rsidR="00995076" w:rsidRPr="006628AC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بشأن استعمال البرنامج العالمي للأمن السيبراني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7D7" w14:textId="77777777" w:rsidR="0040334B" w:rsidRDefault="006A15A5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40334B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09174BBC" w14:textId="62016334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40334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12C8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495D0DF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5D4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507" w14:textId="504E8313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تقرير اللجنة الاستشارية المستقلة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(IMAC)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162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والمقرر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565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D50" w14:textId="77777777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90947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5929C9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BA07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F2A" w14:textId="081A5360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فريق العمل المعني بعمليات الرقابة الداخلية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892F" w14:textId="77777777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38B44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1698984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A65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1A1C" w14:textId="34D39897" w:rsidR="00383393" w:rsidRPr="00DC2650" w:rsidRDefault="00383393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تقرير المراجعة العامة في أعقاب وقوع حالة الاحتيال في مكتب إقليمي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(المقرر 613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 للمجلس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0B5" w14:textId="77777777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861B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4CE92BC6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0F5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D6E" w14:textId="512E4E9E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نظام إدارة المرونة في المنظمة </w:t>
            </w:r>
            <w:r w:rsidRPr="00540CDC">
              <w:rPr>
                <w:rFonts w:eastAsia="Times New Roman"/>
                <w:sz w:val="18"/>
                <w:szCs w:val="18"/>
                <w:lang w:val="en-GB" w:eastAsia="en-GB"/>
              </w:rPr>
              <w:t>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A7D" w14:textId="77777777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383393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3ABF8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675C786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3AF" w14:textId="651F0F5C" w:rsidR="00383393" w:rsidRPr="00DC2650" w:rsidRDefault="000E4545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01D4" w14:textId="7837BF7C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بشأن تنفيذ خطة عمل إدارة المخاطر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1986" w14:textId="2F425D2B" w:rsidR="00383393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3C57A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  <w:r w:rsidR="003C57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1(Cor.1)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1F04" w14:textId="77777777" w:rsidR="00383393" w:rsidRPr="00DC2650" w:rsidRDefault="00383393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383393" w:rsidRPr="00DC2650" w14:paraId="780EE8EB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F2D" w14:textId="01A69E5D" w:rsidR="00383393" w:rsidRPr="00DC2650" w:rsidDel="00B76952" w:rsidRDefault="000E4545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2F9D" w14:textId="32A09F22" w:rsidR="00383393" w:rsidRPr="00DC2650" w:rsidRDefault="00383393" w:rsidP="00B600A6">
            <w:pPr>
              <w:spacing w:before="60" w:after="60" w:line="260" w:lineRule="exact"/>
              <w:rPr>
                <w:sz w:val="18"/>
                <w:szCs w:val="18"/>
                <w:rtl/>
                <w:lang w:bidi="ar-EG"/>
              </w:rPr>
            </w:pPr>
            <w:r w:rsidRPr="00540CDC">
              <w:rPr>
                <w:rFonts w:hint="cs"/>
                <w:sz w:val="18"/>
                <w:szCs w:val="18"/>
                <w:rtl/>
                <w:lang w:bidi="ar-EG"/>
              </w:rPr>
              <w:t xml:space="preserve">مبادرة التحول الرقمي </w:t>
            </w:r>
            <w:r w:rsidRPr="00540CDC">
              <w:rPr>
                <w:sz w:val="18"/>
                <w:szCs w:val="18"/>
              </w:rPr>
              <w:t>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1B3" w14:textId="77777777" w:rsidR="00383393" w:rsidRPr="00DC2650" w:rsidRDefault="006A15A5" w:rsidP="00B600A6">
            <w:pPr>
              <w:pStyle w:val="Heading3"/>
              <w:spacing w:before="60" w:after="60" w:line="260" w:lineRule="exact"/>
              <w:jc w:val="center"/>
              <w:rPr>
                <w:bCs w:val="0"/>
                <w:sz w:val="18"/>
                <w:szCs w:val="18"/>
                <w:lang w:eastAsia="en-GB"/>
              </w:rPr>
            </w:pPr>
            <w:hyperlink r:id="rId53" w:history="1">
              <w:r w:rsidR="00383393" w:rsidRPr="00DC2650">
                <w:rPr>
                  <w:rStyle w:val="Hyperlink"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7CDCD" w14:textId="77777777" w:rsidR="00383393" w:rsidRPr="00DC2650" w:rsidRDefault="00383393" w:rsidP="00B600A6">
            <w:pPr>
              <w:pStyle w:val="Heading3"/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233D1F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918" w14:textId="249C5BFE" w:rsidR="00873719" w:rsidRPr="00DC2650" w:rsidRDefault="000E4545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2F2" w14:textId="7E262DE6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>تقرير مرحلي بشأن تنفيذ الخطة الاستراتيجية المتعلقة بالموارد البشرية والقرار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48</w:t>
            </w:r>
            <w:r w:rsidRPr="00540CDC">
              <w:rPr>
                <w:rFonts w:eastAsia="Times New Roman"/>
                <w:spacing w:val="-2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540CDC">
              <w:rPr>
                <w:rFonts w:eastAsia="Times New Roman"/>
                <w:spacing w:val="-2"/>
                <w:sz w:val="18"/>
                <w:szCs w:val="18"/>
                <w:lang w:eastAsia="en-GB"/>
              </w:rPr>
              <w:t>2018</w:t>
            </w:r>
            <w:r w:rsidRPr="00540CDC">
              <w:rPr>
                <w:rFonts w:eastAsia="Times New Roman" w:hint="cs"/>
                <w:spacing w:val="-2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070B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0DE7A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F7C9BB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DA1" w14:textId="1D6200F5" w:rsidR="00873719" w:rsidRPr="00DC2650" w:rsidRDefault="000E4545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9BF" w14:textId="54F9B796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مشاركة الاتحاد في مجلس صندوق المعاشات التقاعدية لموظفي الأمم المتحدة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36F6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16C82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1125091C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50D" w14:textId="6F45BF26" w:rsidR="00873719" w:rsidRPr="00DC2650" w:rsidRDefault="00641543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8726" w14:textId="6FA4BC68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تقرير من مكتب الأخلاقيات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E6F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A6517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54F3108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46C" w14:textId="18A87A8A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lastRenderedPageBreak/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77C" w14:textId="3A415B79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الالتزامات الخاصة ب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التأمين الصحي بعد انتهاء مدة 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خدمة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 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(ASHI)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19A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486AC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36881C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65" w14:textId="78C42256" w:rsidR="00873719" w:rsidRPr="00DC2650" w:rsidRDefault="00147CE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016" w14:textId="72A694D6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صندوق تنمية تكنولوجيا المعلومات والاتصالات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(ICT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noBreakHyphen/>
              <w:t>DF)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85F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1E26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2FA1253A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E1A" w14:textId="22C733ED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398" w14:textId="16ABBC18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تعزيز الحضور الإقليمي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(القرار 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25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357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D87D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7C83DB50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F889" w14:textId="2E669247" w:rsidR="00873719" w:rsidRPr="00DC2650" w:rsidRDefault="00147CE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46D68" w14:textId="77777777" w:rsidR="00873719" w:rsidRDefault="00873719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الرقم القياسي </w:t>
            </w:r>
            <w:r w:rsidR="007D79B4">
              <w:rPr>
                <w:rFonts w:eastAsia="Times New Roman" w:hint="cs"/>
                <w:sz w:val="18"/>
                <w:szCs w:val="18"/>
                <w:rtl/>
                <w:lang w:eastAsia="en-GB"/>
              </w:rPr>
              <w:t>لتنمية تكنولوجيا المعلومات والاتصالات</w:t>
            </w:r>
          </w:p>
          <w:p w14:paraId="1CD49123" w14:textId="020135ED" w:rsidR="003C57AB" w:rsidRPr="00554619" w:rsidRDefault="003C57AB" w:rsidP="007D0253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/>
              </w:rPr>
              <w:t>-</w:t>
            </w:r>
            <w:r>
              <w:rPr>
                <w:rFonts w:eastAsia="Times New Roman"/>
                <w:sz w:val="18"/>
                <w:szCs w:val="18"/>
                <w:rtl/>
                <w:lang w:eastAsia="en-GB"/>
              </w:rPr>
              <w:tab/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مساهمة من تونس - تنفيذ القرار </w:t>
            </w:r>
            <w:r w:rsidR="00554619">
              <w:rPr>
                <w:rFonts w:eastAsia="Times New Roman"/>
                <w:sz w:val="18"/>
                <w:szCs w:val="18"/>
                <w:lang w:eastAsia="en-GB"/>
              </w:rPr>
              <w:t>131</w:t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(المراجَع في دبي، </w:t>
            </w:r>
            <w:r w:rsidR="00554619">
              <w:rPr>
                <w:rFonts w:eastAsia="Times New Roman"/>
                <w:sz w:val="18"/>
                <w:szCs w:val="18"/>
                <w:lang w:eastAsia="en-GB" w:bidi="ar-EG"/>
              </w:rPr>
              <w:t>2018</w:t>
            </w:r>
            <w:r w:rsidR="00554619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51B" w14:textId="77777777" w:rsidR="003C57AB" w:rsidRDefault="006A15A5" w:rsidP="00B600A6">
            <w:pPr>
              <w:spacing w:before="60" w:after="60" w:line="260" w:lineRule="exact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3C57AB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21D0BEBD" w14:textId="51DDA539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3C57AB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21606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6C10C4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4EB" w14:textId="6461B8DD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B20" w14:textId="77166964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نتائج المؤتمر العالمي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للاتصالات الراديوية لعام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lang w:eastAsia="en-GB"/>
              </w:rPr>
              <w:t>2019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>ذات الآثار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 xml:space="preserve"> المالية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8DA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5CEF3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9CFB0F5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FA80" w14:textId="73F2A3F0" w:rsidR="00873719" w:rsidRPr="00DC2650" w:rsidRDefault="00147CE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2A35" w14:textId="77777777" w:rsidR="00873719" w:rsidRDefault="00873719" w:rsidP="00B600A6">
            <w:pPr>
              <w:spacing w:before="60" w:after="60" w:line="260" w:lineRule="exact"/>
              <w:rPr>
                <w:rFonts w:eastAsia="Times New Roman"/>
                <w:i/>
                <w:iCs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تقرير بشأن تعيين </w:t>
            </w:r>
            <w:r w:rsidRPr="00540CDC">
              <w:rPr>
                <w:rFonts w:eastAsia="Times New Roman"/>
                <w:sz w:val="18"/>
                <w:szCs w:val="18"/>
                <w:rtl/>
                <w:lang w:eastAsia="en-GB"/>
              </w:rPr>
              <w:t>مكتب استشاري خارجي مستقل للإدارة</w:t>
            </w: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، بما في ذلك توصيات واستراتيجيات مختلفة 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 xml:space="preserve">(القرار </w:t>
            </w:r>
            <w:r w:rsidRPr="00236519">
              <w:rPr>
                <w:rFonts w:eastAsia="Times New Roman"/>
                <w:i/>
                <w:iCs/>
                <w:sz w:val="18"/>
                <w:szCs w:val="18"/>
                <w:lang w:val="en-GB" w:eastAsia="en-GB"/>
              </w:rPr>
              <w:t>11</w:t>
            </w:r>
            <w:r w:rsidRPr="00236519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، الفقرة 3 من "يقرر")</w:t>
            </w:r>
          </w:p>
          <w:p w14:paraId="7539AEA7" w14:textId="03EF7DEE" w:rsidR="003C57AB" w:rsidRPr="003C57AB" w:rsidRDefault="003C57AB" w:rsidP="00804617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rPr>
                <w:color w:val="000000"/>
                <w:sz w:val="18"/>
                <w:szCs w:val="18"/>
                <w:lang w:eastAsia="en-GB"/>
              </w:rPr>
            </w:pPr>
            <w:r w:rsidRPr="003C57AB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-</w:t>
            </w:r>
            <w:r w:rsidRPr="003C57AB">
              <w:rPr>
                <w:rFonts w:eastAsia="Times New Roman"/>
                <w:sz w:val="18"/>
                <w:szCs w:val="18"/>
                <w:rtl/>
                <w:lang w:eastAsia="en-GB" w:bidi="ar-EG"/>
              </w:rPr>
              <w:tab/>
            </w:r>
            <w:r w:rsidR="00405B6B"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مساهمة من اليابان - </w:t>
            </w:r>
            <w:r w:rsidR="00405B6B">
              <w:rPr>
                <w:rFonts w:hint="cs"/>
                <w:color w:val="000000"/>
                <w:sz w:val="18"/>
                <w:szCs w:val="18"/>
                <w:rtl/>
                <w:lang w:eastAsia="en-GB"/>
              </w:rPr>
              <w:t>التقييم الاستراتيجي والمالي لأحداث تليكوم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8AD" w14:textId="09171744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r w:rsidR="002E5FE8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hyperlink r:id="rId64" w:history="1">
              <w:r w:rsidR="002E5FE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11001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86AF4A9" w14:textId="77777777" w:rsidTr="00DC2650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27F" w14:textId="5EAD2E05" w:rsidR="00873719" w:rsidRPr="00DC2650" w:rsidRDefault="00147CE1" w:rsidP="00B600A6">
            <w:pPr>
              <w:spacing w:before="60" w:after="60" w:line="260" w:lineRule="exact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D4D" w14:textId="097C7A1A" w:rsidR="00873719" w:rsidRPr="00DC2650" w:rsidRDefault="00873719" w:rsidP="00B600A6">
            <w:pPr>
              <w:spacing w:before="60" w:after="60" w:line="260" w:lineRule="exact"/>
              <w:rPr>
                <w:color w:val="000000"/>
                <w:sz w:val="18"/>
                <w:szCs w:val="18"/>
                <w:rtl/>
                <w:lang w:eastAsia="en-GB" w:bidi="ar-EG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طلبات الإعفاء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811" w14:textId="067F632B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2E5FE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  <w:r w:rsidR="002E5FE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9+Add.1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6448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525E9A6D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919" w14:textId="24C83DF4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EE4" w14:textId="4567337A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 xml:space="preserve">استراتيجية تنسيق الجهود بين قطاعات الاتحاد الثلاثة 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SY"/>
              </w:rPr>
              <w:t>(القرار</w:t>
            </w:r>
            <w:r w:rsidRPr="00540CDC">
              <w:rPr>
                <w:rFonts w:eastAsia="Times New Roman" w:hint="eastAsia"/>
                <w:i/>
                <w:iCs/>
                <w:sz w:val="18"/>
                <w:szCs w:val="18"/>
                <w:rtl/>
                <w:lang w:eastAsia="en-GB" w:bidi="ar-SY"/>
              </w:rPr>
              <w:t> </w:t>
            </w:r>
            <w:r w:rsidRPr="00540CD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191</w:t>
            </w:r>
            <w:r w:rsidRPr="00540CD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8F81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1170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43D2FCE4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ABB" w14:textId="20C0EB0F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0753" w14:textId="4E6D2EF7" w:rsidR="00873719" w:rsidRPr="00DC2650" w:rsidRDefault="00873719" w:rsidP="00B600A6">
            <w:pPr>
              <w:spacing w:before="60" w:after="60" w:line="260" w:lineRule="exact"/>
              <w:rPr>
                <w:sz w:val="18"/>
                <w:szCs w:val="18"/>
                <w:lang w:eastAsia="en-GB"/>
              </w:rPr>
            </w:pPr>
            <w:r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تقرير بشأن الاستدامة البيئية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8C842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73BEF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30CB3351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218" w14:textId="6C7A7609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F55" w14:textId="46349EB1" w:rsidR="00873719" w:rsidRPr="00DC2650" w:rsidRDefault="007D79B4" w:rsidP="00B600A6">
            <w:pPr>
              <w:spacing w:before="60" w:after="60" w:line="260" w:lineRule="exact"/>
              <w:rPr>
                <w:sz w:val="18"/>
                <w:szCs w:val="18"/>
                <w:lang w:eastAsia="en-GB" w:bidi="ar-EG"/>
              </w:rPr>
            </w:pPr>
            <w:r>
              <w:rPr>
                <w:rFonts w:eastAsia="Times New Roman" w:hint="cs"/>
                <w:sz w:val="18"/>
                <w:szCs w:val="18"/>
                <w:rtl/>
                <w:lang w:eastAsia="en-GB" w:bidi="ar-SY"/>
              </w:rPr>
              <w:t>مشروع</w:t>
            </w:r>
            <w:r w:rsidR="00873719" w:rsidRPr="00540CDC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 xml:space="preserve"> سياسة الاتحاد بشأن إمكانية النفاذ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 xml:space="preserve"> من أجل الأشخاص ذوي الإعاقة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0F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C9ACA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  <w:tr w:rsidR="00873719" w:rsidRPr="00DC2650" w14:paraId="6F4E2FB9" w14:textId="77777777" w:rsidTr="00DC2650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EAF" w14:textId="71727C13" w:rsidR="00873719" w:rsidRPr="00DC2650" w:rsidRDefault="00147CE1" w:rsidP="00B600A6">
            <w:pPr>
              <w:spacing w:before="60" w:after="60" w:line="260" w:lineRule="exact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BA0" w14:textId="7739DDC4" w:rsidR="00873719" w:rsidRPr="007D79B4" w:rsidRDefault="007D79B4" w:rsidP="00B600A6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 w:bidi="ar-SY"/>
              </w:rPr>
            </w:pP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تأثير جائحة فيروس كورونا</w:t>
            </w:r>
            <w:r w:rsidRPr="007D79B4">
              <w:rPr>
                <w:rFonts w:eastAsia="Times New Roman"/>
                <w:sz w:val="18"/>
                <w:szCs w:val="18"/>
                <w:lang w:eastAsia="en-GB" w:bidi="ar-SY"/>
              </w:rPr>
              <w:t xml:space="preserve"> (COVID-19) </w:t>
            </w:r>
            <w:r w:rsidRPr="007D79B4">
              <w:rPr>
                <w:rFonts w:eastAsia="Times New Roman"/>
                <w:sz w:val="18"/>
                <w:szCs w:val="18"/>
                <w:rtl/>
                <w:lang w:eastAsia="en-GB" w:bidi="ar-SY"/>
              </w:rPr>
              <w:t>على سير أعمال الاتحاد وأنشطته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9E8" w14:textId="77777777" w:rsidR="00873719" w:rsidRPr="00DC2650" w:rsidRDefault="006A15A5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873719" w:rsidRPr="00DC265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87647" w14:textId="77777777" w:rsidR="00873719" w:rsidRPr="00DC2650" w:rsidRDefault="00873719" w:rsidP="00B600A6">
            <w:pPr>
              <w:spacing w:before="60" w:after="60" w:line="260" w:lineRule="exact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C2650">
              <w:rPr>
                <w:b/>
                <w:bCs/>
                <w:sz w:val="18"/>
                <w:szCs w:val="18"/>
                <w:lang w:eastAsia="en-GB"/>
              </w:rPr>
              <w:t>1</w:t>
            </w:r>
          </w:p>
        </w:tc>
      </w:tr>
    </w:tbl>
    <w:p w14:paraId="54D0BBFB" w14:textId="77777777" w:rsidR="00C959C3" w:rsidRDefault="00C959C3" w:rsidP="00CB028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971FD3" w14:textId="77777777" w:rsidR="00C959C3" w:rsidRPr="00DB2550" w:rsidRDefault="00C959C3" w:rsidP="0037646B">
      <w:pPr>
        <w:pStyle w:val="Annextitle"/>
        <w:spacing w:after="240"/>
        <w:rPr>
          <w:sz w:val="26"/>
          <w:szCs w:val="26"/>
          <w:lang w:bidi="ar-SA"/>
        </w:rPr>
      </w:pPr>
      <w:r w:rsidRPr="00273205">
        <w:rPr>
          <w:rFonts w:hint="cs"/>
          <w:rtl/>
          <w:lang w:bidi="ar-SA"/>
        </w:rPr>
        <w:lastRenderedPageBreak/>
        <w:t>البنود المقترح تأجيلها إلى</w:t>
      </w:r>
      <w:r>
        <w:rPr>
          <w:rFonts w:hint="cs"/>
          <w:rtl/>
          <w:lang w:bidi="ar-SA"/>
        </w:rPr>
        <w:t xml:space="preserve"> </w:t>
      </w:r>
      <w:r w:rsidRPr="00273205">
        <w:rPr>
          <w:rFonts w:hint="cs"/>
          <w:rtl/>
          <w:lang w:bidi="ar-SA"/>
        </w:rPr>
        <w:t>اجتماع مقبل</w:t>
      </w:r>
    </w:p>
    <w:tbl>
      <w:tblPr>
        <w:bidiVisual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C959C3" w:rsidRPr="0085706F" w14:paraId="06A99A33" w14:textId="77777777" w:rsidTr="00C24632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C8B17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0B5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eastAsia="en-GB"/>
              </w:rPr>
              <w:t>العنوان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32936F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رقم الوثيقة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EF214" w14:textId="77777777" w:rsidR="00C959C3" w:rsidRPr="001B141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sz w:val="18"/>
                <w:szCs w:val="18"/>
                <w:rtl/>
                <w:lang w:val="en-GB" w:eastAsia="en-GB"/>
              </w:rPr>
              <w:t>الوضع النهائي</w:t>
            </w:r>
          </w:p>
        </w:tc>
      </w:tr>
      <w:tr w:rsidR="00C959C3" w:rsidRPr="0085706F" w14:paraId="72EEB79B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3B19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EAC4" w14:textId="77777777" w:rsidR="00C959C3" w:rsidRPr="00C000BC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</w:pP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أنشطة الاتحاد المتصلة بالإنترنت: القرارات 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101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102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133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C000BC">
              <w:rPr>
                <w:rFonts w:eastAsia="Times New Roman"/>
                <w:color w:val="000000"/>
                <w:spacing w:val="-2"/>
                <w:sz w:val="18"/>
                <w:szCs w:val="18"/>
                <w:lang w:eastAsia="en-GB"/>
              </w:rPr>
              <w:t>180</w:t>
            </w:r>
            <w:r w:rsidRPr="00C000BC">
              <w:rPr>
                <w:rFonts w:eastAsia="Times New Roman" w:hint="cs"/>
                <w:color w:val="000000"/>
                <w:spacing w:val="-2"/>
                <w:sz w:val="18"/>
                <w:szCs w:val="18"/>
                <w:rtl/>
                <w:lang w:eastAsia="en-GB"/>
              </w:rPr>
              <w:t xml:space="preserve"> 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(بما في ذلك الفقرة 1 من "يكلف المجلس" في</w:t>
            </w:r>
            <w:r w:rsidRPr="00C000BC">
              <w:rPr>
                <w:rFonts w:eastAsia="Times New Roman" w:hint="eastAsia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 </w:t>
            </w:r>
            <w:r w:rsidRPr="00C000BC">
              <w:rPr>
                <w:rFonts w:eastAsia="Times New Roman" w:hint="cs"/>
                <w:i/>
                <w:iCs/>
                <w:color w:val="000000"/>
                <w:spacing w:val="-2"/>
                <w:sz w:val="18"/>
                <w:szCs w:val="18"/>
                <w:rtl/>
                <w:lang w:eastAsia="en-GB"/>
              </w:rPr>
              <w:t>القرار 102)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0BE" w14:textId="77777777" w:rsidR="00C959C3" w:rsidRPr="00057F2C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0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9A86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62EA962" w14:textId="77777777" w:rsidTr="00C24632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B1F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A57" w14:textId="77777777" w:rsidR="00C959C3" w:rsidRPr="006A7201" w:rsidRDefault="00C959C3" w:rsidP="00C24632">
            <w:pPr>
              <w:spacing w:before="60" w:after="60" w:line="260" w:lineRule="exact"/>
              <w:rPr>
                <w:rFonts w:eastAsia="Times New Roman"/>
                <w:spacing w:val="4"/>
                <w:sz w:val="18"/>
                <w:szCs w:val="18"/>
                <w:lang w:eastAsia="en-GB"/>
              </w:rPr>
            </w:pP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أنشطة الاتحاد بشأن تعزيز دوره في بناء الثقة</w:t>
            </w:r>
            <w:r w:rsidRPr="006A7201">
              <w:rPr>
                <w:rFonts w:eastAsia="Times New Roman" w:hint="eastAsia"/>
                <w:color w:val="000000"/>
                <w:spacing w:val="4"/>
                <w:sz w:val="18"/>
                <w:szCs w:val="18"/>
                <w:rtl/>
                <w:lang w:eastAsia="en-GB"/>
              </w:rPr>
              <w:t> 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/>
              </w:rPr>
              <w:t>والأمن في استعمال تكنولوجيا المعلومات والاتصالات</w:t>
            </w:r>
            <w:r w:rsidRPr="006A7201">
              <w:rPr>
                <w:rFonts w:eastAsia="Times New Roman" w:hint="cs"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(القراران 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130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6A7201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  <w:lang w:eastAsia="en-GB"/>
              </w:rPr>
              <w:t>174</w:t>
            </w:r>
            <w:r w:rsidRPr="006A7201">
              <w:rPr>
                <w:rFonts w:eastAsia="Times New Roman" w:hint="cs"/>
                <w:i/>
                <w:iCs/>
                <w:color w:val="000000"/>
                <w:spacing w:val="4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56DE" w14:textId="77777777" w:rsidR="00C959C3" w:rsidRPr="00057F2C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65A1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91D35F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A8E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4AB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rtl/>
                <w:lang w:eastAsia="en-GB" w:bidi="ar-EG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 المتعلقة بالقرار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(المراجَع في دبي،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EF9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2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71AD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33AC27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33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37B4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عن أحداث تليكوم العالمي للاتحاد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/>
              </w:rPr>
              <w:t xml:space="preserve">(القرار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11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والقرار</w:t>
            </w:r>
            <w:r w:rsidRPr="00704E0C">
              <w:rPr>
                <w:rFonts w:eastAsia="Times New Roman" w:hint="eastAsia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1292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 للمجلس)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BC40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3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79E25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222066D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A1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8150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الإيرادات والنفقات (المقرر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):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الاستعراض السنوي للإيرادات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والنفقات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(المقرر </w:t>
            </w:r>
            <w:r w:rsidRPr="00704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/>
              </w:rPr>
              <w:t>5</w:t>
            </w:r>
            <w:r w:rsidRPr="00704E0C">
              <w:rPr>
                <w:rFonts w:eastAsia="Times New Roman" w:hint="cs"/>
                <w:i/>
                <w:iCs/>
                <w:color w:val="000000"/>
                <w:sz w:val="18"/>
                <w:szCs w:val="18"/>
                <w:rtl/>
                <w:lang w:eastAsia="en-GB" w:bidi="ar-EG"/>
              </w:rPr>
              <w:t xml:space="preserve">) </w:t>
            </w:r>
            <w:r w:rsidRPr="00704E0C">
              <w:rPr>
                <w:rFonts w:eastAsia="Times New Roman" w:hint="cs"/>
                <w:b/>
                <w:color w:val="000000"/>
                <w:sz w:val="18"/>
                <w:szCs w:val="18"/>
                <w:rtl/>
                <w:lang w:eastAsia="en-GB"/>
              </w:rPr>
              <w:t>وتدابير الكفاءة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314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4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D389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1"/>
      <w:tr w:rsidR="00C959C3" w:rsidRPr="0085706F" w14:paraId="68091C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531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9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sz w:val="18"/>
                <w:szCs w:val="18"/>
                <w:rtl/>
                <w:lang w:eastAsia="en-GB"/>
              </w:rPr>
              <w:t>استرداد تكاليف معالجة بطاقات التبليغ عن الشبكات الساتلية</w:t>
            </w: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/>
              </w:rPr>
              <w:t>(المقرر </w:t>
            </w:r>
            <w:r w:rsidRPr="00704E0C">
              <w:rPr>
                <w:rFonts w:eastAsia="Times New Roman"/>
                <w:i/>
                <w:iCs/>
                <w:sz w:val="18"/>
                <w:szCs w:val="18"/>
                <w:lang w:eastAsia="en-GB"/>
              </w:rPr>
              <w:t>482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(المعدّل)</w:t>
            </w:r>
            <w:r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 xml:space="preserve"> للمجلس</w:t>
            </w:r>
            <w:r w:rsidRPr="00704E0C">
              <w:rPr>
                <w:rFonts w:eastAsia="Times New Roman" w:hint="cs"/>
                <w:i/>
                <w:iCs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9D6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5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5187C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015A1DF6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5BA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AFA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المشاركة المؤقتة للكيانات المعنية بمسائل الاتصالات في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أنشطة 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BA74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F8D7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17A9A" w14:paraId="4DD6CE1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F46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F761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تحسين الإدارة والمتابعة فيما يتعلق بمساهمة أعضاء القطاعات والمنتسبين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والهيئات الأكاديمية في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تحمّل نفقات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الاتحاد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0880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77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7DC2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58854731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3798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9EC2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تقرير حالة عن تنفيذ المقررين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600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601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للمجلس (الأرقام العالمية للنداءات الدولية المجانية</w:t>
            </w:r>
            <w:r w:rsidRPr="00704E0C"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 w:bidi="ar-EG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(UIFN)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 وأرقام تعرف جهة الإصدار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(IIN)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3877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8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30BB8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315DE295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093B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DB86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مساهمة الاتحاد في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مذكرات التفاهم التي لها تبعات مالية و/أو استراتيجية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B44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9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AECDF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3513AA84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11D" w14:textId="77777777" w:rsidR="00C959C3" w:rsidRPr="0085706F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0E35" w14:textId="77777777" w:rsidR="00C959C3" w:rsidRPr="0085706F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تجميع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>ل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لقرارات التي اعتمدها مؤتمر المندوبين المفوضين لعام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2018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 xml:space="preserve"> والتي وردت في المحاضر الموجزة لجلساته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</w:t>
            </w:r>
            <w:r w:rsidRPr="00704E0C">
              <w:rPr>
                <w:rFonts w:eastAsia="Times New Roman"/>
                <w:color w:val="000000"/>
                <w:sz w:val="18"/>
                <w:szCs w:val="18"/>
                <w:rtl/>
                <w:lang w:eastAsia="en-GB"/>
              </w:rPr>
              <w:t>لا سيما القرارات التي تستند إلى توصيات اللجان وفريق العمل التابع للجلسة العامة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 (الوثيقة</w:t>
            </w:r>
            <w:r>
              <w:rPr>
                <w:rFonts w:eastAsia="Times New Roman" w:hint="eastAsia"/>
                <w:color w:val="000000"/>
                <w:sz w:val="18"/>
                <w:szCs w:val="18"/>
                <w:rtl/>
                <w:lang w:eastAsia="en-GB"/>
              </w:rPr>
              <w:t> 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C19/107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 xml:space="preserve">، التوصية </w:t>
            </w:r>
            <w:r w:rsidRPr="00704E0C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9.27</w:t>
            </w:r>
            <w:r w:rsidRPr="00704E0C">
              <w:rPr>
                <w:rFonts w:eastAsia="Times New Roman" w:hint="cs"/>
                <w:color w:val="000000"/>
                <w:sz w:val="18"/>
                <w:szCs w:val="18"/>
                <w:rtl/>
                <w:lang w:eastAsia="en-GB" w:bidi="ar-E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FE03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9B57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1C77C8B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4F56" w14:textId="77777777" w:rsidR="00C959C3" w:rsidRPr="0082691C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77B9" w14:textId="03A2236E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rtl/>
                <w:lang w:eastAsia="en-GB" w:bidi="ar-EG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rtl/>
                <w:lang w:eastAsia="en-GB"/>
              </w:rPr>
              <w:t xml:space="preserve">دراسة جدوى إنشاء معهد </w:t>
            </w:r>
            <w:r>
              <w:rPr>
                <w:rFonts w:eastAsia="Times New Roman" w:hint="cs"/>
                <w:sz w:val="18"/>
                <w:szCs w:val="18"/>
                <w:rtl/>
                <w:lang w:eastAsia="en-GB" w:bidi="ar-EG"/>
              </w:rPr>
              <w:t>تدريب للاتحاد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A1C" w14:textId="77777777" w:rsidR="00C959C3" w:rsidRPr="0082691C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A3F36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2691C" w14:paraId="6E208902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27B" w14:textId="77777777" w:rsidR="00C959C3" w:rsidRPr="0082691C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CCE7" w14:textId="77777777" w:rsidR="00C959C3" w:rsidRPr="0082691C" w:rsidRDefault="00C959C3" w:rsidP="00C24632">
            <w:pPr>
              <w:spacing w:before="60" w:after="60" w:line="260" w:lineRule="exact"/>
              <w:rPr>
                <w:rFonts w:eastAsia="Times New Roman"/>
                <w:sz w:val="18"/>
                <w:szCs w:val="18"/>
                <w:lang w:eastAsia="en-GB"/>
              </w:rPr>
            </w:pPr>
            <w:r w:rsidRPr="00704E0C">
              <w:rPr>
                <w:rFonts w:eastAsia="Times New Roman" w:hint="cs"/>
                <w:sz w:val="18"/>
                <w:szCs w:val="18"/>
                <w:rtl/>
                <w:lang w:eastAsia="en-GB"/>
              </w:rPr>
              <w:t>التدابير التي اتخذها الاتحاد بشأن شروط تقديم الدعم الطبي في حالات الطوارئ في أماكن انعقاد مؤتمرات الاتحاد واجتماعاته التي تُعقد خارج جنيف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0E" w14:textId="77777777" w:rsidR="00C959C3" w:rsidRPr="0082691C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FC04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C959C3" w:rsidRPr="0085706F" w14:paraId="74B551C0" w14:textId="77777777" w:rsidTr="00C24632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F6B" w14:textId="77777777" w:rsidR="00C959C3" w:rsidRPr="00BC690B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82691C">
              <w:rPr>
                <w:rFonts w:eastAsia="Times New Roman"/>
                <w:sz w:val="18"/>
                <w:szCs w:val="18"/>
                <w:lang w:eastAsia="en-GB"/>
              </w:rPr>
              <w:t>1</w:t>
            </w:r>
            <w:r>
              <w:rPr>
                <w:rFonts w:eastAsia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A914" w14:textId="77777777" w:rsidR="00C959C3" w:rsidRPr="00BC690B" w:rsidRDefault="00C959C3" w:rsidP="00C24632">
            <w:pPr>
              <w:spacing w:before="60" w:after="60" w:line="260" w:lineRule="exact"/>
              <w:rPr>
                <w:sz w:val="18"/>
                <w:szCs w:val="18"/>
              </w:rPr>
            </w:pPr>
            <w:r w:rsidRPr="00704E0C">
              <w:rPr>
                <w:sz w:val="18"/>
                <w:szCs w:val="18"/>
                <w:rtl/>
              </w:rPr>
              <w:t>قرارات المجلس ومقرراته التي انتهى مفعولها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BD3" w14:textId="77777777" w:rsidR="00C959C3" w:rsidRPr="0085706F" w:rsidRDefault="006A15A5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3" w:history="1">
              <w:r w:rsidR="00C959C3" w:rsidRPr="007534A0">
                <w:rPr>
                  <w:rStyle w:val="Hyperlink"/>
                  <w:rFonts w:eastAsia="Times New Roman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40309" w14:textId="77777777" w:rsidR="00C959C3" w:rsidRPr="008542EA" w:rsidRDefault="00C959C3" w:rsidP="00C24632">
            <w:pPr>
              <w:spacing w:before="60" w:after="60" w:line="260" w:lineRule="exact"/>
              <w:jc w:val="center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1907C81C" w14:textId="66C86738" w:rsidR="00BB7213" w:rsidRDefault="00BB7213" w:rsidP="00CB028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84"/>
      <w:footerReference w:type="default" r:id="rId85"/>
      <w:footerReference w:type="first" r:id="rId8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3320" w14:textId="77777777" w:rsidR="00AB74CF" w:rsidRDefault="00AB74CF" w:rsidP="006C3242">
      <w:pPr>
        <w:spacing w:before="0" w:line="240" w:lineRule="auto"/>
      </w:pPr>
      <w:r>
        <w:separator/>
      </w:r>
    </w:p>
  </w:endnote>
  <w:endnote w:type="continuationSeparator" w:id="0">
    <w:p w14:paraId="09E3CF90" w14:textId="77777777" w:rsidR="00AB74CF" w:rsidRDefault="00AB74C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4508" w14:textId="45B77FAF" w:rsidR="006C3242" w:rsidRPr="0040334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A15A5">
      <w:rPr>
        <w:color w:val="F2F2F2" w:themeColor="background1" w:themeShade="F2"/>
        <w:sz w:val="16"/>
        <w:szCs w:val="16"/>
        <w:lang w:val="fr-FR"/>
      </w:rPr>
      <w:fldChar w:fldCharType="begin"/>
    </w:r>
    <w:r w:rsidRPr="006A15A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A15A5">
      <w:rPr>
        <w:color w:val="F2F2F2" w:themeColor="background1" w:themeShade="F2"/>
        <w:sz w:val="16"/>
        <w:szCs w:val="16"/>
        <w:lang w:val="fr-FR"/>
      </w:rPr>
      <w:fldChar w:fldCharType="separate"/>
    </w:r>
    <w:r w:rsidR="00EC7A21" w:rsidRPr="006A15A5">
      <w:rPr>
        <w:noProof/>
        <w:color w:val="F2F2F2" w:themeColor="background1" w:themeShade="F2"/>
        <w:sz w:val="16"/>
        <w:szCs w:val="16"/>
        <w:lang w:val="fr-FR"/>
      </w:rPr>
      <w:t>P:\ARA\SG\CONSEIL\C21\000\001REV1A.docx</w:t>
    </w:r>
    <w:r w:rsidRPr="006A15A5">
      <w:rPr>
        <w:color w:val="F2F2F2" w:themeColor="background1" w:themeShade="F2"/>
        <w:sz w:val="16"/>
        <w:szCs w:val="16"/>
      </w:rPr>
      <w:fldChar w:fldCharType="end"/>
    </w:r>
    <w:r w:rsidRPr="006A15A5">
      <w:rPr>
        <w:color w:val="F2F2F2" w:themeColor="background1" w:themeShade="F2"/>
        <w:sz w:val="16"/>
        <w:szCs w:val="16"/>
        <w:lang w:val="fr-CH"/>
      </w:rPr>
      <w:t xml:space="preserve">  </w:t>
    </w:r>
    <w:r w:rsidRPr="006A15A5">
      <w:rPr>
        <w:color w:val="F2F2F2" w:themeColor="background1" w:themeShade="F2"/>
        <w:sz w:val="16"/>
        <w:szCs w:val="16"/>
        <w:lang w:val="fr-FR"/>
      </w:rPr>
      <w:t xml:space="preserve"> (</w:t>
    </w:r>
    <w:r w:rsidR="0040334B" w:rsidRPr="006A15A5">
      <w:rPr>
        <w:color w:val="F2F2F2" w:themeColor="background1" w:themeShade="F2"/>
        <w:sz w:val="16"/>
        <w:szCs w:val="16"/>
        <w:lang w:val="fr-FR"/>
      </w:rPr>
      <w:t>490261</w:t>
    </w:r>
    <w:r w:rsidRPr="006A15A5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B6A3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A46" w14:textId="77777777" w:rsidR="00AB74CF" w:rsidRDefault="00AB74CF" w:rsidP="006C3242">
      <w:pPr>
        <w:spacing w:before="0" w:line="240" w:lineRule="auto"/>
      </w:pPr>
      <w:r>
        <w:separator/>
      </w:r>
    </w:p>
  </w:footnote>
  <w:footnote w:type="continuationSeparator" w:id="0">
    <w:p w14:paraId="6C5DAA43" w14:textId="77777777" w:rsidR="00AB74CF" w:rsidRDefault="00AB74C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726B" w14:textId="309AE6FC" w:rsidR="00447F32" w:rsidRPr="00447F32" w:rsidRDefault="006A15A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C2650">
          <w:rPr>
            <w:rFonts w:cs="Calibri"/>
            <w:noProof/>
            <w:sz w:val="20"/>
            <w:szCs w:val="20"/>
          </w:rPr>
          <w:t>1</w:t>
        </w:r>
        <w:r w:rsidR="0040334B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CF"/>
    <w:rsid w:val="00051668"/>
    <w:rsid w:val="00090574"/>
    <w:rsid w:val="000C1C0E"/>
    <w:rsid w:val="000C548A"/>
    <w:rsid w:val="000E4545"/>
    <w:rsid w:val="00117F9F"/>
    <w:rsid w:val="00147CE1"/>
    <w:rsid w:val="0015650C"/>
    <w:rsid w:val="001C0169"/>
    <w:rsid w:val="001D1D50"/>
    <w:rsid w:val="001D6745"/>
    <w:rsid w:val="001E446E"/>
    <w:rsid w:val="002154EE"/>
    <w:rsid w:val="002276D2"/>
    <w:rsid w:val="0023283D"/>
    <w:rsid w:val="002424B5"/>
    <w:rsid w:val="00257311"/>
    <w:rsid w:val="0026373E"/>
    <w:rsid w:val="00271C43"/>
    <w:rsid w:val="00290728"/>
    <w:rsid w:val="0029687A"/>
    <w:rsid w:val="002978F4"/>
    <w:rsid w:val="002B028D"/>
    <w:rsid w:val="002B7E7D"/>
    <w:rsid w:val="002E5FE8"/>
    <w:rsid w:val="002E6541"/>
    <w:rsid w:val="002F71D8"/>
    <w:rsid w:val="00334924"/>
    <w:rsid w:val="003409BC"/>
    <w:rsid w:val="00357185"/>
    <w:rsid w:val="0037646B"/>
    <w:rsid w:val="00383393"/>
    <w:rsid w:val="00383829"/>
    <w:rsid w:val="003B02DA"/>
    <w:rsid w:val="003C57AB"/>
    <w:rsid w:val="003C6B4F"/>
    <w:rsid w:val="003F4B29"/>
    <w:rsid w:val="0040334B"/>
    <w:rsid w:val="00405B6B"/>
    <w:rsid w:val="0042686F"/>
    <w:rsid w:val="004317D8"/>
    <w:rsid w:val="00434183"/>
    <w:rsid w:val="00443869"/>
    <w:rsid w:val="00447F32"/>
    <w:rsid w:val="004E11DC"/>
    <w:rsid w:val="005409AC"/>
    <w:rsid w:val="00554619"/>
    <w:rsid w:val="0055516A"/>
    <w:rsid w:val="005768A2"/>
    <w:rsid w:val="005805EA"/>
    <w:rsid w:val="0058491B"/>
    <w:rsid w:val="00592EA5"/>
    <w:rsid w:val="005A3170"/>
    <w:rsid w:val="005B1652"/>
    <w:rsid w:val="005B2B57"/>
    <w:rsid w:val="00614855"/>
    <w:rsid w:val="0064112D"/>
    <w:rsid w:val="00641543"/>
    <w:rsid w:val="006628AC"/>
    <w:rsid w:val="00677396"/>
    <w:rsid w:val="00684054"/>
    <w:rsid w:val="0069200F"/>
    <w:rsid w:val="006A15A5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703CC"/>
    <w:rsid w:val="00783E26"/>
    <w:rsid w:val="00784880"/>
    <w:rsid w:val="007C3BC7"/>
    <w:rsid w:val="007C3BCD"/>
    <w:rsid w:val="007D0253"/>
    <w:rsid w:val="007D4ACF"/>
    <w:rsid w:val="007D79B4"/>
    <w:rsid w:val="007F0787"/>
    <w:rsid w:val="00804617"/>
    <w:rsid w:val="00810B7B"/>
    <w:rsid w:val="0082358A"/>
    <w:rsid w:val="008235CD"/>
    <w:rsid w:val="008247DE"/>
    <w:rsid w:val="00840B10"/>
    <w:rsid w:val="008513CB"/>
    <w:rsid w:val="008658E4"/>
    <w:rsid w:val="00873719"/>
    <w:rsid w:val="00880F09"/>
    <w:rsid w:val="008A7F84"/>
    <w:rsid w:val="008D6B96"/>
    <w:rsid w:val="00901145"/>
    <w:rsid w:val="00916578"/>
    <w:rsid w:val="0091702E"/>
    <w:rsid w:val="00923B0C"/>
    <w:rsid w:val="0092550E"/>
    <w:rsid w:val="0094021C"/>
    <w:rsid w:val="00952F86"/>
    <w:rsid w:val="00982B28"/>
    <w:rsid w:val="00995076"/>
    <w:rsid w:val="009D313F"/>
    <w:rsid w:val="009D59C4"/>
    <w:rsid w:val="00A0244A"/>
    <w:rsid w:val="00A47A5A"/>
    <w:rsid w:val="00A6683B"/>
    <w:rsid w:val="00A763D7"/>
    <w:rsid w:val="00A97F94"/>
    <w:rsid w:val="00AB74CF"/>
    <w:rsid w:val="00B03099"/>
    <w:rsid w:val="00B05BC8"/>
    <w:rsid w:val="00B600A6"/>
    <w:rsid w:val="00B64B47"/>
    <w:rsid w:val="00B87421"/>
    <w:rsid w:val="00BB7213"/>
    <w:rsid w:val="00BC086F"/>
    <w:rsid w:val="00C002DE"/>
    <w:rsid w:val="00C53BF8"/>
    <w:rsid w:val="00C566BA"/>
    <w:rsid w:val="00C66157"/>
    <w:rsid w:val="00C674FE"/>
    <w:rsid w:val="00C67501"/>
    <w:rsid w:val="00C67A87"/>
    <w:rsid w:val="00C718DD"/>
    <w:rsid w:val="00C73046"/>
    <w:rsid w:val="00C75633"/>
    <w:rsid w:val="00C959C3"/>
    <w:rsid w:val="00CB0283"/>
    <w:rsid w:val="00CE2EE1"/>
    <w:rsid w:val="00CE3349"/>
    <w:rsid w:val="00CE36E5"/>
    <w:rsid w:val="00CF27F5"/>
    <w:rsid w:val="00CF3FFD"/>
    <w:rsid w:val="00D10CCF"/>
    <w:rsid w:val="00D37D92"/>
    <w:rsid w:val="00D77D0F"/>
    <w:rsid w:val="00D970B5"/>
    <w:rsid w:val="00DA1CF0"/>
    <w:rsid w:val="00DC1E02"/>
    <w:rsid w:val="00DC24B4"/>
    <w:rsid w:val="00DC2650"/>
    <w:rsid w:val="00DC5FB0"/>
    <w:rsid w:val="00DC767A"/>
    <w:rsid w:val="00DF16DC"/>
    <w:rsid w:val="00E45211"/>
    <w:rsid w:val="00E473C5"/>
    <w:rsid w:val="00E649A7"/>
    <w:rsid w:val="00E92863"/>
    <w:rsid w:val="00EB796D"/>
    <w:rsid w:val="00EC7A21"/>
    <w:rsid w:val="00EF45F0"/>
    <w:rsid w:val="00F058DC"/>
    <w:rsid w:val="00F24FC4"/>
    <w:rsid w:val="00F2676C"/>
    <w:rsid w:val="00F31379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6D70081"/>
  <w15:chartTrackingRefBased/>
  <w15:docId w15:val="{6E72280A-8DB0-4C73-9152-EE2D2639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26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09/en" TargetMode="External"/><Relationship Id="rId79" Type="http://schemas.openxmlformats.org/officeDocument/2006/relationships/hyperlink" Target="https://www.itu.int/md/S21-CL-C-0045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52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06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33/en" TargetMode="External"/><Relationship Id="rId75" Type="http://schemas.openxmlformats.org/officeDocument/2006/relationships/hyperlink" Target="https://www.itu.int/md/S21-CL-C-0016/en" TargetMode="External"/><Relationship Id="rId83" Type="http://schemas.openxmlformats.org/officeDocument/2006/relationships/hyperlink" Target="https://www.itu.int/md/S21-CL-C-0003/en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19/en" TargetMode="External"/><Relationship Id="rId78" Type="http://schemas.openxmlformats.org/officeDocument/2006/relationships/hyperlink" Target="https://www.itu.int/md/S21-CL-C-0047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20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18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1790</Words>
  <Characters>10209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Virtual consultation of councillors (C21\VCC-1)</vt:lpstr>
    </vt:vector>
  </TitlesOfParts>
  <Company>ITU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Virtual consultation of councillors (C21\VCC-1)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2021-06-07T17:42:00Z</dcterms:created>
  <dcterms:modified xsi:type="dcterms:W3CDTF">2021-06-07T17:42:00Z</dcterms:modified>
</cp:coreProperties>
</file>