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5D4E87" w14:paraId="1DF4884E" w14:textId="77777777">
        <w:trPr>
          <w:cantSplit/>
        </w:trPr>
        <w:tc>
          <w:tcPr>
            <w:tcW w:w="6911" w:type="dxa"/>
          </w:tcPr>
          <w:p w14:paraId="584D281C" w14:textId="2B9C489F" w:rsidR="00BC7BC0" w:rsidRPr="005D4E87" w:rsidRDefault="00077139" w:rsidP="005B3DEC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5D4E87">
              <w:rPr>
                <w:b/>
                <w:smallCaps/>
                <w:sz w:val="28"/>
                <w:szCs w:val="28"/>
                <w:lang w:val="ru-RU"/>
              </w:rPr>
              <w:t>СОВЕТ 2021</w:t>
            </w:r>
            <w:r w:rsidRPr="005D4E87">
              <w:rPr>
                <w:b/>
                <w:smallCaps/>
                <w:sz w:val="24"/>
                <w:szCs w:val="24"/>
                <w:lang w:val="ru-RU"/>
              </w:rPr>
              <w:br/>
            </w:r>
            <w:r w:rsidRPr="005D4E87">
              <w:rPr>
                <w:b/>
                <w:bCs/>
                <w:sz w:val="24"/>
                <w:szCs w:val="24"/>
                <w:lang w:val="ru-RU"/>
              </w:rPr>
              <w:t>Виртуальные консультации Советников, 8–18 июня 2021</w:t>
            </w:r>
            <w:r w:rsidRPr="005D4E87">
              <w:rPr>
                <w:b/>
                <w:bCs/>
                <w:sz w:val="24"/>
                <w:szCs w:val="22"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14:paraId="2308A6D2" w14:textId="77777777" w:rsidR="00BC7BC0" w:rsidRPr="005D4E87" w:rsidRDefault="00442515" w:rsidP="00442515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 w:rsidRPr="005D4E87">
              <w:rPr>
                <w:noProof/>
                <w:lang w:val="ru-RU"/>
              </w:rPr>
              <w:drawing>
                <wp:inline distT="0" distB="0" distL="0" distR="0" wp14:anchorId="13F46832" wp14:editId="224DFDD7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5D4E87" w14:paraId="777583C3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491DCCC9" w14:textId="77777777" w:rsidR="00BC7BC0" w:rsidRPr="005D4E87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17461A8E" w14:textId="77777777" w:rsidR="00BC7BC0" w:rsidRPr="005D4E87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5D4E87" w14:paraId="7432AA4B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724CC94C" w14:textId="77777777" w:rsidR="00BC7BC0" w:rsidRPr="005D4E87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06D35363" w14:textId="77777777" w:rsidR="00BC7BC0" w:rsidRPr="005D4E87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5D4E87" w14:paraId="5FB4452E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56BBFB54" w14:textId="46B44FFA" w:rsidR="00BC7BC0" w:rsidRPr="005D4E87" w:rsidRDefault="00BC7BC0" w:rsidP="008D2D7B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5D4E87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5D4E87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="00287E70" w:rsidRPr="005D4E87">
              <w:rPr>
                <w:b/>
                <w:bCs/>
                <w:caps/>
                <w:color w:val="000000"/>
                <w:szCs w:val="22"/>
                <w:lang w:val="ru-RU"/>
              </w:rPr>
              <w:t>PL 2.3</w:t>
            </w:r>
          </w:p>
        </w:tc>
        <w:tc>
          <w:tcPr>
            <w:tcW w:w="3120" w:type="dxa"/>
          </w:tcPr>
          <w:p w14:paraId="04A59791" w14:textId="11AC12A4" w:rsidR="00BC7BC0" w:rsidRPr="005D4E87" w:rsidRDefault="00BC7BC0" w:rsidP="005B3DEC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5D4E87">
              <w:rPr>
                <w:b/>
                <w:bCs/>
                <w:szCs w:val="22"/>
                <w:lang w:val="ru-RU"/>
              </w:rPr>
              <w:t>Документ C</w:t>
            </w:r>
            <w:r w:rsidR="00442515" w:rsidRPr="005D4E87">
              <w:rPr>
                <w:b/>
                <w:bCs/>
                <w:szCs w:val="22"/>
                <w:lang w:val="ru-RU"/>
              </w:rPr>
              <w:t>2</w:t>
            </w:r>
            <w:r w:rsidR="00077139" w:rsidRPr="005D4E87">
              <w:rPr>
                <w:b/>
                <w:bCs/>
                <w:szCs w:val="22"/>
                <w:lang w:val="ru-RU"/>
              </w:rPr>
              <w:t>1</w:t>
            </w:r>
            <w:r w:rsidRPr="005D4E87">
              <w:rPr>
                <w:b/>
                <w:bCs/>
                <w:szCs w:val="22"/>
                <w:lang w:val="ru-RU"/>
              </w:rPr>
              <w:t>/</w:t>
            </w:r>
            <w:r w:rsidR="00287E70" w:rsidRPr="005D4E87">
              <w:rPr>
                <w:b/>
                <w:bCs/>
                <w:szCs w:val="22"/>
                <w:lang w:val="ru-RU"/>
              </w:rPr>
              <w:t>13</w:t>
            </w:r>
            <w:r w:rsidRPr="005D4E87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5D4E87" w14:paraId="7E31869D" w14:textId="77777777">
        <w:trPr>
          <w:cantSplit/>
          <w:trHeight w:val="23"/>
        </w:trPr>
        <w:tc>
          <w:tcPr>
            <w:tcW w:w="6911" w:type="dxa"/>
            <w:vMerge/>
          </w:tcPr>
          <w:p w14:paraId="21CED5B2" w14:textId="77777777" w:rsidR="00BC7BC0" w:rsidRPr="005D4E87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16E8DB4B" w14:textId="0B63B047" w:rsidR="00BC7BC0" w:rsidRPr="005D4E87" w:rsidRDefault="00077139" w:rsidP="005B3DE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5D4E87">
              <w:rPr>
                <w:b/>
                <w:bCs/>
                <w:szCs w:val="22"/>
                <w:lang w:val="ru-RU"/>
              </w:rPr>
              <w:t>22 февраля 2021</w:t>
            </w:r>
            <w:r w:rsidR="00BC7BC0" w:rsidRPr="005D4E87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5D4E87" w14:paraId="19DAD49D" w14:textId="77777777">
        <w:trPr>
          <w:cantSplit/>
          <w:trHeight w:val="23"/>
        </w:trPr>
        <w:tc>
          <w:tcPr>
            <w:tcW w:w="6911" w:type="dxa"/>
            <w:vMerge/>
          </w:tcPr>
          <w:p w14:paraId="4D0621FB" w14:textId="77777777" w:rsidR="00BC7BC0" w:rsidRPr="005D4E87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7F527837" w14:textId="77777777" w:rsidR="00BC7BC0" w:rsidRPr="005D4E87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5D4E87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5D4E87" w14:paraId="5F177AD0" w14:textId="77777777">
        <w:trPr>
          <w:cantSplit/>
        </w:trPr>
        <w:tc>
          <w:tcPr>
            <w:tcW w:w="10031" w:type="dxa"/>
            <w:gridSpan w:val="2"/>
          </w:tcPr>
          <w:p w14:paraId="7B1B3D9C" w14:textId="68DDF9D7" w:rsidR="00BC7BC0" w:rsidRPr="005D4E87" w:rsidRDefault="00BC7BC0" w:rsidP="00A71773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 w:rsidRPr="005D4E87">
              <w:rPr>
                <w:lang w:val="ru-RU"/>
              </w:rPr>
              <w:t>Отчет Генерального секретаря</w:t>
            </w:r>
          </w:p>
        </w:tc>
      </w:tr>
      <w:tr w:rsidR="00BC7BC0" w:rsidRPr="005D4E87" w14:paraId="08F6C978" w14:textId="77777777">
        <w:trPr>
          <w:cantSplit/>
        </w:trPr>
        <w:tc>
          <w:tcPr>
            <w:tcW w:w="10031" w:type="dxa"/>
            <w:gridSpan w:val="2"/>
          </w:tcPr>
          <w:p w14:paraId="22CF6231" w14:textId="7AA4E577" w:rsidR="00BC7BC0" w:rsidRPr="005D4E87" w:rsidRDefault="00287E70" w:rsidP="00E714A8">
            <w:pPr>
              <w:pStyle w:val="Title1"/>
              <w:rPr>
                <w:szCs w:val="22"/>
                <w:lang w:val="ru-RU"/>
              </w:rPr>
            </w:pPr>
            <w:bookmarkStart w:id="2" w:name="dtitle3" w:colFirst="0" w:colLast="0"/>
            <w:bookmarkEnd w:id="1"/>
            <w:r w:rsidRPr="005D4E87">
              <w:rPr>
                <w:lang w:val="ru-RU"/>
              </w:rPr>
              <w:t xml:space="preserve">ПРЕДЛАГАЕМЫЕ </w:t>
            </w:r>
            <w:r w:rsidR="00E714A8" w:rsidRPr="005D4E87">
              <w:rPr>
                <w:lang w:val="ru-RU"/>
              </w:rPr>
              <w:t xml:space="preserve">меры </w:t>
            </w:r>
            <w:r w:rsidRPr="005D4E87">
              <w:rPr>
                <w:lang w:val="ru-RU"/>
              </w:rPr>
              <w:t>совершенствования Полномочной конференции</w:t>
            </w:r>
          </w:p>
        </w:tc>
      </w:tr>
      <w:bookmarkEnd w:id="2"/>
    </w:tbl>
    <w:p w14:paraId="7E9BC7FF" w14:textId="77777777" w:rsidR="002D2F57" w:rsidRPr="005D4E87" w:rsidRDefault="002D2F57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D2F57" w:rsidRPr="005D4E87" w14:paraId="13F0A8B5" w14:textId="77777777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5485D0" w14:textId="77777777" w:rsidR="002D2F57" w:rsidRPr="005D4E87" w:rsidRDefault="002D2F57">
            <w:pPr>
              <w:pStyle w:val="Headingb"/>
              <w:rPr>
                <w:szCs w:val="22"/>
                <w:lang w:val="ru-RU"/>
              </w:rPr>
            </w:pPr>
            <w:r w:rsidRPr="005D4E87">
              <w:rPr>
                <w:szCs w:val="22"/>
                <w:lang w:val="ru-RU"/>
              </w:rPr>
              <w:t>Резюме</w:t>
            </w:r>
          </w:p>
          <w:p w14:paraId="7A9E3FEB" w14:textId="1210C9EF" w:rsidR="002D2F57" w:rsidRPr="005D4E87" w:rsidRDefault="00287E70">
            <w:pPr>
              <w:rPr>
                <w:szCs w:val="22"/>
                <w:lang w:val="ru-RU"/>
              </w:rPr>
            </w:pPr>
            <w:r w:rsidRPr="005D4E87">
              <w:rPr>
                <w:lang w:val="ru-RU"/>
              </w:rPr>
              <w:t>На своей сессии 2019 года Совет предложил секретариату продолжать рассматривать меры совершенствования работы Полномочной конференции (ПК) и возможно</w:t>
            </w:r>
            <w:r w:rsidR="00486374" w:rsidRPr="005D4E87">
              <w:rPr>
                <w:lang w:val="ru-RU"/>
              </w:rPr>
              <w:t>го</w:t>
            </w:r>
            <w:r w:rsidRPr="005D4E87">
              <w:rPr>
                <w:lang w:val="ru-RU"/>
              </w:rPr>
              <w:t xml:space="preserve"> сокращени</w:t>
            </w:r>
            <w:r w:rsidR="00486374" w:rsidRPr="005D4E87">
              <w:rPr>
                <w:lang w:val="ru-RU"/>
              </w:rPr>
              <w:t>я</w:t>
            </w:r>
            <w:r w:rsidRPr="005D4E87">
              <w:rPr>
                <w:lang w:val="ru-RU"/>
              </w:rPr>
              <w:t xml:space="preserve"> ее продолжительности, принимая во внимание при ее подготовке возможные правовые и финансовые последствия, и подготовить отчет для следующей сессии Совета. </w:t>
            </w:r>
            <w:r w:rsidR="00E714A8" w:rsidRPr="005D4E87">
              <w:rPr>
                <w:lang w:val="ru-RU"/>
              </w:rPr>
              <w:t>Секретариат провел консультации с Государствами-Членами посредством Циркулярного письма</w:t>
            </w:r>
            <w:r w:rsidR="00E714A8" w:rsidRPr="005D4E87">
              <w:rPr>
                <w:szCs w:val="22"/>
                <w:lang w:val="ru-RU"/>
              </w:rPr>
              <w:t> </w:t>
            </w:r>
            <w:hyperlink r:id="rId11" w:history="1">
              <w:r w:rsidRPr="005D4E87">
                <w:rPr>
                  <w:rStyle w:val="Hyperlink"/>
                  <w:szCs w:val="22"/>
                  <w:lang w:val="ru-RU"/>
                </w:rPr>
                <w:t>CL-19/57</w:t>
              </w:r>
            </w:hyperlink>
            <w:r w:rsidRPr="005D4E87">
              <w:rPr>
                <w:szCs w:val="22"/>
                <w:lang w:val="ru-RU"/>
              </w:rPr>
              <w:t xml:space="preserve">, </w:t>
            </w:r>
            <w:r w:rsidR="00E714A8" w:rsidRPr="005D4E87">
              <w:rPr>
                <w:szCs w:val="22"/>
                <w:lang w:val="ru-RU"/>
              </w:rPr>
              <w:t>и, на основании ответов, полученных в ходе этих консультаций, секретариат предлагает ряд мер совершенствования процесса ПК</w:t>
            </w:r>
            <w:r w:rsidRPr="005D4E87">
              <w:rPr>
                <w:szCs w:val="22"/>
                <w:lang w:val="ru-RU"/>
              </w:rPr>
              <w:t>.</w:t>
            </w:r>
            <w:r w:rsidR="00077139" w:rsidRPr="005D4E87">
              <w:rPr>
                <w:szCs w:val="22"/>
                <w:lang w:val="ru-RU"/>
              </w:rPr>
              <w:t xml:space="preserve"> </w:t>
            </w:r>
            <w:r w:rsidR="00077139" w:rsidRPr="005D4E87">
              <w:rPr>
                <w:color w:val="000000"/>
                <w:lang w:val="ru-RU"/>
              </w:rPr>
              <w:t xml:space="preserve">Настоящий документ был первоначально подготовлен в качестве Документа </w:t>
            </w:r>
            <w:hyperlink r:id="rId12" w:history="1">
              <w:r w:rsidR="00507AAE" w:rsidRPr="005D4E87">
                <w:rPr>
                  <w:rStyle w:val="Hyperlink"/>
                  <w:lang w:val="ru-RU"/>
                </w:rPr>
                <w:t>C20/13</w:t>
              </w:r>
            </w:hyperlink>
            <w:r w:rsidR="00507AAE" w:rsidRPr="005D4E87">
              <w:rPr>
                <w:color w:val="000000"/>
                <w:lang w:val="ru-RU"/>
              </w:rPr>
              <w:t xml:space="preserve"> </w:t>
            </w:r>
            <w:r w:rsidR="00077139" w:rsidRPr="005D4E87">
              <w:rPr>
                <w:color w:val="000000"/>
                <w:lang w:val="ru-RU"/>
              </w:rPr>
              <w:t>для представления сессии Совета 2020 года, но не рассматривался</w:t>
            </w:r>
            <w:r w:rsidR="007F76FA" w:rsidRPr="005D4E87">
              <w:rPr>
                <w:color w:val="000000"/>
                <w:lang w:val="ru-RU"/>
              </w:rPr>
              <w:t>.</w:t>
            </w:r>
          </w:p>
          <w:p w14:paraId="240725E4" w14:textId="77777777" w:rsidR="002D2F57" w:rsidRPr="005D4E87" w:rsidRDefault="002D2F57" w:rsidP="00E55121">
            <w:pPr>
              <w:pStyle w:val="Headingb"/>
              <w:rPr>
                <w:lang w:val="ru-RU"/>
              </w:rPr>
            </w:pPr>
            <w:r w:rsidRPr="005D4E87">
              <w:rPr>
                <w:lang w:val="ru-RU"/>
              </w:rPr>
              <w:t xml:space="preserve">Необходимые </w:t>
            </w:r>
            <w:r w:rsidR="00F5225B" w:rsidRPr="005D4E87">
              <w:rPr>
                <w:lang w:val="ru-RU"/>
              </w:rPr>
              <w:t>действия</w:t>
            </w:r>
          </w:p>
          <w:p w14:paraId="414557B2" w14:textId="0FB66ABA" w:rsidR="002D2F57" w:rsidRPr="005D4E87" w:rsidRDefault="00E714A8">
            <w:pPr>
              <w:rPr>
                <w:szCs w:val="22"/>
                <w:lang w:val="ru-RU"/>
              </w:rPr>
            </w:pPr>
            <w:r w:rsidRPr="005D4E87">
              <w:rPr>
                <w:szCs w:val="22"/>
                <w:lang w:val="ru-RU"/>
              </w:rPr>
              <w:t>Совету предлагается рассмотреть и одобрить предлагаемые меры совершенствования</w:t>
            </w:r>
            <w:r w:rsidR="00287E70" w:rsidRPr="005D4E87">
              <w:rPr>
                <w:szCs w:val="22"/>
                <w:lang w:val="ru-RU"/>
              </w:rPr>
              <w:t>.</w:t>
            </w:r>
          </w:p>
          <w:p w14:paraId="1C422687" w14:textId="77777777" w:rsidR="002D2F57" w:rsidRPr="005D4E87" w:rsidRDefault="002D2F57" w:rsidP="004D0129">
            <w:pPr>
              <w:spacing w:before="0"/>
              <w:jc w:val="center"/>
              <w:rPr>
                <w:caps/>
                <w:szCs w:val="22"/>
                <w:lang w:val="ru-RU"/>
              </w:rPr>
            </w:pPr>
            <w:r w:rsidRPr="005D4E87">
              <w:rPr>
                <w:caps/>
                <w:szCs w:val="22"/>
                <w:lang w:val="ru-RU"/>
              </w:rPr>
              <w:t>____________</w:t>
            </w:r>
          </w:p>
          <w:p w14:paraId="30CCBADF" w14:textId="77777777" w:rsidR="002D2F57" w:rsidRPr="005D4E87" w:rsidRDefault="002D2F57">
            <w:pPr>
              <w:pStyle w:val="Headingb"/>
              <w:rPr>
                <w:szCs w:val="22"/>
                <w:lang w:val="ru-RU"/>
              </w:rPr>
            </w:pPr>
            <w:r w:rsidRPr="005D4E87">
              <w:rPr>
                <w:szCs w:val="22"/>
                <w:lang w:val="ru-RU"/>
              </w:rPr>
              <w:t>Справочные материалы</w:t>
            </w:r>
          </w:p>
          <w:bookmarkStart w:id="3" w:name="lt_pId019"/>
          <w:p w14:paraId="3929CED6" w14:textId="5E2B38F8" w:rsidR="002D2F57" w:rsidRPr="005D4E87" w:rsidRDefault="00287E70" w:rsidP="00287E70">
            <w:pPr>
              <w:spacing w:after="120"/>
              <w:rPr>
                <w:i/>
                <w:iCs/>
                <w:lang w:val="ru-RU"/>
              </w:rPr>
            </w:pPr>
            <w:r w:rsidRPr="005D4E87">
              <w:rPr>
                <w:i/>
                <w:iCs/>
                <w:szCs w:val="22"/>
                <w:lang w:val="ru-RU"/>
              </w:rPr>
              <w:fldChar w:fldCharType="begin"/>
            </w:r>
            <w:r w:rsidRPr="005D4E87">
              <w:rPr>
                <w:i/>
                <w:iCs/>
                <w:szCs w:val="22"/>
                <w:lang w:val="ru-RU"/>
              </w:rPr>
              <w:instrText xml:space="preserve"> HYPERLINK "https://www.itu.int/md/S19-CL-C-0004/en" </w:instrText>
            </w:r>
            <w:r w:rsidRPr="005D4E87">
              <w:rPr>
                <w:i/>
                <w:iCs/>
                <w:szCs w:val="22"/>
                <w:lang w:val="ru-RU"/>
              </w:rPr>
              <w:fldChar w:fldCharType="separate"/>
            </w:r>
            <w:r w:rsidRPr="005D4E87">
              <w:rPr>
                <w:rStyle w:val="Hyperlink"/>
                <w:i/>
                <w:iCs/>
                <w:szCs w:val="22"/>
                <w:lang w:val="ru-RU"/>
              </w:rPr>
              <w:t>C19/4</w:t>
            </w:r>
            <w:r w:rsidRPr="005D4E87">
              <w:rPr>
                <w:i/>
                <w:iCs/>
                <w:szCs w:val="22"/>
                <w:lang w:val="ru-RU"/>
              </w:rPr>
              <w:fldChar w:fldCharType="end"/>
            </w:r>
            <w:r w:rsidRPr="005D4E87">
              <w:rPr>
                <w:i/>
                <w:iCs/>
                <w:szCs w:val="22"/>
                <w:lang w:val="ru-RU"/>
              </w:rPr>
              <w:t xml:space="preserve">, </w:t>
            </w:r>
            <w:hyperlink r:id="rId13" w:history="1">
              <w:r w:rsidRPr="005D4E87">
                <w:rPr>
                  <w:rStyle w:val="Hyperlink"/>
                  <w:i/>
                  <w:iCs/>
                  <w:szCs w:val="22"/>
                  <w:lang w:val="ru-RU"/>
                </w:rPr>
                <w:t>C19/101</w:t>
              </w:r>
            </w:hyperlink>
            <w:r w:rsidRPr="005D4E87">
              <w:rPr>
                <w:i/>
                <w:iCs/>
                <w:szCs w:val="22"/>
                <w:lang w:val="ru-RU"/>
              </w:rPr>
              <w:t xml:space="preserve">, </w:t>
            </w:r>
            <w:hyperlink r:id="rId14" w:history="1">
              <w:r w:rsidRPr="005D4E87">
                <w:rPr>
                  <w:rStyle w:val="Hyperlink"/>
                  <w:i/>
                  <w:iCs/>
                  <w:szCs w:val="22"/>
                  <w:lang w:val="ru-RU"/>
                </w:rPr>
                <w:t>C19/112</w:t>
              </w:r>
            </w:hyperlink>
            <w:r w:rsidRPr="005D4E87">
              <w:rPr>
                <w:i/>
                <w:iCs/>
                <w:szCs w:val="22"/>
                <w:lang w:val="ru-RU"/>
              </w:rPr>
              <w:t xml:space="preserve">, </w:t>
            </w:r>
            <w:hyperlink r:id="rId15" w:history="1">
              <w:r w:rsidRPr="005D4E87">
                <w:rPr>
                  <w:rStyle w:val="Hyperlink"/>
                  <w:i/>
                  <w:iCs/>
                  <w:szCs w:val="22"/>
                  <w:lang w:val="ru-RU"/>
                </w:rPr>
                <w:t>CL-19/57</w:t>
              </w:r>
            </w:hyperlink>
            <w:r w:rsidRPr="005D4E87">
              <w:rPr>
                <w:i/>
                <w:iCs/>
                <w:szCs w:val="22"/>
                <w:lang w:val="ru-RU"/>
              </w:rPr>
              <w:t xml:space="preserve">, </w:t>
            </w:r>
            <w:hyperlink r:id="rId16" w:history="1">
              <w:r w:rsidRPr="005D4E87">
                <w:rPr>
                  <w:rStyle w:val="Hyperlink"/>
                  <w:i/>
                  <w:iCs/>
                  <w:szCs w:val="22"/>
                  <w:lang w:val="ru-RU"/>
                </w:rPr>
                <w:t>C20/INF/8</w:t>
              </w:r>
            </w:hyperlink>
            <w:bookmarkEnd w:id="3"/>
            <w:r w:rsidR="00077139" w:rsidRPr="005D4E87">
              <w:rPr>
                <w:rStyle w:val="Hyperlink"/>
                <w:i/>
                <w:iCs/>
                <w:szCs w:val="22"/>
                <w:u w:val="none"/>
                <w:lang w:val="ru-RU"/>
              </w:rPr>
              <w:t xml:space="preserve">, </w:t>
            </w:r>
            <w:hyperlink r:id="rId17" w:history="1">
              <w:r w:rsidR="00077139" w:rsidRPr="005D4E87">
                <w:rPr>
                  <w:rStyle w:val="Hyperlink"/>
                  <w:i/>
                  <w:iCs/>
                  <w:lang w:val="ru-RU"/>
                </w:rPr>
                <w:t>CL-20/13</w:t>
              </w:r>
            </w:hyperlink>
            <w:r w:rsidR="00077139" w:rsidRPr="005D4E87">
              <w:rPr>
                <w:rStyle w:val="Hyperlink"/>
                <w:u w:val="none"/>
                <w:lang w:val="ru-RU"/>
              </w:rPr>
              <w:t xml:space="preserve">, </w:t>
            </w:r>
            <w:hyperlink r:id="rId18" w:history="1">
              <w:r w:rsidR="00077139" w:rsidRPr="005D4E87">
                <w:rPr>
                  <w:rStyle w:val="Hyperlink"/>
                  <w:i/>
                  <w:iCs/>
                  <w:lang w:val="ru-RU"/>
                </w:rPr>
                <w:t>C21/INF/8</w:t>
              </w:r>
            </w:hyperlink>
          </w:p>
        </w:tc>
      </w:tr>
    </w:tbl>
    <w:p w14:paraId="701833E4" w14:textId="0DAFBD39" w:rsidR="00287E70" w:rsidRPr="005D4E87" w:rsidRDefault="00287E70" w:rsidP="00287E70">
      <w:pPr>
        <w:pStyle w:val="Heading1"/>
        <w:rPr>
          <w:lang w:val="ru-RU"/>
        </w:rPr>
      </w:pPr>
      <w:r w:rsidRPr="005D4E87">
        <w:rPr>
          <w:lang w:val="ru-RU"/>
        </w:rPr>
        <w:t>I</w:t>
      </w:r>
      <w:r w:rsidRPr="005D4E87">
        <w:rPr>
          <w:lang w:val="ru-RU"/>
        </w:rPr>
        <w:tab/>
        <w:t>Базовая информация</w:t>
      </w:r>
    </w:p>
    <w:p w14:paraId="631CD112" w14:textId="14CBF8E5" w:rsidR="00287E70" w:rsidRPr="005D4E87" w:rsidRDefault="00287E70" w:rsidP="00EC73CC">
      <w:pPr>
        <w:rPr>
          <w:lang w:val="ru-RU"/>
        </w:rPr>
      </w:pPr>
      <w:r w:rsidRPr="005D4E87">
        <w:rPr>
          <w:lang w:val="ru-RU"/>
        </w:rPr>
        <w:t>На своей сессии 2019 года Совет принял к сведению отчет секретариата о Полномочной конференции 2018 года (</w:t>
      </w:r>
      <w:hyperlink r:id="rId19" w:history="1">
        <w:r w:rsidRPr="005D4E87">
          <w:rPr>
            <w:rStyle w:val="Hyperlink"/>
            <w:lang w:val="ru-RU"/>
          </w:rPr>
          <w:t>C19/4</w:t>
        </w:r>
      </w:hyperlink>
      <w:r w:rsidRPr="005D4E87">
        <w:rPr>
          <w:lang w:val="ru-RU"/>
        </w:rPr>
        <w:t>), в котором освещаются достигнутые улучшения, а также вклад Объединенных Арабских Эмиратов и Королевства Саудовская Аравия (</w:t>
      </w:r>
      <w:hyperlink r:id="rId20" w:history="1">
        <w:r w:rsidRPr="005D4E87">
          <w:rPr>
            <w:rStyle w:val="Hyperlink"/>
            <w:lang w:val="ru-RU"/>
          </w:rPr>
          <w:t>C19/101</w:t>
        </w:r>
      </w:hyperlink>
      <w:r w:rsidRPr="005D4E87">
        <w:rPr>
          <w:lang w:val="ru-RU"/>
        </w:rPr>
        <w:t>) по предлагаемым способам совершенствования работы Полномочной конференции.</w:t>
      </w:r>
    </w:p>
    <w:p w14:paraId="638D9C71" w14:textId="668CD83D" w:rsidR="00287E70" w:rsidRPr="005D4E87" w:rsidRDefault="00287E70" w:rsidP="00287E70">
      <w:pPr>
        <w:rPr>
          <w:lang w:val="ru-RU"/>
        </w:rPr>
      </w:pPr>
      <w:r w:rsidRPr="005D4E87">
        <w:rPr>
          <w:lang w:val="ru-RU"/>
        </w:rPr>
        <w:t>Затем Совет предложил секретариату продолжать рассматривать меры совершенствования работы Полномочной конференции (ПК) и возможно</w:t>
      </w:r>
      <w:r w:rsidR="00205F50" w:rsidRPr="005D4E87">
        <w:rPr>
          <w:lang w:val="ru-RU"/>
        </w:rPr>
        <w:t>го</w:t>
      </w:r>
      <w:r w:rsidRPr="005D4E87">
        <w:rPr>
          <w:lang w:val="ru-RU"/>
        </w:rPr>
        <w:t xml:space="preserve"> сокращени</w:t>
      </w:r>
      <w:r w:rsidR="00205F50" w:rsidRPr="005D4E87">
        <w:rPr>
          <w:lang w:val="ru-RU"/>
        </w:rPr>
        <w:t>я</w:t>
      </w:r>
      <w:r w:rsidRPr="005D4E87">
        <w:rPr>
          <w:lang w:val="ru-RU"/>
        </w:rPr>
        <w:t xml:space="preserve"> ее продолжительности, принимая во внимание при ее подготовке возможные правовые и финансовые последствия, и подготовить отчет для следующей сессии Совета</w:t>
      </w:r>
      <w:r w:rsidR="00E714A8" w:rsidRPr="005D4E87">
        <w:rPr>
          <w:lang w:val="ru-RU"/>
        </w:rPr>
        <w:t xml:space="preserve"> (</w:t>
      </w:r>
      <w:hyperlink r:id="rId21" w:history="1">
        <w:r w:rsidR="00E714A8" w:rsidRPr="005D4E87">
          <w:rPr>
            <w:rStyle w:val="Hyperlink"/>
            <w:lang w:val="ru-RU"/>
          </w:rPr>
          <w:t>C19/112</w:t>
        </w:r>
      </w:hyperlink>
      <w:r w:rsidR="00E714A8" w:rsidRPr="005D4E87">
        <w:rPr>
          <w:lang w:val="ru-RU"/>
        </w:rPr>
        <w:t>)</w:t>
      </w:r>
      <w:r w:rsidRPr="005D4E87">
        <w:rPr>
          <w:lang w:val="ru-RU"/>
        </w:rPr>
        <w:t>.</w:t>
      </w:r>
    </w:p>
    <w:p w14:paraId="59AFA9BE" w14:textId="529D6D77" w:rsidR="00287E70" w:rsidRPr="005D4E87" w:rsidRDefault="00E714A8" w:rsidP="00287E70">
      <w:pPr>
        <w:jc w:val="both"/>
        <w:rPr>
          <w:lang w:val="ru-RU"/>
        </w:rPr>
      </w:pPr>
      <w:bookmarkStart w:id="4" w:name="lt_pId024"/>
      <w:r w:rsidRPr="005D4E87">
        <w:rPr>
          <w:lang w:val="ru-RU"/>
        </w:rPr>
        <w:t>В Циркулярном письме</w:t>
      </w:r>
      <w:r w:rsidR="00287E70" w:rsidRPr="005D4E87">
        <w:rPr>
          <w:lang w:val="ru-RU"/>
        </w:rPr>
        <w:t xml:space="preserve"> </w:t>
      </w:r>
      <w:hyperlink r:id="rId22" w:history="1">
        <w:r w:rsidR="00287E70" w:rsidRPr="005D4E87">
          <w:rPr>
            <w:rStyle w:val="Hyperlink"/>
            <w:lang w:val="ru-RU"/>
          </w:rPr>
          <w:t>CL-19/57</w:t>
        </w:r>
      </w:hyperlink>
      <w:r w:rsidR="00406989" w:rsidRPr="005D4E87">
        <w:rPr>
          <w:lang w:val="ru-RU"/>
        </w:rPr>
        <w:t xml:space="preserve"> секретариат провел консультации по дальнейшим мерам совершенствования на основании трех областей и предлагаемых для обсуждения вопросов</w:t>
      </w:r>
      <w:r w:rsidR="00287E70" w:rsidRPr="005D4E87">
        <w:rPr>
          <w:lang w:val="ru-RU"/>
        </w:rPr>
        <w:t>.</w:t>
      </w:r>
      <w:bookmarkEnd w:id="4"/>
      <w:r w:rsidR="00287E70" w:rsidRPr="005D4E87">
        <w:rPr>
          <w:lang w:val="ru-RU"/>
        </w:rPr>
        <w:t xml:space="preserve"> </w:t>
      </w:r>
      <w:bookmarkStart w:id="5" w:name="lt_pId025"/>
      <w:r w:rsidR="00620260" w:rsidRPr="005D4E87">
        <w:rPr>
          <w:lang w:val="ru-RU"/>
        </w:rPr>
        <w:t>Краткое изложение всех ответов Государств-Членов содержится в Документе </w:t>
      </w:r>
      <w:hyperlink r:id="rId23" w:history="1">
        <w:r w:rsidR="00077139" w:rsidRPr="005D4E87">
          <w:rPr>
            <w:rStyle w:val="Hyperlink"/>
            <w:lang w:val="ru-RU"/>
          </w:rPr>
          <w:t>C21/INF/8</w:t>
        </w:r>
      </w:hyperlink>
      <w:r w:rsidR="00287E70" w:rsidRPr="005D4E87">
        <w:rPr>
          <w:lang w:val="ru-RU"/>
        </w:rPr>
        <w:t>.</w:t>
      </w:r>
      <w:bookmarkEnd w:id="5"/>
    </w:p>
    <w:p w14:paraId="430FBC95" w14:textId="293E6B48" w:rsidR="00287E70" w:rsidRPr="005D4E87" w:rsidRDefault="00287E70" w:rsidP="006075F4">
      <w:pPr>
        <w:pStyle w:val="Heading1"/>
        <w:rPr>
          <w:lang w:val="ru-RU"/>
        </w:rPr>
      </w:pPr>
      <w:bookmarkStart w:id="6" w:name="lt_pId026"/>
      <w:r w:rsidRPr="005D4E87">
        <w:rPr>
          <w:bCs/>
          <w:lang w:val="ru-RU"/>
        </w:rPr>
        <w:lastRenderedPageBreak/>
        <w:t>II</w:t>
      </w:r>
      <w:bookmarkEnd w:id="6"/>
      <w:r w:rsidRPr="005D4E87">
        <w:rPr>
          <w:bCs/>
          <w:lang w:val="ru-RU"/>
        </w:rPr>
        <w:tab/>
      </w:r>
      <w:r w:rsidRPr="005D4E87">
        <w:rPr>
          <w:lang w:val="ru-RU"/>
        </w:rPr>
        <w:t>Укрепление межрегиональной подготовки</w:t>
      </w:r>
    </w:p>
    <w:p w14:paraId="4DC282CF" w14:textId="31E0DF04" w:rsidR="00287E70" w:rsidRPr="005D4E87" w:rsidRDefault="00F66482" w:rsidP="00EC73CC">
      <w:pPr>
        <w:keepNext/>
        <w:spacing w:before="240"/>
        <w:rPr>
          <w:rFonts w:asciiTheme="minorHAnsi" w:hAnsiTheme="minorHAnsi" w:cstheme="minorHAnsi"/>
          <w:color w:val="000000"/>
          <w:szCs w:val="24"/>
          <w:lang w:val="ru-RU"/>
        </w:rPr>
      </w:pPr>
      <w:bookmarkStart w:id="7" w:name="lt_pId028"/>
      <w:r w:rsidRPr="005D4E87">
        <w:rPr>
          <w:lang w:val="ru-RU"/>
        </w:rPr>
        <w:t>Первая область – укрепление межрегиональной подготовки</w:t>
      </w:r>
      <w:r w:rsidR="00287E70" w:rsidRPr="005D4E87">
        <w:rPr>
          <w:rFonts w:asciiTheme="minorHAnsi" w:hAnsiTheme="minorHAnsi" w:cstheme="minorHAnsi"/>
          <w:color w:val="000000"/>
          <w:szCs w:val="24"/>
          <w:lang w:val="ru-RU"/>
        </w:rPr>
        <w:t>.</w:t>
      </w:r>
      <w:bookmarkEnd w:id="7"/>
      <w:r w:rsidR="00287E70" w:rsidRPr="005D4E87">
        <w:rPr>
          <w:rFonts w:asciiTheme="minorHAnsi" w:hAnsiTheme="minorHAnsi" w:cstheme="minorHAnsi"/>
          <w:color w:val="000000"/>
          <w:szCs w:val="24"/>
          <w:lang w:val="ru-RU"/>
        </w:rPr>
        <w:t xml:space="preserve"> </w:t>
      </w:r>
      <w:bookmarkStart w:id="8" w:name="lt_pId029"/>
      <w:r w:rsidRPr="005D4E87">
        <w:rPr>
          <w:rFonts w:asciiTheme="minorHAnsi" w:hAnsiTheme="minorHAnsi" w:cstheme="minorHAnsi"/>
          <w:color w:val="000000"/>
          <w:szCs w:val="24"/>
          <w:lang w:val="ru-RU"/>
        </w:rPr>
        <w:t>Были предложены следующие вопросы</w:t>
      </w:r>
      <w:r w:rsidR="00287E70" w:rsidRPr="005D4E87">
        <w:rPr>
          <w:rFonts w:asciiTheme="minorHAnsi" w:hAnsiTheme="minorHAnsi" w:cstheme="minorHAnsi"/>
          <w:color w:val="000000"/>
          <w:szCs w:val="24"/>
          <w:lang w:val="ru-RU"/>
        </w:rPr>
        <w:t>:</w:t>
      </w:r>
      <w:bookmarkEnd w:id="8"/>
    </w:p>
    <w:p w14:paraId="42AEA41C" w14:textId="77777777" w:rsidR="006075F4" w:rsidRPr="005D4E87" w:rsidRDefault="006075F4" w:rsidP="00EC73CC">
      <w:pPr>
        <w:pStyle w:val="enumlev1"/>
        <w:rPr>
          <w:lang w:val="ru-RU"/>
        </w:rPr>
      </w:pPr>
      <w:r w:rsidRPr="005D4E87">
        <w:rPr>
          <w:lang w:val="ru-RU"/>
        </w:rPr>
        <w:t>•</w:t>
      </w:r>
      <w:r w:rsidRPr="005D4E87">
        <w:rPr>
          <w:lang w:val="ru-RU"/>
        </w:rPr>
        <w:tab/>
        <w:t>Как можно содействовать межрегиональной подготовке перед конференцией?</w:t>
      </w:r>
    </w:p>
    <w:p w14:paraId="40DAA781" w14:textId="77777777" w:rsidR="006075F4" w:rsidRPr="005D4E87" w:rsidRDefault="006075F4" w:rsidP="00EC73CC">
      <w:pPr>
        <w:pStyle w:val="enumlev1"/>
        <w:rPr>
          <w:lang w:val="ru-RU"/>
        </w:rPr>
      </w:pPr>
      <w:r w:rsidRPr="005D4E87">
        <w:rPr>
          <w:lang w:val="ru-RU"/>
        </w:rPr>
        <w:t>•</w:t>
      </w:r>
      <w:r w:rsidRPr="005D4E87">
        <w:rPr>
          <w:lang w:val="ru-RU"/>
        </w:rPr>
        <w:tab/>
        <w:t xml:space="preserve">Следует ли придать в большей степени регулярный характер межрегиональному подготовительному процессу, и если да, то каким образом? </w:t>
      </w:r>
    </w:p>
    <w:p w14:paraId="1F58D7D5" w14:textId="77777777" w:rsidR="006075F4" w:rsidRPr="005D4E87" w:rsidRDefault="006075F4" w:rsidP="00EC73CC">
      <w:pPr>
        <w:pStyle w:val="enumlev1"/>
        <w:rPr>
          <w:lang w:val="ru-RU"/>
        </w:rPr>
      </w:pPr>
      <w:r w:rsidRPr="005D4E87">
        <w:rPr>
          <w:lang w:val="ru-RU"/>
        </w:rPr>
        <w:t>•</w:t>
      </w:r>
      <w:r w:rsidRPr="005D4E87">
        <w:rPr>
          <w:lang w:val="ru-RU"/>
        </w:rPr>
        <w:tab/>
        <w:t>Может ли это стать шагом к сокращению продолжительности конференции?</w:t>
      </w:r>
    </w:p>
    <w:p w14:paraId="2E5CC34C" w14:textId="77777777" w:rsidR="006075F4" w:rsidRPr="005D4E87" w:rsidRDefault="006075F4" w:rsidP="00EC73CC">
      <w:pPr>
        <w:pStyle w:val="enumlev1"/>
        <w:rPr>
          <w:lang w:val="ru-RU"/>
        </w:rPr>
      </w:pPr>
      <w:r w:rsidRPr="005D4E87">
        <w:rPr>
          <w:lang w:val="ru-RU"/>
        </w:rPr>
        <w:t>•</w:t>
      </w:r>
      <w:r w:rsidRPr="005D4E87">
        <w:rPr>
          <w:lang w:val="ru-RU"/>
        </w:rPr>
        <w:tab/>
        <w:t>Следует ли секретариату оказывать более активную поддержку межрегиональному подготовительному процессу, и если да, то каким образом?</w:t>
      </w:r>
    </w:p>
    <w:p w14:paraId="37BD07F0" w14:textId="1047B044" w:rsidR="006075F4" w:rsidRPr="005D4E87" w:rsidRDefault="006075F4" w:rsidP="00EC73CC">
      <w:pPr>
        <w:pStyle w:val="enumlev1"/>
        <w:rPr>
          <w:lang w:val="ru-RU"/>
        </w:rPr>
      </w:pPr>
      <w:r w:rsidRPr="005D4E87">
        <w:rPr>
          <w:lang w:val="ru-RU"/>
        </w:rPr>
        <w:t>•</w:t>
      </w:r>
      <w:r w:rsidRPr="005D4E87">
        <w:rPr>
          <w:lang w:val="ru-RU"/>
        </w:rPr>
        <w:tab/>
        <w:t xml:space="preserve">Следует ли укреплять сотрудничество между региональными организациями электросвязи </w:t>
      </w:r>
      <w:r w:rsidR="00F66482" w:rsidRPr="005D4E87">
        <w:rPr>
          <w:lang w:val="ru-RU"/>
        </w:rPr>
        <w:t xml:space="preserve">(РОЭ) </w:t>
      </w:r>
      <w:r w:rsidRPr="005D4E87">
        <w:rPr>
          <w:lang w:val="ru-RU"/>
        </w:rPr>
        <w:t>и секретариатом в связи с региональными подготовительными собраниями?</w:t>
      </w:r>
    </w:p>
    <w:p w14:paraId="0055E391" w14:textId="6C28656D" w:rsidR="00287E70" w:rsidRPr="005D4E87" w:rsidRDefault="00F66482" w:rsidP="00EC73CC">
      <w:pPr>
        <w:rPr>
          <w:szCs w:val="24"/>
          <w:lang w:val="ru-RU"/>
        </w:rPr>
      </w:pPr>
      <w:bookmarkStart w:id="9" w:name="lt_pId035"/>
      <w:r w:rsidRPr="005D4E87">
        <w:rPr>
          <w:szCs w:val="24"/>
          <w:lang w:val="ru-RU"/>
        </w:rPr>
        <w:t>На основании ответо</w:t>
      </w:r>
      <w:r w:rsidR="00973366" w:rsidRPr="005D4E87">
        <w:rPr>
          <w:szCs w:val="24"/>
          <w:lang w:val="ru-RU"/>
        </w:rPr>
        <w:t>в</w:t>
      </w:r>
      <w:r w:rsidRPr="005D4E87">
        <w:rPr>
          <w:szCs w:val="24"/>
          <w:lang w:val="ru-RU"/>
        </w:rPr>
        <w:t xml:space="preserve"> Государств-Членов</w:t>
      </w:r>
      <w:r w:rsidR="00973366" w:rsidRPr="005D4E87">
        <w:rPr>
          <w:szCs w:val="24"/>
          <w:lang w:val="ru-RU"/>
        </w:rPr>
        <w:t xml:space="preserve"> предлагается укрепить процесс подготовки следующим образом</w:t>
      </w:r>
      <w:r w:rsidR="00287E70" w:rsidRPr="005D4E87">
        <w:rPr>
          <w:szCs w:val="24"/>
          <w:lang w:val="ru-RU"/>
        </w:rPr>
        <w:t>:</w:t>
      </w:r>
      <w:bookmarkEnd w:id="9"/>
      <w:r w:rsidR="00287E70" w:rsidRPr="005D4E87">
        <w:rPr>
          <w:szCs w:val="24"/>
          <w:lang w:val="ru-RU"/>
        </w:rPr>
        <w:t xml:space="preserve"> </w:t>
      </w:r>
    </w:p>
    <w:p w14:paraId="7A07D590" w14:textId="7BFC9187" w:rsidR="00287E70" w:rsidRPr="005D4E87" w:rsidRDefault="006075F4" w:rsidP="00EC73CC">
      <w:pPr>
        <w:pStyle w:val="enumlev1"/>
        <w:rPr>
          <w:lang w:val="ru-RU"/>
        </w:rPr>
      </w:pPr>
      <w:bookmarkStart w:id="10" w:name="lt_pId036"/>
      <w:r w:rsidRPr="005D4E87">
        <w:rPr>
          <w:lang w:val="ru-RU"/>
        </w:rPr>
        <w:t>A</w:t>
      </w:r>
      <w:r w:rsidRPr="005D4E87">
        <w:rPr>
          <w:lang w:val="ru-RU"/>
        </w:rPr>
        <w:tab/>
      </w:r>
      <w:r w:rsidR="00DA4A56" w:rsidRPr="005D4E87">
        <w:rPr>
          <w:lang w:val="ru-RU"/>
        </w:rPr>
        <w:t>у</w:t>
      </w:r>
      <w:r w:rsidR="00973366" w:rsidRPr="005D4E87">
        <w:rPr>
          <w:lang w:val="ru-RU"/>
        </w:rPr>
        <w:t xml:space="preserve">крепление обмена информацией и мнениями между регионами </w:t>
      </w:r>
      <w:r w:rsidR="002B216A" w:rsidRPr="005D4E87">
        <w:rPr>
          <w:lang w:val="ru-RU"/>
        </w:rPr>
        <w:t>в процессе подготовки к ПК; и</w:t>
      </w:r>
      <w:bookmarkEnd w:id="10"/>
    </w:p>
    <w:p w14:paraId="1998F5BE" w14:textId="2F9E9464" w:rsidR="00287E70" w:rsidRPr="005D4E87" w:rsidRDefault="006075F4" w:rsidP="00EC73CC">
      <w:pPr>
        <w:pStyle w:val="enumlev1"/>
        <w:rPr>
          <w:lang w:val="ru-RU"/>
        </w:rPr>
      </w:pPr>
      <w:bookmarkStart w:id="11" w:name="lt_pId037"/>
      <w:r w:rsidRPr="005D4E87">
        <w:rPr>
          <w:lang w:val="ru-RU"/>
        </w:rPr>
        <w:t>B</w:t>
      </w:r>
      <w:r w:rsidRPr="005D4E87">
        <w:rPr>
          <w:lang w:val="ru-RU"/>
        </w:rPr>
        <w:tab/>
      </w:r>
      <w:r w:rsidR="00DA4A56" w:rsidRPr="005D4E87">
        <w:rPr>
          <w:lang w:val="ru-RU"/>
        </w:rPr>
        <w:t>более активное участие Совета в процессе подготовки</w:t>
      </w:r>
      <w:r w:rsidR="00287E70" w:rsidRPr="005D4E87">
        <w:rPr>
          <w:lang w:val="ru-RU"/>
        </w:rPr>
        <w:t>.</w:t>
      </w:r>
      <w:bookmarkEnd w:id="11"/>
    </w:p>
    <w:p w14:paraId="1C1848A0" w14:textId="210060A8" w:rsidR="00287E70" w:rsidRPr="005D4E87" w:rsidRDefault="00287E70" w:rsidP="00507AAE">
      <w:pPr>
        <w:pStyle w:val="Headingb"/>
        <w:rPr>
          <w:lang w:val="ru-RU"/>
        </w:rPr>
      </w:pPr>
      <w:bookmarkStart w:id="12" w:name="lt_pId038"/>
      <w:proofErr w:type="gramStart"/>
      <w:r w:rsidRPr="005D4E87">
        <w:rPr>
          <w:lang w:val="ru-RU"/>
        </w:rPr>
        <w:t>A</w:t>
      </w:r>
      <w:bookmarkEnd w:id="12"/>
      <w:r w:rsidRPr="005D4E87">
        <w:rPr>
          <w:lang w:val="ru-RU"/>
        </w:rPr>
        <w:tab/>
      </w:r>
      <w:bookmarkStart w:id="13" w:name="lt_pId039"/>
      <w:r w:rsidR="00DA4A56" w:rsidRPr="005D4E87">
        <w:rPr>
          <w:lang w:val="ru-RU"/>
        </w:rPr>
        <w:t>В</w:t>
      </w:r>
      <w:proofErr w:type="gramEnd"/>
      <w:r w:rsidR="00DA4A56" w:rsidRPr="005D4E87">
        <w:rPr>
          <w:lang w:val="ru-RU"/>
        </w:rPr>
        <w:t xml:space="preserve"> связи с </w:t>
      </w:r>
      <w:r w:rsidR="00B13B4B" w:rsidRPr="005D4E87">
        <w:rPr>
          <w:lang w:val="ru-RU"/>
        </w:rPr>
        <w:t>меж</w:t>
      </w:r>
      <w:r w:rsidR="00DA4A56" w:rsidRPr="005D4E87">
        <w:rPr>
          <w:lang w:val="ru-RU"/>
        </w:rPr>
        <w:t>региональным процессом</w:t>
      </w:r>
      <w:r w:rsidRPr="005D4E87">
        <w:rPr>
          <w:b w:val="0"/>
          <w:bCs/>
          <w:lang w:val="ru-RU"/>
        </w:rPr>
        <w:t>:</w:t>
      </w:r>
      <w:bookmarkEnd w:id="13"/>
    </w:p>
    <w:p w14:paraId="6AA6EA5B" w14:textId="71092F47" w:rsidR="00287E70" w:rsidRPr="005D4E87" w:rsidRDefault="00362211" w:rsidP="00EC73CC">
      <w:pPr>
        <w:rPr>
          <w:szCs w:val="24"/>
          <w:lang w:val="ru-RU"/>
        </w:rPr>
      </w:pPr>
      <w:bookmarkStart w:id="14" w:name="lt_pId040"/>
      <w:r w:rsidRPr="005D4E87">
        <w:rPr>
          <w:szCs w:val="24"/>
          <w:lang w:val="ru-RU"/>
        </w:rPr>
        <w:t>Можно считать согласованными следующие элементы</w:t>
      </w:r>
      <w:r w:rsidR="00287E70" w:rsidRPr="005D4E87">
        <w:rPr>
          <w:szCs w:val="24"/>
          <w:lang w:val="ru-RU"/>
        </w:rPr>
        <w:t>:</w:t>
      </w:r>
      <w:bookmarkEnd w:id="14"/>
    </w:p>
    <w:p w14:paraId="207982CC" w14:textId="6A27CC38" w:rsidR="00287E70" w:rsidRPr="005D4E87" w:rsidRDefault="006075F4" w:rsidP="00EC73CC">
      <w:pPr>
        <w:pStyle w:val="enumlev1"/>
        <w:rPr>
          <w:lang w:val="ru-RU"/>
        </w:rPr>
      </w:pPr>
      <w:bookmarkStart w:id="15" w:name="lt_pId041"/>
      <w:r w:rsidRPr="005D4E87">
        <w:rPr>
          <w:lang w:val="ru-RU"/>
        </w:rPr>
        <w:t>•</w:t>
      </w:r>
      <w:r w:rsidRPr="005D4E87">
        <w:rPr>
          <w:lang w:val="ru-RU"/>
        </w:rPr>
        <w:tab/>
      </w:r>
      <w:r w:rsidR="00A055C2" w:rsidRPr="005D4E87">
        <w:rPr>
          <w:lang w:val="ru-RU"/>
        </w:rPr>
        <w:t>Конечная цель укрепления межрегиональной подготовки</w:t>
      </w:r>
      <w:r w:rsidR="00287E70" w:rsidRPr="005D4E87">
        <w:rPr>
          <w:lang w:val="ru-RU"/>
        </w:rPr>
        <w:t>:</w:t>
      </w:r>
      <w:bookmarkEnd w:id="15"/>
    </w:p>
    <w:p w14:paraId="709B8880" w14:textId="318C640D" w:rsidR="00287E70" w:rsidRPr="005D4E87" w:rsidRDefault="006075F4" w:rsidP="00EC73CC">
      <w:pPr>
        <w:pStyle w:val="enumlev2"/>
        <w:rPr>
          <w:lang w:val="ru-RU"/>
        </w:rPr>
      </w:pPr>
      <w:bookmarkStart w:id="16" w:name="lt_pId043"/>
      <w:r w:rsidRPr="005D4E87">
        <w:rPr>
          <w:lang w:val="ru-RU"/>
        </w:rPr>
        <w:t>−</w:t>
      </w:r>
      <w:r w:rsidRPr="005D4E87">
        <w:rPr>
          <w:lang w:val="ru-RU"/>
        </w:rPr>
        <w:tab/>
      </w:r>
      <w:r w:rsidR="00A055C2" w:rsidRPr="005D4E87">
        <w:rPr>
          <w:lang w:val="ru-RU"/>
        </w:rPr>
        <w:t>сокращение продолжительности конференции</w:t>
      </w:r>
      <w:bookmarkEnd w:id="16"/>
      <w:r w:rsidR="00A055C2" w:rsidRPr="005D4E87">
        <w:rPr>
          <w:lang w:val="ru-RU"/>
        </w:rPr>
        <w:t>;</w:t>
      </w:r>
    </w:p>
    <w:p w14:paraId="19D07FC7" w14:textId="2B73B6D2" w:rsidR="00287E70" w:rsidRPr="005D4E87" w:rsidRDefault="006075F4" w:rsidP="00EC73CC">
      <w:pPr>
        <w:pStyle w:val="enumlev2"/>
        <w:rPr>
          <w:lang w:val="ru-RU"/>
        </w:rPr>
      </w:pPr>
      <w:bookmarkStart w:id="17" w:name="lt_pId045"/>
      <w:r w:rsidRPr="005D4E87">
        <w:rPr>
          <w:lang w:val="ru-RU"/>
        </w:rPr>
        <w:t>−</w:t>
      </w:r>
      <w:r w:rsidRPr="005D4E87">
        <w:rPr>
          <w:lang w:val="ru-RU"/>
        </w:rPr>
        <w:tab/>
      </w:r>
      <w:r w:rsidR="00A055C2" w:rsidRPr="005D4E87">
        <w:rPr>
          <w:lang w:val="ru-RU"/>
        </w:rPr>
        <w:t>предоставление конференции возможности уделить больше внимания стратегическим вопросам</w:t>
      </w:r>
      <w:bookmarkEnd w:id="17"/>
      <w:r w:rsidR="00A055C2" w:rsidRPr="005D4E87">
        <w:rPr>
          <w:lang w:val="ru-RU"/>
        </w:rPr>
        <w:t>.</w:t>
      </w:r>
    </w:p>
    <w:p w14:paraId="6EC2B0B5" w14:textId="15614C03" w:rsidR="00287E70" w:rsidRPr="005D4E87" w:rsidRDefault="006075F4" w:rsidP="00EC73CC">
      <w:pPr>
        <w:pStyle w:val="enumlev1"/>
        <w:rPr>
          <w:lang w:val="ru-RU"/>
        </w:rPr>
      </w:pPr>
      <w:bookmarkStart w:id="18" w:name="lt_pId046"/>
      <w:r w:rsidRPr="005D4E87">
        <w:rPr>
          <w:lang w:val="ru-RU"/>
        </w:rPr>
        <w:t>•</w:t>
      </w:r>
      <w:r w:rsidRPr="005D4E87">
        <w:rPr>
          <w:lang w:val="ru-RU"/>
        </w:rPr>
        <w:tab/>
      </w:r>
      <w:r w:rsidR="00DC7AFA" w:rsidRPr="005D4E87">
        <w:rPr>
          <w:lang w:val="ru-RU"/>
        </w:rPr>
        <w:t>В процессе подготовки следует учитывать особенности процесса подготовки в каждом регионе. Каждый регион отвечает за свой процесс подготовки и координацию с другими регионами для более точного соответствия своим потребностям</w:t>
      </w:r>
      <w:bookmarkStart w:id="19" w:name="lt_pId047"/>
      <w:bookmarkEnd w:id="18"/>
      <w:r w:rsidR="00287E70" w:rsidRPr="005D4E87">
        <w:rPr>
          <w:lang w:val="ru-RU"/>
        </w:rPr>
        <w:t>.</w:t>
      </w:r>
      <w:bookmarkEnd w:id="19"/>
    </w:p>
    <w:p w14:paraId="3E021188" w14:textId="2DE5A0C8" w:rsidR="00287E70" w:rsidRPr="005D4E87" w:rsidRDefault="006075F4" w:rsidP="00EC73CC">
      <w:pPr>
        <w:pStyle w:val="enumlev1"/>
        <w:rPr>
          <w:lang w:val="ru-RU"/>
        </w:rPr>
      </w:pPr>
      <w:bookmarkStart w:id="20" w:name="lt_pId048"/>
      <w:r w:rsidRPr="005D4E87">
        <w:rPr>
          <w:lang w:val="ru-RU"/>
        </w:rPr>
        <w:t>•</w:t>
      </w:r>
      <w:r w:rsidRPr="005D4E87">
        <w:rPr>
          <w:lang w:val="ru-RU"/>
        </w:rPr>
        <w:tab/>
      </w:r>
      <w:r w:rsidR="006202DC" w:rsidRPr="005D4E87">
        <w:rPr>
          <w:lang w:val="ru-RU"/>
        </w:rPr>
        <w:t xml:space="preserve">Следует учитывать, что, в отличие от процесса подготовки МСЭ-R к ВКР, у ПК нет установленной повестки дня, которую можно </w:t>
      </w:r>
      <w:r w:rsidR="00E953C9" w:rsidRPr="005D4E87">
        <w:rPr>
          <w:lang w:val="ru-RU"/>
        </w:rPr>
        <w:t xml:space="preserve">было бы </w:t>
      </w:r>
      <w:r w:rsidR="006202DC" w:rsidRPr="005D4E87">
        <w:rPr>
          <w:lang w:val="ru-RU"/>
        </w:rPr>
        <w:t>обсуждать на региональном и межрегиональном уровнях</w:t>
      </w:r>
      <w:r w:rsidR="00287E70" w:rsidRPr="005D4E87">
        <w:rPr>
          <w:lang w:val="ru-RU"/>
        </w:rPr>
        <w:t>.</w:t>
      </w:r>
      <w:bookmarkEnd w:id="20"/>
    </w:p>
    <w:p w14:paraId="706758F5" w14:textId="1BAFFB4F" w:rsidR="00287E70" w:rsidRPr="005D4E87" w:rsidRDefault="006075F4" w:rsidP="00EC73CC">
      <w:pPr>
        <w:pStyle w:val="enumlev1"/>
        <w:rPr>
          <w:lang w:val="ru-RU"/>
        </w:rPr>
      </w:pPr>
      <w:bookmarkStart w:id="21" w:name="lt_pId049"/>
      <w:r w:rsidRPr="005D4E87">
        <w:rPr>
          <w:lang w:val="ru-RU"/>
        </w:rPr>
        <w:t>•</w:t>
      </w:r>
      <w:r w:rsidRPr="005D4E87">
        <w:rPr>
          <w:lang w:val="ru-RU"/>
        </w:rPr>
        <w:tab/>
      </w:r>
      <w:r w:rsidR="006202DC" w:rsidRPr="005D4E87">
        <w:rPr>
          <w:lang w:val="ru-RU"/>
        </w:rPr>
        <w:t xml:space="preserve">Правовая основа для межрегиональной подготовки уже установлена в </w:t>
      </w:r>
      <w:r w:rsidR="00D1179E" w:rsidRPr="005D4E87">
        <w:rPr>
          <w:lang w:val="ru-RU"/>
        </w:rPr>
        <w:t>Резолюции </w:t>
      </w:r>
      <w:r w:rsidR="00287E70" w:rsidRPr="005D4E87">
        <w:rPr>
          <w:lang w:val="ru-RU"/>
        </w:rPr>
        <w:t>58 (</w:t>
      </w:r>
      <w:proofErr w:type="spellStart"/>
      <w:r w:rsidRPr="005D4E87">
        <w:rPr>
          <w:lang w:val="ru-RU"/>
        </w:rPr>
        <w:t>Пересм</w:t>
      </w:r>
      <w:proofErr w:type="spellEnd"/>
      <w:r w:rsidRPr="005D4E87">
        <w:rPr>
          <w:lang w:val="ru-RU"/>
        </w:rPr>
        <w:t>. Пусан,</w:t>
      </w:r>
      <w:r w:rsidR="00287E70" w:rsidRPr="005D4E87">
        <w:rPr>
          <w:lang w:val="ru-RU"/>
        </w:rPr>
        <w:t xml:space="preserve"> 2014</w:t>
      </w:r>
      <w:r w:rsidRPr="005D4E87">
        <w:rPr>
          <w:lang w:val="ru-RU"/>
        </w:rPr>
        <w:t> г.</w:t>
      </w:r>
      <w:r w:rsidR="00287E70" w:rsidRPr="005D4E87">
        <w:rPr>
          <w:lang w:val="ru-RU"/>
        </w:rPr>
        <w:t>).</w:t>
      </w:r>
      <w:bookmarkEnd w:id="21"/>
    </w:p>
    <w:p w14:paraId="47CCA4F1" w14:textId="07D4E455" w:rsidR="00287E70" w:rsidRPr="005D4E87" w:rsidRDefault="00463F0A" w:rsidP="00EC73CC">
      <w:pPr>
        <w:rPr>
          <w:szCs w:val="24"/>
          <w:lang w:val="ru-RU"/>
        </w:rPr>
      </w:pPr>
      <w:bookmarkStart w:id="22" w:name="lt_pId050"/>
      <w:r w:rsidRPr="005D4E87">
        <w:rPr>
          <w:szCs w:val="24"/>
          <w:lang w:val="ru-RU"/>
        </w:rPr>
        <w:t xml:space="preserve">На основании успешного опыта проведения ПК-18, для которого были проведены три неофициальных межрегиональных собрания при поддержке секретариата, </w:t>
      </w:r>
      <w:r w:rsidRPr="005D4E87">
        <w:rPr>
          <w:szCs w:val="24"/>
          <w:u w:val="single"/>
          <w:lang w:val="ru-RU"/>
        </w:rPr>
        <w:t>предлагается</w:t>
      </w:r>
      <w:r w:rsidR="00287E70" w:rsidRPr="005D4E87">
        <w:rPr>
          <w:szCs w:val="24"/>
          <w:lang w:val="ru-RU"/>
        </w:rPr>
        <w:t>:</w:t>
      </w:r>
      <w:bookmarkEnd w:id="22"/>
      <w:r w:rsidR="00287E70" w:rsidRPr="005D4E87">
        <w:rPr>
          <w:szCs w:val="24"/>
          <w:lang w:val="ru-RU"/>
        </w:rPr>
        <w:t xml:space="preserve"> </w:t>
      </w:r>
    </w:p>
    <w:p w14:paraId="10E087CC" w14:textId="27614C21" w:rsidR="00287E70" w:rsidRPr="005D4E87" w:rsidRDefault="00287E70" w:rsidP="00EC73CC">
      <w:pPr>
        <w:rPr>
          <w:szCs w:val="24"/>
          <w:lang w:val="ru-RU"/>
        </w:rPr>
      </w:pPr>
      <w:r w:rsidRPr="005D4E87">
        <w:rPr>
          <w:szCs w:val="24"/>
          <w:lang w:val="ru-RU"/>
        </w:rPr>
        <w:t>1</w:t>
      </w:r>
      <w:r w:rsidRPr="005D4E87">
        <w:rPr>
          <w:szCs w:val="24"/>
          <w:lang w:val="ru-RU"/>
        </w:rPr>
        <w:tab/>
      </w:r>
      <w:bookmarkStart w:id="23" w:name="lt_pId052"/>
      <w:r w:rsidR="004D278F" w:rsidRPr="005D4E87">
        <w:rPr>
          <w:szCs w:val="24"/>
          <w:lang w:val="ru-RU"/>
        </w:rPr>
        <w:t>Для совершенствования графика проведения подготовительных собраний, как региональных, так и межрегиональных</w:t>
      </w:r>
      <w:r w:rsidRPr="005D4E87">
        <w:rPr>
          <w:szCs w:val="24"/>
          <w:lang w:val="ru-RU"/>
        </w:rPr>
        <w:t>:</w:t>
      </w:r>
      <w:bookmarkEnd w:id="23"/>
    </w:p>
    <w:p w14:paraId="10C65336" w14:textId="03AD6A4C" w:rsidR="00287E70" w:rsidRPr="005D4E87" w:rsidRDefault="006075F4" w:rsidP="00EC73CC">
      <w:pPr>
        <w:pStyle w:val="enumlev1"/>
        <w:rPr>
          <w:lang w:val="ru-RU"/>
        </w:rPr>
      </w:pPr>
      <w:bookmarkStart w:id="24" w:name="lt_pId053"/>
      <w:r w:rsidRPr="005D4E87">
        <w:rPr>
          <w:lang w:val="ru-RU"/>
        </w:rPr>
        <w:t>•</w:t>
      </w:r>
      <w:r w:rsidRPr="005D4E87">
        <w:rPr>
          <w:lang w:val="ru-RU"/>
        </w:rPr>
        <w:tab/>
      </w:r>
      <w:r w:rsidR="00333FBE" w:rsidRPr="005D4E87">
        <w:rPr>
          <w:lang w:val="ru-RU"/>
        </w:rPr>
        <w:t xml:space="preserve">Учитывая, что регионы </w:t>
      </w:r>
      <w:r w:rsidR="00083E42" w:rsidRPr="005D4E87">
        <w:rPr>
          <w:lang w:val="ru-RU"/>
        </w:rPr>
        <w:t>начинают подготовку к ПК за 1,5 года до конференции и проводят в среднем от четырех до пяти подготовительных собраний</w:t>
      </w:r>
      <w:r w:rsidR="00287E70" w:rsidRPr="005D4E87">
        <w:rPr>
          <w:lang w:val="ru-RU"/>
        </w:rPr>
        <w:t xml:space="preserve">, </w:t>
      </w:r>
      <w:r w:rsidR="00083E42" w:rsidRPr="005D4E87">
        <w:rPr>
          <w:lang w:val="ru-RU"/>
        </w:rPr>
        <w:t>следует активизировать консультации между РОЭ и секретариатом</w:t>
      </w:r>
      <w:r w:rsidR="00E976EB" w:rsidRPr="005D4E87">
        <w:rPr>
          <w:lang w:val="ru-RU"/>
        </w:rPr>
        <w:t xml:space="preserve"> перед конференцией (за 1,5–2 года), для того чтобы в максимально возможной степени синхронизировать/координировать региональные подготовительные собрания и планировать по меньшей мере два межрегиональных собрания</w:t>
      </w:r>
      <w:r w:rsidR="00287E70" w:rsidRPr="005D4E87">
        <w:rPr>
          <w:lang w:val="ru-RU"/>
        </w:rPr>
        <w:t>.</w:t>
      </w:r>
      <w:bookmarkEnd w:id="24"/>
    </w:p>
    <w:p w14:paraId="2372F7A4" w14:textId="7EB29E4F" w:rsidR="00287E70" w:rsidRPr="005D4E87" w:rsidRDefault="006075F4" w:rsidP="00EC73CC">
      <w:pPr>
        <w:pStyle w:val="enumlev1"/>
        <w:rPr>
          <w:lang w:val="ru-RU"/>
        </w:rPr>
      </w:pPr>
      <w:bookmarkStart w:id="25" w:name="lt_pId054"/>
      <w:r w:rsidRPr="005D4E87">
        <w:rPr>
          <w:lang w:val="ru-RU"/>
        </w:rPr>
        <w:t>•</w:t>
      </w:r>
      <w:r w:rsidRPr="005D4E87">
        <w:rPr>
          <w:lang w:val="ru-RU"/>
        </w:rPr>
        <w:tab/>
      </w:r>
      <w:r w:rsidR="00E976EB" w:rsidRPr="005D4E87">
        <w:rPr>
          <w:lang w:val="ru-RU"/>
        </w:rPr>
        <w:t xml:space="preserve">Предварительный график межрегиональных собраний следует представлять </w:t>
      </w:r>
      <w:r w:rsidR="00E953C9" w:rsidRPr="005D4E87">
        <w:rPr>
          <w:lang w:val="ru-RU"/>
        </w:rPr>
        <w:t xml:space="preserve">на сессии </w:t>
      </w:r>
      <w:r w:rsidR="00E976EB" w:rsidRPr="005D4E87">
        <w:rPr>
          <w:lang w:val="ru-RU"/>
        </w:rPr>
        <w:t>Совет</w:t>
      </w:r>
      <w:r w:rsidR="00E953C9" w:rsidRPr="005D4E87">
        <w:rPr>
          <w:lang w:val="ru-RU"/>
        </w:rPr>
        <w:t>а</w:t>
      </w:r>
      <w:r w:rsidR="00E976EB" w:rsidRPr="005D4E87">
        <w:rPr>
          <w:lang w:val="ru-RU"/>
        </w:rPr>
        <w:t xml:space="preserve"> за </w:t>
      </w:r>
      <w:r w:rsidR="00E953C9" w:rsidRPr="005D4E87">
        <w:rPr>
          <w:lang w:val="ru-RU"/>
        </w:rPr>
        <w:t xml:space="preserve">один </w:t>
      </w:r>
      <w:r w:rsidR="00E976EB" w:rsidRPr="005D4E87">
        <w:rPr>
          <w:lang w:val="ru-RU"/>
        </w:rPr>
        <w:t xml:space="preserve">год до </w:t>
      </w:r>
      <w:r w:rsidR="00E953C9" w:rsidRPr="005D4E87">
        <w:rPr>
          <w:lang w:val="ru-RU"/>
        </w:rPr>
        <w:t xml:space="preserve">проведения </w:t>
      </w:r>
      <w:r w:rsidR="00E976EB" w:rsidRPr="005D4E87">
        <w:rPr>
          <w:lang w:val="ru-RU"/>
        </w:rPr>
        <w:t>ПК</w:t>
      </w:r>
      <w:r w:rsidR="00287E70" w:rsidRPr="005D4E87">
        <w:rPr>
          <w:lang w:val="ru-RU"/>
        </w:rPr>
        <w:t>.</w:t>
      </w:r>
      <w:bookmarkEnd w:id="25"/>
    </w:p>
    <w:p w14:paraId="0C930AD3" w14:textId="4F67EA74" w:rsidR="00287E70" w:rsidRPr="005D4E87" w:rsidRDefault="006075F4" w:rsidP="00EC73CC">
      <w:pPr>
        <w:pStyle w:val="enumlev1"/>
        <w:rPr>
          <w:lang w:val="ru-RU"/>
        </w:rPr>
      </w:pPr>
      <w:bookmarkStart w:id="26" w:name="lt_pId055"/>
      <w:r w:rsidRPr="005D4E87">
        <w:rPr>
          <w:lang w:val="ru-RU"/>
        </w:rPr>
        <w:lastRenderedPageBreak/>
        <w:t>•</w:t>
      </w:r>
      <w:r w:rsidRPr="005D4E87">
        <w:rPr>
          <w:lang w:val="ru-RU"/>
        </w:rPr>
        <w:tab/>
      </w:r>
      <w:r w:rsidR="007F70EB" w:rsidRPr="005D4E87">
        <w:rPr>
          <w:lang w:val="ru-RU"/>
        </w:rPr>
        <w:t>Генеральному секретарю следует создать и регулярно обновлять специальный веб-сайт</w:t>
      </w:r>
      <w:r w:rsidR="00E953C9" w:rsidRPr="005D4E87">
        <w:rPr>
          <w:lang w:val="ru-RU"/>
        </w:rPr>
        <w:t xml:space="preserve"> по</w:t>
      </w:r>
      <w:r w:rsidR="007F70EB" w:rsidRPr="005D4E87">
        <w:rPr>
          <w:lang w:val="ru-RU"/>
        </w:rPr>
        <w:t xml:space="preserve"> региональной подготовк</w:t>
      </w:r>
      <w:r w:rsidR="00E953C9" w:rsidRPr="005D4E87">
        <w:rPr>
          <w:lang w:val="ru-RU"/>
        </w:rPr>
        <w:t>е</w:t>
      </w:r>
      <w:r w:rsidR="007F70EB" w:rsidRPr="005D4E87">
        <w:rPr>
          <w:lang w:val="ru-RU"/>
        </w:rPr>
        <w:t xml:space="preserve"> к ПК, </w:t>
      </w:r>
      <w:r w:rsidR="008E13ED" w:rsidRPr="005D4E87">
        <w:rPr>
          <w:lang w:val="ru-RU"/>
        </w:rPr>
        <w:t xml:space="preserve">содержащий </w:t>
      </w:r>
      <w:r w:rsidR="007F70EB" w:rsidRPr="005D4E87">
        <w:rPr>
          <w:lang w:val="ru-RU"/>
        </w:rPr>
        <w:t>документы, представляемые организациями, и другую полезную информацию</w:t>
      </w:r>
      <w:r w:rsidR="00287E70" w:rsidRPr="005D4E87">
        <w:rPr>
          <w:lang w:val="ru-RU"/>
        </w:rPr>
        <w:t>.</w:t>
      </w:r>
      <w:bookmarkEnd w:id="26"/>
      <w:r w:rsidR="00287E70" w:rsidRPr="005D4E87">
        <w:rPr>
          <w:lang w:val="ru-RU"/>
        </w:rPr>
        <w:t xml:space="preserve"> </w:t>
      </w:r>
    </w:p>
    <w:p w14:paraId="0012F5A2" w14:textId="3C9B69A6" w:rsidR="00287E70" w:rsidRPr="005D4E87" w:rsidRDefault="006075F4" w:rsidP="00EC73CC">
      <w:pPr>
        <w:pStyle w:val="enumlev1"/>
        <w:rPr>
          <w:lang w:val="ru-RU"/>
        </w:rPr>
      </w:pPr>
      <w:bookmarkStart w:id="27" w:name="lt_pId056"/>
      <w:r w:rsidRPr="005D4E87">
        <w:rPr>
          <w:lang w:val="ru-RU"/>
        </w:rPr>
        <w:t>•</w:t>
      </w:r>
      <w:r w:rsidRPr="005D4E87">
        <w:rPr>
          <w:lang w:val="ru-RU"/>
        </w:rPr>
        <w:tab/>
      </w:r>
      <w:r w:rsidR="009D76B7" w:rsidRPr="005D4E87">
        <w:rPr>
          <w:lang w:val="ru-RU"/>
        </w:rPr>
        <w:t>Следует поощрять взаимн</w:t>
      </w:r>
      <w:r w:rsidR="00E051BF" w:rsidRPr="005D4E87">
        <w:rPr>
          <w:lang w:val="ru-RU"/>
        </w:rPr>
        <w:t>ое участие представителей региональных организаций в подготовительных собраниях других региональных организаций</w:t>
      </w:r>
      <w:r w:rsidR="00287E70" w:rsidRPr="005D4E87">
        <w:rPr>
          <w:lang w:val="ru-RU"/>
        </w:rPr>
        <w:t>.</w:t>
      </w:r>
      <w:bookmarkEnd w:id="27"/>
    </w:p>
    <w:p w14:paraId="7265E512" w14:textId="55F568A1" w:rsidR="00287E70" w:rsidRPr="005D4E87" w:rsidRDefault="00287E70" w:rsidP="00EC73CC">
      <w:pPr>
        <w:keepNext/>
        <w:keepLines/>
        <w:rPr>
          <w:szCs w:val="24"/>
          <w:lang w:val="ru-RU"/>
        </w:rPr>
      </w:pPr>
      <w:r w:rsidRPr="005D4E87">
        <w:rPr>
          <w:szCs w:val="24"/>
          <w:lang w:val="ru-RU"/>
        </w:rPr>
        <w:t>2</w:t>
      </w:r>
      <w:r w:rsidRPr="005D4E87">
        <w:rPr>
          <w:szCs w:val="24"/>
          <w:lang w:val="ru-RU"/>
        </w:rPr>
        <w:tab/>
      </w:r>
      <w:bookmarkStart w:id="28" w:name="lt_pId058"/>
      <w:r w:rsidR="00AE503C" w:rsidRPr="005D4E87">
        <w:rPr>
          <w:szCs w:val="24"/>
          <w:lang w:val="ru-RU"/>
        </w:rPr>
        <w:t>Для уточнения задач</w:t>
      </w:r>
      <w:r w:rsidR="008E25DC" w:rsidRPr="005D4E87">
        <w:rPr>
          <w:szCs w:val="24"/>
          <w:lang w:val="ru-RU"/>
        </w:rPr>
        <w:t xml:space="preserve"> межрегиональных подготовительных собраний</w:t>
      </w:r>
      <w:r w:rsidRPr="005D4E87">
        <w:rPr>
          <w:szCs w:val="24"/>
          <w:lang w:val="ru-RU"/>
        </w:rPr>
        <w:t>:</w:t>
      </w:r>
      <w:bookmarkEnd w:id="28"/>
      <w:r w:rsidRPr="005D4E87">
        <w:rPr>
          <w:szCs w:val="24"/>
          <w:lang w:val="ru-RU"/>
        </w:rPr>
        <w:t xml:space="preserve"> </w:t>
      </w:r>
    </w:p>
    <w:p w14:paraId="4A11DD99" w14:textId="68A928FE" w:rsidR="00287E70" w:rsidRPr="005D4E87" w:rsidRDefault="006075F4" w:rsidP="00EC73CC">
      <w:pPr>
        <w:pStyle w:val="enumlev1"/>
        <w:rPr>
          <w:lang w:val="ru-RU"/>
        </w:rPr>
      </w:pPr>
      <w:bookmarkStart w:id="29" w:name="lt_pId059"/>
      <w:r w:rsidRPr="005D4E87">
        <w:rPr>
          <w:lang w:val="ru-RU"/>
        </w:rPr>
        <w:t>•</w:t>
      </w:r>
      <w:r w:rsidRPr="005D4E87">
        <w:rPr>
          <w:lang w:val="ru-RU"/>
        </w:rPr>
        <w:tab/>
      </w:r>
      <w:r w:rsidR="00205F50" w:rsidRPr="005D4E87">
        <w:rPr>
          <w:lang w:val="ru-RU"/>
        </w:rPr>
        <w:t>С</w:t>
      </w:r>
      <w:r w:rsidR="008E25DC" w:rsidRPr="005D4E87">
        <w:rPr>
          <w:lang w:val="ru-RU"/>
        </w:rPr>
        <w:t>обрания предназначаются для обмена мнениями и информацией</w:t>
      </w:r>
      <w:r w:rsidR="00287E70" w:rsidRPr="005D4E87">
        <w:rPr>
          <w:lang w:val="ru-RU"/>
        </w:rPr>
        <w:t>.</w:t>
      </w:r>
      <w:bookmarkEnd w:id="29"/>
      <w:r w:rsidR="00287E70" w:rsidRPr="005D4E87">
        <w:rPr>
          <w:lang w:val="ru-RU"/>
        </w:rPr>
        <w:t xml:space="preserve"> </w:t>
      </w:r>
      <w:bookmarkStart w:id="30" w:name="lt_pId060"/>
      <w:r w:rsidR="008E25DC" w:rsidRPr="005D4E87">
        <w:rPr>
          <w:lang w:val="ru-RU"/>
        </w:rPr>
        <w:t>Их результатом не должен быть "регулируемый региональный подготовительный процесс"</w:t>
      </w:r>
      <w:r w:rsidR="00287E70" w:rsidRPr="005D4E87">
        <w:rPr>
          <w:lang w:val="ru-RU"/>
        </w:rPr>
        <w:t>.</w:t>
      </w:r>
      <w:bookmarkEnd w:id="30"/>
      <w:r w:rsidR="00287E70" w:rsidRPr="005D4E87">
        <w:rPr>
          <w:lang w:val="ru-RU"/>
        </w:rPr>
        <w:t xml:space="preserve"> </w:t>
      </w:r>
      <w:bookmarkStart w:id="31" w:name="lt_pId061"/>
      <w:r w:rsidR="008E25DC" w:rsidRPr="005D4E87">
        <w:rPr>
          <w:lang w:val="ru-RU"/>
        </w:rPr>
        <w:t>Целью этих собраний не являются официальные переговоры</w:t>
      </w:r>
      <w:r w:rsidR="00287E70" w:rsidRPr="005D4E87">
        <w:rPr>
          <w:lang w:val="ru-RU"/>
        </w:rPr>
        <w:t>.</w:t>
      </w:r>
      <w:bookmarkEnd w:id="31"/>
      <w:r w:rsidR="00287E70" w:rsidRPr="005D4E87">
        <w:rPr>
          <w:lang w:val="ru-RU"/>
        </w:rPr>
        <w:t xml:space="preserve">  </w:t>
      </w:r>
    </w:p>
    <w:p w14:paraId="2A6F1A03" w14:textId="700187D7" w:rsidR="00287E70" w:rsidRPr="005D4E87" w:rsidRDefault="006075F4" w:rsidP="00EC73CC">
      <w:pPr>
        <w:pStyle w:val="enumlev1"/>
        <w:rPr>
          <w:lang w:val="ru-RU"/>
        </w:rPr>
      </w:pPr>
      <w:bookmarkStart w:id="32" w:name="lt_pId062"/>
      <w:r w:rsidRPr="005D4E87">
        <w:rPr>
          <w:lang w:val="ru-RU"/>
        </w:rPr>
        <w:t>•</w:t>
      </w:r>
      <w:r w:rsidRPr="005D4E87">
        <w:rPr>
          <w:lang w:val="ru-RU"/>
        </w:rPr>
        <w:tab/>
      </w:r>
      <w:r w:rsidR="00F23C4D" w:rsidRPr="005D4E87">
        <w:rPr>
          <w:lang w:val="ru-RU"/>
        </w:rPr>
        <w:t>Приглашения должны рассылаться Генеральным секретарем</w:t>
      </w:r>
      <w:r w:rsidR="008E13ED" w:rsidRPr="005D4E87">
        <w:rPr>
          <w:lang w:val="ru-RU"/>
        </w:rPr>
        <w:t xml:space="preserve"> МСЭ</w:t>
      </w:r>
      <w:r w:rsidR="00287E70" w:rsidRPr="005D4E87">
        <w:rPr>
          <w:lang w:val="ru-RU"/>
        </w:rPr>
        <w:t>.</w:t>
      </w:r>
      <w:bookmarkEnd w:id="32"/>
    </w:p>
    <w:p w14:paraId="0345C05B" w14:textId="5DCB4801" w:rsidR="00287E70" w:rsidRPr="005D4E87" w:rsidRDefault="006075F4" w:rsidP="00EC73CC">
      <w:pPr>
        <w:pStyle w:val="enumlev1"/>
        <w:rPr>
          <w:lang w:val="ru-RU"/>
        </w:rPr>
      </w:pPr>
      <w:bookmarkStart w:id="33" w:name="lt_pId063"/>
      <w:r w:rsidRPr="005D4E87">
        <w:rPr>
          <w:lang w:val="ru-RU"/>
        </w:rPr>
        <w:t>•</w:t>
      </w:r>
      <w:r w:rsidRPr="005D4E87">
        <w:rPr>
          <w:lang w:val="ru-RU"/>
        </w:rPr>
        <w:tab/>
      </w:r>
      <w:r w:rsidR="00F23C4D" w:rsidRPr="005D4E87">
        <w:rPr>
          <w:lang w:val="ru-RU"/>
        </w:rPr>
        <w:t xml:space="preserve">Перед каждым межрегиональным подготовительным собранием следует поручать секретариату готовить входной документ по состоянию полученных </w:t>
      </w:r>
      <w:proofErr w:type="gramStart"/>
      <w:r w:rsidR="008E13ED" w:rsidRPr="005D4E87">
        <w:rPr>
          <w:lang w:val="ru-RU"/>
        </w:rPr>
        <w:t>на текущий момент</w:t>
      </w:r>
      <w:proofErr w:type="gramEnd"/>
      <w:r w:rsidR="008E13ED" w:rsidRPr="005D4E87">
        <w:rPr>
          <w:lang w:val="ru-RU"/>
        </w:rPr>
        <w:t xml:space="preserve"> </w:t>
      </w:r>
      <w:r w:rsidR="00F23C4D" w:rsidRPr="005D4E87">
        <w:rPr>
          <w:lang w:val="ru-RU"/>
        </w:rPr>
        <w:t>вкладов, классифицируя их по предметам или темам, для содействия определени</w:t>
      </w:r>
      <w:r w:rsidR="00205F50" w:rsidRPr="005D4E87">
        <w:rPr>
          <w:lang w:val="ru-RU"/>
        </w:rPr>
        <w:t>ю</w:t>
      </w:r>
      <w:r w:rsidR="00F23C4D" w:rsidRPr="005D4E87">
        <w:rPr>
          <w:lang w:val="ru-RU"/>
        </w:rPr>
        <w:t xml:space="preserve"> Государствами-Членами областей, представляющих взаимный интерес, и областей разногласий</w:t>
      </w:r>
      <w:r w:rsidR="00287E70" w:rsidRPr="005D4E87">
        <w:rPr>
          <w:lang w:val="ru-RU"/>
        </w:rPr>
        <w:t>.</w:t>
      </w:r>
      <w:bookmarkEnd w:id="33"/>
    </w:p>
    <w:p w14:paraId="25F11FAD" w14:textId="2D67F601" w:rsidR="00287E70" w:rsidRPr="005D4E87" w:rsidRDefault="006075F4" w:rsidP="00EC73CC">
      <w:pPr>
        <w:pStyle w:val="enumlev1"/>
        <w:rPr>
          <w:lang w:val="ru-RU"/>
        </w:rPr>
      </w:pPr>
      <w:bookmarkStart w:id="34" w:name="lt_pId064"/>
      <w:r w:rsidRPr="005D4E87">
        <w:rPr>
          <w:lang w:val="ru-RU"/>
        </w:rPr>
        <w:t>•</w:t>
      </w:r>
      <w:r w:rsidRPr="005D4E87">
        <w:rPr>
          <w:lang w:val="ru-RU"/>
        </w:rPr>
        <w:tab/>
      </w:r>
      <w:r w:rsidR="00354FF2" w:rsidRPr="005D4E87">
        <w:rPr>
          <w:lang w:val="ru-RU"/>
        </w:rPr>
        <w:t>В число обсуждаемых вопросов можно включать процедурные аспекты, такие как структура конференции, посты председателей и заместителей председателей конференции и комитетов</w:t>
      </w:r>
      <w:r w:rsidR="00287E70" w:rsidRPr="005D4E87">
        <w:rPr>
          <w:lang w:val="ru-RU"/>
        </w:rPr>
        <w:t xml:space="preserve">, </w:t>
      </w:r>
      <w:r w:rsidR="006E4D31" w:rsidRPr="005D4E87">
        <w:rPr>
          <w:lang w:val="ru-RU"/>
        </w:rPr>
        <w:t>распределение документов, должности региональных координаторов по Резолюциям/вопросам и т. п</w:t>
      </w:r>
      <w:r w:rsidR="00287E70" w:rsidRPr="005D4E87">
        <w:rPr>
          <w:lang w:val="ru-RU"/>
        </w:rPr>
        <w:t>.</w:t>
      </w:r>
      <w:bookmarkEnd w:id="34"/>
    </w:p>
    <w:p w14:paraId="2E5907AB" w14:textId="422792AC" w:rsidR="00287E70" w:rsidRPr="005D4E87" w:rsidRDefault="006075F4" w:rsidP="00EC73CC">
      <w:pPr>
        <w:pStyle w:val="enumlev1"/>
        <w:rPr>
          <w:lang w:val="ru-RU"/>
        </w:rPr>
      </w:pPr>
      <w:bookmarkStart w:id="35" w:name="lt_pId065"/>
      <w:r w:rsidRPr="005D4E87">
        <w:rPr>
          <w:lang w:val="ru-RU"/>
        </w:rPr>
        <w:t>•</w:t>
      </w:r>
      <w:r w:rsidRPr="005D4E87">
        <w:rPr>
          <w:lang w:val="ru-RU"/>
        </w:rPr>
        <w:tab/>
      </w:r>
      <w:r w:rsidR="006E4D31" w:rsidRPr="005D4E87">
        <w:rPr>
          <w:lang w:val="ru-RU"/>
        </w:rPr>
        <w:t xml:space="preserve">Можно предложить секретариату проводить дополнительную подготовительную работу по документам, например готовить </w:t>
      </w:r>
      <w:r w:rsidR="008E13ED" w:rsidRPr="005D4E87">
        <w:rPr>
          <w:lang w:val="ru-RU"/>
        </w:rPr>
        <w:t xml:space="preserve">временный </w:t>
      </w:r>
      <w:r w:rsidR="006E4D31" w:rsidRPr="005D4E87">
        <w:rPr>
          <w:lang w:val="ru-RU"/>
        </w:rPr>
        <w:t>документ</w:t>
      </w:r>
      <w:r w:rsidR="00287E70" w:rsidRPr="005D4E87">
        <w:rPr>
          <w:lang w:val="ru-RU"/>
        </w:rPr>
        <w:t xml:space="preserve"> </w:t>
      </w:r>
      <w:r w:rsidR="008E13ED" w:rsidRPr="005D4E87">
        <w:rPr>
          <w:lang w:val="ru-RU"/>
        </w:rPr>
        <w:t>(</w:t>
      </w:r>
      <w:r w:rsidR="00287E70" w:rsidRPr="005D4E87">
        <w:rPr>
          <w:lang w:val="ru-RU"/>
        </w:rPr>
        <w:t>DT</w:t>
      </w:r>
      <w:r w:rsidR="008E13ED" w:rsidRPr="005D4E87">
        <w:rPr>
          <w:lang w:val="ru-RU"/>
        </w:rPr>
        <w:t>)</w:t>
      </w:r>
      <w:r w:rsidR="006E4D31" w:rsidRPr="005D4E87">
        <w:rPr>
          <w:lang w:val="ru-RU"/>
        </w:rPr>
        <w:t xml:space="preserve"> для каждого основного комитета, в котором бы представлялись</w:t>
      </w:r>
      <w:r w:rsidR="00287E70" w:rsidRPr="005D4E87">
        <w:rPr>
          <w:lang w:val="ru-RU"/>
        </w:rPr>
        <w:t xml:space="preserve"> </w:t>
      </w:r>
      <w:r w:rsidR="006E4D31" w:rsidRPr="005D4E87">
        <w:rPr>
          <w:lang w:val="ru-RU"/>
        </w:rPr>
        <w:t>все предложения, полученные по каждому пункту повестки дня, или объединять предложения по конкретному пункту повестки дня, используя</w:t>
      </w:r>
      <w:r w:rsidR="00287E70" w:rsidRPr="005D4E87">
        <w:rPr>
          <w:lang w:val="ru-RU"/>
        </w:rPr>
        <w:t xml:space="preserve"> </w:t>
      </w:r>
      <w:r w:rsidR="005C1694" w:rsidRPr="005D4E87">
        <w:rPr>
          <w:lang w:val="ru-RU"/>
        </w:rPr>
        <w:t xml:space="preserve">приложение </w:t>
      </w:r>
      <w:r w:rsidR="00287E70" w:rsidRPr="005D4E87">
        <w:rPr>
          <w:lang w:val="ru-RU"/>
        </w:rPr>
        <w:t>DPM.</w:t>
      </w:r>
      <w:bookmarkEnd w:id="35"/>
      <w:r w:rsidR="00287E70" w:rsidRPr="005D4E87">
        <w:rPr>
          <w:lang w:val="ru-RU"/>
        </w:rPr>
        <w:t xml:space="preserve"> </w:t>
      </w:r>
    </w:p>
    <w:p w14:paraId="2887F11B" w14:textId="24025238" w:rsidR="00287E70" w:rsidRPr="005D4E87" w:rsidRDefault="006075F4" w:rsidP="00EC73CC">
      <w:pPr>
        <w:pStyle w:val="enumlev1"/>
        <w:rPr>
          <w:lang w:val="ru-RU"/>
        </w:rPr>
      </w:pPr>
      <w:bookmarkStart w:id="36" w:name="lt_pId066"/>
      <w:r w:rsidRPr="005D4E87">
        <w:rPr>
          <w:lang w:val="ru-RU"/>
        </w:rPr>
        <w:t>•</w:t>
      </w:r>
      <w:r w:rsidRPr="005D4E87">
        <w:rPr>
          <w:lang w:val="ru-RU"/>
        </w:rPr>
        <w:tab/>
      </w:r>
      <w:r w:rsidR="006E4D31" w:rsidRPr="005D4E87">
        <w:rPr>
          <w:lang w:val="ru-RU"/>
        </w:rPr>
        <w:t>Поддержка секретариата МСЭ не должна дублировать</w:t>
      </w:r>
      <w:r w:rsidR="00566987" w:rsidRPr="005D4E87">
        <w:rPr>
          <w:lang w:val="ru-RU"/>
        </w:rPr>
        <w:t xml:space="preserve"> подготовительную работу региональных организаций электросвязи или конкурировать с ней</w:t>
      </w:r>
      <w:r w:rsidR="00287E70" w:rsidRPr="005D4E87">
        <w:rPr>
          <w:lang w:val="ru-RU"/>
        </w:rPr>
        <w:t>.</w:t>
      </w:r>
      <w:bookmarkEnd w:id="36"/>
    </w:p>
    <w:p w14:paraId="02396551" w14:textId="6668F674" w:rsidR="00287E70" w:rsidRPr="005D4E87" w:rsidRDefault="00287E70" w:rsidP="00EC73CC">
      <w:pPr>
        <w:rPr>
          <w:szCs w:val="24"/>
          <w:lang w:val="ru-RU"/>
        </w:rPr>
      </w:pPr>
      <w:r w:rsidRPr="005D4E87">
        <w:rPr>
          <w:szCs w:val="24"/>
          <w:lang w:val="ru-RU"/>
        </w:rPr>
        <w:t>3</w:t>
      </w:r>
      <w:r w:rsidRPr="005D4E87">
        <w:rPr>
          <w:szCs w:val="24"/>
          <w:lang w:val="ru-RU"/>
        </w:rPr>
        <w:tab/>
      </w:r>
      <w:bookmarkStart w:id="37" w:name="lt_pId068"/>
      <w:r w:rsidR="00566987" w:rsidRPr="005D4E87">
        <w:rPr>
          <w:szCs w:val="24"/>
          <w:lang w:val="ru-RU"/>
        </w:rPr>
        <w:t>Для уточнения формата этих межрегиональных подготовительных собраний</w:t>
      </w:r>
      <w:r w:rsidRPr="005D4E87">
        <w:rPr>
          <w:szCs w:val="24"/>
          <w:lang w:val="ru-RU"/>
        </w:rPr>
        <w:t>:</w:t>
      </w:r>
      <w:bookmarkEnd w:id="37"/>
      <w:r w:rsidRPr="005D4E87">
        <w:rPr>
          <w:szCs w:val="24"/>
          <w:lang w:val="ru-RU"/>
        </w:rPr>
        <w:t xml:space="preserve"> </w:t>
      </w:r>
    </w:p>
    <w:p w14:paraId="6EF072FE" w14:textId="3C7A53A4" w:rsidR="00287E70" w:rsidRPr="005D4E87" w:rsidRDefault="006075F4" w:rsidP="00EC73CC">
      <w:pPr>
        <w:pStyle w:val="enumlev1"/>
        <w:rPr>
          <w:lang w:val="ru-RU"/>
        </w:rPr>
      </w:pPr>
      <w:bookmarkStart w:id="38" w:name="lt_pId069"/>
      <w:r w:rsidRPr="005D4E87">
        <w:rPr>
          <w:lang w:val="ru-RU"/>
        </w:rPr>
        <w:t>•</w:t>
      </w:r>
      <w:r w:rsidRPr="005D4E87">
        <w:rPr>
          <w:lang w:val="ru-RU"/>
        </w:rPr>
        <w:tab/>
      </w:r>
      <w:r w:rsidR="007B092F" w:rsidRPr="005D4E87">
        <w:rPr>
          <w:lang w:val="ru-RU"/>
        </w:rPr>
        <w:t>Проводить первое межрегиональное подготовительное собрание непосредственно перед сессией Совета в год проведения ПК</w:t>
      </w:r>
      <w:r w:rsidR="00287E70" w:rsidRPr="005D4E87">
        <w:rPr>
          <w:lang w:val="ru-RU"/>
        </w:rPr>
        <w:t>.</w:t>
      </w:r>
      <w:bookmarkEnd w:id="38"/>
    </w:p>
    <w:p w14:paraId="19787EAD" w14:textId="6A970111" w:rsidR="00287E70" w:rsidRPr="005D4E87" w:rsidRDefault="006075F4" w:rsidP="00EC73CC">
      <w:pPr>
        <w:pStyle w:val="enumlev1"/>
        <w:rPr>
          <w:lang w:val="ru-RU"/>
        </w:rPr>
      </w:pPr>
      <w:bookmarkStart w:id="39" w:name="lt_pId070"/>
      <w:r w:rsidRPr="005D4E87">
        <w:rPr>
          <w:lang w:val="ru-RU"/>
        </w:rPr>
        <w:t>•</w:t>
      </w:r>
      <w:r w:rsidRPr="005D4E87">
        <w:rPr>
          <w:lang w:val="ru-RU"/>
        </w:rPr>
        <w:tab/>
      </w:r>
      <w:r w:rsidR="007B092F" w:rsidRPr="005D4E87">
        <w:rPr>
          <w:lang w:val="ru-RU"/>
        </w:rPr>
        <w:t>Проводить заключительное межрегиональное собрание в августе/сентябре (не поз</w:t>
      </w:r>
      <w:r w:rsidR="005D4E87">
        <w:rPr>
          <w:lang w:val="ru-RU"/>
        </w:rPr>
        <w:t>дне</w:t>
      </w:r>
      <w:r w:rsidR="007B092F" w:rsidRPr="005D4E87">
        <w:rPr>
          <w:lang w:val="ru-RU"/>
        </w:rPr>
        <w:t>е чем за 60 дней) перед началом ПК</w:t>
      </w:r>
      <w:r w:rsidR="00287E70" w:rsidRPr="005D4E87">
        <w:rPr>
          <w:lang w:val="ru-RU"/>
        </w:rPr>
        <w:t>.</w:t>
      </w:r>
      <w:bookmarkEnd w:id="39"/>
      <w:r w:rsidR="00287E70" w:rsidRPr="005D4E87">
        <w:rPr>
          <w:lang w:val="ru-RU"/>
        </w:rPr>
        <w:t xml:space="preserve"> </w:t>
      </w:r>
    </w:p>
    <w:p w14:paraId="3EA07BC1" w14:textId="5FFE8ABA" w:rsidR="00287E70" w:rsidRPr="005D4E87" w:rsidRDefault="006075F4" w:rsidP="00EC73CC">
      <w:pPr>
        <w:pStyle w:val="enumlev1"/>
        <w:rPr>
          <w:lang w:val="ru-RU"/>
        </w:rPr>
      </w:pPr>
      <w:bookmarkStart w:id="40" w:name="lt_pId071"/>
      <w:r w:rsidRPr="005D4E87">
        <w:rPr>
          <w:lang w:val="ru-RU"/>
        </w:rPr>
        <w:t>•</w:t>
      </w:r>
      <w:r w:rsidRPr="005D4E87">
        <w:rPr>
          <w:lang w:val="ru-RU"/>
        </w:rPr>
        <w:tab/>
      </w:r>
      <w:r w:rsidR="007B092F" w:rsidRPr="005D4E87">
        <w:rPr>
          <w:lang w:val="ru-RU"/>
        </w:rPr>
        <w:t xml:space="preserve">Наряду с этим последнее межрегиональное подготовительное собрание может </w:t>
      </w:r>
      <w:r w:rsidR="00205F50" w:rsidRPr="005D4E87">
        <w:rPr>
          <w:lang w:val="ru-RU"/>
        </w:rPr>
        <w:t xml:space="preserve">при необходимости </w:t>
      </w:r>
      <w:r w:rsidR="007B092F" w:rsidRPr="005D4E87">
        <w:rPr>
          <w:lang w:val="ru-RU"/>
        </w:rPr>
        <w:t>проходить в виртуальном режиме перед конференцией для решения некоторых вопросов</w:t>
      </w:r>
      <w:r w:rsidR="00287E70" w:rsidRPr="005D4E87">
        <w:rPr>
          <w:lang w:val="ru-RU"/>
        </w:rPr>
        <w:t>.</w:t>
      </w:r>
      <w:bookmarkEnd w:id="40"/>
    </w:p>
    <w:p w14:paraId="2DB86AD7" w14:textId="030A15B8" w:rsidR="00287E70" w:rsidRPr="005D4E87" w:rsidRDefault="006075F4" w:rsidP="00EC73CC">
      <w:pPr>
        <w:pStyle w:val="enumlev1"/>
        <w:rPr>
          <w:lang w:val="ru-RU"/>
        </w:rPr>
      </w:pPr>
      <w:bookmarkStart w:id="41" w:name="lt_pId072"/>
      <w:r w:rsidRPr="005D4E87">
        <w:rPr>
          <w:lang w:val="ru-RU"/>
        </w:rPr>
        <w:t>•</w:t>
      </w:r>
      <w:r w:rsidRPr="005D4E87">
        <w:rPr>
          <w:lang w:val="ru-RU"/>
        </w:rPr>
        <w:tab/>
      </w:r>
      <w:r w:rsidR="00DD0E17" w:rsidRPr="005D4E87">
        <w:rPr>
          <w:lang w:val="ru-RU"/>
        </w:rPr>
        <w:t xml:space="preserve">Однодневное собрание с </w:t>
      </w:r>
      <w:r w:rsidR="005C1694" w:rsidRPr="005D4E87">
        <w:rPr>
          <w:lang w:val="ru-RU"/>
        </w:rPr>
        <w:t>дистанционным</w:t>
      </w:r>
      <w:r w:rsidR="00DD0E17" w:rsidRPr="005D4E87">
        <w:rPr>
          <w:lang w:val="ru-RU"/>
        </w:rPr>
        <w:t xml:space="preserve"> участием</w:t>
      </w:r>
      <w:r w:rsidR="00287E70" w:rsidRPr="005D4E87">
        <w:rPr>
          <w:lang w:val="ru-RU"/>
        </w:rPr>
        <w:t>.</w:t>
      </w:r>
      <w:bookmarkEnd w:id="41"/>
    </w:p>
    <w:p w14:paraId="16E777C6" w14:textId="1DF6F0B8" w:rsidR="00287E70" w:rsidRPr="005D4E87" w:rsidRDefault="006075F4" w:rsidP="00EC73CC">
      <w:pPr>
        <w:pStyle w:val="enumlev1"/>
        <w:rPr>
          <w:lang w:val="ru-RU"/>
        </w:rPr>
      </w:pPr>
      <w:bookmarkStart w:id="42" w:name="lt_pId073"/>
      <w:r w:rsidRPr="005D4E87">
        <w:rPr>
          <w:lang w:val="ru-RU"/>
        </w:rPr>
        <w:t>•</w:t>
      </w:r>
      <w:r w:rsidRPr="005D4E87">
        <w:rPr>
          <w:lang w:val="ru-RU"/>
        </w:rPr>
        <w:tab/>
      </w:r>
      <w:r w:rsidR="00DD0E17" w:rsidRPr="005D4E87">
        <w:rPr>
          <w:lang w:val="ru-RU"/>
        </w:rPr>
        <w:t>Краткие отчеты составляться не будут</w:t>
      </w:r>
      <w:r w:rsidR="00287E70" w:rsidRPr="005D4E87">
        <w:rPr>
          <w:lang w:val="ru-RU"/>
        </w:rPr>
        <w:t>.</w:t>
      </w:r>
      <w:bookmarkEnd w:id="42"/>
    </w:p>
    <w:p w14:paraId="48EAAD36" w14:textId="7ECE5F93" w:rsidR="00287E70" w:rsidRPr="005D4E87" w:rsidRDefault="006075F4" w:rsidP="00EC73CC">
      <w:pPr>
        <w:pStyle w:val="enumlev1"/>
        <w:rPr>
          <w:lang w:val="ru-RU"/>
        </w:rPr>
      </w:pPr>
      <w:bookmarkStart w:id="43" w:name="lt_pId074"/>
      <w:r w:rsidRPr="005D4E87">
        <w:rPr>
          <w:lang w:val="ru-RU"/>
        </w:rPr>
        <w:t>•</w:t>
      </w:r>
      <w:r w:rsidRPr="005D4E87">
        <w:rPr>
          <w:lang w:val="ru-RU"/>
        </w:rPr>
        <w:tab/>
      </w:r>
      <w:r w:rsidR="00DD0E17" w:rsidRPr="005D4E87">
        <w:rPr>
          <w:lang w:val="ru-RU"/>
        </w:rPr>
        <w:t>Следует проводить в рамках имеющегося бюджета</w:t>
      </w:r>
      <w:r w:rsidR="00287E70" w:rsidRPr="005D4E87">
        <w:rPr>
          <w:lang w:val="ru-RU"/>
        </w:rPr>
        <w:t>.</w:t>
      </w:r>
      <w:bookmarkEnd w:id="43"/>
    </w:p>
    <w:p w14:paraId="6E03D8FD" w14:textId="3B6DE495" w:rsidR="00287E70" w:rsidRPr="005D4E87" w:rsidRDefault="00287E70" w:rsidP="00507AAE">
      <w:pPr>
        <w:pStyle w:val="Headingb"/>
        <w:rPr>
          <w:lang w:val="ru-RU"/>
        </w:rPr>
      </w:pPr>
      <w:bookmarkStart w:id="44" w:name="lt_pId075"/>
      <w:proofErr w:type="gramStart"/>
      <w:r w:rsidRPr="005D4E87">
        <w:rPr>
          <w:lang w:val="ru-RU"/>
        </w:rPr>
        <w:t>B</w:t>
      </w:r>
      <w:bookmarkEnd w:id="44"/>
      <w:r w:rsidRPr="005D4E87">
        <w:rPr>
          <w:lang w:val="ru-RU"/>
        </w:rPr>
        <w:tab/>
      </w:r>
      <w:bookmarkStart w:id="45" w:name="lt_pId076"/>
      <w:r w:rsidR="00A074EB" w:rsidRPr="005D4E87">
        <w:rPr>
          <w:lang w:val="ru-RU"/>
        </w:rPr>
        <w:t>Относительно</w:t>
      </w:r>
      <w:proofErr w:type="gramEnd"/>
      <w:r w:rsidR="00A074EB" w:rsidRPr="005D4E87">
        <w:rPr>
          <w:lang w:val="ru-RU"/>
        </w:rPr>
        <w:t xml:space="preserve"> участия Совета </w:t>
      </w:r>
      <w:r w:rsidR="00205F50" w:rsidRPr="005D4E87">
        <w:rPr>
          <w:lang w:val="ru-RU"/>
        </w:rPr>
        <w:t xml:space="preserve">в </w:t>
      </w:r>
      <w:r w:rsidR="00A074EB" w:rsidRPr="005D4E87">
        <w:rPr>
          <w:lang w:val="ru-RU"/>
        </w:rPr>
        <w:t>подготовке</w:t>
      </w:r>
      <w:r w:rsidRPr="005D4E87">
        <w:rPr>
          <w:b w:val="0"/>
          <w:bCs/>
          <w:lang w:val="ru-RU"/>
        </w:rPr>
        <w:t>:</w:t>
      </w:r>
      <w:bookmarkEnd w:id="45"/>
    </w:p>
    <w:p w14:paraId="24A86317" w14:textId="3A6A68DC" w:rsidR="00287E70" w:rsidRPr="005D4E87" w:rsidRDefault="00A074EB" w:rsidP="00EC73CC">
      <w:pPr>
        <w:rPr>
          <w:lang w:val="ru-RU"/>
        </w:rPr>
      </w:pPr>
      <w:bookmarkStart w:id="46" w:name="lt_pId077"/>
      <w:r w:rsidRPr="005D4E87">
        <w:rPr>
          <w:lang w:val="ru-RU"/>
        </w:rPr>
        <w:t>Поскольку Совет уже принимает участие в подготовке ПК, разрабатывая изменения к Стратегическому плану Союза</w:t>
      </w:r>
      <w:r w:rsidR="00287E70" w:rsidRPr="005D4E87">
        <w:rPr>
          <w:lang w:val="ru-RU"/>
        </w:rPr>
        <w:t xml:space="preserve"> (</w:t>
      </w:r>
      <w:r w:rsidR="00205F50" w:rsidRPr="005D4E87">
        <w:rPr>
          <w:lang w:val="ru-RU"/>
        </w:rPr>
        <w:t>Резолюция </w:t>
      </w:r>
      <w:r w:rsidR="00287E70" w:rsidRPr="005D4E87">
        <w:rPr>
          <w:lang w:val="ru-RU"/>
        </w:rPr>
        <w:t xml:space="preserve">71), </w:t>
      </w:r>
      <w:r w:rsidR="00836591" w:rsidRPr="005D4E87">
        <w:rPr>
          <w:lang w:val="ru-RU"/>
        </w:rPr>
        <w:t xml:space="preserve">ряд Государств-Членов предложили, чтобы его участие охватило и другие стратегические темы ПК, а также </w:t>
      </w:r>
      <w:r w:rsidR="00205F50" w:rsidRPr="005D4E87">
        <w:rPr>
          <w:lang w:val="ru-RU"/>
        </w:rPr>
        <w:t xml:space="preserve">предложили активнее </w:t>
      </w:r>
      <w:r w:rsidR="00836591" w:rsidRPr="005D4E87">
        <w:rPr>
          <w:lang w:val="ru-RU"/>
        </w:rPr>
        <w:t>привлекать Совет к редакционной работе</w:t>
      </w:r>
      <w:r w:rsidR="00287E70" w:rsidRPr="005D4E87">
        <w:rPr>
          <w:lang w:val="ru-RU"/>
        </w:rPr>
        <w:t>.</w:t>
      </w:r>
      <w:bookmarkEnd w:id="46"/>
      <w:r w:rsidR="00287E70" w:rsidRPr="005D4E87">
        <w:rPr>
          <w:lang w:val="ru-RU"/>
        </w:rPr>
        <w:t xml:space="preserve"> </w:t>
      </w:r>
    </w:p>
    <w:p w14:paraId="6AEE2286" w14:textId="21C0CE31" w:rsidR="00287E70" w:rsidRPr="005D4E87" w:rsidRDefault="007307DE" w:rsidP="00EC73CC">
      <w:pPr>
        <w:rPr>
          <w:lang w:val="ru-RU"/>
        </w:rPr>
      </w:pPr>
      <w:bookmarkStart w:id="47" w:name="lt_pId078"/>
      <w:r w:rsidRPr="005D4E87">
        <w:rPr>
          <w:lang w:val="ru-RU"/>
        </w:rPr>
        <w:t xml:space="preserve">Для оптимизации использования времени ПК </w:t>
      </w:r>
      <w:r w:rsidRPr="005D4E87">
        <w:rPr>
          <w:u w:val="single"/>
          <w:lang w:val="ru-RU"/>
        </w:rPr>
        <w:t>предлагается</w:t>
      </w:r>
      <w:r w:rsidR="006D2EDC" w:rsidRPr="005D4E87">
        <w:rPr>
          <w:lang w:val="ru-RU"/>
        </w:rPr>
        <w:t xml:space="preserve"> поручить </w:t>
      </w:r>
      <w:r w:rsidR="003949FE" w:rsidRPr="005D4E87">
        <w:rPr>
          <w:lang w:val="ru-RU"/>
        </w:rPr>
        <w:t>существующей рабочей группе Совета или специальной группе содействовать предварительному обсуждению проектов Резолюций (аналогично соответствующим группам</w:t>
      </w:r>
      <w:r w:rsidR="0098424E" w:rsidRPr="005D4E87">
        <w:rPr>
          <w:lang w:val="ru-RU"/>
        </w:rPr>
        <w:t xml:space="preserve"> КГСЭ и КГРЭ</w:t>
      </w:r>
      <w:r w:rsidR="00287E70" w:rsidRPr="005D4E87">
        <w:rPr>
          <w:lang w:val="ru-RU"/>
        </w:rPr>
        <w:t>)</w:t>
      </w:r>
      <w:r w:rsidR="00D45A59" w:rsidRPr="005D4E87">
        <w:rPr>
          <w:lang w:val="ru-RU"/>
        </w:rPr>
        <w:t xml:space="preserve">, а Государствам-Членам можно предложить </w:t>
      </w:r>
      <w:r w:rsidR="00D45A59" w:rsidRPr="005D4E87">
        <w:rPr>
          <w:lang w:val="ru-RU"/>
        </w:rPr>
        <w:lastRenderedPageBreak/>
        <w:t>представлять следующие материалы для рассмотрения этой группой (представляя затем краткий отчет сессиям Совета</w:t>
      </w:r>
      <w:r w:rsidR="00287E70" w:rsidRPr="005D4E87">
        <w:rPr>
          <w:lang w:val="ru-RU"/>
        </w:rPr>
        <w:t xml:space="preserve"> </w:t>
      </w:r>
      <w:proofErr w:type="gramStart"/>
      <w:r w:rsidR="00287E70" w:rsidRPr="005D4E87">
        <w:rPr>
          <w:lang w:val="ru-RU"/>
        </w:rPr>
        <w:t>2021</w:t>
      </w:r>
      <w:r w:rsidR="006075F4" w:rsidRPr="005D4E87">
        <w:rPr>
          <w:lang w:val="ru-RU"/>
        </w:rPr>
        <w:t>−</w:t>
      </w:r>
      <w:r w:rsidR="00287E70" w:rsidRPr="005D4E87">
        <w:rPr>
          <w:lang w:val="ru-RU"/>
        </w:rPr>
        <w:t>2022</w:t>
      </w:r>
      <w:proofErr w:type="gramEnd"/>
      <w:r w:rsidR="00D45A59" w:rsidRPr="005D4E87">
        <w:rPr>
          <w:lang w:val="ru-RU"/>
        </w:rPr>
        <w:t> г</w:t>
      </w:r>
      <w:r w:rsidR="00EC73CC" w:rsidRPr="005D4E87">
        <w:rPr>
          <w:lang w:val="ru-RU"/>
        </w:rPr>
        <w:t>г.</w:t>
      </w:r>
      <w:r w:rsidR="00287E70" w:rsidRPr="005D4E87">
        <w:rPr>
          <w:lang w:val="ru-RU"/>
        </w:rPr>
        <w:t>):</w:t>
      </w:r>
      <w:bookmarkEnd w:id="47"/>
      <w:r w:rsidR="00287E70" w:rsidRPr="005D4E87">
        <w:rPr>
          <w:lang w:val="ru-RU"/>
        </w:rPr>
        <w:t xml:space="preserve"> </w:t>
      </w:r>
    </w:p>
    <w:p w14:paraId="4CAF5F39" w14:textId="66411C46" w:rsidR="00287E70" w:rsidRPr="005D4E87" w:rsidRDefault="00114DAE" w:rsidP="00EC73CC">
      <w:pPr>
        <w:pStyle w:val="enumlev1"/>
        <w:rPr>
          <w:lang w:val="ru-RU"/>
        </w:rPr>
      </w:pPr>
      <w:bookmarkStart w:id="48" w:name="lt_pId079"/>
      <w:r w:rsidRPr="005D4E87">
        <w:rPr>
          <w:lang w:val="ru-RU"/>
        </w:rPr>
        <w:t>•</w:t>
      </w:r>
      <w:r w:rsidRPr="005D4E87">
        <w:rPr>
          <w:lang w:val="ru-RU"/>
        </w:rPr>
        <w:tab/>
      </w:r>
      <w:r w:rsidR="00D45A59" w:rsidRPr="005D4E87">
        <w:rPr>
          <w:lang w:val="ru-RU"/>
        </w:rPr>
        <w:t xml:space="preserve">список наиболее актуальных вопросов и соответствующих </w:t>
      </w:r>
      <w:r w:rsidR="00205F50" w:rsidRPr="005D4E87">
        <w:rPr>
          <w:lang w:val="ru-RU"/>
        </w:rPr>
        <w:t>Р</w:t>
      </w:r>
      <w:r w:rsidR="00D45A59" w:rsidRPr="005D4E87">
        <w:rPr>
          <w:lang w:val="ru-RU"/>
        </w:rPr>
        <w:t>езолюций для обсуждения на ПК</w:t>
      </w:r>
      <w:r w:rsidR="00287E70" w:rsidRPr="005D4E87">
        <w:rPr>
          <w:lang w:val="ru-RU"/>
        </w:rPr>
        <w:t>;</w:t>
      </w:r>
      <w:bookmarkEnd w:id="48"/>
    </w:p>
    <w:p w14:paraId="7EE4E0F3" w14:textId="1270ABEB" w:rsidR="00287E70" w:rsidRPr="005D4E87" w:rsidRDefault="00114DAE" w:rsidP="00EC73CC">
      <w:pPr>
        <w:pStyle w:val="enumlev1"/>
        <w:rPr>
          <w:lang w:val="ru-RU"/>
        </w:rPr>
      </w:pPr>
      <w:bookmarkStart w:id="49" w:name="lt_pId080"/>
      <w:r w:rsidRPr="005D4E87">
        <w:rPr>
          <w:lang w:val="ru-RU"/>
        </w:rPr>
        <w:t>•</w:t>
      </w:r>
      <w:r w:rsidRPr="005D4E87">
        <w:rPr>
          <w:lang w:val="ru-RU"/>
        </w:rPr>
        <w:tab/>
      </w:r>
      <w:r w:rsidR="00D45A59" w:rsidRPr="005D4E87">
        <w:rPr>
          <w:lang w:val="ru-RU"/>
        </w:rPr>
        <w:t xml:space="preserve">предварительные проекты пересмотренных и новых Резолюций для сведения; и </w:t>
      </w:r>
      <w:bookmarkEnd w:id="49"/>
    </w:p>
    <w:p w14:paraId="2D96C2EA" w14:textId="59E63BA7" w:rsidR="00287E70" w:rsidRPr="005D4E87" w:rsidRDefault="00114DAE" w:rsidP="00EC73CC">
      <w:pPr>
        <w:pStyle w:val="enumlev1"/>
        <w:rPr>
          <w:lang w:val="ru-RU"/>
        </w:rPr>
      </w:pPr>
      <w:bookmarkStart w:id="50" w:name="lt_pId081"/>
      <w:r w:rsidRPr="005D4E87">
        <w:rPr>
          <w:lang w:val="ru-RU"/>
        </w:rPr>
        <w:t>•</w:t>
      </w:r>
      <w:r w:rsidRPr="005D4E87">
        <w:rPr>
          <w:lang w:val="ru-RU"/>
        </w:rPr>
        <w:tab/>
      </w:r>
      <w:r w:rsidR="00D45A59" w:rsidRPr="005D4E87">
        <w:rPr>
          <w:lang w:val="ru-RU"/>
        </w:rPr>
        <w:t>предложения по упорядочению Резолюций и Решений</w:t>
      </w:r>
      <w:r w:rsidR="00287E70" w:rsidRPr="005D4E87">
        <w:rPr>
          <w:lang w:val="ru-RU"/>
        </w:rPr>
        <w:t>.</w:t>
      </w:r>
      <w:bookmarkEnd w:id="50"/>
    </w:p>
    <w:p w14:paraId="0BC04F92" w14:textId="18864C1F" w:rsidR="00287E70" w:rsidRPr="005D4E87" w:rsidRDefault="005C4082" w:rsidP="00EC73CC">
      <w:pPr>
        <w:rPr>
          <w:lang w:val="ru-RU"/>
        </w:rPr>
      </w:pPr>
      <w:bookmarkStart w:id="51" w:name="lt_pId082"/>
      <w:r w:rsidRPr="005D4E87">
        <w:rPr>
          <w:lang w:val="ru-RU"/>
        </w:rPr>
        <w:t xml:space="preserve">Эта группа могла бы также </w:t>
      </w:r>
      <w:r w:rsidR="00535D8D" w:rsidRPr="005D4E87">
        <w:rPr>
          <w:lang w:val="ru-RU"/>
        </w:rPr>
        <w:t>просить секретариат вносить предложения по упрощению и совершенствованию формата, а также по сокращению объема Резолюций и Решений на основании опыта других международных организаций</w:t>
      </w:r>
      <w:r w:rsidR="00287E70" w:rsidRPr="005D4E87">
        <w:rPr>
          <w:lang w:val="ru-RU"/>
        </w:rPr>
        <w:t>.</w:t>
      </w:r>
      <w:bookmarkEnd w:id="51"/>
      <w:r w:rsidR="00287E70" w:rsidRPr="005D4E87">
        <w:rPr>
          <w:lang w:val="ru-RU"/>
        </w:rPr>
        <w:t xml:space="preserve"> </w:t>
      </w:r>
    </w:p>
    <w:p w14:paraId="6BB94F3B" w14:textId="741C745B" w:rsidR="00287E70" w:rsidRPr="005D4E87" w:rsidRDefault="00610B3E" w:rsidP="00EC73CC">
      <w:pPr>
        <w:rPr>
          <w:lang w:val="ru-RU"/>
        </w:rPr>
      </w:pPr>
      <w:bookmarkStart w:id="52" w:name="lt_pId083"/>
      <w:r w:rsidRPr="005D4E87">
        <w:rPr>
          <w:lang w:val="ru-RU"/>
        </w:rPr>
        <w:t>Если Совет поддержит эту идею</w:t>
      </w:r>
      <w:r w:rsidR="003F5924" w:rsidRPr="005D4E87">
        <w:rPr>
          <w:lang w:val="ru-RU"/>
        </w:rPr>
        <w:t>, можно предложить секретариату представить проект круга ведения такой группы для обсуждения на следующей сессии Совета</w:t>
      </w:r>
      <w:r w:rsidR="00287E70" w:rsidRPr="005D4E87">
        <w:rPr>
          <w:lang w:val="ru-RU"/>
        </w:rPr>
        <w:t>.</w:t>
      </w:r>
      <w:bookmarkEnd w:id="52"/>
    </w:p>
    <w:p w14:paraId="3F21774E" w14:textId="1C48B5A5" w:rsidR="00287E70" w:rsidRPr="005D4E87" w:rsidRDefault="00287E70" w:rsidP="00EC73CC">
      <w:pPr>
        <w:pStyle w:val="Heading1"/>
        <w:rPr>
          <w:rFonts w:asciiTheme="minorHAnsi" w:hAnsiTheme="minorHAnsi" w:cstheme="minorHAnsi"/>
          <w:bCs/>
          <w:color w:val="000000"/>
          <w:szCs w:val="24"/>
          <w:u w:val="single"/>
          <w:lang w:val="ru-RU"/>
        </w:rPr>
      </w:pPr>
      <w:bookmarkStart w:id="53" w:name="lt_pId084"/>
      <w:r w:rsidRPr="005D4E87">
        <w:rPr>
          <w:rFonts w:asciiTheme="minorHAnsi" w:hAnsiTheme="minorHAnsi" w:cstheme="minorHAnsi"/>
          <w:bCs/>
          <w:color w:val="000000"/>
          <w:szCs w:val="24"/>
          <w:lang w:val="ru-RU"/>
        </w:rPr>
        <w:t>III</w:t>
      </w:r>
      <w:bookmarkEnd w:id="53"/>
      <w:r w:rsidRPr="005D4E87">
        <w:rPr>
          <w:rFonts w:asciiTheme="minorHAnsi" w:hAnsiTheme="minorHAnsi" w:cstheme="minorHAnsi"/>
          <w:bCs/>
          <w:color w:val="000000"/>
          <w:szCs w:val="24"/>
          <w:lang w:val="ru-RU"/>
        </w:rPr>
        <w:tab/>
      </w:r>
      <w:r w:rsidR="00114DAE" w:rsidRPr="005D4E87">
        <w:rPr>
          <w:lang w:val="ru-RU"/>
        </w:rPr>
        <w:t>Подготовка и обучение делегатов</w:t>
      </w:r>
    </w:p>
    <w:p w14:paraId="01EAC255" w14:textId="493EF71E" w:rsidR="00287E70" w:rsidRPr="005D4E87" w:rsidRDefault="000B61DF" w:rsidP="00EC73CC">
      <w:pPr>
        <w:rPr>
          <w:lang w:val="ru-RU"/>
        </w:rPr>
      </w:pPr>
      <w:bookmarkStart w:id="54" w:name="lt_pId086"/>
      <w:r w:rsidRPr="005D4E87">
        <w:rPr>
          <w:lang w:val="ru-RU"/>
        </w:rPr>
        <w:t>Второй областью является подготовка и обучение делегатов</w:t>
      </w:r>
      <w:r w:rsidR="00287E70" w:rsidRPr="005D4E87">
        <w:rPr>
          <w:lang w:val="ru-RU"/>
        </w:rPr>
        <w:t>.</w:t>
      </w:r>
      <w:bookmarkEnd w:id="54"/>
      <w:r w:rsidR="00287E70" w:rsidRPr="005D4E87">
        <w:rPr>
          <w:lang w:val="ru-RU"/>
        </w:rPr>
        <w:t xml:space="preserve"> </w:t>
      </w:r>
      <w:bookmarkStart w:id="55" w:name="lt_pId087"/>
      <w:r w:rsidRPr="005D4E87">
        <w:rPr>
          <w:lang w:val="ru-RU"/>
        </w:rPr>
        <w:t>Были предложены следующие вопросы</w:t>
      </w:r>
      <w:r w:rsidR="00287E70" w:rsidRPr="005D4E87">
        <w:rPr>
          <w:lang w:val="ru-RU"/>
        </w:rPr>
        <w:t>:</w:t>
      </w:r>
      <w:bookmarkEnd w:id="55"/>
      <w:r w:rsidR="00287E70" w:rsidRPr="005D4E87">
        <w:rPr>
          <w:lang w:val="ru-RU"/>
        </w:rPr>
        <w:t xml:space="preserve"> </w:t>
      </w:r>
    </w:p>
    <w:p w14:paraId="4767599F" w14:textId="35230ADD" w:rsidR="00114DAE" w:rsidRPr="005D4E87" w:rsidRDefault="00114DAE" w:rsidP="00EC73CC">
      <w:pPr>
        <w:pStyle w:val="enumlev1"/>
        <w:rPr>
          <w:lang w:val="ru-RU"/>
        </w:rPr>
      </w:pPr>
      <w:r w:rsidRPr="005D4E87">
        <w:rPr>
          <w:lang w:val="ru-RU"/>
        </w:rPr>
        <w:t>•</w:t>
      </w:r>
      <w:r w:rsidRPr="005D4E87">
        <w:rPr>
          <w:lang w:val="ru-RU"/>
        </w:rPr>
        <w:tab/>
        <w:t>Какие потребности в области обучения имеются у делегаций: по таким темам, как выборы, методы ведения заседаний, правила процедуры, общ</w:t>
      </w:r>
      <w:r w:rsidR="00FE5442" w:rsidRPr="005D4E87">
        <w:rPr>
          <w:lang w:val="ru-RU"/>
        </w:rPr>
        <w:t>ее</w:t>
      </w:r>
      <w:r w:rsidRPr="005D4E87">
        <w:rPr>
          <w:lang w:val="ru-RU"/>
        </w:rPr>
        <w:t xml:space="preserve"> </w:t>
      </w:r>
      <w:r w:rsidR="00FE5442" w:rsidRPr="005D4E87">
        <w:rPr>
          <w:lang w:val="ru-RU"/>
        </w:rPr>
        <w:t xml:space="preserve">обучение </w:t>
      </w:r>
      <w:r w:rsidRPr="005D4E87">
        <w:rPr>
          <w:lang w:val="ru-RU"/>
        </w:rPr>
        <w:t>новых делегатов?</w:t>
      </w:r>
    </w:p>
    <w:p w14:paraId="62E608D1" w14:textId="77777777" w:rsidR="00114DAE" w:rsidRPr="005D4E87" w:rsidRDefault="00114DAE" w:rsidP="00EC73CC">
      <w:pPr>
        <w:pStyle w:val="enumlev1"/>
        <w:rPr>
          <w:lang w:val="ru-RU"/>
        </w:rPr>
      </w:pPr>
      <w:r w:rsidRPr="005D4E87">
        <w:rPr>
          <w:lang w:val="ru-RU"/>
        </w:rPr>
        <w:t>•</w:t>
      </w:r>
      <w:r w:rsidRPr="005D4E87">
        <w:rPr>
          <w:lang w:val="ru-RU"/>
        </w:rPr>
        <w:tab/>
        <w:t>Какого рода поддержку делегаты ожидают от секретариата?</w:t>
      </w:r>
    </w:p>
    <w:p w14:paraId="2DED34E2" w14:textId="77777777" w:rsidR="00114DAE" w:rsidRPr="005D4E87" w:rsidRDefault="00114DAE" w:rsidP="00EC73CC">
      <w:pPr>
        <w:pStyle w:val="enumlev1"/>
        <w:keepNext/>
        <w:rPr>
          <w:lang w:val="ru-RU"/>
        </w:rPr>
      </w:pPr>
      <w:r w:rsidRPr="005D4E87">
        <w:rPr>
          <w:lang w:val="ru-RU"/>
        </w:rPr>
        <w:t>•</w:t>
      </w:r>
      <w:r w:rsidRPr="005D4E87">
        <w:rPr>
          <w:lang w:val="ru-RU"/>
        </w:rPr>
        <w:tab/>
        <w:t xml:space="preserve">Будут ли региональные организации электросвязи и Государства-Члены заинтересованы в принятии у себя и совместной организации обучения делегатов? </w:t>
      </w:r>
    </w:p>
    <w:p w14:paraId="00129EB8" w14:textId="7991662D" w:rsidR="00114DAE" w:rsidRPr="005D4E87" w:rsidRDefault="00114DAE" w:rsidP="00EC73CC">
      <w:pPr>
        <w:pStyle w:val="enumlev1"/>
        <w:rPr>
          <w:lang w:val="ru-RU"/>
        </w:rPr>
      </w:pPr>
      <w:r w:rsidRPr="005D4E87">
        <w:rPr>
          <w:lang w:val="ru-RU"/>
        </w:rPr>
        <w:t>•</w:t>
      </w:r>
      <w:r w:rsidRPr="005D4E87">
        <w:rPr>
          <w:lang w:val="ru-RU"/>
        </w:rPr>
        <w:tab/>
        <w:t>Следует ли проводить эт</w:t>
      </w:r>
      <w:r w:rsidR="00E72581" w:rsidRPr="005D4E87">
        <w:rPr>
          <w:lang w:val="ru-RU"/>
        </w:rPr>
        <w:t xml:space="preserve">и обучающие занятия </w:t>
      </w:r>
      <w:r w:rsidRPr="005D4E87">
        <w:rPr>
          <w:lang w:val="ru-RU"/>
        </w:rPr>
        <w:t>во время региональных или межрегиональных подготовительных собраний?</w:t>
      </w:r>
    </w:p>
    <w:p w14:paraId="7D5A99A6" w14:textId="7E43A046" w:rsidR="00287E70" w:rsidRPr="005D4E87" w:rsidRDefault="008A414C" w:rsidP="00EC73CC">
      <w:pPr>
        <w:rPr>
          <w:lang w:val="ru-RU"/>
        </w:rPr>
      </w:pPr>
      <w:bookmarkStart w:id="56" w:name="lt_pId092"/>
      <w:r w:rsidRPr="005D4E87">
        <w:rPr>
          <w:lang w:val="ru-RU"/>
        </w:rPr>
        <w:t>В своих ответах Государства-Члены в основном поддержали укрепление</w:t>
      </w:r>
      <w:r w:rsidR="00E72581" w:rsidRPr="005D4E87">
        <w:rPr>
          <w:lang w:val="ru-RU"/>
        </w:rPr>
        <w:t xml:space="preserve"> деятельности по обучению</w:t>
      </w:r>
      <w:r w:rsidRPr="005D4E87">
        <w:rPr>
          <w:lang w:val="ru-RU"/>
        </w:rPr>
        <w:t xml:space="preserve"> для совершенствования конференции</w:t>
      </w:r>
      <w:r w:rsidR="00287E70" w:rsidRPr="005D4E87">
        <w:rPr>
          <w:lang w:val="ru-RU"/>
        </w:rPr>
        <w:t>.</w:t>
      </w:r>
      <w:bookmarkEnd w:id="56"/>
    </w:p>
    <w:p w14:paraId="17C58206" w14:textId="6335BD11" w:rsidR="00287E70" w:rsidRPr="005D4E87" w:rsidRDefault="008A414C" w:rsidP="00EC73CC">
      <w:pPr>
        <w:rPr>
          <w:szCs w:val="24"/>
          <w:lang w:val="ru-RU"/>
        </w:rPr>
      </w:pPr>
      <w:bookmarkStart w:id="57" w:name="lt_pId093"/>
      <w:r w:rsidRPr="005D4E87">
        <w:rPr>
          <w:szCs w:val="24"/>
          <w:lang w:val="ru-RU"/>
        </w:rPr>
        <w:t xml:space="preserve">На основании ответов </w:t>
      </w:r>
      <w:r w:rsidR="00E72581" w:rsidRPr="005D4E87">
        <w:rPr>
          <w:szCs w:val="24"/>
          <w:lang w:val="ru-RU"/>
        </w:rPr>
        <w:t xml:space="preserve">обучение для целей </w:t>
      </w:r>
      <w:r w:rsidRPr="005D4E87">
        <w:rPr>
          <w:szCs w:val="24"/>
          <w:lang w:val="ru-RU"/>
        </w:rPr>
        <w:t>ПК</w:t>
      </w:r>
      <w:r w:rsidRPr="005D4E87">
        <w:rPr>
          <w:szCs w:val="24"/>
          <w:lang w:val="ru-RU"/>
        </w:rPr>
        <w:noBreakHyphen/>
      </w:r>
      <w:r w:rsidR="00287E70" w:rsidRPr="005D4E87">
        <w:rPr>
          <w:szCs w:val="24"/>
          <w:lang w:val="ru-RU"/>
        </w:rPr>
        <w:t xml:space="preserve">22 </w:t>
      </w:r>
      <w:r w:rsidRPr="005D4E87">
        <w:rPr>
          <w:szCs w:val="24"/>
          <w:lang w:val="ru-RU"/>
        </w:rPr>
        <w:t>можно было бы проводить по следующим темам</w:t>
      </w:r>
      <w:r w:rsidR="00287E70" w:rsidRPr="005D4E87">
        <w:rPr>
          <w:szCs w:val="24"/>
          <w:lang w:val="ru-RU"/>
        </w:rPr>
        <w:t xml:space="preserve">: </w:t>
      </w:r>
      <w:r w:rsidR="00667E7C" w:rsidRPr="005D4E87">
        <w:rPr>
          <w:szCs w:val="24"/>
          <w:lang w:val="ru-RU"/>
        </w:rPr>
        <w:t>ознакомление</w:t>
      </w:r>
      <w:r w:rsidRPr="005D4E87">
        <w:rPr>
          <w:szCs w:val="24"/>
          <w:lang w:val="ru-RU"/>
        </w:rPr>
        <w:t xml:space="preserve"> </w:t>
      </w:r>
      <w:r w:rsidR="00667E7C" w:rsidRPr="005D4E87">
        <w:rPr>
          <w:szCs w:val="24"/>
          <w:lang w:val="ru-RU"/>
        </w:rPr>
        <w:t>с</w:t>
      </w:r>
      <w:r w:rsidRPr="005D4E87">
        <w:rPr>
          <w:szCs w:val="24"/>
          <w:lang w:val="ru-RU"/>
        </w:rPr>
        <w:t xml:space="preserve"> </w:t>
      </w:r>
      <w:r w:rsidR="00FA5451" w:rsidRPr="005D4E87">
        <w:rPr>
          <w:szCs w:val="24"/>
          <w:lang w:val="ru-RU"/>
        </w:rPr>
        <w:t>основн</w:t>
      </w:r>
      <w:r w:rsidRPr="005D4E87">
        <w:rPr>
          <w:szCs w:val="24"/>
          <w:lang w:val="ru-RU"/>
        </w:rPr>
        <w:t>ым</w:t>
      </w:r>
      <w:r w:rsidR="00667E7C" w:rsidRPr="005D4E87">
        <w:rPr>
          <w:szCs w:val="24"/>
          <w:lang w:val="ru-RU"/>
        </w:rPr>
        <w:t>и</w:t>
      </w:r>
      <w:r w:rsidRPr="005D4E87">
        <w:rPr>
          <w:szCs w:val="24"/>
          <w:lang w:val="ru-RU"/>
        </w:rPr>
        <w:t xml:space="preserve"> текстам</w:t>
      </w:r>
      <w:r w:rsidR="00667E7C" w:rsidRPr="005D4E87">
        <w:rPr>
          <w:szCs w:val="24"/>
          <w:lang w:val="ru-RU"/>
        </w:rPr>
        <w:t>и</w:t>
      </w:r>
      <w:r w:rsidRPr="005D4E87">
        <w:rPr>
          <w:szCs w:val="24"/>
          <w:lang w:val="ru-RU"/>
        </w:rPr>
        <w:t xml:space="preserve"> документов МСЭ </w:t>
      </w:r>
      <w:r w:rsidR="00FA5451" w:rsidRPr="005D4E87">
        <w:rPr>
          <w:szCs w:val="24"/>
          <w:lang w:val="ru-RU"/>
        </w:rPr>
        <w:t>(У</w:t>
      </w:r>
      <w:r w:rsidR="00E72581" w:rsidRPr="005D4E87">
        <w:rPr>
          <w:szCs w:val="24"/>
          <w:lang w:val="ru-RU"/>
        </w:rPr>
        <w:t>став</w:t>
      </w:r>
      <w:r w:rsidR="00FA5451" w:rsidRPr="005D4E87">
        <w:rPr>
          <w:szCs w:val="24"/>
          <w:lang w:val="ru-RU"/>
        </w:rPr>
        <w:t>/К</w:t>
      </w:r>
      <w:r w:rsidR="00E72581" w:rsidRPr="005D4E87">
        <w:rPr>
          <w:szCs w:val="24"/>
          <w:lang w:val="ru-RU"/>
        </w:rPr>
        <w:t>онвенция</w:t>
      </w:r>
      <w:r w:rsidR="00FA5451" w:rsidRPr="005D4E87">
        <w:rPr>
          <w:szCs w:val="24"/>
          <w:lang w:val="ru-RU"/>
        </w:rPr>
        <w:t xml:space="preserve">, </w:t>
      </w:r>
      <w:r w:rsidR="00E72581" w:rsidRPr="005D4E87">
        <w:rPr>
          <w:szCs w:val="24"/>
          <w:lang w:val="ru-RU"/>
        </w:rPr>
        <w:t xml:space="preserve">административные </w:t>
      </w:r>
      <w:r w:rsidR="00FA5451" w:rsidRPr="005D4E87">
        <w:rPr>
          <w:szCs w:val="24"/>
          <w:lang w:val="ru-RU"/>
        </w:rPr>
        <w:t>регламенты; Общий регламент конференций, ассамблей и собраний</w:t>
      </w:r>
      <w:r w:rsidR="00287E70" w:rsidRPr="005D4E87">
        <w:rPr>
          <w:szCs w:val="24"/>
          <w:lang w:val="ru-RU"/>
        </w:rPr>
        <w:t xml:space="preserve">; </w:t>
      </w:r>
      <w:r w:rsidR="00FA5451" w:rsidRPr="005D4E87">
        <w:rPr>
          <w:szCs w:val="24"/>
          <w:lang w:val="ru-RU"/>
        </w:rPr>
        <w:t>полный текст всех действующих Решений, Резолюций и Рекомендаций</w:t>
      </w:r>
      <w:r w:rsidR="00287E70" w:rsidRPr="005D4E87">
        <w:rPr>
          <w:szCs w:val="24"/>
          <w:lang w:val="ru-RU"/>
        </w:rPr>
        <w:t xml:space="preserve">; </w:t>
      </w:r>
      <w:r w:rsidR="00C20525" w:rsidRPr="005D4E87">
        <w:rPr>
          <w:szCs w:val="24"/>
          <w:lang w:val="ru-RU"/>
        </w:rPr>
        <w:t>Финансовый регламент</w:t>
      </w:r>
      <w:r w:rsidR="00287E70" w:rsidRPr="005D4E87">
        <w:rPr>
          <w:szCs w:val="24"/>
          <w:lang w:val="ru-RU"/>
        </w:rPr>
        <w:t xml:space="preserve">; </w:t>
      </w:r>
      <w:r w:rsidR="00C20525" w:rsidRPr="005D4E87">
        <w:rPr>
          <w:szCs w:val="24"/>
          <w:lang w:val="ru-RU"/>
        </w:rPr>
        <w:t xml:space="preserve">Правила процедуры Совета и </w:t>
      </w:r>
      <w:r w:rsidR="00C20525" w:rsidRPr="005D4E87">
        <w:rPr>
          <w:color w:val="000000"/>
          <w:lang w:val="ru-RU"/>
        </w:rPr>
        <w:t>Положения о персонале и Правила о персонале</w:t>
      </w:r>
      <w:r w:rsidR="00287E70" w:rsidRPr="005D4E87">
        <w:rPr>
          <w:szCs w:val="24"/>
          <w:lang w:val="ru-RU"/>
        </w:rPr>
        <w:t xml:space="preserve">); </w:t>
      </w:r>
      <w:r w:rsidR="00C20525" w:rsidRPr="005D4E87">
        <w:rPr>
          <w:szCs w:val="24"/>
          <w:lang w:val="ru-RU"/>
        </w:rPr>
        <w:t>проведение конференции в целом</w:t>
      </w:r>
      <w:r w:rsidR="00287E70" w:rsidRPr="005D4E87">
        <w:rPr>
          <w:szCs w:val="24"/>
          <w:lang w:val="ru-RU"/>
        </w:rPr>
        <w:t xml:space="preserve">; </w:t>
      </w:r>
      <w:r w:rsidR="00667E7C" w:rsidRPr="005D4E87">
        <w:rPr>
          <w:szCs w:val="24"/>
          <w:lang w:val="ru-RU"/>
        </w:rPr>
        <w:t>навыки</w:t>
      </w:r>
      <w:r w:rsidR="004D7C23" w:rsidRPr="005D4E87">
        <w:rPr>
          <w:szCs w:val="24"/>
          <w:lang w:val="ru-RU"/>
        </w:rPr>
        <w:t xml:space="preserve"> </w:t>
      </w:r>
      <w:r w:rsidR="00667E7C" w:rsidRPr="005D4E87">
        <w:rPr>
          <w:szCs w:val="24"/>
          <w:lang w:val="ru-RU"/>
        </w:rPr>
        <w:t xml:space="preserve">ведения </w:t>
      </w:r>
      <w:r w:rsidR="004D7C23" w:rsidRPr="005D4E87">
        <w:rPr>
          <w:szCs w:val="24"/>
          <w:lang w:val="ru-RU"/>
        </w:rPr>
        <w:t xml:space="preserve">переговоров и </w:t>
      </w:r>
      <w:r w:rsidR="00667E7C" w:rsidRPr="005D4E87">
        <w:rPr>
          <w:szCs w:val="24"/>
          <w:lang w:val="ru-RU"/>
        </w:rPr>
        <w:t>навыки публичных выступлений</w:t>
      </w:r>
      <w:r w:rsidR="00287E70" w:rsidRPr="005D4E87">
        <w:rPr>
          <w:szCs w:val="24"/>
          <w:lang w:val="ru-RU"/>
        </w:rPr>
        <w:t xml:space="preserve">; </w:t>
      </w:r>
      <w:r w:rsidR="004D7C23" w:rsidRPr="005D4E87">
        <w:rPr>
          <w:szCs w:val="24"/>
          <w:lang w:val="ru-RU"/>
        </w:rPr>
        <w:t>ведение заседаний</w:t>
      </w:r>
      <w:r w:rsidR="00287E70" w:rsidRPr="005D4E87">
        <w:rPr>
          <w:szCs w:val="24"/>
          <w:lang w:val="ru-RU"/>
        </w:rPr>
        <w:t xml:space="preserve">; </w:t>
      </w:r>
      <w:r w:rsidR="004D7C23" w:rsidRPr="005D4E87">
        <w:rPr>
          <w:szCs w:val="24"/>
          <w:lang w:val="ru-RU"/>
        </w:rPr>
        <w:t>Правила процедуры</w:t>
      </w:r>
      <w:r w:rsidR="00287E70" w:rsidRPr="005D4E87">
        <w:rPr>
          <w:szCs w:val="24"/>
          <w:lang w:val="ru-RU"/>
        </w:rPr>
        <w:t xml:space="preserve">; </w:t>
      </w:r>
      <w:r w:rsidR="004D7C23" w:rsidRPr="005D4E87">
        <w:rPr>
          <w:szCs w:val="24"/>
          <w:lang w:val="ru-RU"/>
        </w:rPr>
        <w:t>подготовка и представление вклад</w:t>
      </w:r>
      <w:r w:rsidR="00205F50" w:rsidRPr="005D4E87">
        <w:rPr>
          <w:szCs w:val="24"/>
          <w:lang w:val="ru-RU"/>
        </w:rPr>
        <w:t>ов</w:t>
      </w:r>
      <w:r w:rsidR="00287E70" w:rsidRPr="005D4E87">
        <w:rPr>
          <w:szCs w:val="24"/>
          <w:lang w:val="ru-RU"/>
        </w:rPr>
        <w:t xml:space="preserve">; </w:t>
      </w:r>
      <w:r w:rsidR="004D7C23" w:rsidRPr="005D4E87">
        <w:rPr>
          <w:szCs w:val="24"/>
          <w:lang w:val="ru-RU"/>
        </w:rPr>
        <w:t>составление сжатых Резолюций и Решений</w:t>
      </w:r>
      <w:r w:rsidR="00287E70" w:rsidRPr="005D4E87">
        <w:rPr>
          <w:szCs w:val="24"/>
          <w:lang w:val="ru-RU"/>
        </w:rPr>
        <w:t xml:space="preserve">; </w:t>
      </w:r>
      <w:r w:rsidR="004D7C23" w:rsidRPr="005D4E87">
        <w:rPr>
          <w:szCs w:val="24"/>
          <w:lang w:val="ru-RU"/>
        </w:rPr>
        <w:t>выборы</w:t>
      </w:r>
      <w:r w:rsidR="00287E70" w:rsidRPr="005D4E87">
        <w:rPr>
          <w:szCs w:val="24"/>
          <w:lang w:val="ru-RU"/>
        </w:rPr>
        <w:t xml:space="preserve">; </w:t>
      </w:r>
      <w:r w:rsidR="004D7C23" w:rsidRPr="005D4E87">
        <w:rPr>
          <w:szCs w:val="24"/>
          <w:lang w:val="ru-RU"/>
        </w:rPr>
        <w:t>права голоса</w:t>
      </w:r>
      <w:r w:rsidR="00287E70" w:rsidRPr="005D4E87">
        <w:rPr>
          <w:szCs w:val="24"/>
          <w:lang w:val="ru-RU"/>
        </w:rPr>
        <w:t xml:space="preserve">; </w:t>
      </w:r>
      <w:r w:rsidR="004D7C23" w:rsidRPr="005D4E87">
        <w:rPr>
          <w:szCs w:val="24"/>
          <w:lang w:val="ru-RU"/>
        </w:rPr>
        <w:t xml:space="preserve">и практическая информация о конференции </w:t>
      </w:r>
      <w:r w:rsidR="00287E70" w:rsidRPr="005D4E87">
        <w:rPr>
          <w:szCs w:val="24"/>
          <w:lang w:val="ru-RU"/>
        </w:rPr>
        <w:t>(</w:t>
      </w:r>
      <w:r w:rsidR="004D7C23" w:rsidRPr="005D4E87">
        <w:rPr>
          <w:szCs w:val="24"/>
          <w:lang w:val="ru-RU"/>
        </w:rPr>
        <w:t>ежедневное расписание, как работают комитеты и специальные группы, ежедневная работа конференции</w:t>
      </w:r>
      <w:r w:rsidR="00287E70" w:rsidRPr="005D4E87">
        <w:rPr>
          <w:szCs w:val="24"/>
          <w:lang w:val="ru-RU"/>
        </w:rPr>
        <w:t xml:space="preserve">) </w:t>
      </w:r>
      <w:r w:rsidR="0068565E" w:rsidRPr="005D4E87">
        <w:rPr>
          <w:szCs w:val="24"/>
          <w:lang w:val="ru-RU"/>
        </w:rPr>
        <w:t>и информация о принимающей стране</w:t>
      </w:r>
      <w:r w:rsidR="00287E70" w:rsidRPr="005D4E87">
        <w:rPr>
          <w:szCs w:val="24"/>
          <w:lang w:val="ru-RU"/>
        </w:rPr>
        <w:t xml:space="preserve"> (</w:t>
      </w:r>
      <w:r w:rsidR="0068565E" w:rsidRPr="005D4E87">
        <w:rPr>
          <w:szCs w:val="24"/>
          <w:lang w:val="ru-RU"/>
        </w:rPr>
        <w:t>бронирование гостиниц, транспорт, визы и т. п</w:t>
      </w:r>
      <w:r w:rsidR="00287E70" w:rsidRPr="005D4E87">
        <w:rPr>
          <w:szCs w:val="24"/>
          <w:lang w:val="ru-RU"/>
        </w:rPr>
        <w:t>.).</w:t>
      </w:r>
      <w:bookmarkEnd w:id="57"/>
    </w:p>
    <w:p w14:paraId="0F19D874" w14:textId="3246F63D" w:rsidR="00287E70" w:rsidRPr="005D4E87" w:rsidRDefault="0068565E" w:rsidP="00EC73CC">
      <w:pPr>
        <w:keepNext/>
        <w:rPr>
          <w:u w:val="single"/>
          <w:lang w:val="ru-RU"/>
        </w:rPr>
      </w:pPr>
      <w:bookmarkStart w:id="58" w:name="lt_pId094"/>
      <w:r w:rsidRPr="005D4E87">
        <w:rPr>
          <w:u w:val="single"/>
          <w:lang w:val="ru-RU"/>
        </w:rPr>
        <w:t>В связи с этим предлагается</w:t>
      </w:r>
      <w:r w:rsidR="00287E70" w:rsidRPr="005D4E87">
        <w:rPr>
          <w:lang w:val="ru-RU"/>
        </w:rPr>
        <w:t>:</w:t>
      </w:r>
      <w:bookmarkEnd w:id="58"/>
    </w:p>
    <w:p w14:paraId="6D919D6C" w14:textId="3424FD2B" w:rsidR="00287E70" w:rsidRPr="005D4E87" w:rsidRDefault="00114DAE" w:rsidP="00EC73CC">
      <w:pPr>
        <w:pStyle w:val="enumlev1"/>
        <w:rPr>
          <w:lang w:val="ru-RU"/>
        </w:rPr>
      </w:pPr>
      <w:bookmarkStart w:id="59" w:name="lt_pId095"/>
      <w:r w:rsidRPr="005D4E87">
        <w:rPr>
          <w:lang w:val="ru-RU"/>
        </w:rPr>
        <w:t>−</w:t>
      </w:r>
      <w:r w:rsidRPr="005D4E87">
        <w:rPr>
          <w:lang w:val="ru-RU"/>
        </w:rPr>
        <w:tab/>
      </w:r>
      <w:r w:rsidR="00AD7507" w:rsidRPr="005D4E87">
        <w:rPr>
          <w:lang w:val="ru-RU"/>
        </w:rPr>
        <w:t>По мере возможности совместно с РОЭ разрабатывать удобн</w:t>
      </w:r>
      <w:r w:rsidR="00FE5442" w:rsidRPr="005D4E87">
        <w:rPr>
          <w:lang w:val="ru-RU"/>
        </w:rPr>
        <w:t xml:space="preserve">ую </w:t>
      </w:r>
      <w:r w:rsidR="00AD7507" w:rsidRPr="005D4E87">
        <w:rPr>
          <w:lang w:val="ru-RU"/>
        </w:rPr>
        <w:t xml:space="preserve">для пользователей </w:t>
      </w:r>
      <w:r w:rsidR="00FE5442" w:rsidRPr="005D4E87">
        <w:rPr>
          <w:lang w:val="ru-RU"/>
        </w:rPr>
        <w:t xml:space="preserve">программу обучения </w:t>
      </w:r>
      <w:r w:rsidR="00AD7507" w:rsidRPr="005D4E87">
        <w:rPr>
          <w:lang w:val="ru-RU"/>
        </w:rPr>
        <w:t>и представлять е</w:t>
      </w:r>
      <w:r w:rsidR="00FE5442" w:rsidRPr="005D4E87">
        <w:rPr>
          <w:lang w:val="ru-RU"/>
        </w:rPr>
        <w:t>е</w:t>
      </w:r>
      <w:r w:rsidR="00AD7507" w:rsidRPr="005D4E87">
        <w:rPr>
          <w:lang w:val="ru-RU"/>
        </w:rPr>
        <w:t xml:space="preserve"> на подготовительных собраниях РОЭ или перед межрегиональными подготовительными собраниями либо во время таких собраний</w:t>
      </w:r>
      <w:r w:rsidR="00287E70" w:rsidRPr="005D4E87">
        <w:rPr>
          <w:lang w:val="ru-RU"/>
        </w:rPr>
        <w:t>.</w:t>
      </w:r>
      <w:bookmarkEnd w:id="59"/>
      <w:r w:rsidR="00287E70" w:rsidRPr="005D4E87">
        <w:rPr>
          <w:lang w:val="ru-RU"/>
        </w:rPr>
        <w:t xml:space="preserve"> </w:t>
      </w:r>
      <w:bookmarkStart w:id="60" w:name="lt_pId096"/>
      <w:r w:rsidR="00D17024" w:rsidRPr="005D4E87">
        <w:rPr>
          <w:lang w:val="ru-RU"/>
        </w:rPr>
        <w:t>Следует обеспечивать возможность дистанционного участия для делегатов, которые не могут присутствовать на региональных собраниях</w:t>
      </w:r>
      <w:r w:rsidR="00287E70" w:rsidRPr="005D4E87">
        <w:rPr>
          <w:lang w:val="ru-RU"/>
        </w:rPr>
        <w:t>.</w:t>
      </w:r>
      <w:bookmarkEnd w:id="60"/>
    </w:p>
    <w:p w14:paraId="06513CC9" w14:textId="44917917" w:rsidR="00287E70" w:rsidRPr="005D4E87" w:rsidRDefault="00114DAE" w:rsidP="00EC73CC">
      <w:pPr>
        <w:pStyle w:val="enumlev1"/>
        <w:rPr>
          <w:lang w:val="ru-RU"/>
        </w:rPr>
      </w:pPr>
      <w:bookmarkStart w:id="61" w:name="lt_pId097"/>
      <w:r w:rsidRPr="005D4E87">
        <w:rPr>
          <w:lang w:val="ru-RU"/>
        </w:rPr>
        <w:t>−</w:t>
      </w:r>
      <w:r w:rsidRPr="005D4E87">
        <w:rPr>
          <w:lang w:val="ru-RU"/>
        </w:rPr>
        <w:tab/>
      </w:r>
      <w:r w:rsidR="00D17024" w:rsidRPr="005D4E87">
        <w:rPr>
          <w:lang w:val="ru-RU"/>
        </w:rPr>
        <w:t>Поддерж</w:t>
      </w:r>
      <w:r w:rsidR="00FE5442" w:rsidRPr="005D4E87">
        <w:rPr>
          <w:lang w:val="ru-RU"/>
        </w:rPr>
        <w:t xml:space="preserve">ку обучению </w:t>
      </w:r>
      <w:r w:rsidR="00D17024" w:rsidRPr="005D4E87">
        <w:rPr>
          <w:lang w:val="ru-RU"/>
        </w:rPr>
        <w:t xml:space="preserve">мог бы </w:t>
      </w:r>
      <w:r w:rsidR="00FE5442" w:rsidRPr="005D4E87">
        <w:rPr>
          <w:lang w:val="ru-RU"/>
        </w:rPr>
        <w:t xml:space="preserve">оказывать </w:t>
      </w:r>
      <w:r w:rsidR="00D17024" w:rsidRPr="005D4E87">
        <w:rPr>
          <w:lang w:val="ru-RU"/>
        </w:rPr>
        <w:t>секретариат МСЭ, в частности региональные отделения</w:t>
      </w:r>
      <w:r w:rsidR="00287E70" w:rsidRPr="005D4E87">
        <w:rPr>
          <w:lang w:val="ru-RU"/>
        </w:rPr>
        <w:t>.</w:t>
      </w:r>
      <w:bookmarkEnd w:id="61"/>
    </w:p>
    <w:p w14:paraId="7595AAEE" w14:textId="54F12795" w:rsidR="00287E70" w:rsidRPr="005D4E87" w:rsidRDefault="00114DAE" w:rsidP="00EC73CC">
      <w:pPr>
        <w:pStyle w:val="enumlev1"/>
        <w:rPr>
          <w:lang w:val="ru-RU"/>
        </w:rPr>
      </w:pPr>
      <w:bookmarkStart w:id="62" w:name="lt_pId098"/>
      <w:r w:rsidRPr="005D4E87">
        <w:rPr>
          <w:lang w:val="ru-RU"/>
        </w:rPr>
        <w:t>−</w:t>
      </w:r>
      <w:r w:rsidRPr="005D4E87">
        <w:rPr>
          <w:lang w:val="ru-RU"/>
        </w:rPr>
        <w:tab/>
      </w:r>
      <w:r w:rsidR="00D17024" w:rsidRPr="005D4E87">
        <w:rPr>
          <w:lang w:val="ru-RU"/>
        </w:rPr>
        <w:t xml:space="preserve">К </w:t>
      </w:r>
      <w:r w:rsidR="00FE5442" w:rsidRPr="005D4E87">
        <w:rPr>
          <w:lang w:val="ru-RU"/>
        </w:rPr>
        <w:t xml:space="preserve">обучению </w:t>
      </w:r>
      <w:r w:rsidR="00D17024" w:rsidRPr="005D4E87">
        <w:rPr>
          <w:lang w:val="ru-RU"/>
        </w:rPr>
        <w:t>следует привлекать опытных делегатов из региона, и можно было бы изучить возможность организации программы наставничества</w:t>
      </w:r>
      <w:r w:rsidR="00287E70" w:rsidRPr="005D4E87">
        <w:rPr>
          <w:lang w:val="ru-RU"/>
        </w:rPr>
        <w:t>.</w:t>
      </w:r>
      <w:bookmarkEnd w:id="62"/>
    </w:p>
    <w:p w14:paraId="09CB6A58" w14:textId="71B1B953" w:rsidR="00287E70" w:rsidRPr="005D4E87" w:rsidRDefault="00114DAE" w:rsidP="00EC73CC">
      <w:pPr>
        <w:pStyle w:val="enumlev1"/>
        <w:rPr>
          <w:u w:val="single"/>
          <w:lang w:val="ru-RU"/>
        </w:rPr>
      </w:pPr>
      <w:bookmarkStart w:id="63" w:name="lt_pId099"/>
      <w:r w:rsidRPr="005D4E87">
        <w:rPr>
          <w:lang w:val="ru-RU"/>
        </w:rPr>
        <w:t>−</w:t>
      </w:r>
      <w:r w:rsidRPr="005D4E87">
        <w:rPr>
          <w:lang w:val="ru-RU"/>
        </w:rPr>
        <w:tab/>
      </w:r>
      <w:r w:rsidR="00625BAE" w:rsidRPr="005D4E87">
        <w:rPr>
          <w:lang w:val="ru-RU"/>
        </w:rPr>
        <w:t>Можно было бы распространять среди членов и размещать на веб-сайте ПК</w:t>
      </w:r>
      <w:r w:rsidR="00FE5442" w:rsidRPr="005D4E87">
        <w:rPr>
          <w:lang w:val="ru-RU"/>
        </w:rPr>
        <w:t xml:space="preserve"> программу обучения</w:t>
      </w:r>
      <w:r w:rsidR="00625BAE" w:rsidRPr="005D4E87">
        <w:rPr>
          <w:lang w:val="ru-RU"/>
        </w:rPr>
        <w:t>, котор</w:t>
      </w:r>
      <w:r w:rsidR="00FE5442" w:rsidRPr="005D4E87">
        <w:rPr>
          <w:lang w:val="ru-RU"/>
        </w:rPr>
        <w:t>ая</w:t>
      </w:r>
      <w:r w:rsidR="00625BAE" w:rsidRPr="005D4E87">
        <w:rPr>
          <w:lang w:val="ru-RU"/>
        </w:rPr>
        <w:t xml:space="preserve"> включал</w:t>
      </w:r>
      <w:r w:rsidR="00FE5442" w:rsidRPr="005D4E87">
        <w:rPr>
          <w:lang w:val="ru-RU"/>
        </w:rPr>
        <w:t>а</w:t>
      </w:r>
      <w:r w:rsidR="00625BAE" w:rsidRPr="005D4E87">
        <w:rPr>
          <w:lang w:val="ru-RU"/>
        </w:rPr>
        <w:t xml:space="preserve"> бы образовательные видеоматериалы/записи</w:t>
      </w:r>
      <w:r w:rsidR="00287E70" w:rsidRPr="005D4E87">
        <w:rPr>
          <w:lang w:val="ru-RU"/>
        </w:rPr>
        <w:t>.</w:t>
      </w:r>
      <w:bookmarkEnd w:id="63"/>
      <w:r w:rsidR="00287E70" w:rsidRPr="005D4E87">
        <w:rPr>
          <w:lang w:val="ru-RU"/>
        </w:rPr>
        <w:t xml:space="preserve"> </w:t>
      </w:r>
    </w:p>
    <w:p w14:paraId="5BBB6B70" w14:textId="425D5BF8" w:rsidR="00287E70" w:rsidRPr="005D4E87" w:rsidRDefault="00114DAE" w:rsidP="00EC73CC">
      <w:pPr>
        <w:pStyle w:val="enumlev1"/>
        <w:rPr>
          <w:u w:val="single"/>
          <w:lang w:val="ru-RU"/>
        </w:rPr>
      </w:pPr>
      <w:bookmarkStart w:id="64" w:name="lt_pId100"/>
      <w:r w:rsidRPr="005D4E87">
        <w:rPr>
          <w:lang w:val="ru-RU"/>
        </w:rPr>
        <w:lastRenderedPageBreak/>
        <w:t>−</w:t>
      </w:r>
      <w:r w:rsidRPr="005D4E87">
        <w:rPr>
          <w:lang w:val="ru-RU"/>
        </w:rPr>
        <w:tab/>
      </w:r>
      <w:r w:rsidR="00625BAE" w:rsidRPr="005D4E87">
        <w:rPr>
          <w:lang w:val="ru-RU"/>
        </w:rPr>
        <w:t xml:space="preserve">Все Государства-Члены </w:t>
      </w:r>
      <w:r w:rsidR="00E510BE" w:rsidRPr="005D4E87">
        <w:rPr>
          <w:lang w:val="ru-RU"/>
        </w:rPr>
        <w:t xml:space="preserve">следует информировать о наличии </w:t>
      </w:r>
      <w:r w:rsidR="00FE5442" w:rsidRPr="005D4E87">
        <w:rPr>
          <w:lang w:val="ru-RU"/>
        </w:rPr>
        <w:t>программы обучения</w:t>
      </w:r>
      <w:r w:rsidR="00E510BE" w:rsidRPr="005D4E87">
        <w:rPr>
          <w:lang w:val="ru-RU"/>
        </w:rPr>
        <w:t xml:space="preserve"> посредством циркулярного письма</w:t>
      </w:r>
      <w:r w:rsidR="00287E70" w:rsidRPr="005D4E87">
        <w:rPr>
          <w:lang w:val="ru-RU"/>
        </w:rPr>
        <w:t>.</w:t>
      </w:r>
      <w:bookmarkEnd w:id="64"/>
    </w:p>
    <w:p w14:paraId="40158DBD" w14:textId="1027489D" w:rsidR="00287E70" w:rsidRPr="005D4E87" w:rsidRDefault="00114DAE" w:rsidP="00EC73CC">
      <w:pPr>
        <w:pStyle w:val="enumlev1"/>
        <w:rPr>
          <w:u w:val="single"/>
          <w:lang w:val="ru-RU"/>
        </w:rPr>
      </w:pPr>
      <w:bookmarkStart w:id="65" w:name="lt_pId101"/>
      <w:r w:rsidRPr="005D4E87">
        <w:rPr>
          <w:lang w:val="ru-RU"/>
        </w:rPr>
        <w:t>−</w:t>
      </w:r>
      <w:r w:rsidRPr="005D4E87">
        <w:rPr>
          <w:lang w:val="ru-RU"/>
        </w:rPr>
        <w:tab/>
      </w:r>
      <w:r w:rsidR="00E510BE" w:rsidRPr="005D4E87">
        <w:rPr>
          <w:lang w:val="ru-RU"/>
        </w:rPr>
        <w:t>Следует продолжать информирование новых делегатов в месте проведения ПК</w:t>
      </w:r>
      <w:r w:rsidR="00287E70" w:rsidRPr="005D4E87">
        <w:rPr>
          <w:lang w:val="ru-RU"/>
        </w:rPr>
        <w:t>.</w:t>
      </w:r>
      <w:bookmarkEnd w:id="65"/>
    </w:p>
    <w:p w14:paraId="15EB74A3" w14:textId="19322DAF" w:rsidR="00287E70" w:rsidRPr="005D4E87" w:rsidRDefault="00287E70" w:rsidP="00EC73CC">
      <w:pPr>
        <w:pStyle w:val="Heading1"/>
        <w:rPr>
          <w:rFonts w:asciiTheme="minorHAnsi" w:hAnsiTheme="minorHAnsi" w:cstheme="minorHAnsi"/>
          <w:bCs/>
          <w:color w:val="000000"/>
          <w:szCs w:val="24"/>
          <w:u w:val="single"/>
          <w:lang w:val="ru-RU"/>
        </w:rPr>
      </w:pPr>
      <w:bookmarkStart w:id="66" w:name="lt_pId102"/>
      <w:r w:rsidRPr="005D4E87">
        <w:rPr>
          <w:rFonts w:asciiTheme="minorHAnsi" w:hAnsiTheme="minorHAnsi" w:cstheme="minorHAnsi"/>
          <w:bCs/>
          <w:color w:val="000000"/>
          <w:szCs w:val="24"/>
          <w:lang w:val="ru-RU"/>
        </w:rPr>
        <w:t>IV</w:t>
      </w:r>
      <w:bookmarkEnd w:id="66"/>
      <w:r w:rsidRPr="005D4E87">
        <w:rPr>
          <w:rFonts w:asciiTheme="minorHAnsi" w:hAnsiTheme="minorHAnsi" w:cstheme="minorHAnsi"/>
          <w:bCs/>
          <w:color w:val="000000"/>
          <w:szCs w:val="24"/>
          <w:lang w:val="ru-RU"/>
        </w:rPr>
        <w:tab/>
      </w:r>
      <w:r w:rsidR="00114DAE" w:rsidRPr="005D4E87">
        <w:rPr>
          <w:b w:val="0"/>
          <w:bCs/>
          <w:lang w:val="ru-RU"/>
        </w:rPr>
        <w:t>"</w:t>
      </w:r>
      <w:r w:rsidR="00114DAE" w:rsidRPr="005D4E87">
        <w:rPr>
          <w:lang w:val="ru-RU"/>
        </w:rPr>
        <w:t>Зеленые</w:t>
      </w:r>
      <w:r w:rsidR="00114DAE" w:rsidRPr="005D4E87">
        <w:rPr>
          <w:b w:val="0"/>
          <w:bCs/>
          <w:lang w:val="ru-RU"/>
        </w:rPr>
        <w:t>"</w:t>
      </w:r>
      <w:r w:rsidR="00114DAE" w:rsidRPr="005D4E87">
        <w:rPr>
          <w:lang w:val="ru-RU"/>
        </w:rPr>
        <w:t xml:space="preserve"> конференции</w:t>
      </w:r>
    </w:p>
    <w:p w14:paraId="04E6570D" w14:textId="30D2EC41" w:rsidR="00287E70" w:rsidRPr="005D4E87" w:rsidRDefault="00B0621E" w:rsidP="00EC73CC">
      <w:pPr>
        <w:rPr>
          <w:lang w:val="ru-RU"/>
        </w:rPr>
      </w:pPr>
      <w:bookmarkStart w:id="67" w:name="lt_pId104"/>
      <w:r w:rsidRPr="005D4E87">
        <w:rPr>
          <w:lang w:val="ru-RU"/>
        </w:rPr>
        <w:t>Третья область – сделать конференцию как можно более "зеленой"</w:t>
      </w:r>
      <w:r w:rsidR="00287E70" w:rsidRPr="005D4E87">
        <w:rPr>
          <w:lang w:val="ru-RU"/>
        </w:rPr>
        <w:t>.</w:t>
      </w:r>
      <w:bookmarkEnd w:id="67"/>
      <w:r w:rsidR="00287E70" w:rsidRPr="005D4E87">
        <w:rPr>
          <w:lang w:val="ru-RU"/>
        </w:rPr>
        <w:t xml:space="preserve"> </w:t>
      </w:r>
      <w:bookmarkStart w:id="68" w:name="lt_pId105"/>
      <w:r w:rsidR="00F00527" w:rsidRPr="005D4E87">
        <w:rPr>
          <w:lang w:val="ru-RU"/>
        </w:rPr>
        <w:t>Были предложены следующие вопросы</w:t>
      </w:r>
      <w:r w:rsidR="00287E70" w:rsidRPr="005D4E87">
        <w:rPr>
          <w:lang w:val="ru-RU"/>
        </w:rPr>
        <w:t>:</w:t>
      </w:r>
      <w:bookmarkEnd w:id="68"/>
      <w:r w:rsidR="00287E70" w:rsidRPr="005D4E87">
        <w:rPr>
          <w:lang w:val="ru-RU"/>
        </w:rPr>
        <w:t xml:space="preserve"> </w:t>
      </w:r>
    </w:p>
    <w:p w14:paraId="22FDABBC" w14:textId="6DBC78C1" w:rsidR="005C3973" w:rsidRPr="005D4E87" w:rsidRDefault="005C3973" w:rsidP="00EC73CC">
      <w:pPr>
        <w:pStyle w:val="enumlev1"/>
        <w:rPr>
          <w:lang w:val="ru-RU"/>
        </w:rPr>
      </w:pPr>
      <w:r w:rsidRPr="005D4E87">
        <w:rPr>
          <w:lang w:val="ru-RU"/>
        </w:rPr>
        <w:t>•</w:t>
      </w:r>
      <w:r w:rsidRPr="005D4E87">
        <w:rPr>
          <w:lang w:val="ru-RU"/>
        </w:rPr>
        <w:tab/>
        <w:t xml:space="preserve">Как можно далее осуществлять реализацию </w:t>
      </w:r>
      <w:hyperlink r:id="rId24" w:history="1">
        <w:r w:rsidRPr="005D4E87">
          <w:rPr>
            <w:rStyle w:val="Hyperlink"/>
            <w:lang w:val="ru-RU"/>
          </w:rPr>
          <w:t>Стратегии устойчивости ООН на период 2020−2030 годов</w:t>
        </w:r>
      </w:hyperlink>
      <w:r w:rsidRPr="005D4E87">
        <w:rPr>
          <w:lang w:val="ru-RU"/>
        </w:rPr>
        <w:t xml:space="preserve"> в контексте ПК? Так, в Стратегии содержится призыв сделать все крупные мероприятия ООН (более 300 участников) устойчивыми и нейтральными в климатическом отношении. В связи с этим: как можно сократить (и компенсировать) выбросы парниковых газов для ПК? </w:t>
      </w:r>
    </w:p>
    <w:p w14:paraId="78B21386" w14:textId="77777777" w:rsidR="005C3973" w:rsidRPr="005D4E87" w:rsidRDefault="005C3973" w:rsidP="00EC73CC">
      <w:pPr>
        <w:pStyle w:val="enumlev1"/>
        <w:rPr>
          <w:lang w:val="ru-RU"/>
        </w:rPr>
      </w:pPr>
      <w:r w:rsidRPr="005D4E87">
        <w:rPr>
          <w:lang w:val="ru-RU"/>
        </w:rPr>
        <w:t>•</w:t>
      </w:r>
      <w:r w:rsidRPr="005D4E87">
        <w:rPr>
          <w:lang w:val="ru-RU"/>
        </w:rPr>
        <w:tab/>
        <w:t>Как можно интегрировать требования устойчивости в соглашение с принимающей страной и в переговоры, учитывая при этом местный контекст?</w:t>
      </w:r>
    </w:p>
    <w:p w14:paraId="66429CBC" w14:textId="062FA52A" w:rsidR="00287E70" w:rsidRPr="005D4E87" w:rsidRDefault="00546B16" w:rsidP="00EC73CC">
      <w:pPr>
        <w:rPr>
          <w:lang w:val="ru-RU"/>
        </w:rPr>
      </w:pPr>
      <w:bookmarkStart w:id="69" w:name="lt_pId110"/>
      <w:r w:rsidRPr="005D4E87">
        <w:rPr>
          <w:lang w:val="ru-RU"/>
        </w:rPr>
        <w:t>Государства-Члены дали высокую оценку</w:t>
      </w:r>
      <w:r w:rsidR="004173C7" w:rsidRPr="005D4E87">
        <w:rPr>
          <w:lang w:val="ru-RU"/>
        </w:rPr>
        <w:t xml:space="preserve"> мерам, принятым для ПК</w:t>
      </w:r>
      <w:r w:rsidR="004173C7" w:rsidRPr="005D4E87">
        <w:rPr>
          <w:lang w:val="ru-RU"/>
        </w:rPr>
        <w:noBreakHyphen/>
        <w:t xml:space="preserve">18, и поддерживают реализацию Стратегии устойчивости ООН на период </w:t>
      </w:r>
      <w:proofErr w:type="gramStart"/>
      <w:r w:rsidR="004173C7" w:rsidRPr="005D4E87">
        <w:rPr>
          <w:lang w:val="ru-RU"/>
        </w:rPr>
        <w:t>2020−2030</w:t>
      </w:r>
      <w:proofErr w:type="gramEnd"/>
      <w:r w:rsidR="004173C7" w:rsidRPr="005D4E87">
        <w:rPr>
          <w:lang w:val="ru-RU"/>
        </w:rPr>
        <w:t> годов в контексте следующей ПК</w:t>
      </w:r>
      <w:r w:rsidR="00287E70" w:rsidRPr="005D4E87">
        <w:rPr>
          <w:lang w:val="ru-RU"/>
        </w:rPr>
        <w:t>.</w:t>
      </w:r>
      <w:bookmarkEnd w:id="69"/>
      <w:r w:rsidR="00287E70" w:rsidRPr="005D4E87">
        <w:rPr>
          <w:lang w:val="ru-RU"/>
        </w:rPr>
        <w:t xml:space="preserve"> </w:t>
      </w:r>
      <w:bookmarkStart w:id="70" w:name="lt_pId111"/>
      <w:r w:rsidR="003F0BE3" w:rsidRPr="005D4E87">
        <w:rPr>
          <w:lang w:val="ru-RU"/>
        </w:rPr>
        <w:t>Предлагаемые меры будут также поддерживать приверженность МСЭ постоянно</w:t>
      </w:r>
      <w:r w:rsidR="00205F50" w:rsidRPr="005D4E87">
        <w:rPr>
          <w:lang w:val="ru-RU"/>
        </w:rPr>
        <w:t>му</w:t>
      </w:r>
      <w:r w:rsidR="003F0BE3" w:rsidRPr="005D4E87">
        <w:rPr>
          <w:lang w:val="ru-RU"/>
        </w:rPr>
        <w:t xml:space="preserve"> совершенствова</w:t>
      </w:r>
      <w:r w:rsidR="00205F50" w:rsidRPr="005D4E87">
        <w:rPr>
          <w:lang w:val="ru-RU"/>
        </w:rPr>
        <w:t>нию</w:t>
      </w:r>
      <w:r w:rsidR="003F0BE3" w:rsidRPr="005D4E87">
        <w:rPr>
          <w:lang w:val="ru-RU"/>
        </w:rPr>
        <w:t xml:space="preserve"> свои</w:t>
      </w:r>
      <w:r w:rsidR="00205F50" w:rsidRPr="005D4E87">
        <w:rPr>
          <w:lang w:val="ru-RU"/>
        </w:rPr>
        <w:t>х</w:t>
      </w:r>
      <w:r w:rsidR="003F0BE3" w:rsidRPr="005D4E87">
        <w:rPr>
          <w:lang w:val="ru-RU"/>
        </w:rPr>
        <w:t xml:space="preserve"> экологически</w:t>
      </w:r>
      <w:r w:rsidR="00205F50" w:rsidRPr="005D4E87">
        <w:rPr>
          <w:lang w:val="ru-RU"/>
        </w:rPr>
        <w:t xml:space="preserve">х </w:t>
      </w:r>
      <w:r w:rsidR="003F0BE3" w:rsidRPr="005D4E87">
        <w:rPr>
          <w:lang w:val="ru-RU"/>
        </w:rPr>
        <w:t>показател</w:t>
      </w:r>
      <w:r w:rsidR="00205F50" w:rsidRPr="005D4E87">
        <w:rPr>
          <w:lang w:val="ru-RU"/>
        </w:rPr>
        <w:t>ей</w:t>
      </w:r>
      <w:r w:rsidR="003F0BE3" w:rsidRPr="005D4E87">
        <w:rPr>
          <w:lang w:val="ru-RU"/>
        </w:rPr>
        <w:t xml:space="preserve">, о чем говорится в </w:t>
      </w:r>
      <w:r w:rsidR="005C3973" w:rsidRPr="005D4E87">
        <w:rPr>
          <w:lang w:val="ru-RU"/>
        </w:rPr>
        <w:t>Заявлени</w:t>
      </w:r>
      <w:r w:rsidR="00AF0CE7" w:rsidRPr="005D4E87">
        <w:rPr>
          <w:lang w:val="ru-RU"/>
        </w:rPr>
        <w:t>и</w:t>
      </w:r>
      <w:r w:rsidR="005C3973" w:rsidRPr="005D4E87">
        <w:rPr>
          <w:lang w:val="ru-RU"/>
        </w:rPr>
        <w:t xml:space="preserve"> МСЭ по экологической устойчивости</w:t>
      </w:r>
      <w:r w:rsidR="00AF0CE7" w:rsidRPr="005D4E87">
        <w:rPr>
          <w:lang w:val="ru-RU"/>
        </w:rPr>
        <w:t xml:space="preserve">, содержащемся </w:t>
      </w:r>
      <w:r w:rsidR="005C3973" w:rsidRPr="005D4E87">
        <w:rPr>
          <w:lang w:val="ru-RU"/>
        </w:rPr>
        <w:t>в Документе</w:t>
      </w:r>
      <w:r w:rsidR="00287E70" w:rsidRPr="005D4E87">
        <w:rPr>
          <w:lang w:val="ru-RU"/>
        </w:rPr>
        <w:t xml:space="preserve"> </w:t>
      </w:r>
      <w:hyperlink r:id="rId25" w:history="1">
        <w:r w:rsidR="00287E70" w:rsidRPr="005D4E87">
          <w:rPr>
            <w:rStyle w:val="Hyperlink"/>
            <w:szCs w:val="24"/>
            <w:lang w:val="ru-RU"/>
          </w:rPr>
          <w:t>C20/INF/5</w:t>
        </w:r>
      </w:hyperlink>
      <w:r w:rsidR="00287E70" w:rsidRPr="005D4E87">
        <w:rPr>
          <w:lang w:val="ru-RU"/>
        </w:rPr>
        <w:t>.</w:t>
      </w:r>
      <w:bookmarkEnd w:id="70"/>
    </w:p>
    <w:p w14:paraId="2483B7AF" w14:textId="51A199A5" w:rsidR="00287E70" w:rsidRPr="005D4E87" w:rsidRDefault="007C6602" w:rsidP="00EC73CC">
      <w:pPr>
        <w:keepNext/>
        <w:rPr>
          <w:u w:val="single"/>
          <w:lang w:val="ru-RU"/>
        </w:rPr>
      </w:pPr>
      <w:bookmarkStart w:id="71" w:name="lt_pId112"/>
      <w:r w:rsidRPr="005D4E87">
        <w:rPr>
          <w:u w:val="single"/>
          <w:lang w:val="ru-RU"/>
        </w:rPr>
        <w:t>Таким образом, на основании ответов предлагается</w:t>
      </w:r>
      <w:r w:rsidR="00287E70" w:rsidRPr="005D4E87">
        <w:rPr>
          <w:lang w:val="ru-RU"/>
        </w:rPr>
        <w:t>:</w:t>
      </w:r>
      <w:bookmarkEnd w:id="71"/>
    </w:p>
    <w:p w14:paraId="6C2A70D0" w14:textId="2779F88D" w:rsidR="00287E70" w:rsidRPr="005D4E87" w:rsidRDefault="005C3973" w:rsidP="00EC73CC">
      <w:pPr>
        <w:pStyle w:val="enumlev1"/>
        <w:rPr>
          <w:lang w:val="ru-RU"/>
        </w:rPr>
      </w:pPr>
      <w:bookmarkStart w:id="72" w:name="lt_pId113"/>
      <w:r w:rsidRPr="005D4E87">
        <w:rPr>
          <w:lang w:val="ru-RU"/>
        </w:rPr>
        <w:t>−</w:t>
      </w:r>
      <w:r w:rsidRPr="005D4E87">
        <w:rPr>
          <w:lang w:val="ru-RU"/>
        </w:rPr>
        <w:tab/>
      </w:r>
      <w:r w:rsidR="007C6602" w:rsidRPr="005D4E87">
        <w:rPr>
          <w:lang w:val="ru-RU"/>
        </w:rPr>
        <w:t>Рассмотреть возможность проведения полностью безбумажной конференции, в том числе, по мере возможности, и для устных переводчиков</w:t>
      </w:r>
      <w:r w:rsidR="00287E70" w:rsidRPr="005D4E87">
        <w:rPr>
          <w:lang w:val="ru-RU"/>
        </w:rPr>
        <w:t>.</w:t>
      </w:r>
      <w:bookmarkEnd w:id="72"/>
    </w:p>
    <w:p w14:paraId="3336DD44" w14:textId="7CB2EF6F" w:rsidR="00287E70" w:rsidRPr="005D4E87" w:rsidRDefault="005C3973" w:rsidP="00EC73CC">
      <w:pPr>
        <w:pStyle w:val="enumlev1"/>
        <w:rPr>
          <w:lang w:val="ru-RU"/>
        </w:rPr>
      </w:pPr>
      <w:bookmarkStart w:id="73" w:name="lt_pId114"/>
      <w:r w:rsidRPr="005D4E87">
        <w:rPr>
          <w:lang w:val="ru-RU"/>
        </w:rPr>
        <w:t>−</w:t>
      </w:r>
      <w:r w:rsidRPr="005D4E87">
        <w:rPr>
          <w:lang w:val="ru-RU"/>
        </w:rPr>
        <w:tab/>
      </w:r>
      <w:r w:rsidR="007C6602" w:rsidRPr="005D4E87">
        <w:rPr>
          <w:lang w:val="ru-RU"/>
        </w:rPr>
        <w:t>Включить в Соглашение с принимающей страной раздел, посвященный "зеленой конференции"</w:t>
      </w:r>
      <w:r w:rsidR="00287E70" w:rsidRPr="005D4E87">
        <w:rPr>
          <w:lang w:val="ru-RU"/>
        </w:rPr>
        <w:t>.</w:t>
      </w:r>
      <w:bookmarkEnd w:id="73"/>
      <w:r w:rsidR="00287E70" w:rsidRPr="005D4E87">
        <w:rPr>
          <w:lang w:val="ru-RU"/>
        </w:rPr>
        <w:t xml:space="preserve"> </w:t>
      </w:r>
      <w:bookmarkStart w:id="74" w:name="lt_pId115"/>
      <w:r w:rsidR="007C6602" w:rsidRPr="005D4E87">
        <w:rPr>
          <w:lang w:val="ru-RU"/>
        </w:rPr>
        <w:t>В этом разделе будет указываться, что может сделать принимающая страна для реализации Стратегии устойчивости ООН на период до 2030 год</w:t>
      </w:r>
      <w:r w:rsidR="00DA67EB" w:rsidRPr="005D4E87">
        <w:rPr>
          <w:lang w:val="ru-RU"/>
        </w:rPr>
        <w:t>а</w:t>
      </w:r>
      <w:r w:rsidR="00287E70" w:rsidRPr="005D4E87">
        <w:rPr>
          <w:lang w:val="ru-RU"/>
        </w:rPr>
        <w:t>.</w:t>
      </w:r>
      <w:bookmarkEnd w:id="74"/>
      <w:r w:rsidR="00287E70" w:rsidRPr="005D4E87">
        <w:rPr>
          <w:lang w:val="ru-RU"/>
        </w:rPr>
        <w:t xml:space="preserve"> </w:t>
      </w:r>
      <w:bookmarkStart w:id="75" w:name="lt_pId116"/>
      <w:r w:rsidR="00DA67EB" w:rsidRPr="005D4E87">
        <w:rPr>
          <w:lang w:val="ru-RU"/>
        </w:rPr>
        <w:t>Принимающая страна может компенсировать выбросы или рассмотреть вопрос об участии в программе сертификации</w:t>
      </w:r>
      <w:r w:rsidR="00287E70" w:rsidRPr="005D4E87">
        <w:rPr>
          <w:lang w:val="ru-RU"/>
        </w:rPr>
        <w:t xml:space="preserve"> (</w:t>
      </w:r>
      <w:r w:rsidR="00DA67EB" w:rsidRPr="005D4E87">
        <w:rPr>
          <w:lang w:val="ru-RU"/>
        </w:rPr>
        <w:t>такой</w:t>
      </w:r>
      <w:r w:rsidR="00EC73CC" w:rsidRPr="005D4E87">
        <w:rPr>
          <w:lang w:val="ru-RU"/>
        </w:rPr>
        <w:t>,</w:t>
      </w:r>
      <w:r w:rsidR="00DA67EB" w:rsidRPr="005D4E87">
        <w:rPr>
          <w:lang w:val="ru-RU"/>
        </w:rPr>
        <w:t xml:space="preserve"> как стандарт</w:t>
      </w:r>
      <w:r w:rsidR="00287E70" w:rsidRPr="005D4E87">
        <w:rPr>
          <w:lang w:val="ru-RU"/>
        </w:rPr>
        <w:t xml:space="preserve"> ISO 20121) </w:t>
      </w:r>
      <w:r w:rsidR="00DA67EB" w:rsidRPr="005D4E87">
        <w:rPr>
          <w:lang w:val="ru-RU"/>
        </w:rPr>
        <w:t>для конференции</w:t>
      </w:r>
      <w:r w:rsidR="00287E70" w:rsidRPr="005D4E87">
        <w:rPr>
          <w:lang w:val="ru-RU"/>
        </w:rPr>
        <w:t>.</w:t>
      </w:r>
      <w:bookmarkEnd w:id="75"/>
    </w:p>
    <w:p w14:paraId="5AD33D5D" w14:textId="0F48030B" w:rsidR="00287E70" w:rsidRPr="005D4E87" w:rsidRDefault="005C3973" w:rsidP="00EC73CC">
      <w:pPr>
        <w:pStyle w:val="enumlev1"/>
        <w:rPr>
          <w:lang w:val="ru-RU"/>
        </w:rPr>
      </w:pPr>
      <w:bookmarkStart w:id="76" w:name="lt_pId117"/>
      <w:r w:rsidRPr="005D4E87">
        <w:rPr>
          <w:lang w:val="ru-RU"/>
        </w:rPr>
        <w:t>−</w:t>
      </w:r>
      <w:r w:rsidRPr="005D4E87">
        <w:rPr>
          <w:lang w:val="ru-RU"/>
        </w:rPr>
        <w:tab/>
      </w:r>
      <w:r w:rsidR="00224CAF" w:rsidRPr="005D4E87">
        <w:rPr>
          <w:lang w:val="ru-RU"/>
        </w:rPr>
        <w:t xml:space="preserve">Измерять </w:t>
      </w:r>
      <w:r w:rsidR="0024286F" w:rsidRPr="005D4E87">
        <w:rPr>
          <w:lang w:val="ru-RU"/>
        </w:rPr>
        <w:t xml:space="preserve">по мере возможности </w:t>
      </w:r>
      <w:r w:rsidR="00224CAF" w:rsidRPr="005D4E87">
        <w:rPr>
          <w:lang w:val="ru-RU"/>
        </w:rPr>
        <w:t>выбросы парниковых газов на ПК</w:t>
      </w:r>
      <w:r w:rsidR="00224CAF" w:rsidRPr="005D4E87">
        <w:rPr>
          <w:lang w:val="ru-RU"/>
        </w:rPr>
        <w:noBreakHyphen/>
        <w:t>22 по сравнению с ПК</w:t>
      </w:r>
      <w:r w:rsidR="00224CAF" w:rsidRPr="005D4E87">
        <w:rPr>
          <w:lang w:val="ru-RU"/>
        </w:rPr>
        <w:noBreakHyphen/>
        <w:t>18</w:t>
      </w:r>
      <w:r w:rsidR="00287E70" w:rsidRPr="005D4E87">
        <w:rPr>
          <w:lang w:val="ru-RU"/>
        </w:rPr>
        <w:t xml:space="preserve">, </w:t>
      </w:r>
      <w:r w:rsidR="0024286F" w:rsidRPr="005D4E87">
        <w:rPr>
          <w:lang w:val="ru-RU"/>
        </w:rPr>
        <w:t xml:space="preserve">компенсировать выбросы по мере возможности (в зависимости от спонсорской помощи) и установить </w:t>
      </w:r>
      <w:r w:rsidR="00287E70" w:rsidRPr="005D4E87">
        <w:rPr>
          <w:lang w:val="ru-RU"/>
        </w:rPr>
        <w:t>KPI</w:t>
      </w:r>
      <w:r w:rsidR="0024286F" w:rsidRPr="005D4E87">
        <w:rPr>
          <w:lang w:val="ru-RU"/>
        </w:rPr>
        <w:t xml:space="preserve"> для сокращения выбросов будущих ПК</w:t>
      </w:r>
      <w:r w:rsidR="00287E70" w:rsidRPr="005D4E87">
        <w:rPr>
          <w:lang w:val="ru-RU"/>
        </w:rPr>
        <w:t>.</w:t>
      </w:r>
      <w:bookmarkEnd w:id="76"/>
    </w:p>
    <w:p w14:paraId="74E5F372" w14:textId="465192BE" w:rsidR="00287E70" w:rsidRPr="005D4E87" w:rsidRDefault="005C3973" w:rsidP="00EC73CC">
      <w:pPr>
        <w:pStyle w:val="enumlev1"/>
        <w:rPr>
          <w:lang w:val="ru-RU"/>
        </w:rPr>
      </w:pPr>
      <w:bookmarkStart w:id="77" w:name="lt_pId118"/>
      <w:r w:rsidRPr="005D4E87">
        <w:rPr>
          <w:lang w:val="ru-RU"/>
        </w:rPr>
        <w:t>−</w:t>
      </w:r>
      <w:r w:rsidRPr="005D4E87">
        <w:rPr>
          <w:lang w:val="ru-RU"/>
        </w:rPr>
        <w:tab/>
      </w:r>
      <w:r w:rsidR="006970C0" w:rsidRPr="005D4E87">
        <w:rPr>
          <w:lang w:val="ru-RU"/>
        </w:rPr>
        <w:t>В соглашени</w:t>
      </w:r>
      <w:r w:rsidR="00205F50" w:rsidRPr="005D4E87">
        <w:rPr>
          <w:lang w:val="ru-RU"/>
        </w:rPr>
        <w:t>е</w:t>
      </w:r>
      <w:r w:rsidR="006970C0" w:rsidRPr="005D4E87">
        <w:rPr>
          <w:lang w:val="ru-RU"/>
        </w:rPr>
        <w:t xml:space="preserve"> с принимающей страной можно было бы включить ряд мер/принципов </w:t>
      </w:r>
      <w:r w:rsidR="00370336" w:rsidRPr="005D4E87">
        <w:rPr>
          <w:lang w:val="ru-RU"/>
        </w:rPr>
        <w:t xml:space="preserve">для </w:t>
      </w:r>
      <w:r w:rsidR="00427AD2" w:rsidRPr="005D4E87">
        <w:rPr>
          <w:lang w:val="ru-RU"/>
        </w:rPr>
        <w:t xml:space="preserve">максимального </w:t>
      </w:r>
      <w:r w:rsidR="00370336" w:rsidRPr="005D4E87">
        <w:rPr>
          <w:lang w:val="ru-RU"/>
        </w:rPr>
        <w:t>сокращения воздействия на окружающую среду</w:t>
      </w:r>
      <w:r w:rsidR="00427AD2" w:rsidRPr="005D4E87">
        <w:rPr>
          <w:lang w:val="ru-RU"/>
        </w:rPr>
        <w:t>, таких как проведение полностью безбумажных конференций</w:t>
      </w:r>
      <w:r w:rsidR="00287E70" w:rsidRPr="005D4E87">
        <w:rPr>
          <w:lang w:val="ru-RU"/>
        </w:rPr>
        <w:t>;</w:t>
      </w:r>
      <w:r w:rsidR="00427AD2" w:rsidRPr="005D4E87">
        <w:rPr>
          <w:lang w:val="ru-RU"/>
        </w:rPr>
        <w:t xml:space="preserve"> сокращение использования одноразовых пластиковых материалов, в том числе на всех приемах</w:t>
      </w:r>
      <w:r w:rsidR="00287E70" w:rsidRPr="005D4E87">
        <w:rPr>
          <w:lang w:val="ru-RU"/>
        </w:rPr>
        <w:t xml:space="preserve">; </w:t>
      </w:r>
      <w:r w:rsidR="00427AD2" w:rsidRPr="005D4E87">
        <w:rPr>
          <w:lang w:val="ru-RU"/>
        </w:rPr>
        <w:t xml:space="preserve">сортировка и утилизация отходов на протяжении всего времени проведения конференции, от строительства до </w:t>
      </w:r>
      <w:r w:rsidR="00205F50" w:rsidRPr="005D4E87">
        <w:rPr>
          <w:lang w:val="ru-RU"/>
        </w:rPr>
        <w:t>демонтажа</w:t>
      </w:r>
      <w:r w:rsidR="00287E70" w:rsidRPr="005D4E87">
        <w:rPr>
          <w:lang w:val="ru-RU"/>
        </w:rPr>
        <w:t xml:space="preserve">, </w:t>
      </w:r>
      <w:r w:rsidR="00427AD2" w:rsidRPr="005D4E87">
        <w:rPr>
          <w:lang w:val="ru-RU"/>
        </w:rPr>
        <w:t xml:space="preserve">включая утилизацию информационно-пропагандистских материалов, остающихся после </w:t>
      </w:r>
      <w:r w:rsidR="00BF6CC1" w:rsidRPr="005D4E87">
        <w:rPr>
          <w:lang w:val="ru-RU"/>
        </w:rPr>
        <w:t>мероприятия</w:t>
      </w:r>
      <w:r w:rsidR="00287E70" w:rsidRPr="005D4E87">
        <w:rPr>
          <w:lang w:val="ru-RU"/>
        </w:rPr>
        <w:t xml:space="preserve">; </w:t>
      </w:r>
      <w:r w:rsidR="00BF6CC1" w:rsidRPr="005D4E87">
        <w:rPr>
          <w:lang w:val="ru-RU"/>
        </w:rPr>
        <w:t>меры по сокращению потребления воды</w:t>
      </w:r>
      <w:r w:rsidR="00287E70" w:rsidRPr="005D4E87">
        <w:rPr>
          <w:lang w:val="ru-RU"/>
        </w:rPr>
        <w:t xml:space="preserve">; </w:t>
      </w:r>
      <w:r w:rsidR="00BF6CC1" w:rsidRPr="005D4E87">
        <w:rPr>
          <w:lang w:val="ru-RU"/>
        </w:rPr>
        <w:t>меры повышения энергоэффективности, в частности в отношении систем кондиционирования воздуха</w:t>
      </w:r>
      <w:r w:rsidR="00287E70" w:rsidRPr="005D4E87">
        <w:rPr>
          <w:lang w:val="ru-RU"/>
        </w:rPr>
        <w:t xml:space="preserve">; </w:t>
      </w:r>
      <w:r w:rsidR="00C866D0" w:rsidRPr="005D4E87">
        <w:rPr>
          <w:lang w:val="ru-RU"/>
        </w:rPr>
        <w:t xml:space="preserve">выбор </w:t>
      </w:r>
      <w:r w:rsidR="00413A8B" w:rsidRPr="005D4E87">
        <w:rPr>
          <w:lang w:val="ru-RU"/>
        </w:rPr>
        <w:t>экологически безвредных видов транспорта</w:t>
      </w:r>
      <w:r w:rsidR="00287E70" w:rsidRPr="005D4E87">
        <w:rPr>
          <w:lang w:val="ru-RU"/>
        </w:rPr>
        <w:t xml:space="preserve">; </w:t>
      </w:r>
      <w:r w:rsidR="00413A8B" w:rsidRPr="005D4E87">
        <w:rPr>
          <w:lang w:val="ru-RU"/>
        </w:rPr>
        <w:t xml:space="preserve">выбор приемлемых в ценовом отношении гостиниц на расстоянии пешей ходьбы </w:t>
      </w:r>
      <w:r w:rsidR="00205F50" w:rsidRPr="005D4E87">
        <w:rPr>
          <w:lang w:val="ru-RU"/>
        </w:rPr>
        <w:t>до</w:t>
      </w:r>
      <w:r w:rsidR="00413A8B" w:rsidRPr="005D4E87">
        <w:rPr>
          <w:lang w:val="ru-RU"/>
        </w:rPr>
        <w:t xml:space="preserve"> места проведения конференции или до остановки общественного транспорта, которые следуют практике устойчивого управления</w:t>
      </w:r>
      <w:r w:rsidR="00287E70" w:rsidRPr="005D4E87">
        <w:rPr>
          <w:lang w:val="ru-RU"/>
        </w:rPr>
        <w:t xml:space="preserve"> (</w:t>
      </w:r>
      <w:r w:rsidR="00522CFA" w:rsidRPr="005D4E87">
        <w:rPr>
          <w:lang w:val="ru-RU"/>
        </w:rPr>
        <w:t>экологически ответственные гостиницы</w:t>
      </w:r>
      <w:r w:rsidR="00287E70" w:rsidRPr="005D4E87">
        <w:rPr>
          <w:lang w:val="ru-RU"/>
        </w:rPr>
        <w:t xml:space="preserve">); </w:t>
      </w:r>
      <w:r w:rsidR="00522CFA" w:rsidRPr="005D4E87">
        <w:rPr>
          <w:lang w:val="ru-RU"/>
        </w:rPr>
        <w:t>устойчивые закупки, включая организацию питания</w:t>
      </w:r>
      <w:r w:rsidR="00287E70" w:rsidRPr="005D4E87">
        <w:rPr>
          <w:lang w:val="ru-RU"/>
        </w:rPr>
        <w:t xml:space="preserve">; </w:t>
      </w:r>
      <w:r w:rsidR="00522CFA" w:rsidRPr="005D4E87">
        <w:rPr>
          <w:lang w:val="ru-RU"/>
        </w:rPr>
        <w:t>и "зеленые" меры относительно выдачи пропусков</w:t>
      </w:r>
      <w:r w:rsidR="00287E70" w:rsidRPr="005D4E87">
        <w:rPr>
          <w:lang w:val="ru-RU"/>
        </w:rPr>
        <w:t xml:space="preserve"> (</w:t>
      </w:r>
      <w:r w:rsidR="00522CFA" w:rsidRPr="005D4E87">
        <w:rPr>
          <w:lang w:val="ru-RU"/>
        </w:rPr>
        <w:t>повторное использование голубых лент МСЭ для пропусков, полученных на предыдущих мероприятиях</w:t>
      </w:r>
      <w:r w:rsidR="00287E70" w:rsidRPr="005D4E87">
        <w:rPr>
          <w:lang w:val="ru-RU"/>
        </w:rPr>
        <w:t xml:space="preserve">; </w:t>
      </w:r>
      <w:r w:rsidR="00522CFA" w:rsidRPr="005D4E87">
        <w:rPr>
          <w:lang w:val="ru-RU"/>
        </w:rPr>
        <w:t xml:space="preserve">выдача электронных пропусков или варианты постоянных пропусков (как на мероприятиях, проводимых Ассоциацией </w:t>
      </w:r>
      <w:r w:rsidR="00287E70" w:rsidRPr="005D4E87">
        <w:rPr>
          <w:lang w:val="ru-RU"/>
        </w:rPr>
        <w:t>GSM)).</w:t>
      </w:r>
      <w:bookmarkEnd w:id="77"/>
    </w:p>
    <w:p w14:paraId="34B95460" w14:textId="501A1739" w:rsidR="00287E70" w:rsidRPr="005D4E87" w:rsidRDefault="00522CFA" w:rsidP="00EC73CC">
      <w:pPr>
        <w:rPr>
          <w:lang w:val="ru-RU"/>
        </w:rPr>
      </w:pPr>
      <w:bookmarkStart w:id="78" w:name="lt_pId119"/>
      <w:r w:rsidRPr="005D4E87">
        <w:rPr>
          <w:lang w:val="ru-RU"/>
        </w:rPr>
        <w:lastRenderedPageBreak/>
        <w:t>Принимающая страна должна сообщать МСЭ, какие меры можно принять на основании местных условий</w:t>
      </w:r>
      <w:r w:rsidR="00205F50" w:rsidRPr="005D4E87">
        <w:rPr>
          <w:lang w:val="ru-RU"/>
        </w:rPr>
        <w:t>,</w:t>
      </w:r>
      <w:r w:rsidRPr="005D4E87">
        <w:rPr>
          <w:lang w:val="ru-RU"/>
        </w:rPr>
        <w:t xml:space="preserve"> и может определять дополнительные действия для решения основных проблем устойчивости для данной местности</w:t>
      </w:r>
      <w:r w:rsidR="00287E70" w:rsidRPr="005D4E87">
        <w:rPr>
          <w:lang w:val="ru-RU"/>
        </w:rPr>
        <w:t>.</w:t>
      </w:r>
      <w:bookmarkEnd w:id="78"/>
      <w:r w:rsidR="00287E70" w:rsidRPr="005D4E87">
        <w:rPr>
          <w:lang w:val="ru-RU"/>
        </w:rPr>
        <w:t xml:space="preserve"> </w:t>
      </w:r>
      <w:bookmarkStart w:id="79" w:name="lt_pId120"/>
      <w:r w:rsidR="00B83B12" w:rsidRPr="005D4E87">
        <w:rPr>
          <w:lang w:val="ru-RU"/>
        </w:rPr>
        <w:t>Меры, принимаемые для проведения более "зеленой" ПК</w:t>
      </w:r>
      <w:r w:rsidR="00205F50" w:rsidRPr="005D4E87">
        <w:rPr>
          <w:lang w:val="ru-RU"/>
        </w:rPr>
        <w:t>,</w:t>
      </w:r>
      <w:r w:rsidR="00B83B12" w:rsidRPr="005D4E87">
        <w:rPr>
          <w:lang w:val="ru-RU"/>
        </w:rPr>
        <w:t xml:space="preserve"> следует четко разъяснять на веб-сайтах ПК и принимающей страны</w:t>
      </w:r>
      <w:r w:rsidR="00287E70" w:rsidRPr="005D4E87">
        <w:rPr>
          <w:lang w:val="ru-RU"/>
        </w:rPr>
        <w:t xml:space="preserve">, </w:t>
      </w:r>
      <w:r w:rsidR="00B83B12" w:rsidRPr="005D4E87">
        <w:rPr>
          <w:lang w:val="ru-RU"/>
        </w:rPr>
        <w:t>и следует указывать, что могут сделать участники для проведения более "зеленого" мероприятия</w:t>
      </w:r>
      <w:r w:rsidR="00287E70" w:rsidRPr="005D4E87">
        <w:rPr>
          <w:lang w:val="ru-RU"/>
        </w:rPr>
        <w:t>.</w:t>
      </w:r>
      <w:bookmarkEnd w:id="79"/>
    </w:p>
    <w:p w14:paraId="44E6B95F" w14:textId="14AB51AD" w:rsidR="00287E70" w:rsidRPr="005D4E87" w:rsidRDefault="009E6473" w:rsidP="00EC73CC">
      <w:pPr>
        <w:rPr>
          <w:lang w:val="ru-RU"/>
        </w:rPr>
      </w:pPr>
      <w:bookmarkStart w:id="80" w:name="lt_pId121"/>
      <w:r w:rsidRPr="005D4E87">
        <w:rPr>
          <w:lang w:val="ru-RU"/>
        </w:rPr>
        <w:t>Можно сократить выбросы от передвижений, если участники будут выбирать надлежащие и современные средства передвижения (например, выбирая кратчайшие маршруты к месту проведения конференции</w:t>
      </w:r>
      <w:r w:rsidR="00287E70" w:rsidRPr="005D4E87">
        <w:rPr>
          <w:lang w:val="ru-RU"/>
        </w:rPr>
        <w:t>).</w:t>
      </w:r>
      <w:bookmarkEnd w:id="80"/>
    </w:p>
    <w:p w14:paraId="62624AD3" w14:textId="7BE2BCF6" w:rsidR="00287E70" w:rsidRPr="005D4E87" w:rsidRDefault="00287E70" w:rsidP="00EC73CC">
      <w:pPr>
        <w:pStyle w:val="Heading1"/>
        <w:rPr>
          <w:lang w:val="ru-RU"/>
        </w:rPr>
      </w:pPr>
      <w:bookmarkStart w:id="81" w:name="lt_pId122"/>
      <w:r w:rsidRPr="005D4E87">
        <w:rPr>
          <w:lang w:val="ru-RU"/>
        </w:rPr>
        <w:t>V</w:t>
      </w:r>
      <w:bookmarkEnd w:id="81"/>
      <w:r w:rsidRPr="005D4E87">
        <w:rPr>
          <w:lang w:val="ru-RU"/>
        </w:rPr>
        <w:tab/>
      </w:r>
      <w:r w:rsidR="00EE4886" w:rsidRPr="005D4E87">
        <w:rPr>
          <w:lang w:val="ru-RU"/>
        </w:rPr>
        <w:t>Другие предложения</w:t>
      </w:r>
    </w:p>
    <w:p w14:paraId="1CDC434E" w14:textId="3AB41B04" w:rsidR="00287E70" w:rsidRPr="005D4E87" w:rsidRDefault="009E6473" w:rsidP="00EC73CC">
      <w:pPr>
        <w:rPr>
          <w:lang w:val="ru-RU"/>
        </w:rPr>
      </w:pPr>
      <w:bookmarkStart w:id="82" w:name="lt_pId124"/>
      <w:r w:rsidRPr="005D4E87">
        <w:rPr>
          <w:lang w:val="ru-RU"/>
        </w:rPr>
        <w:t>ПК</w:t>
      </w:r>
      <w:r w:rsidR="00287E70" w:rsidRPr="005D4E87">
        <w:rPr>
          <w:lang w:val="ru-RU"/>
        </w:rPr>
        <w:t>-2</w:t>
      </w:r>
      <w:r w:rsidR="00CF73BC" w:rsidRPr="005D4E87">
        <w:rPr>
          <w:lang w:val="ru-RU"/>
        </w:rPr>
        <w:t>2</w:t>
      </w:r>
      <w:r w:rsidR="00287E70" w:rsidRPr="005D4E87">
        <w:rPr>
          <w:lang w:val="ru-RU"/>
        </w:rPr>
        <w:t xml:space="preserve"> </w:t>
      </w:r>
      <w:r w:rsidR="007503FA" w:rsidRPr="005D4E87">
        <w:rPr>
          <w:lang w:val="ru-RU"/>
        </w:rPr>
        <w:t>следует принять дополнительные меры для реализации повестки дня гендерного равенства, учитывая работу, уже проводимую МСЭ в рамках Международной сети борцов за гендерное равенство, для превращения конференции в мероприятие, в полной мере учитывающее гендерные аспекты</w:t>
      </w:r>
      <w:r w:rsidR="00287E70" w:rsidRPr="005D4E87">
        <w:rPr>
          <w:lang w:val="ru-RU"/>
        </w:rPr>
        <w:t>.</w:t>
      </w:r>
      <w:bookmarkEnd w:id="82"/>
      <w:r w:rsidR="00287E70" w:rsidRPr="005D4E87">
        <w:rPr>
          <w:lang w:val="ru-RU"/>
        </w:rPr>
        <w:t xml:space="preserve"> </w:t>
      </w:r>
      <w:bookmarkStart w:id="83" w:name="lt_pId125"/>
      <w:r w:rsidR="007503FA" w:rsidRPr="005D4E87">
        <w:rPr>
          <w:lang w:val="ru-RU"/>
        </w:rPr>
        <w:t>Можно также рассмотреть возможность применения</w:t>
      </w:r>
      <w:r w:rsidR="001A5FA2" w:rsidRPr="005D4E87">
        <w:rPr>
          <w:lang w:val="ru-RU"/>
        </w:rPr>
        <w:t xml:space="preserve"> маркировки, такой как маркировка равенства Группы семи, предназначенная специально для крупных мероприятий и имеющая целью обеспечение полномасштабного гендерного равенства, не только в программе мероприятия, но и в его организации</w:t>
      </w:r>
      <w:r w:rsidR="00287E70" w:rsidRPr="005D4E87">
        <w:rPr>
          <w:lang w:val="ru-RU"/>
        </w:rPr>
        <w:t>.</w:t>
      </w:r>
      <w:bookmarkEnd w:id="83"/>
      <w:r w:rsidR="00287E70" w:rsidRPr="005D4E87">
        <w:rPr>
          <w:lang w:val="ru-RU"/>
        </w:rPr>
        <w:t xml:space="preserve"> </w:t>
      </w:r>
      <w:bookmarkStart w:id="84" w:name="lt_pId126"/>
      <w:r w:rsidR="001A5FA2" w:rsidRPr="005D4E87">
        <w:rPr>
          <w:lang w:val="ru-RU"/>
        </w:rPr>
        <w:t>Наряду с этим, опираясь на опыт ВКР</w:t>
      </w:r>
      <w:r w:rsidR="001A5FA2" w:rsidRPr="005D4E87">
        <w:rPr>
          <w:lang w:val="ru-RU"/>
        </w:rPr>
        <w:noBreakHyphen/>
        <w:t xml:space="preserve">19, можно организовать </w:t>
      </w:r>
      <w:hyperlink r:id="rId26" w:history="1">
        <w:r w:rsidR="001A5FA2" w:rsidRPr="005D4E87">
          <w:rPr>
            <w:rStyle w:val="Hyperlink"/>
            <w:lang w:val="ru-RU"/>
          </w:rPr>
          <w:t>программу наставничества</w:t>
        </w:r>
      </w:hyperlink>
      <w:r w:rsidR="001A5FA2" w:rsidRPr="005D4E87">
        <w:rPr>
          <w:lang w:val="ru-RU"/>
        </w:rPr>
        <w:t xml:space="preserve"> для поощрения участия женщин</w:t>
      </w:r>
      <w:r w:rsidR="00287E70" w:rsidRPr="005D4E87">
        <w:rPr>
          <w:lang w:val="ru-RU"/>
        </w:rPr>
        <w:t>.</w:t>
      </w:r>
      <w:bookmarkEnd w:id="84"/>
    </w:p>
    <w:p w14:paraId="490ED317" w14:textId="37AA894B" w:rsidR="00287E70" w:rsidRPr="005D4E87" w:rsidRDefault="00E63978" w:rsidP="00EC73CC">
      <w:pPr>
        <w:rPr>
          <w:lang w:val="ru-RU"/>
        </w:rPr>
      </w:pPr>
      <w:bookmarkStart w:id="85" w:name="lt_pId127"/>
      <w:r w:rsidRPr="005D4E87">
        <w:rPr>
          <w:lang w:val="ru-RU"/>
        </w:rPr>
        <w:t>Секретариат также принял к сведению такие предложения Государств-Членов по совершенствованию конференции и сокращению ее продолжительности</w:t>
      </w:r>
      <w:r w:rsidR="00287E70" w:rsidRPr="005D4E87">
        <w:rPr>
          <w:lang w:val="ru-RU"/>
        </w:rPr>
        <w:t>:</w:t>
      </w:r>
      <w:bookmarkEnd w:id="85"/>
    </w:p>
    <w:p w14:paraId="58C4E555" w14:textId="02764E62" w:rsidR="00287E70" w:rsidRPr="005D4E87" w:rsidRDefault="005C3973" w:rsidP="00EC73CC">
      <w:pPr>
        <w:pStyle w:val="enumlev1"/>
        <w:rPr>
          <w:lang w:val="ru-RU"/>
        </w:rPr>
      </w:pPr>
      <w:bookmarkStart w:id="86" w:name="lt_pId128"/>
      <w:r w:rsidRPr="005D4E87">
        <w:rPr>
          <w:lang w:val="ru-RU"/>
        </w:rPr>
        <w:t>•</w:t>
      </w:r>
      <w:r w:rsidRPr="005D4E87">
        <w:rPr>
          <w:lang w:val="ru-RU"/>
        </w:rPr>
        <w:tab/>
      </w:r>
      <w:r w:rsidR="003C050E" w:rsidRPr="005D4E87">
        <w:rPr>
          <w:lang w:val="ru-RU"/>
        </w:rPr>
        <w:t>Следует в качестве сопутствующего мероприятия организовать неделю на уровне министров</w:t>
      </w:r>
      <w:r w:rsidR="00557498" w:rsidRPr="005D4E87">
        <w:rPr>
          <w:lang w:val="ru-RU"/>
        </w:rPr>
        <w:t>, представить отчет о ее результатах пленарному заседанию и включить это мероприятие в официальную повестку дня конференции</w:t>
      </w:r>
      <w:r w:rsidR="00287E70" w:rsidRPr="005D4E87">
        <w:rPr>
          <w:lang w:val="ru-RU"/>
        </w:rPr>
        <w:t>.</w:t>
      </w:r>
      <w:bookmarkEnd w:id="86"/>
    </w:p>
    <w:p w14:paraId="149ECEC4" w14:textId="58105CB6" w:rsidR="00287E70" w:rsidRPr="005D4E87" w:rsidRDefault="005C3973" w:rsidP="00EC73CC">
      <w:pPr>
        <w:pStyle w:val="enumlev1"/>
        <w:rPr>
          <w:lang w:val="ru-RU"/>
        </w:rPr>
      </w:pPr>
      <w:bookmarkStart w:id="87" w:name="lt_pId129"/>
      <w:r w:rsidRPr="005D4E87">
        <w:rPr>
          <w:lang w:val="ru-RU"/>
        </w:rPr>
        <w:t>•</w:t>
      </w:r>
      <w:r w:rsidRPr="005D4E87">
        <w:rPr>
          <w:lang w:val="ru-RU"/>
        </w:rPr>
        <w:tab/>
      </w:r>
      <w:r w:rsidR="00557498" w:rsidRPr="005D4E87">
        <w:rPr>
          <w:lang w:val="ru-RU"/>
        </w:rPr>
        <w:t>Следует улучшить предоставляемые услуги</w:t>
      </w:r>
      <w:r w:rsidR="00EE4886" w:rsidRPr="005D4E87">
        <w:rPr>
          <w:lang w:val="ru-RU"/>
        </w:rPr>
        <w:t>, с тем чтобы сделать мероприятие более привлекательным для министров: помещения для двусторонних переговоров, возможности использования СМИ, объявление проектов, встречи с молодыми политическими лидерами, возможности выступить на ряде сопутствующих мероприятий и т. д.</w:t>
      </w:r>
      <w:bookmarkEnd w:id="87"/>
    </w:p>
    <w:p w14:paraId="2B6EE35C" w14:textId="4D576228" w:rsidR="00287E70" w:rsidRPr="005D4E87" w:rsidRDefault="005C3973" w:rsidP="00EC73CC">
      <w:pPr>
        <w:pStyle w:val="enumlev1"/>
        <w:rPr>
          <w:lang w:val="ru-RU"/>
        </w:rPr>
      </w:pPr>
      <w:bookmarkStart w:id="88" w:name="lt_pId130"/>
      <w:r w:rsidRPr="005D4E87">
        <w:rPr>
          <w:lang w:val="ru-RU"/>
        </w:rPr>
        <w:t>•</w:t>
      </w:r>
      <w:r w:rsidRPr="005D4E87">
        <w:rPr>
          <w:lang w:val="ru-RU"/>
        </w:rPr>
        <w:tab/>
      </w:r>
      <w:r w:rsidR="00557498" w:rsidRPr="005D4E87">
        <w:rPr>
          <w:lang w:val="ru-RU"/>
        </w:rPr>
        <w:t>Следует отказаться от двух дней сессий, посвященных речам и заявлениям</w:t>
      </w:r>
      <w:r w:rsidR="00287E70" w:rsidRPr="005D4E87">
        <w:rPr>
          <w:lang w:val="ru-RU"/>
        </w:rPr>
        <w:t>.</w:t>
      </w:r>
      <w:bookmarkEnd w:id="88"/>
      <w:r w:rsidR="00287E70" w:rsidRPr="005D4E87">
        <w:rPr>
          <w:lang w:val="ru-RU"/>
        </w:rPr>
        <w:t xml:space="preserve"> </w:t>
      </w:r>
      <w:bookmarkStart w:id="89" w:name="lt_pId131"/>
      <w:r w:rsidR="00557498" w:rsidRPr="005D4E87">
        <w:rPr>
          <w:lang w:val="ru-RU"/>
        </w:rPr>
        <w:t>Тексты могут направляться в электронном формате и размещаться на веб-сайте ПК МСЭ для внимательного и своевременного изучения</w:t>
      </w:r>
      <w:r w:rsidR="00287E70" w:rsidRPr="005D4E87">
        <w:rPr>
          <w:lang w:val="ru-RU"/>
        </w:rPr>
        <w:t>.</w:t>
      </w:r>
      <w:bookmarkEnd w:id="89"/>
    </w:p>
    <w:p w14:paraId="58151610" w14:textId="4478629B" w:rsidR="00287E70" w:rsidRPr="005D4E87" w:rsidRDefault="005C3973" w:rsidP="00EC73CC">
      <w:pPr>
        <w:pStyle w:val="enumlev1"/>
        <w:rPr>
          <w:lang w:val="ru-RU"/>
        </w:rPr>
      </w:pPr>
      <w:bookmarkStart w:id="90" w:name="lt_pId132"/>
      <w:r w:rsidRPr="005D4E87">
        <w:rPr>
          <w:lang w:val="ru-RU"/>
        </w:rPr>
        <w:t>•</w:t>
      </w:r>
      <w:r w:rsidRPr="005D4E87">
        <w:rPr>
          <w:lang w:val="ru-RU"/>
        </w:rPr>
        <w:tab/>
      </w:r>
      <w:r w:rsidR="00486374" w:rsidRPr="005D4E87">
        <w:rPr>
          <w:lang w:val="ru-RU"/>
        </w:rPr>
        <w:t>Следует обеспечить онлайновое бронирование помещений для делегатов</w:t>
      </w:r>
      <w:r w:rsidR="00287E70" w:rsidRPr="005D4E87">
        <w:rPr>
          <w:lang w:val="ru-RU"/>
        </w:rPr>
        <w:t>.</w:t>
      </w:r>
      <w:bookmarkEnd w:id="90"/>
    </w:p>
    <w:p w14:paraId="3BFC5541" w14:textId="1D8F9423" w:rsidR="00287E70" w:rsidRPr="005D4E87" w:rsidRDefault="005C3973" w:rsidP="00EC73CC">
      <w:pPr>
        <w:pStyle w:val="enumlev1"/>
        <w:rPr>
          <w:lang w:val="ru-RU"/>
        </w:rPr>
      </w:pPr>
      <w:bookmarkStart w:id="91" w:name="lt_pId133"/>
      <w:r w:rsidRPr="005D4E87">
        <w:rPr>
          <w:lang w:val="ru-RU"/>
        </w:rPr>
        <w:t>•</w:t>
      </w:r>
      <w:r w:rsidRPr="005D4E87">
        <w:rPr>
          <w:lang w:val="ru-RU"/>
        </w:rPr>
        <w:tab/>
      </w:r>
      <w:r w:rsidR="00486374" w:rsidRPr="005D4E87">
        <w:rPr>
          <w:lang w:val="ru-RU"/>
        </w:rPr>
        <w:t>Следует ввести более оперативный процесс выборов/голосования, возможно в электронном формате, при сохранении тайны голосования</w:t>
      </w:r>
      <w:r w:rsidR="00287E70" w:rsidRPr="005D4E87">
        <w:rPr>
          <w:lang w:val="ru-RU"/>
        </w:rPr>
        <w:t>.</w:t>
      </w:r>
      <w:bookmarkEnd w:id="91"/>
    </w:p>
    <w:p w14:paraId="5A5F789A" w14:textId="44B406E6" w:rsidR="00287E70" w:rsidRPr="005D4E87" w:rsidRDefault="005C3973" w:rsidP="00EC73CC">
      <w:pPr>
        <w:pStyle w:val="enumlev1"/>
        <w:rPr>
          <w:u w:val="single"/>
          <w:lang w:val="ru-RU"/>
        </w:rPr>
      </w:pPr>
      <w:bookmarkStart w:id="92" w:name="lt_pId134"/>
      <w:r w:rsidRPr="005D4E87">
        <w:rPr>
          <w:lang w:val="ru-RU"/>
        </w:rPr>
        <w:t>•</w:t>
      </w:r>
      <w:r w:rsidRPr="005D4E87">
        <w:rPr>
          <w:lang w:val="ru-RU"/>
        </w:rPr>
        <w:tab/>
      </w:r>
      <w:r w:rsidR="00486374" w:rsidRPr="005D4E87">
        <w:rPr>
          <w:lang w:val="ru-RU"/>
        </w:rPr>
        <w:t>Обеспечивать финансовую поддержку для участия в региональных подготовительных собраниях</w:t>
      </w:r>
      <w:r w:rsidR="00287E70" w:rsidRPr="005D4E87">
        <w:rPr>
          <w:lang w:val="ru-RU"/>
        </w:rPr>
        <w:t>.</w:t>
      </w:r>
      <w:bookmarkEnd w:id="92"/>
    </w:p>
    <w:p w14:paraId="45D097BC" w14:textId="045F96F6" w:rsidR="00287E70" w:rsidRPr="005D4E87" w:rsidRDefault="00486374" w:rsidP="00EC73CC">
      <w:pPr>
        <w:rPr>
          <w:lang w:val="ru-RU"/>
        </w:rPr>
      </w:pPr>
      <w:bookmarkStart w:id="93" w:name="lt_pId135"/>
      <w:r w:rsidRPr="005D4E87">
        <w:rPr>
          <w:lang w:val="ru-RU"/>
        </w:rPr>
        <w:t>Некоторые из этих предложений углубленно рассматривались в предыдущем цикле и не получили поддержки, и по ним не был достигнут консенсус</w:t>
      </w:r>
      <w:r w:rsidR="00287E70" w:rsidRPr="005D4E87">
        <w:rPr>
          <w:lang w:val="ru-RU"/>
        </w:rPr>
        <w:t xml:space="preserve"> (</w:t>
      </w:r>
      <w:r w:rsidR="005C3973" w:rsidRPr="005D4E87">
        <w:rPr>
          <w:lang w:val="ru-RU"/>
        </w:rPr>
        <w:t>см. Документы</w:t>
      </w:r>
      <w:r w:rsidR="00287E70" w:rsidRPr="005D4E87">
        <w:rPr>
          <w:lang w:val="ru-RU"/>
        </w:rPr>
        <w:t xml:space="preserve"> </w:t>
      </w:r>
      <w:hyperlink r:id="rId27" w:history="1">
        <w:r w:rsidR="00287E70" w:rsidRPr="005D4E87">
          <w:rPr>
            <w:rStyle w:val="Hyperlink"/>
            <w:szCs w:val="22"/>
            <w:lang w:val="ru-RU"/>
          </w:rPr>
          <w:t>C17/4(Rev.1)</w:t>
        </w:r>
      </w:hyperlink>
      <w:r w:rsidR="00287E70" w:rsidRPr="005D4E87">
        <w:rPr>
          <w:szCs w:val="22"/>
          <w:lang w:val="ru-RU"/>
        </w:rPr>
        <w:t xml:space="preserve">, </w:t>
      </w:r>
      <w:hyperlink r:id="rId28" w:history="1">
        <w:r w:rsidR="00287E70" w:rsidRPr="005D4E87">
          <w:rPr>
            <w:rStyle w:val="Hyperlink"/>
            <w:szCs w:val="22"/>
            <w:lang w:val="ru-RU"/>
          </w:rPr>
          <w:t>C17/70</w:t>
        </w:r>
      </w:hyperlink>
      <w:r w:rsidR="00287E70" w:rsidRPr="005D4E87">
        <w:rPr>
          <w:szCs w:val="22"/>
          <w:lang w:val="ru-RU"/>
        </w:rPr>
        <w:t xml:space="preserve">, </w:t>
      </w:r>
      <w:hyperlink r:id="rId29" w:history="1">
        <w:r w:rsidR="00287E70" w:rsidRPr="005D4E87">
          <w:rPr>
            <w:rStyle w:val="Hyperlink"/>
            <w:szCs w:val="22"/>
            <w:lang w:val="ru-RU"/>
          </w:rPr>
          <w:t>C17/INF/6</w:t>
        </w:r>
      </w:hyperlink>
      <w:r w:rsidR="00287E70" w:rsidRPr="005D4E87">
        <w:rPr>
          <w:lang w:val="ru-RU"/>
        </w:rPr>
        <w:t>).</w:t>
      </w:r>
      <w:bookmarkEnd w:id="93"/>
    </w:p>
    <w:p w14:paraId="1284EDBD" w14:textId="4D54D863" w:rsidR="002D2F57" w:rsidRPr="005D4E87" w:rsidRDefault="005C3973" w:rsidP="00507AAE">
      <w:pPr>
        <w:spacing w:before="720"/>
        <w:jc w:val="center"/>
        <w:rPr>
          <w:lang w:val="ru-RU"/>
        </w:rPr>
      </w:pPr>
      <w:r w:rsidRPr="005D4E87">
        <w:rPr>
          <w:lang w:val="ru-RU"/>
        </w:rPr>
        <w:t>______________</w:t>
      </w:r>
    </w:p>
    <w:sectPr w:rsidR="002D2F57" w:rsidRPr="005D4E87" w:rsidSect="00507AAE">
      <w:headerReference w:type="default" r:id="rId30"/>
      <w:footerReference w:type="default" r:id="rId31"/>
      <w:footerReference w:type="first" r:id="rId32"/>
      <w:pgSz w:w="11907" w:h="16834" w:code="9"/>
      <w:pgMar w:top="1418" w:right="1134" w:bottom="1418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66762" w14:textId="77777777" w:rsidR="00293C19" w:rsidRDefault="00293C19">
      <w:r>
        <w:separator/>
      </w:r>
    </w:p>
  </w:endnote>
  <w:endnote w:type="continuationSeparator" w:id="0">
    <w:p w14:paraId="12859154" w14:textId="77777777" w:rsidR="00293C19" w:rsidRDefault="00293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B49DD" w14:textId="515C8564" w:rsidR="00427AD2" w:rsidRPr="00507AAE" w:rsidRDefault="00293C19" w:rsidP="00287E70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427AD2" w:rsidRPr="00507AAE">
      <w:t>P:\RUS\SG\CONSEIL\C20\000\013R.docx</w:t>
    </w:r>
    <w:r>
      <w:fldChar w:fldCharType="end"/>
    </w:r>
    <w:r w:rsidR="00427AD2" w:rsidRPr="00507AAE">
      <w:t xml:space="preserve"> (</w:t>
    </w:r>
    <w:r w:rsidR="00507AAE" w:rsidRPr="00507AAE">
      <w:t>483204</w:t>
    </w:r>
    <w:r w:rsidR="00427AD2" w:rsidRPr="00507AAE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41099" w14:textId="045CB5C6" w:rsidR="00427AD2" w:rsidRPr="00287E70" w:rsidRDefault="00427AD2" w:rsidP="00051696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5A932" w14:textId="77777777" w:rsidR="00293C19" w:rsidRDefault="00293C19">
      <w:r>
        <w:t>____________________</w:t>
      </w:r>
    </w:p>
  </w:footnote>
  <w:footnote w:type="continuationSeparator" w:id="0">
    <w:p w14:paraId="221FA950" w14:textId="77777777" w:rsidR="00293C19" w:rsidRDefault="00293C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0D371" w14:textId="72AB85AE" w:rsidR="00427AD2" w:rsidRDefault="00427AD2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B15BED">
      <w:rPr>
        <w:noProof/>
      </w:rPr>
      <w:t>6</w:t>
    </w:r>
    <w:r>
      <w:rPr>
        <w:noProof/>
      </w:rPr>
      <w:fldChar w:fldCharType="end"/>
    </w:r>
  </w:p>
  <w:p w14:paraId="1B2C9DD3" w14:textId="3A72137C" w:rsidR="00427AD2" w:rsidRDefault="00427AD2" w:rsidP="005B3DEC">
    <w:pPr>
      <w:pStyle w:val="Header"/>
      <w:spacing w:after="480"/>
    </w:pPr>
    <w:r>
      <w:t>C2</w:t>
    </w:r>
    <w:r w:rsidR="00077139">
      <w:rPr>
        <w:lang w:val="ru-RU"/>
      </w:rPr>
      <w:t>1</w:t>
    </w:r>
    <w:r>
      <w:t>/13-R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203CC0"/>
    <w:multiLevelType w:val="hybridMultilevel"/>
    <w:tmpl w:val="07C436FA"/>
    <w:lvl w:ilvl="0" w:tplc="261C5BE4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925EC33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C0492E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52CF6B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F7854B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248601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C0E7F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D2C460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6A0F8D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F11929"/>
    <w:multiLevelType w:val="hybridMultilevel"/>
    <w:tmpl w:val="FE34DFD2"/>
    <w:lvl w:ilvl="0" w:tplc="976EF5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A8F3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2A94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869B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F27D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6D615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4A37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52FE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FB609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87D3C"/>
    <w:multiLevelType w:val="hybridMultilevel"/>
    <w:tmpl w:val="56C66E76"/>
    <w:lvl w:ilvl="0" w:tplc="15526504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CDD6095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604A72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56ABF1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07C935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F00EBF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A16A90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C7A350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4EE0BA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C93D04"/>
    <w:multiLevelType w:val="hybridMultilevel"/>
    <w:tmpl w:val="E20EB4AE"/>
    <w:lvl w:ilvl="0" w:tplc="2D56BA50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FE22FB0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8CC57E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D84510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A84AB7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24E708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746019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90E6F5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BAC02D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241C46"/>
    <w:multiLevelType w:val="hybridMultilevel"/>
    <w:tmpl w:val="AAD4F6DA"/>
    <w:lvl w:ilvl="0" w:tplc="51FEF51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0B8C9D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99011D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DC26D5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C84B6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AD900DC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D50C62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DDE6BF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D8165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89A55F8"/>
    <w:multiLevelType w:val="hybridMultilevel"/>
    <w:tmpl w:val="C428D3E2"/>
    <w:lvl w:ilvl="0" w:tplc="AFE42F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D860E2">
      <w:start w:val="1"/>
      <w:numFmt w:val="lowerLetter"/>
      <w:lvlText w:val="%2)"/>
      <w:lvlJc w:val="left"/>
      <w:pPr>
        <w:ind w:left="1650" w:hanging="570"/>
      </w:pPr>
      <w:rPr>
        <w:rFonts w:hint="default"/>
      </w:rPr>
    </w:lvl>
    <w:lvl w:ilvl="2" w:tplc="45100702" w:tentative="1">
      <w:start w:val="1"/>
      <w:numFmt w:val="lowerRoman"/>
      <w:lvlText w:val="%3."/>
      <w:lvlJc w:val="right"/>
      <w:pPr>
        <w:ind w:left="2160" w:hanging="180"/>
      </w:pPr>
    </w:lvl>
    <w:lvl w:ilvl="3" w:tplc="406E1BFE" w:tentative="1">
      <w:start w:val="1"/>
      <w:numFmt w:val="decimal"/>
      <w:lvlText w:val="%4."/>
      <w:lvlJc w:val="left"/>
      <w:pPr>
        <w:ind w:left="2880" w:hanging="360"/>
      </w:pPr>
    </w:lvl>
    <w:lvl w:ilvl="4" w:tplc="2A50ACC6" w:tentative="1">
      <w:start w:val="1"/>
      <w:numFmt w:val="lowerLetter"/>
      <w:lvlText w:val="%5."/>
      <w:lvlJc w:val="left"/>
      <w:pPr>
        <w:ind w:left="3600" w:hanging="360"/>
      </w:pPr>
    </w:lvl>
    <w:lvl w:ilvl="5" w:tplc="C33EC6F6" w:tentative="1">
      <w:start w:val="1"/>
      <w:numFmt w:val="lowerRoman"/>
      <w:lvlText w:val="%6."/>
      <w:lvlJc w:val="right"/>
      <w:pPr>
        <w:ind w:left="4320" w:hanging="180"/>
      </w:pPr>
    </w:lvl>
    <w:lvl w:ilvl="6" w:tplc="5E986530" w:tentative="1">
      <w:start w:val="1"/>
      <w:numFmt w:val="decimal"/>
      <w:lvlText w:val="%7."/>
      <w:lvlJc w:val="left"/>
      <w:pPr>
        <w:ind w:left="5040" w:hanging="360"/>
      </w:pPr>
    </w:lvl>
    <w:lvl w:ilvl="7" w:tplc="8352447A" w:tentative="1">
      <w:start w:val="1"/>
      <w:numFmt w:val="lowerLetter"/>
      <w:lvlText w:val="%8."/>
      <w:lvlJc w:val="left"/>
      <w:pPr>
        <w:ind w:left="5760" w:hanging="360"/>
      </w:pPr>
    </w:lvl>
    <w:lvl w:ilvl="8" w:tplc="5D4206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AE095B"/>
    <w:multiLevelType w:val="hybridMultilevel"/>
    <w:tmpl w:val="4ADAFE28"/>
    <w:lvl w:ilvl="0" w:tplc="317A782A">
      <w:start w:val="1"/>
      <w:numFmt w:val="upperLetter"/>
      <w:lvlText w:val="%1."/>
      <w:lvlJc w:val="left"/>
      <w:pPr>
        <w:ind w:left="720" w:hanging="360"/>
      </w:pPr>
      <w:rPr>
        <w:u w:val="single"/>
      </w:rPr>
    </w:lvl>
    <w:lvl w:ilvl="1" w:tplc="8316890A" w:tentative="1">
      <w:start w:val="1"/>
      <w:numFmt w:val="lowerLetter"/>
      <w:lvlText w:val="%2."/>
      <w:lvlJc w:val="left"/>
      <w:pPr>
        <w:ind w:left="1440" w:hanging="360"/>
      </w:pPr>
    </w:lvl>
    <w:lvl w:ilvl="2" w:tplc="BA04B9F4" w:tentative="1">
      <w:start w:val="1"/>
      <w:numFmt w:val="lowerRoman"/>
      <w:lvlText w:val="%3."/>
      <w:lvlJc w:val="right"/>
      <w:pPr>
        <w:ind w:left="2160" w:hanging="180"/>
      </w:pPr>
    </w:lvl>
    <w:lvl w:ilvl="3" w:tplc="69FEB7C2" w:tentative="1">
      <w:start w:val="1"/>
      <w:numFmt w:val="decimal"/>
      <w:lvlText w:val="%4."/>
      <w:lvlJc w:val="left"/>
      <w:pPr>
        <w:ind w:left="2880" w:hanging="360"/>
      </w:pPr>
    </w:lvl>
    <w:lvl w:ilvl="4" w:tplc="FEEC4ABA" w:tentative="1">
      <w:start w:val="1"/>
      <w:numFmt w:val="lowerLetter"/>
      <w:lvlText w:val="%5."/>
      <w:lvlJc w:val="left"/>
      <w:pPr>
        <w:ind w:left="3600" w:hanging="360"/>
      </w:pPr>
    </w:lvl>
    <w:lvl w:ilvl="5" w:tplc="5A781DDE" w:tentative="1">
      <w:start w:val="1"/>
      <w:numFmt w:val="lowerRoman"/>
      <w:lvlText w:val="%6."/>
      <w:lvlJc w:val="right"/>
      <w:pPr>
        <w:ind w:left="4320" w:hanging="180"/>
      </w:pPr>
    </w:lvl>
    <w:lvl w:ilvl="6" w:tplc="464C2C82" w:tentative="1">
      <w:start w:val="1"/>
      <w:numFmt w:val="decimal"/>
      <w:lvlText w:val="%7."/>
      <w:lvlJc w:val="left"/>
      <w:pPr>
        <w:ind w:left="5040" w:hanging="360"/>
      </w:pPr>
    </w:lvl>
    <w:lvl w:ilvl="7" w:tplc="FA924DD0" w:tentative="1">
      <w:start w:val="1"/>
      <w:numFmt w:val="lowerLetter"/>
      <w:lvlText w:val="%8."/>
      <w:lvlJc w:val="left"/>
      <w:pPr>
        <w:ind w:left="5760" w:hanging="360"/>
      </w:pPr>
    </w:lvl>
    <w:lvl w:ilvl="8" w:tplc="7BD65B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DC7363"/>
    <w:multiLevelType w:val="hybridMultilevel"/>
    <w:tmpl w:val="8020B1B6"/>
    <w:lvl w:ilvl="0" w:tplc="863C1AB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3C019A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A54DC8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3AAE67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6F262E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DD0092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B64625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61802F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50A55A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FDB6BBC"/>
    <w:multiLevelType w:val="hybridMultilevel"/>
    <w:tmpl w:val="95DEF63C"/>
    <w:lvl w:ilvl="0" w:tplc="1786B4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C08188">
      <w:start w:val="1"/>
      <w:numFmt w:val="lowerLetter"/>
      <w:lvlText w:val="%2."/>
      <w:lvlJc w:val="left"/>
      <w:pPr>
        <w:ind w:left="1650" w:hanging="570"/>
      </w:pPr>
      <w:rPr>
        <w:rFonts w:hint="default"/>
      </w:rPr>
    </w:lvl>
    <w:lvl w:ilvl="2" w:tplc="A6EEAA40" w:tentative="1">
      <w:start w:val="1"/>
      <w:numFmt w:val="lowerRoman"/>
      <w:lvlText w:val="%3."/>
      <w:lvlJc w:val="right"/>
      <w:pPr>
        <w:ind w:left="2160" w:hanging="180"/>
      </w:pPr>
    </w:lvl>
    <w:lvl w:ilvl="3" w:tplc="C964A888" w:tentative="1">
      <w:start w:val="1"/>
      <w:numFmt w:val="decimal"/>
      <w:lvlText w:val="%4."/>
      <w:lvlJc w:val="left"/>
      <w:pPr>
        <w:ind w:left="2880" w:hanging="360"/>
      </w:pPr>
    </w:lvl>
    <w:lvl w:ilvl="4" w:tplc="E47E6E6C" w:tentative="1">
      <w:start w:val="1"/>
      <w:numFmt w:val="lowerLetter"/>
      <w:lvlText w:val="%5."/>
      <w:lvlJc w:val="left"/>
      <w:pPr>
        <w:ind w:left="3600" w:hanging="360"/>
      </w:pPr>
    </w:lvl>
    <w:lvl w:ilvl="5" w:tplc="B298EBE2" w:tentative="1">
      <w:start w:val="1"/>
      <w:numFmt w:val="lowerRoman"/>
      <w:lvlText w:val="%6."/>
      <w:lvlJc w:val="right"/>
      <w:pPr>
        <w:ind w:left="4320" w:hanging="180"/>
      </w:pPr>
    </w:lvl>
    <w:lvl w:ilvl="6" w:tplc="BA7467A0" w:tentative="1">
      <w:start w:val="1"/>
      <w:numFmt w:val="decimal"/>
      <w:lvlText w:val="%7."/>
      <w:lvlJc w:val="left"/>
      <w:pPr>
        <w:ind w:left="5040" w:hanging="360"/>
      </w:pPr>
    </w:lvl>
    <w:lvl w:ilvl="7" w:tplc="BA4A5380" w:tentative="1">
      <w:start w:val="1"/>
      <w:numFmt w:val="lowerLetter"/>
      <w:lvlText w:val="%8."/>
      <w:lvlJc w:val="left"/>
      <w:pPr>
        <w:ind w:left="5760" w:hanging="360"/>
      </w:pPr>
    </w:lvl>
    <w:lvl w:ilvl="8" w:tplc="C9B0F8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85461C"/>
    <w:multiLevelType w:val="hybridMultilevel"/>
    <w:tmpl w:val="04EE825C"/>
    <w:lvl w:ilvl="0" w:tplc="1082A890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1104103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F50907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1B4EF5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F2CD2D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C82687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99091A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B2AAC4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E8858E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FF7538C"/>
    <w:multiLevelType w:val="hybridMultilevel"/>
    <w:tmpl w:val="B326502C"/>
    <w:lvl w:ilvl="0" w:tplc="048E09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6CD6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84BB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8898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48D5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7C49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B8BF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CAB3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D2668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ED1432"/>
    <w:multiLevelType w:val="hybridMultilevel"/>
    <w:tmpl w:val="DA847370"/>
    <w:lvl w:ilvl="0" w:tplc="7F86AB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9D6AAD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AB06F4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9F0FC5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A1C9D0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5A2046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643CB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B38BEF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4E4521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1"/>
  </w:num>
  <w:num w:numId="4">
    <w:abstractNumId w:val="12"/>
  </w:num>
  <w:num w:numId="5">
    <w:abstractNumId w:val="4"/>
  </w:num>
  <w:num w:numId="6">
    <w:abstractNumId w:val="10"/>
  </w:num>
  <w:num w:numId="7">
    <w:abstractNumId w:val="3"/>
  </w:num>
  <w:num w:numId="8">
    <w:abstractNumId w:val="1"/>
  </w:num>
  <w:num w:numId="9">
    <w:abstractNumId w:val="8"/>
  </w:num>
  <w:num w:numId="10">
    <w:abstractNumId w:val="9"/>
  </w:num>
  <w:num w:numId="11">
    <w:abstractNumId w:val="6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A77"/>
    <w:rsid w:val="0002183E"/>
    <w:rsid w:val="00051696"/>
    <w:rsid w:val="000569B4"/>
    <w:rsid w:val="00077139"/>
    <w:rsid w:val="00080E82"/>
    <w:rsid w:val="00083E42"/>
    <w:rsid w:val="000B61DF"/>
    <w:rsid w:val="000E568E"/>
    <w:rsid w:val="00114DAE"/>
    <w:rsid w:val="0014734F"/>
    <w:rsid w:val="0015710D"/>
    <w:rsid w:val="00163A32"/>
    <w:rsid w:val="00192B41"/>
    <w:rsid w:val="001A5FA2"/>
    <w:rsid w:val="001B7B09"/>
    <w:rsid w:val="001E6719"/>
    <w:rsid w:val="00205F50"/>
    <w:rsid w:val="00224CAF"/>
    <w:rsid w:val="00225368"/>
    <w:rsid w:val="00227FF0"/>
    <w:rsid w:val="0024286F"/>
    <w:rsid w:val="00287E70"/>
    <w:rsid w:val="00291EB6"/>
    <w:rsid w:val="00293C19"/>
    <w:rsid w:val="002B216A"/>
    <w:rsid w:val="002D2F57"/>
    <w:rsid w:val="002D48C5"/>
    <w:rsid w:val="00333FBE"/>
    <w:rsid w:val="00345D77"/>
    <w:rsid w:val="00354FF2"/>
    <w:rsid w:val="00362211"/>
    <w:rsid w:val="00370336"/>
    <w:rsid w:val="003949FE"/>
    <w:rsid w:val="003C050E"/>
    <w:rsid w:val="003F099E"/>
    <w:rsid w:val="003F0BE3"/>
    <w:rsid w:val="003F235E"/>
    <w:rsid w:val="003F5924"/>
    <w:rsid w:val="004023E0"/>
    <w:rsid w:val="00403DD8"/>
    <w:rsid w:val="00406989"/>
    <w:rsid w:val="00413A8B"/>
    <w:rsid w:val="004173C7"/>
    <w:rsid w:val="00427AD2"/>
    <w:rsid w:val="00442515"/>
    <w:rsid w:val="0045686C"/>
    <w:rsid w:val="00463F0A"/>
    <w:rsid w:val="00486374"/>
    <w:rsid w:val="004918C4"/>
    <w:rsid w:val="00497703"/>
    <w:rsid w:val="004A0374"/>
    <w:rsid w:val="004A45B5"/>
    <w:rsid w:val="004D0129"/>
    <w:rsid w:val="004D278F"/>
    <w:rsid w:val="004D7C23"/>
    <w:rsid w:val="00507AAE"/>
    <w:rsid w:val="00522CFA"/>
    <w:rsid w:val="00535D8D"/>
    <w:rsid w:val="00546B16"/>
    <w:rsid w:val="00557498"/>
    <w:rsid w:val="00566987"/>
    <w:rsid w:val="005A64D5"/>
    <w:rsid w:val="005B3DEC"/>
    <w:rsid w:val="005C1694"/>
    <w:rsid w:val="005C3973"/>
    <w:rsid w:val="005C4082"/>
    <w:rsid w:val="005D4E87"/>
    <w:rsid w:val="00601994"/>
    <w:rsid w:val="006075F4"/>
    <w:rsid w:val="00610B3E"/>
    <w:rsid w:val="00620260"/>
    <w:rsid w:val="006202DC"/>
    <w:rsid w:val="00625BAE"/>
    <w:rsid w:val="006658E7"/>
    <w:rsid w:val="00667E7C"/>
    <w:rsid w:val="0068565E"/>
    <w:rsid w:val="006970C0"/>
    <w:rsid w:val="006A18AA"/>
    <w:rsid w:val="006D2EDC"/>
    <w:rsid w:val="006E0A77"/>
    <w:rsid w:val="006E2D42"/>
    <w:rsid w:val="006E4D31"/>
    <w:rsid w:val="00703676"/>
    <w:rsid w:val="00707304"/>
    <w:rsid w:val="007124A2"/>
    <w:rsid w:val="007307DE"/>
    <w:rsid w:val="00732269"/>
    <w:rsid w:val="007503FA"/>
    <w:rsid w:val="00785ABD"/>
    <w:rsid w:val="007A2DD4"/>
    <w:rsid w:val="007B092F"/>
    <w:rsid w:val="007C6602"/>
    <w:rsid w:val="007D38B5"/>
    <w:rsid w:val="007E7EA0"/>
    <w:rsid w:val="007F70EB"/>
    <w:rsid w:val="007F76FA"/>
    <w:rsid w:val="00807255"/>
    <w:rsid w:val="0081023E"/>
    <w:rsid w:val="00816BE5"/>
    <w:rsid w:val="008173AA"/>
    <w:rsid w:val="00836591"/>
    <w:rsid w:val="00840A14"/>
    <w:rsid w:val="008577BA"/>
    <w:rsid w:val="008A414C"/>
    <w:rsid w:val="008B62B4"/>
    <w:rsid w:val="008C6DA3"/>
    <w:rsid w:val="008D2D7B"/>
    <w:rsid w:val="008E0737"/>
    <w:rsid w:val="008E13ED"/>
    <w:rsid w:val="008E25DC"/>
    <w:rsid w:val="008F7C2C"/>
    <w:rsid w:val="00940E96"/>
    <w:rsid w:val="00957A92"/>
    <w:rsid w:val="00973366"/>
    <w:rsid w:val="0098424E"/>
    <w:rsid w:val="009B0BAE"/>
    <w:rsid w:val="009C1C89"/>
    <w:rsid w:val="009D76B7"/>
    <w:rsid w:val="009E6473"/>
    <w:rsid w:val="009F3448"/>
    <w:rsid w:val="00A01CF9"/>
    <w:rsid w:val="00A055C2"/>
    <w:rsid w:val="00A074EB"/>
    <w:rsid w:val="00A71773"/>
    <w:rsid w:val="00AD7507"/>
    <w:rsid w:val="00AE2C85"/>
    <w:rsid w:val="00AE503C"/>
    <w:rsid w:val="00AF0CE7"/>
    <w:rsid w:val="00B0621E"/>
    <w:rsid w:val="00B12A37"/>
    <w:rsid w:val="00B13B4B"/>
    <w:rsid w:val="00B15BED"/>
    <w:rsid w:val="00B56881"/>
    <w:rsid w:val="00B63EF2"/>
    <w:rsid w:val="00B83B12"/>
    <w:rsid w:val="00BA7D89"/>
    <w:rsid w:val="00BC0D39"/>
    <w:rsid w:val="00BC34E0"/>
    <w:rsid w:val="00BC7BC0"/>
    <w:rsid w:val="00BD57B7"/>
    <w:rsid w:val="00BE63E2"/>
    <w:rsid w:val="00BF6CC1"/>
    <w:rsid w:val="00C20525"/>
    <w:rsid w:val="00C866D0"/>
    <w:rsid w:val="00CD1821"/>
    <w:rsid w:val="00CD2009"/>
    <w:rsid w:val="00CF629C"/>
    <w:rsid w:val="00CF73BC"/>
    <w:rsid w:val="00D072A3"/>
    <w:rsid w:val="00D1179E"/>
    <w:rsid w:val="00D17024"/>
    <w:rsid w:val="00D45A59"/>
    <w:rsid w:val="00D92EEA"/>
    <w:rsid w:val="00DA4A56"/>
    <w:rsid w:val="00DA5D4E"/>
    <w:rsid w:val="00DA67EB"/>
    <w:rsid w:val="00DC7AFA"/>
    <w:rsid w:val="00DD0E17"/>
    <w:rsid w:val="00DD3223"/>
    <w:rsid w:val="00E051BF"/>
    <w:rsid w:val="00E176BA"/>
    <w:rsid w:val="00E423EC"/>
    <w:rsid w:val="00E510BE"/>
    <w:rsid w:val="00E55121"/>
    <w:rsid w:val="00E63978"/>
    <w:rsid w:val="00E714A8"/>
    <w:rsid w:val="00E72581"/>
    <w:rsid w:val="00E953C9"/>
    <w:rsid w:val="00E976EB"/>
    <w:rsid w:val="00EA1D65"/>
    <w:rsid w:val="00EB4FCB"/>
    <w:rsid w:val="00EC6BC5"/>
    <w:rsid w:val="00EC73CC"/>
    <w:rsid w:val="00EE4886"/>
    <w:rsid w:val="00F00527"/>
    <w:rsid w:val="00F23C4D"/>
    <w:rsid w:val="00F35898"/>
    <w:rsid w:val="00F5225B"/>
    <w:rsid w:val="00F66482"/>
    <w:rsid w:val="00FA5451"/>
    <w:rsid w:val="00FC5111"/>
    <w:rsid w:val="00FE5442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09A33A"/>
  <w15:docId w15:val="{144C84B6-1E78-4D95-B920-DB54E7894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45D7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345D77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345D77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345D77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345D77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345D77"/>
    <w:pPr>
      <w:outlineLvl w:val="4"/>
    </w:pPr>
  </w:style>
  <w:style w:type="paragraph" w:styleId="Heading6">
    <w:name w:val="heading 6"/>
    <w:basedOn w:val="Heading4"/>
    <w:next w:val="Normal"/>
    <w:qFormat/>
    <w:rsid w:val="00345D77"/>
    <w:pPr>
      <w:outlineLvl w:val="5"/>
    </w:pPr>
  </w:style>
  <w:style w:type="paragraph" w:styleId="Heading7">
    <w:name w:val="heading 7"/>
    <w:basedOn w:val="Heading6"/>
    <w:next w:val="Normal"/>
    <w:qFormat/>
    <w:rsid w:val="00345D77"/>
    <w:pPr>
      <w:outlineLvl w:val="6"/>
    </w:pPr>
  </w:style>
  <w:style w:type="paragraph" w:styleId="Heading8">
    <w:name w:val="heading 8"/>
    <w:basedOn w:val="Heading6"/>
    <w:next w:val="Normal"/>
    <w:qFormat/>
    <w:rsid w:val="00345D77"/>
    <w:pPr>
      <w:outlineLvl w:val="7"/>
    </w:pPr>
  </w:style>
  <w:style w:type="paragraph" w:styleId="Heading9">
    <w:name w:val="heading 9"/>
    <w:basedOn w:val="Heading6"/>
    <w:next w:val="Normal"/>
    <w:qFormat/>
    <w:rsid w:val="00345D77"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345D77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345D77"/>
  </w:style>
  <w:style w:type="paragraph" w:styleId="TOC8">
    <w:name w:val="toc 8"/>
    <w:basedOn w:val="TOC4"/>
    <w:rsid w:val="00345D77"/>
  </w:style>
  <w:style w:type="paragraph" w:styleId="TOC4">
    <w:name w:val="toc 4"/>
    <w:basedOn w:val="TOC3"/>
    <w:rsid w:val="00345D77"/>
    <w:pPr>
      <w:spacing w:before="80"/>
    </w:pPr>
  </w:style>
  <w:style w:type="paragraph" w:styleId="TOC3">
    <w:name w:val="toc 3"/>
    <w:basedOn w:val="TOC2"/>
    <w:rsid w:val="00345D77"/>
  </w:style>
  <w:style w:type="paragraph" w:styleId="TOC2">
    <w:name w:val="toc 2"/>
    <w:basedOn w:val="TOC1"/>
    <w:rsid w:val="00345D77"/>
    <w:pPr>
      <w:spacing w:before="160"/>
    </w:pPr>
  </w:style>
  <w:style w:type="paragraph" w:styleId="TOC1">
    <w:name w:val="toc 1"/>
    <w:basedOn w:val="Normal"/>
    <w:rsid w:val="00345D77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345D77"/>
  </w:style>
  <w:style w:type="paragraph" w:styleId="TOC6">
    <w:name w:val="toc 6"/>
    <w:basedOn w:val="TOC4"/>
    <w:rsid w:val="00345D77"/>
  </w:style>
  <w:style w:type="paragraph" w:styleId="TOC5">
    <w:name w:val="toc 5"/>
    <w:basedOn w:val="TOC4"/>
    <w:rsid w:val="00345D77"/>
  </w:style>
  <w:style w:type="paragraph" w:styleId="Index7">
    <w:name w:val="index 7"/>
    <w:basedOn w:val="Normal"/>
    <w:next w:val="Normal"/>
    <w:rsid w:val="00345D77"/>
    <w:pPr>
      <w:ind w:left="1698"/>
    </w:pPr>
  </w:style>
  <w:style w:type="paragraph" w:styleId="Index6">
    <w:name w:val="index 6"/>
    <w:basedOn w:val="Normal"/>
    <w:next w:val="Normal"/>
    <w:rsid w:val="00345D77"/>
    <w:pPr>
      <w:ind w:left="1415"/>
    </w:pPr>
  </w:style>
  <w:style w:type="paragraph" w:styleId="Index5">
    <w:name w:val="index 5"/>
    <w:basedOn w:val="Normal"/>
    <w:next w:val="Normal"/>
    <w:rsid w:val="00345D77"/>
    <w:pPr>
      <w:ind w:left="1132"/>
    </w:pPr>
  </w:style>
  <w:style w:type="paragraph" w:styleId="Index4">
    <w:name w:val="index 4"/>
    <w:basedOn w:val="Normal"/>
    <w:next w:val="Normal"/>
    <w:rsid w:val="00345D77"/>
    <w:pPr>
      <w:ind w:left="849"/>
    </w:pPr>
  </w:style>
  <w:style w:type="paragraph" w:styleId="Index3">
    <w:name w:val="index 3"/>
    <w:basedOn w:val="Normal"/>
    <w:next w:val="Normal"/>
    <w:rsid w:val="00345D77"/>
    <w:pPr>
      <w:ind w:left="566"/>
    </w:pPr>
  </w:style>
  <w:style w:type="paragraph" w:styleId="Index2">
    <w:name w:val="index 2"/>
    <w:basedOn w:val="Normal"/>
    <w:next w:val="Normal"/>
    <w:rsid w:val="00345D77"/>
    <w:pPr>
      <w:ind w:left="283"/>
    </w:pPr>
  </w:style>
  <w:style w:type="paragraph" w:styleId="Index1">
    <w:name w:val="index 1"/>
    <w:basedOn w:val="Normal"/>
    <w:next w:val="Normal"/>
    <w:rsid w:val="00345D77"/>
  </w:style>
  <w:style w:type="character" w:styleId="LineNumber">
    <w:name w:val="line number"/>
    <w:basedOn w:val="DefaultParagraphFont"/>
    <w:rsid w:val="00345D77"/>
  </w:style>
  <w:style w:type="paragraph" w:styleId="IndexHeading">
    <w:name w:val="index heading"/>
    <w:basedOn w:val="Normal"/>
    <w:next w:val="Index1"/>
    <w:rsid w:val="00345D77"/>
  </w:style>
  <w:style w:type="paragraph" w:styleId="Footer">
    <w:name w:val="footer"/>
    <w:basedOn w:val="Normal"/>
    <w:rsid w:val="00345D77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345D7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345D77"/>
    <w:rPr>
      <w:position w:val="6"/>
      <w:sz w:val="16"/>
    </w:rPr>
  </w:style>
  <w:style w:type="paragraph" w:styleId="FootnoteText">
    <w:name w:val="footnote text"/>
    <w:basedOn w:val="Normal"/>
    <w:rsid w:val="00345D77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345D77"/>
    <w:pPr>
      <w:ind w:left="794"/>
    </w:pPr>
  </w:style>
  <w:style w:type="paragraph" w:customStyle="1" w:styleId="enumlev1">
    <w:name w:val="enumlev1"/>
    <w:basedOn w:val="Normal"/>
    <w:rsid w:val="00345D77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345D77"/>
    <w:pPr>
      <w:ind w:left="1191" w:hanging="397"/>
    </w:pPr>
  </w:style>
  <w:style w:type="paragraph" w:customStyle="1" w:styleId="enumlev3">
    <w:name w:val="enumlev3"/>
    <w:basedOn w:val="enumlev2"/>
    <w:rsid w:val="00345D77"/>
    <w:pPr>
      <w:ind w:left="1588"/>
    </w:pPr>
  </w:style>
  <w:style w:type="paragraph" w:customStyle="1" w:styleId="Normalaftertitle">
    <w:name w:val="Normal after title"/>
    <w:basedOn w:val="Normal"/>
    <w:next w:val="Normal"/>
    <w:rsid w:val="00345D77"/>
    <w:pPr>
      <w:spacing w:before="320"/>
    </w:pPr>
  </w:style>
  <w:style w:type="paragraph" w:customStyle="1" w:styleId="Equation">
    <w:name w:val="Equation"/>
    <w:basedOn w:val="Normal"/>
    <w:rsid w:val="00345D77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345D77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345D77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345D77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345D77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345D77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345D77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345D77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345D77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345D77"/>
  </w:style>
  <w:style w:type="paragraph" w:customStyle="1" w:styleId="Data">
    <w:name w:val="Data"/>
    <w:basedOn w:val="Subject"/>
    <w:next w:val="Subject"/>
    <w:rsid w:val="00345D77"/>
  </w:style>
  <w:style w:type="paragraph" w:customStyle="1" w:styleId="Reasons">
    <w:name w:val="Reasons"/>
    <w:basedOn w:val="Normal"/>
    <w:rsid w:val="00345D77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345D77"/>
    <w:rPr>
      <w:color w:val="0000FF"/>
      <w:u w:val="single"/>
    </w:rPr>
  </w:style>
  <w:style w:type="paragraph" w:customStyle="1" w:styleId="FirstFooter">
    <w:name w:val="FirstFooter"/>
    <w:basedOn w:val="Footer"/>
    <w:rsid w:val="00345D77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345D77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345D77"/>
  </w:style>
  <w:style w:type="paragraph" w:customStyle="1" w:styleId="Headingb">
    <w:name w:val="Heading_b"/>
    <w:basedOn w:val="Heading3"/>
    <w:next w:val="Normal"/>
    <w:rsid w:val="00345D77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345D77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345D77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345D7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345D77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345D77"/>
    <w:rPr>
      <w:b/>
    </w:rPr>
  </w:style>
  <w:style w:type="paragraph" w:customStyle="1" w:styleId="dnum">
    <w:name w:val="dnum"/>
    <w:basedOn w:val="Normal"/>
    <w:rsid w:val="00345D77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345D77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345D77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345D77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345D77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345D77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345D77"/>
  </w:style>
  <w:style w:type="paragraph" w:customStyle="1" w:styleId="Appendixtitle">
    <w:name w:val="Appendix_title"/>
    <w:basedOn w:val="Annextitle"/>
    <w:next w:val="Appendixref"/>
    <w:rsid w:val="00345D77"/>
  </w:style>
  <w:style w:type="paragraph" w:customStyle="1" w:styleId="Appendixref">
    <w:name w:val="Appendix_ref"/>
    <w:basedOn w:val="Annexref"/>
    <w:next w:val="Normalaftertitle"/>
    <w:rsid w:val="00345D77"/>
  </w:style>
  <w:style w:type="paragraph" w:customStyle="1" w:styleId="Call">
    <w:name w:val="Call"/>
    <w:basedOn w:val="Normal"/>
    <w:next w:val="Normal"/>
    <w:rsid w:val="00345D77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345D77"/>
    <w:rPr>
      <w:vertAlign w:val="superscript"/>
    </w:rPr>
  </w:style>
  <w:style w:type="paragraph" w:customStyle="1" w:styleId="Equationlegend">
    <w:name w:val="Equation_legend"/>
    <w:basedOn w:val="Normal"/>
    <w:rsid w:val="00345D77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345D77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345D77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345D77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345D77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345D77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345D77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345D77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345D77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345D77"/>
    <w:pPr>
      <w:spacing w:before="160"/>
    </w:pPr>
    <w:rPr>
      <w:b w:val="0"/>
    </w:rPr>
  </w:style>
  <w:style w:type="character" w:styleId="PageNumber">
    <w:name w:val="page number"/>
    <w:basedOn w:val="DefaultParagraphFont"/>
    <w:rsid w:val="00345D77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345D77"/>
  </w:style>
  <w:style w:type="paragraph" w:customStyle="1" w:styleId="Parttitle">
    <w:name w:val="Part_title"/>
    <w:basedOn w:val="Annextitle"/>
    <w:next w:val="Partref"/>
    <w:rsid w:val="00345D77"/>
  </w:style>
  <w:style w:type="paragraph" w:customStyle="1" w:styleId="Partref">
    <w:name w:val="Part_ref"/>
    <w:basedOn w:val="Annexref"/>
    <w:next w:val="Normalaftertitle"/>
    <w:rsid w:val="00345D77"/>
  </w:style>
  <w:style w:type="paragraph" w:customStyle="1" w:styleId="RecNo">
    <w:name w:val="Rec_No"/>
    <w:basedOn w:val="Normal"/>
    <w:next w:val="Rectitle"/>
    <w:rsid w:val="00345D77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345D7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345D77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345D77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345D77"/>
  </w:style>
  <w:style w:type="paragraph" w:customStyle="1" w:styleId="QuestionNo">
    <w:name w:val="Question_No"/>
    <w:basedOn w:val="RecNo"/>
    <w:next w:val="Questiontitle"/>
    <w:rsid w:val="00345D77"/>
  </w:style>
  <w:style w:type="paragraph" w:customStyle="1" w:styleId="Questionref">
    <w:name w:val="Question_ref"/>
    <w:basedOn w:val="Recref"/>
    <w:next w:val="Questiondate"/>
    <w:rsid w:val="00345D77"/>
  </w:style>
  <w:style w:type="paragraph" w:customStyle="1" w:styleId="Questiontitle">
    <w:name w:val="Question_title"/>
    <w:basedOn w:val="Rectitle"/>
    <w:next w:val="Questionref"/>
    <w:rsid w:val="00345D77"/>
  </w:style>
  <w:style w:type="paragraph" w:customStyle="1" w:styleId="Reftext">
    <w:name w:val="Ref_text"/>
    <w:basedOn w:val="Normal"/>
    <w:rsid w:val="00345D77"/>
    <w:pPr>
      <w:ind w:left="794" w:hanging="794"/>
    </w:pPr>
  </w:style>
  <w:style w:type="paragraph" w:customStyle="1" w:styleId="Reftitle">
    <w:name w:val="Ref_title"/>
    <w:basedOn w:val="Normal"/>
    <w:next w:val="Reftext"/>
    <w:rsid w:val="00345D77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345D77"/>
  </w:style>
  <w:style w:type="paragraph" w:customStyle="1" w:styleId="RepNo">
    <w:name w:val="Rep_No"/>
    <w:basedOn w:val="RecNo"/>
    <w:next w:val="Reptitle"/>
    <w:rsid w:val="00345D77"/>
  </w:style>
  <w:style w:type="paragraph" w:customStyle="1" w:styleId="Reptitle">
    <w:name w:val="Rep_title"/>
    <w:basedOn w:val="Rectitle"/>
    <w:next w:val="Repref"/>
    <w:rsid w:val="00345D77"/>
  </w:style>
  <w:style w:type="paragraph" w:customStyle="1" w:styleId="Repref">
    <w:name w:val="Rep_ref"/>
    <w:basedOn w:val="Recref"/>
    <w:next w:val="Repdate"/>
    <w:rsid w:val="00345D77"/>
  </w:style>
  <w:style w:type="paragraph" w:customStyle="1" w:styleId="Resdate">
    <w:name w:val="Res_date"/>
    <w:basedOn w:val="Recdate"/>
    <w:next w:val="Normalaftertitle"/>
    <w:rsid w:val="00345D77"/>
  </w:style>
  <w:style w:type="paragraph" w:customStyle="1" w:styleId="ResNo">
    <w:name w:val="Res_No"/>
    <w:basedOn w:val="RecNo"/>
    <w:next w:val="Restitle"/>
    <w:rsid w:val="00345D77"/>
  </w:style>
  <w:style w:type="paragraph" w:customStyle="1" w:styleId="Restitle">
    <w:name w:val="Res_title"/>
    <w:basedOn w:val="Rectitle"/>
    <w:next w:val="Resref"/>
    <w:rsid w:val="00345D77"/>
  </w:style>
  <w:style w:type="paragraph" w:customStyle="1" w:styleId="Resref">
    <w:name w:val="Res_ref"/>
    <w:basedOn w:val="Recref"/>
    <w:next w:val="Resdate"/>
    <w:rsid w:val="00345D77"/>
  </w:style>
  <w:style w:type="paragraph" w:customStyle="1" w:styleId="SectionNo">
    <w:name w:val="Section_No"/>
    <w:basedOn w:val="AnnexNo"/>
    <w:next w:val="Sectiontitle"/>
    <w:rsid w:val="00345D77"/>
  </w:style>
  <w:style w:type="paragraph" w:customStyle="1" w:styleId="Sectiontitle">
    <w:name w:val="Section_title"/>
    <w:basedOn w:val="Normal"/>
    <w:next w:val="Normalaftertitle"/>
    <w:rsid w:val="00345D77"/>
    <w:rPr>
      <w:sz w:val="26"/>
    </w:rPr>
  </w:style>
  <w:style w:type="paragraph" w:customStyle="1" w:styleId="SpecialFooter">
    <w:name w:val="Special Footer"/>
    <w:basedOn w:val="Footer"/>
    <w:rsid w:val="00345D77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345D77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345D77"/>
    <w:pPr>
      <w:spacing w:before="120"/>
    </w:pPr>
  </w:style>
  <w:style w:type="paragraph" w:customStyle="1" w:styleId="Tableref">
    <w:name w:val="Table_ref"/>
    <w:basedOn w:val="Normal"/>
    <w:next w:val="Tabletitle"/>
    <w:rsid w:val="00345D77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345D77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345D77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345D77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345D77"/>
    <w:rPr>
      <w:b/>
    </w:rPr>
  </w:style>
  <w:style w:type="paragraph" w:customStyle="1" w:styleId="Chaptitle">
    <w:name w:val="Chap_title"/>
    <w:basedOn w:val="Arttitle"/>
    <w:next w:val="Normalaftertitle"/>
    <w:rsid w:val="00345D77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87E70"/>
    <w:rPr>
      <w:color w:val="605E5C"/>
      <w:shd w:val="clear" w:color="auto" w:fill="E1DFDD"/>
    </w:rPr>
  </w:style>
  <w:style w:type="paragraph" w:customStyle="1" w:styleId="Normalaftertitle0">
    <w:name w:val="Normal_after_title"/>
    <w:basedOn w:val="Normal"/>
    <w:next w:val="Normal"/>
    <w:rsid w:val="00287E70"/>
    <w:pPr>
      <w:spacing w:before="400"/>
      <w:jc w:val="both"/>
      <w:textAlignment w:val="auto"/>
    </w:pPr>
    <w:rPr>
      <w:rFonts w:cs="Calibri"/>
      <w:szCs w:val="22"/>
      <w:lang w:val="en-US"/>
    </w:rPr>
  </w:style>
  <w:style w:type="paragraph" w:styleId="ListParagraph">
    <w:name w:val="List Paragraph"/>
    <w:basedOn w:val="Normal"/>
    <w:uiPriority w:val="34"/>
    <w:qFormat/>
    <w:rsid w:val="00287E70"/>
    <w:pPr>
      <w:spacing w:before="160" w:line="280" w:lineRule="exact"/>
      <w:ind w:left="720"/>
      <w:contextualSpacing/>
      <w:jc w:val="both"/>
    </w:pPr>
    <w:rPr>
      <w:rFonts w:cs="Calibri"/>
      <w:szCs w:val="22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07A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S19-CL-C-0101/en" TargetMode="External"/><Relationship Id="rId18" Type="http://schemas.openxmlformats.org/officeDocument/2006/relationships/hyperlink" Target="https://www.itu.int/md/S21-CL-INF-0008/en" TargetMode="External"/><Relationship Id="rId26" Type="http://schemas.openxmlformats.org/officeDocument/2006/relationships/hyperlink" Target="https://www.itu.int/en/ITU-R/conferences/wrc/2019/now/Pages/default.aspx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md/S19-CL-C-0112/en" TargetMode="External"/><Relationship Id="rId34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md/S20-CL-C-0013/en" TargetMode="External"/><Relationship Id="rId17" Type="http://schemas.openxmlformats.org/officeDocument/2006/relationships/hyperlink" Target="https://www.itu.int/md/S20-SG-CIR-0013/en" TargetMode="External"/><Relationship Id="rId25" Type="http://schemas.openxmlformats.org/officeDocument/2006/relationships/hyperlink" Target="https://www.itu.int/md/S20-CL-INF-0005/en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S20-CL-INF-0008/en" TargetMode="External"/><Relationship Id="rId20" Type="http://schemas.openxmlformats.org/officeDocument/2006/relationships/hyperlink" Target="https://www.itu.int/md/S19-CL-C-0101/en" TargetMode="External"/><Relationship Id="rId29" Type="http://schemas.openxmlformats.org/officeDocument/2006/relationships/hyperlink" Target="https://www.itu.int/md/S17-CL-INF-0006/en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tu.int/md/S19-SG-CIR-0057/en" TargetMode="External"/><Relationship Id="rId24" Type="http://schemas.openxmlformats.org/officeDocument/2006/relationships/hyperlink" Target="https://www.unsystem.org/content/addendum-strategy-sustainability-management-united-nations-system-2020-2030" TargetMode="External"/><Relationship Id="rId32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hyperlink" Target="https://www.itu.int/md/S19-SG-CIR-0057/en" TargetMode="External"/><Relationship Id="rId23" Type="http://schemas.openxmlformats.org/officeDocument/2006/relationships/hyperlink" Target="https://www.itu.int/md/S21-CL-INF-0008/en" TargetMode="External"/><Relationship Id="rId28" Type="http://schemas.openxmlformats.org/officeDocument/2006/relationships/hyperlink" Target="https://www.itu.int/md/S17-CL-C-0070/en" TargetMode="External"/><Relationship Id="rId10" Type="http://schemas.openxmlformats.org/officeDocument/2006/relationships/image" Target="media/image1.jpeg"/><Relationship Id="rId19" Type="http://schemas.openxmlformats.org/officeDocument/2006/relationships/hyperlink" Target="https://www.itu.int/md/S19-CL-C-0004/en" TargetMode="External"/><Relationship Id="rId31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md/S19-CL-C-0112/en" TargetMode="External"/><Relationship Id="rId22" Type="http://schemas.openxmlformats.org/officeDocument/2006/relationships/hyperlink" Target="https://www.itu.int/md/S19-SG-CIR-0057/en" TargetMode="External"/><Relationship Id="rId27" Type="http://schemas.openxmlformats.org/officeDocument/2006/relationships/hyperlink" Target="https://www.itu.int/md/S17-CL-C-0004/en" TargetMode="External"/><Relationship Id="rId30" Type="http://schemas.openxmlformats.org/officeDocument/2006/relationships/header" Target="header1.xml"/><Relationship Id="rId8" Type="http://schemas.openxmlformats.org/officeDocument/2006/relationships/footnotes" Target="footnot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R%20-%20ITU\PR_C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38F4433E584047A097BE66491F0F20" ma:contentTypeVersion="10" ma:contentTypeDescription="Create a new document." ma:contentTypeScope="" ma:versionID="fa8afc5d86603c1925ed271018c9909a">
  <xsd:schema xmlns:xsd="http://www.w3.org/2001/XMLSchema" xmlns:xs="http://www.w3.org/2001/XMLSchema" xmlns:p="http://schemas.microsoft.com/office/2006/metadata/properties" xmlns:ns3="8480b3bf-ff93-433f-9495-f8457f78f22f" targetNamespace="http://schemas.microsoft.com/office/2006/metadata/properties" ma:root="true" ma:fieldsID="945714bf9aca0f2ad10803486a386f4a" ns3:_="">
    <xsd:import namespace="8480b3bf-ff93-433f-9495-f8457f78f22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0b3bf-ff93-433f-9495-f8457f78f2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81B342-A2CF-40C6-A888-E01467128D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FB16A7-B975-4BF9-BBF0-B234FFC544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80b3bf-ff93-433f-9495-f8457f78f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2F8CDE-5FAE-4328-ACFE-DA313C4D552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PR_C21.dotx</Template>
  <TotalTime>11</TotalTime>
  <Pages>6</Pages>
  <Words>2644</Words>
  <Characters>15072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Proposed Improvements for the Plenipotentiary conference</vt:lpstr>
    </vt:vector>
  </TitlesOfParts>
  <Manager>General Secretariat - Pool</Manager>
  <Company>International Telecommunication Union (ITU)</Company>
  <LinksUpToDate>false</LinksUpToDate>
  <CharactersWithSpaces>17681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Proposed Improvements for the Plenipotentiary conference</dc:title>
  <dc:subject>Council 2021, Virtual consultation of councillors</dc:subject>
  <dc:creator>Russian</dc:creator>
  <cp:keywords>C2021, C21, VCC, C21-VCC-1</cp:keywords>
  <dc:description/>
  <cp:lastModifiedBy>Mendoza-Pinto, Yelitza</cp:lastModifiedBy>
  <cp:revision>4</cp:revision>
  <cp:lastPrinted>2006-03-28T16:12:00Z</cp:lastPrinted>
  <dcterms:created xsi:type="dcterms:W3CDTF">2021-05-04T08:27:00Z</dcterms:created>
  <dcterms:modified xsi:type="dcterms:W3CDTF">2021-05-04T16:11:00Z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  <property fmtid="{D5CDD505-2E9C-101B-9397-08002B2CF9AE}" pid="8" name="ContentTypeId">
    <vt:lpwstr>0x010100B638F4433E584047A097BE66491F0F20</vt:lpwstr>
  </property>
</Properties>
</file>